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234807.xml.htm"/>
      <w:bookmarkStart w:id="1" w:name="kswkform4_17842348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SEDAGHAT SHAWN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WIESENSTRASSE 9</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ZURICH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V8</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TRIMAS CORP</w:t>
              </w:r>
            </w:hyperlink>
            <w:r>
              <w:rPr/>
              <w:t xml:space="preserve"> [ </w:t>
            </w:r>
            <w:r>
              <w:rPr>
                <w:rFonts w:ascii="Times;serif" w:hAnsi="Times;serif"/>
                <w:color w:val="0000FF"/>
                <w:sz w:val="24"/>
                <w:shd w:fill="FFFFFF" w:val="clear"/>
              </w:rPr>
              <w:t>TRS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0"/>
        <w:gridCol w:w="904"/>
        <w:gridCol w:w="774"/>
        <w:gridCol w:w="600"/>
        <w:gridCol w:w="346"/>
        <w:gridCol w:w="794"/>
        <w:gridCol w:w="447"/>
        <w:gridCol w:w="751"/>
        <w:gridCol w:w="1271"/>
        <w:gridCol w:w="989"/>
        <w:gridCol w:w="10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07/14/2026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615</w:t>
            </w:r>
          </w:p>
        </w:tc>
        <w:tc>
          <w:tcPr>
            <w:tcW w:w="4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40.64</w:t>
            </w:r>
            <w:r>
              <w:rPr/>
              <w:t xml:space="preserve"> </w:t>
            </w:r>
          </w:p>
        </w:tc>
        <w:tc>
          <w:tcPr>
            <w:tcW w:w="12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4,178,915</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(1)(2)</w:t>
            </w:r>
            <w:r>
              <w:rPr/>
              <w:t xml:space="preserve"> </w:t>
            </w:r>
          </w:p>
        </w:tc>
        <w:tc>
          <w:tcPr>
            <w:tcW w:w="10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1,883,758</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SEDAGHAT SHAWN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WIESENSTRASSE 9</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ZURICH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V8</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Trend International Holding AG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WIESENSTRASSE 9</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ZURICH</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V8</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8,248 of the securities reported herein, including the 615 securities subject to the transaction reported herein (the "Director Shares"), are directly held by Shawn Sedaghat ("Mr. Sedaghat"). Trend International Holding AG ("Trend") does not have beneficial ownership of the Director Shares, and specifically disclaims beneficial ownership of the Director Shares for purposes of Section 16 of the Securities Exchange Act of 1934, as amended ("Section 16"). This report shall not be deemed to be an admission that Trend is the beneficial owner of the Director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4,170,667 of the securities reported in Table One, Column Five are held directly by Trend. Mr. Sedaghat (and together with Trend, the "Reporting Persons") may be deemed to beneficially own such reported securities by virtue of the fact that Mr. Sedaghat is the Chairman of the Board of, and controls, Trend. Each of Trend and Mr. Sedaghat disclaims beneficial ownership of such reported securities for purposes of Section 16, except to the extent of its or his pecuniary interest therein, if any. This report shall not be deemed to be an admission that either Reporting Person is the beneficial owner of such reported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securities reported herein are directly held by Swan Family Office, LLC ("Swan Family Office"). Mr. Sedaghat may be deemed to beneficially own the reported securities by virtue of the fact that Mr. Sedaghat is the Managing Member of Swan Family Office. Each of Swan Family Office and Mr. Sedaghat disclaims beneficial ownership of the securities to which this filing relates for purposes of Section 16 of the Securities Exchange Act of 1934, as amended ("Section 16"), except to the extent of its or his pecuniary interest therein, if any. This report shall not be deemed to be an admission that either Swan Family Office or Mr. Sedaghat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Trend does not have beneficial ownership of these securities, and specifically disclaims beneficial ownership of these securities. This report shall not be deemed to be an admission that Trend is the beneficial owner of such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Jodi F. Robin,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1614" TargetMode="External"/><Relationship Id="rId5" Type="http://schemas.openxmlformats.org/officeDocument/2006/relationships/hyperlink" Target="http://www.sec.gov/cgi-bin/browse-edgar?action=getcompany&amp;CIK=00008426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321614" TargetMode="External"/><Relationship Id="rId10" Type="http://schemas.openxmlformats.org/officeDocument/2006/relationships/hyperlink" Target="http://www.sec.gov/cgi-bin/browse-edgar?action=getcompany&amp;CIK=0002040467"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991</Words>
  <Characters>5279</Characters>
  <CharactersWithSpaces>6181</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