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15"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4500" w:type="dxa"/>
            <w:vAlign w:val="bottom"/>
            <w:gridSpan w:val="4"/>
          </w:tcPr>
          <w:p>
            <w:pPr>
              <w:jc w:val="center"/>
              <w:ind w:left="3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7"/>
        </w:trPr>
        <w:tc>
          <w:tcPr>
            <w:tcW w:w="4500" w:type="dxa"/>
            <w:vAlign w:val="bottom"/>
            <w:gridSpan w:val="4"/>
          </w:tcPr>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4500" w:type="dxa"/>
            <w:vAlign w:val="bottom"/>
            <w:gridSpan w:val="4"/>
          </w:tcPr>
          <w:p>
            <w:pPr>
              <w:jc w:val="center"/>
              <w:ind w:lef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2"/>
        </w:trPr>
        <w:tc>
          <w:tcPr>
            <w:tcW w:w="278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780" w:type="dxa"/>
            <w:vAlign w:val="bottom"/>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2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10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x</w:t>
            </w:r>
          </w:p>
        </w:tc>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405"/>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w:t>
            </w:r>
          </w:p>
        </w:tc>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r>
        <w:trPr>
          <w:trHeight w:val="405"/>
        </w:trPr>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9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8" w:lineRule="exact"/>
        <w:rPr>
          <w:sz w:val="24"/>
          <w:szCs w:val="24"/>
          <w:color w:val="auto"/>
        </w:rPr>
      </w:pPr>
    </w:p>
    <w:p>
      <w:pPr>
        <w:ind w:right="2020"/>
        <w:spacing w:after="0" w:line="470"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 As of April 23, 2019, the number of outstanding shares of the Registrant's common stock, $0.01 par value, was 45,686,317 shares.</w:t>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2"/>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10"/>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980" w:type="dxa"/>
            <w:vAlign w:val="bottom"/>
            <w:gridSpan w:val="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7980" w:type="dxa"/>
            <w:vAlign w:val="bottom"/>
            <w:gridSpan w:val="25"/>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Forward-Looking Statements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400" w:type="dxa"/>
            <w:vAlign w:val="bottom"/>
            <w:gridSpan w:val="4"/>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Financial Statements</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 as of March 31, 2019 and December 31, 2018</w:t>
              </w:r>
            </w:hyperlink>
          </w:p>
        </w:tc>
        <w:tc>
          <w:tcPr>
            <w:tcW w:w="1680" w:type="dxa"/>
            <w:vAlign w:val="bottom"/>
            <w:gridSpan w:val="5"/>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 of Income for the Three Months Ended March 31, 2019 and 2018</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 of Comprehensive Income for the Three Months Ended March 31,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2019 and 2018</w:t>
              </w:r>
            </w:hyperlink>
          </w:p>
        </w:tc>
        <w:tc>
          <w:tcPr>
            <w:tcW w:w="5460" w:type="dxa"/>
            <w:vAlign w:val="bottom"/>
            <w:tcBorders>
              <w:top w:val="single" w:sz="8" w:color="0000EE"/>
            </w:tcBorders>
            <w:gridSpan w:val="12"/>
          </w:tcPr>
          <w:p>
            <w:pPr>
              <w:spacing w:after="0"/>
              <w:rPr>
                <w:sz w:val="17"/>
                <w:szCs w:val="17"/>
                <w:color w:val="auto"/>
              </w:rPr>
            </w:pPr>
          </w:p>
        </w:tc>
        <w:tc>
          <w:tcPr>
            <w:tcW w:w="52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 of Cash Flows for the Three Months Ended March 31, 2019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 of Shareholders' Equity for the Three Months Ended March 31, 2019</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and 2018</w:t>
              </w:r>
            </w:hyperlink>
          </w:p>
        </w:tc>
        <w:tc>
          <w:tcPr>
            <w:tcW w:w="6380" w:type="dxa"/>
            <w:vAlign w:val="bottom"/>
            <w:gridSpan w:val="17"/>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2"/>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Consolidated Financial Statements</w:t>
              </w:r>
            </w:hyperlink>
          </w:p>
        </w:tc>
        <w:tc>
          <w:tcPr>
            <w:tcW w:w="3900" w:type="dxa"/>
            <w:vAlign w:val="bottom"/>
            <w:gridSpan w:val="8"/>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w:t>
              </w:r>
            </w:hyperlink>
          </w:p>
        </w:tc>
        <w:tc>
          <w:tcPr>
            <w:tcW w:w="280" w:type="dxa"/>
            <w:vAlign w:val="bottom"/>
            <w:gridSpan w:val="3"/>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21</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3.</w:t>
              </w:r>
            </w:hyperlink>
          </w:p>
        </w:tc>
        <w:tc>
          <w:tcPr>
            <w:tcW w:w="120" w:type="dxa"/>
            <w:vAlign w:val="bottom"/>
            <w:tcBorders>
              <w:top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43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Quantitative and Qualitative Disclosures about Market Risk</w:t>
              </w:r>
            </w:hyperlink>
          </w:p>
        </w:tc>
        <w:tc>
          <w:tcPr>
            <w:tcW w:w="2160" w:type="dxa"/>
            <w:vAlign w:val="bottom"/>
            <w:tcBorders>
              <w:top w:val="single" w:sz="8" w:color="0000EE"/>
            </w:tcBorders>
            <w:gridSpan w:val="4"/>
          </w:tcPr>
          <w:p>
            <w:pPr>
              <w:spacing w:after="0"/>
              <w:rPr>
                <w:sz w:val="24"/>
                <w:szCs w:val="24"/>
                <w:color w:val="auto"/>
              </w:rPr>
            </w:pPr>
          </w:p>
        </w:tc>
        <w:tc>
          <w:tcPr>
            <w:tcW w:w="58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Controls and Procedures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32</w:t>
              </w:r>
            </w:hyperlink>
          </w:p>
        </w:tc>
      </w:tr>
      <w:tr>
        <w:trPr>
          <w:trHeight w:val="480"/>
        </w:trPr>
        <w:tc>
          <w:tcPr>
            <w:tcW w:w="11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34">
              <w:r>
                <w:rPr>
                  <w:rFonts w:ascii="Times New Roman" w:cs="Times New Roman" w:eastAsia="Times New Roman" w:hAnsi="Times New Roman"/>
                  <w:sz w:val="18"/>
                  <w:szCs w:val="18"/>
                  <w:b w:val="1"/>
                  <w:bCs w:val="1"/>
                  <w:color w:val="0000EE"/>
                  <w:w w:val="98"/>
                </w:rPr>
                <w:t>Part II.</w:t>
              </w:r>
            </w:hyperlink>
          </w:p>
        </w:tc>
        <w:tc>
          <w:tcPr>
            <w:tcW w:w="40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Other Information</w:t>
              </w:r>
            </w:hyperlink>
          </w:p>
        </w:tc>
        <w:tc>
          <w:tcPr>
            <w:tcW w:w="6460" w:type="dxa"/>
            <w:vAlign w:val="bottom"/>
            <w:gridSpan w:val="18"/>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w:t>
              </w:r>
            </w:hyperlink>
          </w:p>
        </w:tc>
        <w:tc>
          <w:tcPr>
            <w:tcW w:w="280" w:type="dxa"/>
            <w:vAlign w:val="bottom"/>
            <w:gridSpan w:val="3"/>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Unregistered Sales of Equity Securities and Use of Proceeds</w:t>
              </w:r>
            </w:hyperlink>
          </w:p>
        </w:tc>
        <w:tc>
          <w:tcPr>
            <w:tcW w:w="27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3.</w:t>
              </w:r>
            </w:hyperlink>
          </w:p>
        </w:tc>
        <w:tc>
          <w:tcPr>
            <w:tcW w:w="220" w:type="dxa"/>
            <w:vAlign w:val="bottom"/>
            <w:gridSpan w:val="2"/>
          </w:tcPr>
          <w:p>
            <w:pPr>
              <w:spacing w:after="0"/>
              <w:rPr>
                <w:sz w:val="24"/>
                <w:szCs w:val="24"/>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Defaults Upon Senior Securities</w:t>
              </w:r>
            </w:hyperlink>
          </w:p>
        </w:tc>
        <w:tc>
          <w:tcPr>
            <w:tcW w:w="472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w:t>
              </w:r>
            </w:hyperlink>
          </w:p>
        </w:tc>
        <w:tc>
          <w:tcPr>
            <w:tcW w:w="22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Mine Safety Disclosures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5.</w:t>
              </w:r>
            </w:hyperlink>
          </w:p>
        </w:tc>
        <w:tc>
          <w:tcPr>
            <w:tcW w:w="400" w:type="dxa"/>
            <w:vAlign w:val="bottom"/>
            <w:gridSpan w:val="4"/>
          </w:tcPr>
          <w:p>
            <w:pPr>
              <w:spacing w:after="0"/>
              <w:rPr>
                <w:sz w:val="24"/>
                <w:szCs w:val="24"/>
                <w:color w:val="auto"/>
              </w:rPr>
            </w:pPr>
          </w:p>
        </w:tc>
        <w:tc>
          <w:tcPr>
            <w:tcW w:w="7060" w:type="dxa"/>
            <w:vAlign w:val="bottom"/>
            <w:gridSpan w:val="2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Other Information</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6.</w:t>
              </w:r>
            </w:hyperlink>
          </w:p>
        </w:tc>
        <w:tc>
          <w:tcPr>
            <w:tcW w:w="400" w:type="dxa"/>
            <w:vAlign w:val="bottom"/>
            <w:gridSpan w:val="4"/>
          </w:tcPr>
          <w:p>
            <w:pPr>
              <w:spacing w:after="0"/>
              <w:rPr>
                <w:sz w:val="24"/>
                <w:szCs w:val="24"/>
                <w:color w:val="auto"/>
              </w:rPr>
            </w:pPr>
          </w:p>
        </w:tc>
        <w:tc>
          <w:tcPr>
            <w:tcW w:w="13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572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Signature</w:t>
              </w:r>
            </w:hyperlink>
            <w:r>
              <w:rPr>
                <w:rFonts w:ascii="Times New Roman" w:cs="Times New Roman" w:eastAsia="Times New Roman" w:hAnsi="Times New Roman"/>
                <w:sz w:val="18"/>
                <w:szCs w:val="18"/>
                <w:color w:val="0033CC"/>
              </w:rPr>
              <w: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35</w:t>
              </w:r>
            </w:hyperlink>
          </w:p>
        </w:tc>
      </w:tr>
      <w:tr>
        <w:trPr>
          <w:trHeight w:val="72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2"/>
          </w:tcPr>
          <w:p>
            <w:pPr>
              <w:jc w:val="center"/>
              <w:ind w:left="209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2018.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84,410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108,150</w:t>
            </w:r>
          </w:p>
        </w:tc>
      </w:tr>
      <w:tr>
        <w:trPr>
          <w:trHeight w:val="225"/>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 of reserves of approximately $3.6 million and $3.4 million as of March 31, 2019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139,360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123,110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173,120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7,430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411,810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187,800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316,650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174,530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8,650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1,157,080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1,100,520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93,430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48,300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141,730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293,560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37,860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39,220</w:t>
            </w:r>
          </w:p>
        </w:tc>
      </w:tr>
      <w:tr>
        <w:trPr>
          <w:trHeight w:val="23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516,570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480,070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7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41"/>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Issued and outstanding: 45,686,317 shares at March 31, 2019 and 45,527,993 shares at December 31, 2018</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814,530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816,500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r>
      <w:tr>
        <w:trPr>
          <w:trHeight w:val="23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640,510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620,450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1,157,080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1,100,520</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200" w:lineRule="exact"/>
        <w:rPr>
          <w:sz w:val="20"/>
          <w:szCs w:val="20"/>
          <w:color w:val="auto"/>
        </w:rPr>
      </w:pPr>
    </w:p>
    <w:p>
      <w:pPr>
        <w:spacing w:after="0" w:line="333"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217,100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30,950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24,320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45,578,815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45,779,966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45,992,182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46,229,337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37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24,320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Defined benefit plans (Note 15)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(Note 9)</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22,840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24,320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net of acquisition impact: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on dispositions of assets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receivables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 net of acquisition impact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16,240</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proceeds from disposition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borrowings on revolving credit facilities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32,040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borrowings on revolving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surrendered upon exercise and vesting of equity awards to cover taxes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to purchase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(decrease) for the period</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27,580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84,410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36,670</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51"/>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620,450</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3,020</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accounting standards adoption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 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March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814,530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640,510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95"/>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544,020</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5"/>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1,220</w:t>
            </w: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March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822,770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565,780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2019, TriMas began reporting its machined components operations, located in Stanton, California and Tolleson, Arizona, in its Specialty Products reportable segment. This change was made in connection with the transition of leadership responsibilities out of TriMas Aerospace to Specialty Products, allowing the Company to better leverage the machining competencies and resources of these operations with the other businesses within the Specialty Products reportable segment, as well as provide the Company with the opportunity to expand sales of these products to customers outside of the aerospace market. In addition, this change enables the Company's Aerospace reportable segment to better focus on driving growth and innovation in its aerospace fastener and related product lines. See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 on each of the Company's reportable segments.</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Certain prior year amounts have been reclassified to conform with current year presentation. The accompanying consolidated financial statements and notes thereto should be read in conjunction with the Company's 2018 Annual Report on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ASU 2018-02, "Income Statement - Reporting Comprehensive Income (Topic 220): Reclassification of Certain Tax Effects from Accumulated Other Comprehensive Income" ("ASU 2018-02"), which provides for the option to reclassify stranded tax effects resulting from the Tax Cuts and Jobs Act ("Tax Reform Act") classified within accumulated other comprehensive income (loss) ("AOCI") to retained earnings. ASU 2018-02 is effective for fiscal years, and interim periods within those years, beginning after December 15, 2018, with early adoption permitted. The Company adopted ASU 2018-02 on January 1, 2019, and elected to reclassify approximately $1.3 million in stranded tax effects from accumulated other comprehensive loss to accumulated deficit on the accompanying consolidated balance sheet. The Company's accounting policy is to release the income tax effects from accumulated other comprehensive income when a defined benefit plan or a derivative instrument is liquidated and/or settled.</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(the “New Lease Standard"), which requires lessees to recognize a lease liability and right-of-use (ROU) asset on its balance sheet for operating leases. Accounting for finance leases is substantially unchanged. Since the issuance of ASU 2016-02, the FASB has issued several subsequent updates to the New Lease Standard. The New Lease Standard is effective for fiscal years beginning after December 15, 2018, including interim periods within those fiscal years.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New Lease Standard on January 1, 2019 using a modified retrospective transition, with the cumulative-effect adjustment to the opening balance of retained earnings as of the effective date (the effective date method). Under the effective date method, financial results reported in periods prior to 2019 are unchanged. The Company elected the package of practical expedients permitted under the transition guidance, which allows the Company to forgo reassessing: (1) whether expired or existing contracts contain leases; (2) lease classification of any existing or expired leases; and, (3) initial direct costs for any existing 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adoption, the Company recognized approximately $40 million of right-of-use assets and lease liabilities on its consolidated balance sheet. Additionally, the Company recognized an approximate $0.1 million cumulative effective adjustment debit, net of tax, to accumulated deficit related to unamortized deferred losses for certain sale-leaseback transactions. The standard did not have an impact on the Company's Consolidated Statement of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3"/>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3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Customer End Markets</w:t>
            </w:r>
          </w:p>
        </w:tc>
        <w:tc>
          <w:tcPr>
            <w:tcW w:w="280" w:type="dxa"/>
            <w:vAlign w:val="bottom"/>
          </w:tcPr>
          <w:p>
            <w:pPr>
              <w:spacing w:after="0"/>
              <w:rPr>
                <w:sz w:val="20"/>
                <w:szCs w:val="20"/>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67,490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64,730</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45,580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54,230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54,350</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Oil and gas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53,990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52,210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221,290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217,100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Packaging reportable segment earns revenues from the consumer and industrial end markets. The Aerospace reportable segment earns revenues from the aerospace end market. The Specialty Products reportable segment earns revenues from the industrial, oil and gas and aerospace end markets.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2019, the Company acquired Plastic Srl, a manufacturer of single-bodied and assembled polymeric caps and closures for use in home care product applications, for an aggregate amount of approximately $22.3 million, net of cash acquired. Located in Forli, Italy, Plastic Srl serves the home care market in Italy and other European countries and generates approximately $12 million in annual revenue. Plastic Srl is included in the Company's Packaging reportable segment.</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recorded approximately $1.0 million of non-cash purchase accounting-related expenses during the three months ended March 31, 2019, of which approximately $0.9 million was recognized within selling, general and administrative expenses primarily related to the write-off of the trade name acquired that will not be used, and approximately $0.1 million was recognized within cost of sales related to the step-up in value and subsequent sale of inventory.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in an effort to better align the Company's machining competencies and resources, the Company began reporting its machined products operations within the Specialty Products reportable segment. These operations were previously reported in the Company's Aerospace reportable segment. As a result of the reporting structure change, the Company's previous Aerospace reporting unit was split into two new reporting units, Machined Products and Aerospace. The Company reallocated the goodwill attributed to the previous Aerospace reporting unit on a relative fair value basis between the Machined Products and the new Aerospace reporting units, resulting in an allocation of goodwill of $12.7 million and $133.7 million, respectively.</w:t>
      </w:r>
    </w:p>
    <w:p>
      <w:pPr>
        <w:sectPr>
          <w:pgSz w:w="11900" w:h="16838" w:orient="portrait"/>
          <w:cols w:equalWidth="0" w:num="1">
            <w:col w:w="11420"/>
          </w:cols>
          <w:pgMar w:left="240" w:top="121"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reallocation of goodwill, the Company performed a Step I quantitative assessment for both the Machined Products and the new Aerospace reporting units utilizing income and market-based approaches. Significant management assumptions used under the income approach for purposes of the Step I assessment were a discount rate of 9.5% for Aerospace and 10.5% for Machined Products and an estimated residual growth rate of 3%. In determining the discount rate, management considered the level of risk inherent in the cash flow projections based on sales growth and margin expansion assumptions, as well as historical attainment of its projections and current market conditions. The use of these unobservable inputs resulted in the fair value estimate being classified as a Level 3 measurement within the fair value hierarchy. Upon completion of the Step I test, the Company determined that the fair value of the Aerospace reporting unit exceeded its carrying value by more than 34% and the fair value of the Machined Products reporting unit exceeded its carrying value by more than 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2019 are summarized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316,650</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reassigned in segment realignment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172,530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133,690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325,520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As of March 31, 2019</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77,540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73,450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(58,790)</w:t>
            </w:r>
          </w:p>
        </w:tc>
      </w:tr>
      <w:tr>
        <w:trPr>
          <w:trHeight w:val="237"/>
        </w:trPr>
        <w:tc>
          <w:tcPr>
            <w:tcW w:w="4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209,770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205,680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57,030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r>
      <w:tr>
        <w:trPr>
          <w:trHeight w:val="243"/>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353,030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348,930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(174,400)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3060" w:type="dxa"/>
            <w:vAlign w:val="bottom"/>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3,670</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4,910</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91,780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52,260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179,170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173,120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24"/>
                <w:szCs w:val="24"/>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326,220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318,860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421,170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408,550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224,080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220,750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197,090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187,800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4.875% Senior Notes due October 2025</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293,930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293,560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293,840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293,560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and subordinated to all existing and future secured indebtedness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value of the assets securing such indebtedness.</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21" w:lineRule="exact"/>
        <w:rPr>
          <w:sz w:val="20"/>
          <w:szCs w:val="20"/>
          <w:color w:val="auto"/>
        </w:rPr>
      </w:pPr>
    </w:p>
    <w:tbl>
      <w:tblPr>
        <w:tblLayout w:type="fixed"/>
        <w:tblInd w:w="2660" w:type="dxa"/>
        <w:tblCellMar>
          <w:top w:w="0" w:type="dxa"/>
          <w:left w:w="0" w:type="dxa"/>
          <w:bottom w:w="0" w:type="dxa"/>
          <w:right w:w="0" w:type="dxa"/>
        </w:tblCellMar>
      </w:tblPr>
      <w:tr>
        <w:trPr>
          <w:trHeight w:val="21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2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revolving credit facility allows for the issuance of letters of credit, not to exceed $40.0 million in aggregate. At March 31, 2019 and December 31, 2018, the Company had no amounts outstanding under its revolving credit facility and had approximately $284.9 million potentially available after giving effect to approximately $15.1 million of letters of credit issued and outstanding. However, after consideration of leverage restrictions contained in the Credit Agreement, the Company had approximately $284.9 million of borrowing capacity available for general corporate purposes at March 31, 2019 and December 31, 2018.</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2019, the Company was in compliance with its financial covenants contained in the Credit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other debt were determined based on Level 2 inputs under the fair value hierarchy, as defined. The carrying amounts and fair values were as follows (dollars in thousands):</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4"/>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5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40" w:type="dxa"/>
            <w:vAlign w:val="bottom"/>
          </w:tcPr>
          <w:p>
            <w:pPr>
              <w:spacing w:after="0"/>
              <w:rPr>
                <w:sz w:val="20"/>
                <w:szCs w:val="20"/>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282,750</w:t>
            </w: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Instruments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fair value carrying amount of the Company's derivative instruments are recorded as follows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48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410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20" w:type="dxa"/>
            <w:vAlign w:val="bottom"/>
          </w:tcPr>
          <w:p>
            <w:pPr>
              <w:spacing w:after="0"/>
              <w:rPr>
                <w:sz w:val="18"/>
                <w:szCs w:val="18"/>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Cross-currency swaps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w:t>
            </w:r>
          </w:p>
        </w:tc>
      </w:tr>
      <w:tr>
        <w:trPr>
          <w:trHeight w:val="621"/>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jc w:val="right"/>
              <w:ind w:right="259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loss recognized in AOCI on derivative contracts designated as hedging instruments as of March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the amounts reclassified from AOCI into earnings for the three months ended March 31, 2019 and 2018 (dollars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4"/>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Amount of Income (Loss)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Reclassified</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left="297"/>
              <w:spacing w:after="0"/>
              <w:rPr>
                <w:sz w:val="20"/>
                <w:szCs w:val="20"/>
                <w:color w:val="auto"/>
              </w:rPr>
            </w:pPr>
            <w:r>
              <w:rPr>
                <w:rFonts w:ascii="Times New Roman" w:cs="Times New Roman" w:eastAsia="Times New Roman" w:hAnsi="Times New Roman"/>
                <w:sz w:val="16"/>
                <w:szCs w:val="16"/>
                <w:b w:val="1"/>
                <w:bCs w:val="1"/>
                <w:color w:val="auto"/>
              </w:rPr>
              <w:t>from AOCI into Earnings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60" w:type="dxa"/>
            <w:vAlign w:val="bottom"/>
            <w:gridSpan w:val="5"/>
            <w:vMerge w:val="continue"/>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AOCI on Derivative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left="29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Reclassified from AOCI into</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(Effective Portion)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Cross-currency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losses from AOCI into earnings.</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use observable inputs such as interest rate yield curves and forward currency exchange rates. Fair value measurements and the fair value hierarchy level for the Company's assets and liabilities measured at fair value on a recurring basis as of March 31, 2019 and December 31, 2018 are shown below (dollars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196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2019</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16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540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4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lease cost</w:t>
            </w:r>
          </w:p>
        </w:tc>
        <w:tc>
          <w:tcPr>
            <w:tcW w:w="54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32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5"/>
                <w:szCs w:val="25"/>
                <w:color w:val="auto"/>
                <w:vertAlign w:val="superscript"/>
              </w:rPr>
              <w:t>(a)</w:t>
            </w: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(excluding the three months ended March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7,310</w:t>
            </w: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9,060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7,440</w:t>
            </w: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4,920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4,000</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12,450</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45,180</w:t>
            </w:r>
          </w:p>
        </w:tc>
      </w:tr>
      <w:tr>
        <w:trPr>
          <w:trHeight w:val="237"/>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38,630</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56"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as of March 31, 2019 is approximately 6.4 years. The weighted-average discount rate as of March 31, 2019 is approximately 5.0%.</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three months ended March 31, 2019 was approximately $2.5 million and is included in cash flows provided by operating activities in the consolidated statement of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during the three months ended March 31, 2019 was approximately $0.1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2019, the Company was a party to 370 pending cases involving an aggregate of 4,811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settlement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Claims filed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dismissed</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settled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pending at</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during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during</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end of</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costs during</w:t>
            </w:r>
          </w:p>
        </w:tc>
      </w:tr>
      <w:tr>
        <w:trPr>
          <w:trHeight w:val="212"/>
        </w:trPr>
        <w:tc>
          <w:tcPr>
            <w:tcW w:w="23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33"/>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5"/>
        </w:trPr>
        <w:tc>
          <w:tcPr>
            <w:tcW w:w="23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Three Months Ended March</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31, 2019</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59,300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590,000</w:t>
            </w:r>
          </w:p>
        </w:tc>
      </w:tr>
      <w:tr>
        <w:trPr>
          <w:trHeight w:val="225"/>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 Ended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2,260,000</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4,811 claims pending at March 31, 2019, 54 set forth specific amounts of damages (other than those stating the statutory minimum or maximum). At March 31, 2019, of the 54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settlement costs (exclusive of defense costs) for all such cases, some of which were filed over 25 years ago, have been approximately $9.0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The Company's primary insurance exhausted in November 2018, and the Company will be solely responsible for defense costs and indemnity payments prior to the commencement of coverage under this agreement, the duration of which would be subject to the scope of damage awards and settlements paid.</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Metaldyne Corporation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2002, the Company was wholly-owned by Metaldyne Corporation ("Metaldyne"). In connection with the reorganization between TriMas and Metaldyne in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1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The Packaging segment, which consists primarily of the Rieke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develops and manufactures specialty dispensing and closure products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health, beauty and home care, food and beverage, and industrial markets.</w:t>
      </w:r>
    </w:p>
    <w:p>
      <w:pPr>
        <w:spacing w:after="0" w:line="24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The Aerospace segment, which includes the Monogram Aerospace Fasteners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Allfast Fastening Systems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Mac Fasteners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develops, qualifies and manufactures highly-engineered, precision fasteners to serve the aerospace market.</w:t>
      </w:r>
    </w:p>
    <w:p>
      <w:pPr>
        <w:spacing w:after="0" w:line="24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The Specialty Products segment, which includes the Norris Cylinder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Lamons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Arrow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 and Martinic Engineering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manufactures and distributes highly-engineered steel cylinders, sealing and fastener products, wellhead engines and compression systems and machined products for use within the industrial, petrochemical, oil and gas exploration and refining and aerospace markets.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00" w:lineRule="exact"/>
        <w:rPr>
          <w:sz w:val="20"/>
          <w:szCs w:val="20"/>
          <w:color w:val="auto"/>
        </w:rPr>
      </w:pPr>
    </w:p>
    <w:p>
      <w:pPr>
        <w:spacing w:after="0" w:line="244"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33020</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88,200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37,790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91,110</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221,290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217,100</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25,850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35,210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83" w:lineRule="exact"/>
        <w:rPr>
          <w:sz w:val="20"/>
          <w:szCs w:val="20"/>
          <w:color w:val="auto"/>
        </w:rPr>
      </w:pPr>
    </w:p>
    <w:p>
      <w:pPr>
        <w:ind w:left="340" w:hanging="332"/>
        <w:spacing w:after="0" w:line="216" w:lineRule="auto"/>
        <w:tabs>
          <w:tab w:leader="none" w:pos="3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During the first quarter of 2018, the Company removed an obligation from its balance sheet, resulting in an approximate $8.2 million non-cash reduction in selling, general and administrative expenses. See Note 11,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details.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Awards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grant any stock option awards during the three months ended March 31, 2019. Information related to stock options at March 31, 2019 is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1,854,000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2019, 100,000 stock options outstanding were exercisable under the Company's long-term equity incentive plans. As of March 31, 2019, there was approximately $0.1 million of unrecognized compensation cost related to stock options that is expected to be recorded over a weighted average period of 0.3 years.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$0.1 million and $0.1 million of stock-based compensation expense related to stock options during the three months ended March 31, 2019 and 2018, respectively. The stock-based compensation expense is included in selling, general and administrative expenses in the accompanying consolidated statement of income.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1,781 restricted stock units ("RSUs") related to director fee deferrals for the three months ended March 31, 2019.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2016, the Company awarded performance-based RSUs to certain Company key employees which were earned based upon the Company's total shareholder return ("TSR") relative to the TSR of the common stock of a pre-defined industry peer-group and measured over a period beginning January 1, 2016 and ending on December 31, 2018. Depending on the performance achieved, the amount of shares earned could vary from 0% of the target award to a maximum of 200% of the target award. The Company attained 139.0% of the target on a weighted average basis, resulting in an increase of 38,315 shares during the three months ended March 31, 2019.</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March 31, 2019 is as follows: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663,128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489,782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14,806,110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2019, there was approximately $5.8 million of unrecognized compensation cost related to unvested RSUs that is expected to be recorded over a weighted average period of 1.9 years.</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approximately $1.3 million and $1.1 million during the three months ended March 31, 2019 and 2018, respectively. The stock-based compensation expense is included in selling, general and administrative expenses in the accompanying consolidated statement of income.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three months ended March 31, 2019 and 2018:</w:t>
      </w:r>
    </w:p>
    <w:p>
      <w:pPr>
        <w:spacing w:after="0" w:line="39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45,578,815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45,779,966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333,020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358,583</w:t>
            </w:r>
          </w:p>
        </w:tc>
      </w:tr>
      <w:tr>
        <w:trPr>
          <w:trHeight w:val="27"/>
        </w:trPr>
        <w:tc>
          <w:tcPr>
            <w:tcW w:w="8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80,347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90,788</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45,992,182</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46,229,337</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the Company announced its Board of Directors had authorized the Company to increase the purchase of its common stock up to $75 million in the aggregate. The previous authorization, approved in November 2015, authorized up to $50 million in share repurchases. In the three months ended March 31, 2019, the Company purchased 24,900 of its outstanding common stock for approximately $0.7 million. The Company did not purchase any shares of its outstanding common stock in the three months ended March 31, 2018.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Benefit Plans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3"/>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4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7"/>
        </w:trPr>
        <w:tc>
          <w:tcPr>
            <w:tcW w:w="8580" w:type="dxa"/>
            <w:vAlign w:val="bottom"/>
          </w:tcPr>
          <w:p>
            <w:pPr>
              <w:spacing w:after="0"/>
              <w:rPr>
                <w:sz w:val="18"/>
                <w:szCs w:val="18"/>
                <w:color w:val="auto"/>
              </w:rPr>
            </w:pPr>
          </w:p>
        </w:tc>
        <w:tc>
          <w:tcPr>
            <w:tcW w:w="2360" w:type="dxa"/>
            <w:vAlign w:val="bottom"/>
            <w:gridSpan w:val="4"/>
          </w:tcPr>
          <w:p>
            <w:pPr>
              <w:jc w:val="center"/>
              <w:ind w:left="4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r>
      <w:tr>
        <w:trPr>
          <w:trHeight w:val="212"/>
        </w:trPr>
        <w:tc>
          <w:tcPr>
            <w:tcW w:w="8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3"/>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Pr>
          <w:p>
            <w:pPr>
              <w:spacing w:after="0"/>
              <w:rPr>
                <w:sz w:val="20"/>
                <w:szCs w:val="20"/>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costs</w:t>
            </w:r>
          </w:p>
        </w:tc>
        <w:tc>
          <w:tcPr>
            <w:tcW w:w="88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8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expense, net in the accompanying consolidated statement of income.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approximately $0.5 million to its defined benefit pension plans during the three months ended March 31, 2019. The Company expects to contribute approximately $1.9 million to its defined benefit pension plans for the full year 2019.</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Comprehensive Income (Loss)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2019 are summarized as follows, net of tax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Net unrealized gains arising during the period </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2,920</w:t>
            </w: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stranded tax effects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5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approximately $0.7 million. See Note 9,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2018 are summarized as follows, net of tax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r>
      <w:tr>
        <w:trPr>
          <w:trHeight w:val="270"/>
        </w:trPr>
        <w:tc>
          <w:tcPr>
            <w:tcW w:w="598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2018</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5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approximately $1.2 million. See Note 9,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7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benefit plans, net of income tax of approximately $0.1 million. See Note 15,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2019, the Company acquired Taplast S.p.A., a designer and manufacturer of dispensers, closures and containers for the beauty and personal care, household, and food and beverage packaging end markets in Europe and North America, for a purchase price of approximately $46 million. Taplast S.p.A. generated approximately $32 million in net sales in 2018 and will be included in the Company's Packaging reportable segment.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diversified global manufacturer and provider of products for customers in the consumer products, aerospace, industrial, petrochemical, refinery, and oil and gas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We serve customers in cyclical industries that are highly competitive and are themselves significantly impacted by changes in economic conditions.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anticipated, our first quarter 2019 results of operations were fairly consistent with the results in first quarter 2018. Our first quarter 2019 net sales increased by 1.9%, with increases in each of our three reportable segments, driven primarily by growth in our health, beauty and home care end market within our Packaging reportable segment and increased volume of steel cylinder and oil and gas-related products within our Specialty Products reportable segment. We believe general industrial activity continues to be at a high level in 2019, particularly in the United States.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2018, material costs increased throughout the year, primarily related to oil and metal-based commodities. We took swift action to mitigate such cost increases, including implementing commercial pricing adjustments, resourcing to alternate suppliers and insourcing of sourced-product to better leverage our global manufacturing footprint. As a result of these actions, as well as softening of certain underlying commodity costs, we have now been able to mitigate the impact to where material costs were not a significant driver of year-over-year profit change. The two most significant drivers of net income change compared with first quarter 2018 related to our effective income tax rate and the reversal of a legacy liability in first quarter 2018 that did not repeat in 2019.</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in the first quarter 2019 was 12.1%, compared to 21.4% in the first quarter of 2018. The decrease in the rate was primarily a result of discrete tax benefits that occurred during first quarter 2019, primarily related to the reversal of uncertain tax benefits due to statute of limitations expirations, excess tax benefits related to share based compensation that vested in the quarter, and a reduction in deferred tax liabilities following the implementation of state tax planning initiatives.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first quarter 2018, we terminated a legacy liability of approximately $8.2 million, which resulted in a non-cash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tax-related matters, benefit plan liabilities and reimbursements to Metaldyne of normal course payments to be made on TriMas' behalf. Metaldyne and its U.S. subsidiaries filed voluntary petitions in the United States Bankruptcy Court under Chapter 11 of the U.S. Bankruptcy Code in 2009. In January 2018, the U.S. Bankruptcy Court entered a final decree to close all remaining cases and finalize the Metaldyne bankruptcy distribution trust, effectively terminating any potential obligation by TriMas to Metaldyne.</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these two items, during first quarter 2019 we completed the acquisition of Plastic Srl, a manufacturer of single-bodied and assembled polymeric caps and closures for use in home care product applications, for an aggregate amount of approximately $22.3 million, net of cash acquired. Plastic Srl serves the home care market in Italy and other European countries and contributed approximately $2.8 million of net sales during the quarter within our Packaging reportable segment. We incurred purchase accounting-related expenses during first quarter 2019 of approximately $1.0 million related to this acquisition, of which approximately $0.9 million was recognized within selling, general and administrative expenses primarily related to the write-off of the trade name acquired that will not be used, and approximately $0.1 million was recognized within cost of sales related to the step-up in value and subsequent sale of inventory.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create organic growth through product development, cross-selling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sensitive to price movements in our raw materials supply base. Our largest material purchases are for resins (such as polypropylene and polyethylene), steel, aluminum and other oil and metal-based purchased components. Although we are generally able to mitigate the impact of higher commodity costs, we may experience additional material costs and disruptions in supply in the future and may not be able to pass along higher costs to our customers in the form of price increases.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businesses in our Specialty Products reportable segment are sensitive to the demand for natural gas and crude oil in North America. For example, our Arrow Engine business is most directly impacted by these factors, as its engine, pump jack and compressor products are impacted by oil and gas rig counts and well completion activities. In addition, a portion of our Lamons business serves upstream customers at oil well sites that are impacted by fluctuating oil prices. The majority of this business provides parts for oil refineries and petrochemical plants, which may or may not decide to incur capital expenditures for their preventive maintenance or capacity expansion activities, both of which require use of our gaskets and bolts, in times of fluctuating oil prices. Separately, oil-based commodity costs are a significant driver of raw materials and purchased components used within our Packaging reportable segment. Although we have escalator/de-escalator clauses in commercial contracts with certain of our customers, or can modify prices based on market conditions to recover higher costs, we cannot be assured of full cost recovery in the open market.</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year, as a core tenet of the TriMas Business Model ("TBM"), our businesses target cost savings from Kaizen and continuous improvement initiatives in an effort to lower input costs or increase throughput and yield rates with a goal of at least covering inflationary and market cost increases. In addition, we continuously review our costs to ensure alignment with current market demand.</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strategies to redeploy the cash generated by our businesses, which, among other alternatives, includes returning capital to our shareholders and acquiring strategic bolt-on businesses. In November 2015, we announced our Board of Directors had authorized us to purchase up to $50 million in the aggregate of our common stock. In 2018, we purchased 442,632 shares of our outstanding common stock for approximately $12.1 million. The 2018 share purchases represent the first stock buyback activity under this authorization.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2019, we announced our Board of Directors increased this authorization to $75 million, which includes the value of shares already purchased under the previous authorization. In the three months ended March 31, 2019, we purchased 24,900 shares of our outstanding common stock for approximately $0.7 million.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March 31, 2019 and 2018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2"/>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221,290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217,100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29,230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20,650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59,820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60,380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25,170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35,210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4,910</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March 31, 2019, compared with the three months ended March 31, 2018, were:</w:t>
      </w:r>
    </w:p>
    <w:p>
      <w:pPr>
        <w:spacing w:after="0" w:line="293" w:lineRule="exact"/>
        <w:rPr>
          <w:sz w:val="20"/>
          <w:szCs w:val="20"/>
          <w:color w:val="auto"/>
        </w:rPr>
      </w:pPr>
    </w:p>
    <w:p>
      <w:pPr>
        <w:jc w:val="both"/>
        <w:ind w:left="1140" w:hanging="484"/>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levels across our end markets, primarily driven by growth in our health, beauty and home care end market within our Packaging reportable segment and increased sales of steel cylinders and oil and gas related products within our Specialty Products reportable segment;</w:t>
      </w:r>
    </w:p>
    <w:p>
      <w:pPr>
        <w:spacing w:after="0" w:line="23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effective tax rate from the recognition of certain discrete tax items in first quarter 2019; and</w:t>
      </w:r>
    </w:p>
    <w:p>
      <w:pPr>
        <w:spacing w:after="0" w:line="279"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liability to Metaldyne, resulting in an approximate $8.2 million reduction in selling, general and administrative expenses in first quarter 2018.</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Compared with Three Months Ended March 31, 2018</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approximately $4.2 million, or 1.9%, to $221.3 million for the three months ended March 31, 2019, as compared with $217.1 million in the three months ended March 31, 2018. Our organic sales increased by approximately $3.6 million, primarily driven by approximately $5.0 million higher sales within our Packaging reportable segment's health, beauty and home care products and $2.0 million higher sales in of each of the industrial products and oil and gas-related products within our Specialty Products reportable segment. In addition, sales increased approximately $2.8 million as a result of our Plastic Srl acquisition in January 2019 in the Packaging reportable segment. These increases were partially offset by approximately $5.2 million lower sales of our industrial and food and beverage products in our Packaging segment as well as $2.2 million of net unfavorable currency exchange, as our reported results in U.S. dollars were negatively impacted as a result of the stronger U.S. dollar relative to foreign currencies.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27.0% and 27.8% for the three months ended March 31, 2019 and 2018, respectively. Gross profit dollars and margin decreased, as the impact of higher sales levels was more than offset by a less favorable overall product sales mix, higher input costs, primarily in our Specialty Products reportable segment, and as a result of unfavorable currency exchange.</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11.7% and 16.2% for the three months ended March 31, 2019 and 2018, respectively. Operating profit decreased approximately $9.4 million, or 26.6%, to $25.9 million for the three months ended March 31, 2019, from $35.2 million for the three months ended March 31, 2018. Operating profit decreased by approximately $8.2 million due to a first quarter 2018 non-cash reduction of our recorded liability to Metaldyne following the U.S. Bankruptcy Court's final decree to close all remaining cases and terminate the Metaldyne bankruptcy distribution trust. Operating profit and related margin further declined as the impact of higher sales levels was more than offset by a less favorable product sales mix, increases in purchase accounting expenses and professional fees supporting corporate development activities, and as a result of unfavorable currency exchange.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approximately $0.3 million, to $3.4 million for the three months ended March 31, 2019, as compared to $3.7 million for the three months ended March 31, 2018, as a result of a decrease in our interest rates and lower weighted average borrowings.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increased approximately $0.1 million, to $0.7 million for the three months ended March 31, 2019, as compared to $0.6 million for the three months ended March 31, 2018, primarily due to an increase in losses on transactions denominated in foreign currencies.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2019 and 2018 was 12.1% and 21.4%, respectively. The decrease in the rate was primarily a result of significant discrete items that occurred during the first quarter of 2019, including the reversal of uncertain tax benefits for which the statute of limitations expired, excess tax benefits related to share based compensation that vested in the quarter, and a reduction in deferred tax liabilities resulting from the implementation of state tax planning initiatives.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decreased approximately $5.2 million, to $19.1 million for the three months ended March 31, 2019, as compared to $24.3 million for the three months ended March 31, 2018. The decrease in net income was the result of a decrease in operating profit of approximately $9.4 million and an increase in other expense, net of approximately $0.1 million, partially offset by a decrease in income tax expense of approximately $4.0 million, and a decrease in interest expense of approximately $0.3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2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approximately $0.6 million, or 0.7%, to $88.8 million in the three months ended March 31, 2019, as compared to $88.2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March 31, 2018. Sales of our health, beauty and home care products increased approximately $5.0 million, primarily due to higher demand in North America and continued sales growth in Asia. Sales also increased approximately $2.8 million due to the acquisition of Plastic Srl in the first quarter of 2019. These increases were partially offset by a decrease in sales of our food and beverage products by approximately $3.4 million, primarily due to lower sales of pumps as well as softer end market demand in North America. Sales of our industrial products declined by approximately $1.8 million due to lower end market demand in North America, in part due to the unusually cold weather in the first quarter of 2019. Additionally, net sales decreased by approximately $2.0 million due to unfavorable currency exchange, as our reported results in U.S. dollars were negatively impacted as a result of the stronger U.S. dollar relative to foreign currencies.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Packaging's gross profit decreased approximately $1.3 million to $28.0 million, or 31.5% of sales, in the three months ended March 31, 2019, as compared to $29.2 million, or 33.1% of sales, in the three months ended March 31, 2018. Gross profit declined by approximately $0.9 million due to unfavorable currency exchange, as our reported results in U.S. dollars were negatively impacted as a result of the stronger U.S. dollar relative to foreign currencies. In addition, we experienced a less favorable product sales mix, with our health, beauty and home care end market products comprising a larger percentage of net sales, as well as competitive pricing.</w:t>
      </w:r>
    </w:p>
    <w:p>
      <w:pPr>
        <w:sectPr>
          <w:pgSz w:w="11900" w:h="16838" w:orient="portrait"/>
          <w:cols w:equalWidth="0" w:num="1">
            <w:col w:w="11420"/>
          </w:cols>
          <w:pgMar w:left="240" w:top="121"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approximately $0.7 million to $10.3 million, or 11.6% of sales, in the three months ended March 31, 2019, as compared to $9.7 million, or 10.9% of sales, in the three months ended March 31, 2018, primarily due to non-cash purchase accounting-related expenses of approximately $0.8 million related to the write-off of the trade name acquired in the Plastic Srl acquisition that will not be used.</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Packaging's operating profit decreased approximately $1.9 million to $17.6 million, or 19.9% of sales, in the three months ended March 31, 2019, as compared to $19.6 million, or 22.2% of sales, in the three months ended March 31, 2018, as the impact of foreign currency exchange, a less favorable product sales mix, competitive pricing and costs associated with our acquisition of Plastic Srl more than offset the impact of higher sales levels.</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March 31, 2019 increased approximately $0.5 million, or 1.4%, to $38.3 million, as compared to $37.8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March 31, 2018, due to steady demand levels for fastener products.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Aerospace increased approximately $1.1 million to $11.2 million, or 29.2% of sales, in the three months ended March 31, 2019, from $10.1 million, or 26.6% of sales, in the three months ended March 31, 2018, primarily due to improved production efficiencies and a more favorable product sales mix.</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remained relatively flat at approximately $5.5 million, or 14.2% of sales, in the three months ended March 31, 2019, as compared to $5.5 million, or 14.5% of sales, in the three months ended March 31, 2018, as lower ongoing selling expenses were offset by approximately $0.4 million of professional fees incurred in the first quarter of 2019 to analyze our standard fastener product line and recommend opportunities to improve.</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profit within Aerospace increased approximately $1.2 million to $5.7 million, or 15.0% of sales, in the three months ended March 31, 2019, as compared to $4.6 million, or 12.1% of sales in the three months ended March 31, 2018, primarily due to improved production efficiencies and a more favorable product sales mix.</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March 31, 2019 increased approximately $3.0 million, or 3.3%, to $94.1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$91.1 million in the three months ended March 31, 2018. Sales of our industrial products increased by approximately $2.0 million due to increased demand for large high pressure steel and specialty steel cylinders. Sales of our oil and gas related products increased by approximately $2.0 million, primarily as a result of increased demand in North America. These increases were partially offset by an approximate $0.8 million decrease in sales of our machined components products, and net unfavorable currency exchange of approximately $0.2 million, as our reported results in U.S. dollars were negatively impacted as a result of the stronger U.S. dollar relative to foreign currencies.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Specialty Products decreased approximately $0.4 million to $20.7 million, or 21.9% of sales, in the three months ended March 31, 2019, as compared to $21.1 million, or 23.1% of sales, in the three months ended March 31, 2018. Increases in gross profit due to increased sales levels were more than offset by higher first quarter 2019 input costs for industrial cylinder and machined components products.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decreased approximately $1.1 million to $9.8 million, or 10.4% of sales, in the three months ended March 31, 2019, as compared to $10.9 million, or 12.0% of sales, in the three months ended March 31, 2018, primarily due to our continued leverage of a lower cost footprint.</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within Specialty Products increased approximately $0.8 million to $10.9 million, or 11.5% of sales, in the three months ended March 31, 2019, as compared to $10.1 million, or 11.1% of sales, in the three months ended March 31, 2018, as increases in operating profit as a result of higher sales levels and lower selling, general and administrative expenses were partially offset by the impact of higher input costs.</w:t>
      </w:r>
    </w:p>
    <w:p>
      <w:pPr>
        <w:spacing w:after="0" w:line="2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(income) expenses, net consists of the following (dollars in millions):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60" w:type="dxa"/>
            <w:vAlign w:val="bottom"/>
          </w:tcPr>
          <w:p>
            <w:pPr>
              <w:spacing w:after="0"/>
              <w:rPr>
                <w:sz w:val="20"/>
                <w:szCs w:val="20"/>
                <w:color w:val="auto"/>
              </w:rPr>
            </w:pPr>
          </w:p>
        </w:tc>
        <w:tc>
          <w:tcPr>
            <w:tcW w:w="508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5080" w:type="dxa"/>
            <w:vAlign w:val="bottom"/>
            <w:tcBorders>
              <w:bottom w:val="single" w:sz="8" w:color="CCEEFF"/>
            </w:tcBorders>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3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Legacy (income) expenses, net</w:t>
            </w:r>
          </w:p>
        </w:tc>
        <w:tc>
          <w:tcPr>
            <w:tcW w:w="39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7"/>
        </w:trPr>
        <w:tc>
          <w:tcPr>
            <w:tcW w:w="4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(income) expenses, net</w:t>
            </w:r>
          </w:p>
        </w:tc>
        <w:tc>
          <w:tcPr>
            <w:tcW w:w="396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960" w:type="dxa"/>
            <w:vAlign w:val="bottom"/>
            <w:vMerge w:val="restart"/>
          </w:tcPr>
          <w:p>
            <w:pPr>
              <w:jc w:val="right"/>
              <w:ind w:right="2233"/>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(income) expenses, net increased approximately $9.3 million to $8.4 million for the three months ended March 31, 2019, from $0.9 million of income for the three months ended March 31, 2018. Legacy (income) expenses, net, increased approximately $8.6 million, primarily due to the termination of the liability to Metaldyne in the three months ended March 31, 2018, resulting in an approximate $8.2 million non-cash reduction in legacy (income) expenses, net. Corporate operating expenses increased approximately $0.6 million, primarily due to professional fees related to corporate development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approximately $8.1 million for the three months ended March 31, 2019, as compared to approximately $16.2 million for the three months ended March 31, 2018. Significant changes in cash flows provided by operating activities and the reasons for such changes were as follows:</w:t>
      </w:r>
    </w:p>
    <w:p>
      <w:pPr>
        <w:spacing w:after="0" w:line="230" w:lineRule="exact"/>
        <w:rPr>
          <w:sz w:val="20"/>
          <w:szCs w:val="20"/>
          <w:color w:val="auto"/>
        </w:rPr>
      </w:pPr>
    </w:p>
    <w:p>
      <w:pPr>
        <w:jc w:val="both"/>
        <w:ind w:left="9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2019, the Company generated approximately $34.4 million of cash, based on the reported net income of approximately $19.1 million and after considering the effects of non-cash items related to depreciation, amortization, loss on dispositions of assets, changes in deferred income taxes, stock-based compensation and other operating activities. For the three months ended March 31, 2018, the Company generated approximately $43.1 million in cash flows based on the reported net income of approximately $24.3 million and after considering the effects of similar non-cash items.</w:t>
      </w:r>
    </w:p>
    <w:p>
      <w:pPr>
        <w:spacing w:after="0" w:line="23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approximately $11.5 million and $16.2 million for the three months ended March 31, 2019 and 2018, respectively. The increased use of cash for each of the three month periods is due primarily to the timing of sales and collection of cash related thereto within the periods. Days sales outstanding of receivables increased by approximately three days.</w:t>
      </w:r>
    </w:p>
    <w:p>
      <w:pPr>
        <w:spacing w:after="0" w:line="23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approximately $4.8 million and $0.8 million for the three months ended March 31, 2019 and 2018, respectively, primarily as a result of operating at higher production levels to support sales growth.</w:t>
      </w:r>
    </w:p>
    <w:p>
      <w:pPr>
        <w:spacing w:after="0" w:line="2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approximately $0.1 million for the three months ended March 31, 2019. Decreases in prepaid expenses and other assets resulted in a source of cash of $5.3 million for the three months ended March 31, 2018, primarily a result of the timing of payments made for income taxes and certain operating expenses.</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approximately $10.0 million and $15.1 million for the three months ended March 31, 2019 and 2018, respectively, primarily as a result of timing of payments made to suppliers and the mix of vendors and related terms. The decrease in accounts payable and accrued liabilities for the three months ended March 31, 2018 was further impacted by an approximate $8.2 million non-cash reduction in an obligation.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2019 and 2018 was approximately $28.9 million and $2.9 million, respectively. During the first three months of 2019, we paid approximately $22.3 million, net of cash acquired, to acquire Plastic Srl. We also incurred approximately $6.6 million in capital expenditures, as we continued our investment in growth, capacity and productivity-related capital projects. During the first three months of 2018, we incurred approximately $3.2 million in capital expenditures and received cash from the disposition of property and equipment of approximately $0.3 million.</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for the three months ended March 31, 2019 and 2018 was approximately $2.9 million and $4.2 million, respectively. During the first three months of 2019, we had net borrowings of approximately $0.4 million on our revolving credit facilities. We also purchased approximately $0.7 million of outstanding common stock and used a net cash amount of approximately $2.6 million related to our stock compensation arrangements. During the first three months of 2018, we made net repayments of approximately $1.9 million on our revolving credit facilities. We also used a net cash amount of approximately $2.3 million related to our stock compensation arrangements.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$300.0 million aggregate principal amount of Senior Notes accrue interest at a rate of 4.875% per annum, payable semi-annually in arrears on April 15 and October 15, commencing on April 15, 2018. The payment of principal and interest is jointly and severally guaranteed, on a senior unsecured basis by certain named subsidiaries of the Company (each a "Guarantor" and collectively the "Guarantors").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 For the three months ended March 31, 2019, our consolidated subsidiaries that do not guarantee the Senior Notes represented approximately 13% of the total of guarantor and non-guarantor net sales, treating each as a consolidated group and excluding intercompany transactions between guarantor and non-guarantor subsidiaries. In addition, our non-guarantor subsidiaries represented approximately 29% and 11% of the total guarantor and non-guarantor assets and liabilities, respectively, as of March 31, 2019, treating the guarantor and non-guarantor subsidiaries each as a consolidated group and excluding intercompany transactions between such groups.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2019. If we were to complete an acquisition which qualifies for a Covenant Holiday Period, as defined in our Credit Agreement, then our permitted total net leverage ratio cannot exceed 4.50 to 1.00 during that period. Our actual total net leverage ratio was 1.38 to 1.00 at March 31, 2019. Our permitted senior secured net leverage ratio under the Credit Agreement is 3.50 to 1.00 as of March 31, 2019.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March 31, 2019. Our permitted interest expense coverage ratio under the Credit Agreement is 3.00 to 1.00 as of March 31, 2019. Our actual interest expense coverage ratio was 14.48 to 1.00 at March 31, 2019. At March 31, 2019, we were in compliance with our financial covenants.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March 31, 2019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00" w:type="dxa"/>
            <w:vAlign w:val="bottom"/>
          </w:tcPr>
          <w:p>
            <w:pPr>
              <w:spacing w:after="0"/>
              <w:rPr>
                <w:sz w:val="17"/>
                <w:szCs w:val="17"/>
                <w:color w:val="auto"/>
              </w:rPr>
            </w:pPr>
          </w:p>
        </w:tc>
      </w:t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200" w:type="dxa"/>
            <w:vAlign w:val="bottom"/>
          </w:tcPr>
          <w:p>
            <w:pPr>
              <w:spacing w:after="0"/>
              <w:rPr>
                <w:sz w:val="17"/>
                <w:szCs w:val="17"/>
                <w:color w:val="auto"/>
              </w:rPr>
            </w:pPr>
          </w:p>
        </w:tc>
      </w:tr>
      <w:tr>
        <w:trPr>
          <w:trHeight w:val="212"/>
        </w:trPr>
        <w:tc>
          <w:tcPr>
            <w:tcW w:w="9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78,070</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13,650</w:t>
            </w:r>
          </w:p>
        </w:tc>
      </w:tr>
      <w:tr>
        <w:trPr>
          <w:trHeight w:val="24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18,760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43,940</w:t>
            </w:r>
          </w:p>
        </w:tc>
      </w:tr>
      <w:tr>
        <w:trPr>
          <w:trHeight w:val="270"/>
        </w:trPr>
        <w:tc>
          <w:tcPr>
            <w:tcW w:w="9140" w:type="dxa"/>
            <w:vAlign w:val="bottom"/>
          </w:tcPr>
          <w:p>
            <w:pPr>
              <w:ind w:left="260"/>
              <w:spacing w:after="0" w:line="27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7,270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3,440</w:t>
            </w:r>
          </w:p>
        </w:tc>
      </w:tr>
      <w:tr>
        <w:trPr>
          <w:trHeight w:val="270"/>
        </w:trPr>
        <w:tc>
          <w:tcPr>
            <w:tcW w:w="9140" w:type="dxa"/>
            <w:vAlign w:val="bottom"/>
          </w:tcPr>
          <w:p>
            <w:pPr>
              <w:ind w:left="260"/>
              <w:spacing w:after="0" w:line="27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5"/>
                <w:szCs w:val="25"/>
                <w:color w:val="auto"/>
                <w:vertAlign w:val="superscript"/>
              </w:rPr>
              <w:t>(2)</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3,570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Permitted acquisitions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2,340</w:t>
            </w:r>
          </w:p>
        </w:tc>
      </w:tr>
      <w:tr>
        <w:trPr>
          <w:trHeight w:val="24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Casualty or business interruption expenses covered and reimbursed by insurance</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174,250</w:t>
            </w:r>
          </w:p>
        </w:tc>
      </w:tr>
      <w:tr>
        <w:trPr>
          <w:trHeight w:val="20"/>
        </w:trPr>
        <w:tc>
          <w:tcPr>
            <w:tcW w:w="9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616"/>
        </w:trPr>
        <w:tc>
          <w:tcPr>
            <w:tcW w:w="9140" w:type="dxa"/>
            <w:vAlign w:val="bottom"/>
          </w:tcPr>
          <w:p>
            <w:pPr>
              <w:spacing w:after="0"/>
              <w:rPr>
                <w:sz w:val="24"/>
                <w:szCs w:val="24"/>
                <w:color w:val="auto"/>
              </w:rPr>
            </w:pPr>
          </w:p>
        </w:tc>
        <w:tc>
          <w:tcPr>
            <w:tcW w:w="20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24"/>
                <w:szCs w:val="24"/>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4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5"/>
                <w:szCs w:val="25"/>
                <w:color w:val="auto"/>
                <w:vertAlign w:val="superscript"/>
              </w:rPr>
              <w:t>(3)</w:t>
            </w: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240,140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174,250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5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9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6"/>
          <w:szCs w:val="16"/>
          <w:b w:val="1"/>
          <w:bCs w:val="1"/>
          <w:color w:val="auto"/>
        </w:rPr>
        <w:t>March 31, 2019</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5260" w:type="dxa"/>
            <w:vAlign w:val="bottom"/>
            <w:tcBorders>
              <w:top w:val="single" w:sz="8" w:color="CCEEFF"/>
            </w:tcBorders>
            <w:shd w:val="clear" w:color="auto" w:fill="CCEEFF"/>
          </w:tcPr>
          <w:p>
            <w:pPr>
              <w:ind w:left="20"/>
              <w:spacing w:after="0" w:line="283" w:lineRule="exact"/>
              <w:rPr>
                <w:sz w:val="20"/>
                <w:szCs w:val="20"/>
                <w:color w:val="auto"/>
              </w:rPr>
            </w:pPr>
            <w:r>
              <w:rPr>
                <w:rFonts w:ascii="Times New Roman" w:cs="Times New Roman" w:eastAsia="Times New Roman" w:hAnsi="Times New Roman"/>
                <w:sz w:val="18"/>
                <w:szCs w:val="18"/>
                <w:color w:val="auto"/>
              </w:rPr>
              <w:t>Total Senior Secured Indebtedness</w:t>
            </w:r>
            <w:r>
              <w:rPr>
                <w:rFonts w:ascii="Times New Roman" w:cs="Times New Roman" w:eastAsia="Times New Roman" w:hAnsi="Times New Roman"/>
                <w:sz w:val="25"/>
                <w:szCs w:val="25"/>
                <w:color w:val="auto"/>
                <w:vertAlign w:val="superscript"/>
              </w:rPr>
              <w:t>(4)</w:t>
            </w:r>
          </w:p>
        </w:tc>
        <w:tc>
          <w:tcPr>
            <w:tcW w:w="38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220" w:type="dxa"/>
            <w:vAlign w:val="bottom"/>
            <w:tcBorders>
              <w:top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174,250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net leverage ratio</w:t>
            </w:r>
          </w:p>
        </w:tc>
        <w:tc>
          <w:tcPr>
            <w:tcW w:w="38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3840" w:type="dxa"/>
            <w:vAlign w:val="bottom"/>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gridSpan w:val="2"/>
          </w:tcPr>
          <w:p>
            <w:pPr>
              <w:spacing w:after="0"/>
              <w:rPr>
                <w:sz w:val="2"/>
                <w:szCs w:val="2"/>
                <w:color w:val="auto"/>
              </w:rPr>
            </w:pPr>
          </w:p>
        </w:tc>
        <w:tc>
          <w:tcPr>
            <w:tcW w:w="45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gridSpan w:val="2"/>
          </w:tcPr>
          <w:p>
            <w:pPr>
              <w:spacing w:after="0"/>
              <w:rPr>
                <w:sz w:val="2"/>
                <w:szCs w:val="2"/>
                <w:color w:val="auto"/>
              </w:rPr>
            </w:pPr>
          </w:p>
        </w:tc>
        <w:tc>
          <w:tcPr>
            <w:tcW w:w="45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4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2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174,250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12,030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r>
      <w:tr>
        <w:trPr>
          <w:trHeight w:val="25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8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Non-cash compensation expenses resulting from the grant of equity awards.</w:t>
      </w:r>
    </w:p>
    <w:p>
      <w:pPr>
        <w:spacing w:after="0" w:line="136"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36"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$4.0 million of acquisition deferred purchase price.</w:t>
      </w:r>
    </w:p>
    <w:p>
      <w:pPr>
        <w:spacing w:after="0" w:line="136"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Senior secured indebtedness is negative at March 31, 2019 due to the deduction of certain unrestricted cash and unrestricted permitted investments as allowed under the Credit Agreement.</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2018, we terminated our $75.0 million accounts receivable facility, under which we had the ability to sell eligible accounts receivable to a third-party multi-seller receivables funding company.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2019 and December 31, 2018, we had no amounts outstanding under our revolving credit facility and had approximately $284.9 million potentially available after giving effect to approximately $15.1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March 31, 2019 and December 31, 2018, we had approximately $284.9 million, of borrowing capacity available for general corporate purposes.</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use cash on hand from our domestic and foreign subsidiaries to pay down amounts outstanding under our revolving credit facility, as applicable.</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weighted average borrowings during the first three months of 2019 approximated $320.7 million, compared to approximately $338.7 million during the first three months of 2018. The overall decrease is primarily due to repayments using cash flows from operations.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The majority of our cash on hand as of March 31, 2019 is recorded as a Corporate asset and is located within the United States. We have aggregate available funding under our revolving credit facility of $284.9 million at March 31, 2019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At March 31, 2019, 1-Month LIBOR approximated 2.49%. At March 31, 2019, we had no amounts outstanding on our revolving credit facility and therefore no variable rate-based borrowings outstanding.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We account for these lease transactions as operating leases, and annual rent expense for continuing operations related thereto approximated $12.3 million in 2018. We expect leasing will continue to be an available financing option to fund future capital expenditure requirements.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we announced our Board of Directors had authorized us to increase the purchase of our common stock up to $75 million in the aggregate. The previous authorization, approved in November 2015, authorized up to $50 million in share repurchases. In the three months ended March 31, 2019 we purchased 24,900 shares of our outstanding common stock for an aggregate purchase price of approximately $0.7 million. We will continue to evaluate opportunities to return capital to shareholders through the purchase of our common stock, depending on market conditions and other factors.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 We use cross-currency swap agreements to mitigate currency risks associated with the net investment in certain of our foreign subsidiaries. See Note 9,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 See Note 9,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June 7, 2018, Moody's upgraded our Senior Notes rating to Ba3 from B1, as presented in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upgraded our Corporate Family Rating to Ba2 from Ba3 and maintained its outlook as stable. On January 30, 2019,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first quarter 2019 results continued our recent positive momentum, as we further improve our operating efficacy under the TriMas Business Model, which provides the standardized set of processes that we follow to drive results across our multi-industry set of businesses. We experienced year-over-year increases in sales in each of our three reportable segments, achieving anticipated first quarter 2019 profit levels in addition to a lower effective tax rate.</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maintain our positive momentum throughout 2019, and believe we are well positioned to capitalize on growth opportunities, as well as have instilled a culture of Kaizen and continuous improvement to generate additional production efficiencies, cost savings and leverage available market opportunities. We remain cautiously optimistic about our growth and earnings expansion prospects for 2019, and we are not counting on significant end market improvement, particularly given economic uncertainty around direct and indirect impacts of foreign trade policies. We will continue our efforts to mitigate the impact of external factors, while focusing on those areas we can control.</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prioritize and pursue growth programs, particularly in our Packaging and Aerospace reportable segments, where we have many initiatives underway that we expect will benefit us in 2019. We will also continue to ensure our cost structures remain aligned with customer demand in the end markets we serve, most notably in our Specialty Products reportable segment. We expect to leverage the tenets of the TriMas Business Model to achieve our growth plans, execute continuous improvement initiatives to offset inflationary pressures, and seek lower-cost sources for input costs, all while continuously assessing our manufacturing footprint, productivity and fixed-cost structure.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2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2019,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9,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2019,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2019, the Company's disclosure controls and procedures are effective to provide reasonable assurance that they would meet their objectives.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2019 that have materially affected, or are reasonably likely to materially affect, the Company's internal control over financial reporting.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2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2018, which could materially affect our business, financial condition or future results. There have been no significant changes in our risk factors as disclosed in our 2018 Form 10-K.</w:t>
      </w: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March 31, 2019.</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245"/>
        </w:trPr>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2019 to January 31,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24,900</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24,900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37,179,972</w:t>
            </w: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2019 to February 28, 2019</w:t>
            </w: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62,179,972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2019 to March 31,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62,179,972</w:t>
            </w:r>
          </w:p>
        </w:tc>
      </w:tr>
      <w:tr>
        <w:trPr>
          <w:trHeight w:val="25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24,900</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24,900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62,179,972</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56" w:lineRule="exact"/>
        <w:rPr>
          <w:sz w:val="20"/>
          <w:szCs w:val="20"/>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Pursuant to a publicly announced share repurchase program, during the three months ended March 31, 2019, the Company repurchased 24,900 shares of its common stock at a cost of approximately $0.7 million. In February 2019, the Company announced its Board of Directors had authorized the Company to increase the purchase of its common stock up to $75 million in aggregate from its previous authorization of $50 million. The share repurchase program is effective and has no expiration date.</w:t>
      </w:r>
    </w:p>
    <w:p>
      <w:pPr>
        <w:spacing w:after="0" w:line="2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4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554"/>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(a)</w:t>
            </w:r>
          </w:p>
        </w:tc>
        <w:tc>
          <w:tcPr>
            <w:tcW w:w="1040" w:type="dxa"/>
            <w:vAlign w:val="bottom"/>
          </w:tcPr>
          <w:p>
            <w:pPr>
              <w:spacing w:after="0"/>
              <w:rPr>
                <w:sz w:val="24"/>
                <w:szCs w:val="24"/>
                <w:color w:val="auto"/>
              </w:rPr>
            </w:pPr>
          </w:p>
        </w:tc>
        <w:tc>
          <w:tcPr>
            <w:tcW w:w="59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2">
              <w:r>
                <w:rPr>
                  <w:rFonts w:ascii="Times New Roman" w:cs="Times New Roman" w:eastAsia="Times New Roman" w:hAnsi="Times New Roman"/>
                  <w:sz w:val="18"/>
                  <w:szCs w:val="18"/>
                  <w:color w:val="0000FF"/>
                  <w:w w:val="99"/>
                </w:rPr>
                <w:t>Fourth Amended and Restated Certificate of Incorporation of TriMas Corporation.</w:t>
              </w:r>
            </w:hyperlink>
          </w:p>
        </w:tc>
        <w:tc>
          <w:tcPr>
            <w:tcW w:w="2780" w:type="dxa"/>
            <w:vAlign w:val="bottom"/>
          </w:tcPr>
          <w:p>
            <w:pPr>
              <w:spacing w:after="0"/>
              <w:rPr>
                <w:sz w:val="24"/>
                <w:szCs w:val="24"/>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 (b)</w:t>
            </w:r>
          </w:p>
        </w:tc>
        <w:tc>
          <w:tcPr>
            <w:tcW w:w="1040" w:type="dxa"/>
            <w:vAlign w:val="bottom"/>
          </w:tcPr>
          <w:p>
            <w:pPr>
              <w:spacing w:after="0"/>
              <w:rPr>
                <w:sz w:val="21"/>
                <w:szCs w:val="21"/>
                <w:color w:val="auto"/>
              </w:rPr>
            </w:pPr>
          </w:p>
        </w:tc>
        <w:tc>
          <w:tcPr>
            <w:tcW w:w="44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Third Amended and Restated By-laws of TriMas Corporation.</w:t>
              </w:r>
            </w:hyperlink>
          </w:p>
        </w:tc>
        <w:tc>
          <w:tcPr>
            <w:tcW w:w="4240" w:type="dxa"/>
            <w:vAlign w:val="bottom"/>
            <w:gridSpan w:val="2"/>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(c)</w:t>
            </w:r>
          </w:p>
        </w:tc>
        <w:tc>
          <w:tcPr>
            <w:tcW w:w="1040" w:type="dxa"/>
            <w:vAlign w:val="bottom"/>
          </w:tcPr>
          <w:p>
            <w:pPr>
              <w:spacing w:after="0"/>
              <w:rPr>
                <w:sz w:val="21"/>
                <w:szCs w:val="21"/>
                <w:color w:val="auto"/>
              </w:rPr>
            </w:pPr>
          </w:p>
        </w:tc>
        <w:tc>
          <w:tcPr>
            <w:tcW w:w="8720" w:type="dxa"/>
            <w:vAlign w:val="bottom"/>
            <w:gridSpan w:val="4"/>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Executive Severance / Change of Control Policy*</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21"/>
                <w:szCs w:val="21"/>
                <w:color w:val="auto"/>
              </w:rPr>
            </w:pPr>
          </w:p>
        </w:tc>
        <w:tc>
          <w:tcPr>
            <w:tcW w:w="8720" w:type="dxa"/>
            <w:vAlign w:val="bottom"/>
            <w:tcBorders>
              <w:bottom w:val="single" w:sz="8" w:color="0000FF"/>
            </w:tcBorders>
            <w:gridSpan w:val="4"/>
          </w:tcPr>
          <w:p>
            <w:pPr>
              <w:spacing w:after="0" w:line="207" w:lineRule="exact"/>
              <w:rPr>
                <w:rFonts w:ascii="Times New Roman" w:cs="Times New Roman" w:eastAsia="Times New Roman" w:hAnsi="Times New Roman"/>
                <w:sz w:val="18"/>
                <w:szCs w:val="18"/>
                <w:color w:val="0000FF"/>
                <w:w w:val="99"/>
              </w:rPr>
            </w:pPr>
            <w:hyperlink w:anchor="page37">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21"/>
                <w:szCs w:val="21"/>
                <w:color w:val="auto"/>
              </w:rPr>
            </w:pPr>
          </w:p>
        </w:tc>
        <w:tc>
          <w:tcPr>
            <w:tcW w:w="8720" w:type="dxa"/>
            <w:vAlign w:val="bottom"/>
            <w:tcBorders>
              <w:bottom w:val="single" w:sz="8" w:color="0000FF"/>
            </w:tcBorders>
            <w:gridSpan w:val="4"/>
          </w:tcPr>
          <w:p>
            <w:pPr>
              <w:spacing w:after="0" w:line="207" w:lineRule="exact"/>
              <w:rPr>
                <w:rFonts w:ascii="Times New Roman" w:cs="Times New Roman" w:eastAsia="Times New Roman" w:hAnsi="Times New Roman"/>
                <w:sz w:val="18"/>
                <w:szCs w:val="18"/>
                <w:color w:val="0000FF"/>
                <w:w w:val="99"/>
              </w:rPr>
            </w:pPr>
            <w:hyperlink w:anchor="page38">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21"/>
                <w:szCs w:val="21"/>
                <w:color w:val="auto"/>
              </w:rPr>
            </w:pPr>
          </w:p>
        </w:tc>
        <w:tc>
          <w:tcPr>
            <w:tcW w:w="8720" w:type="dxa"/>
            <w:vAlign w:val="bottom"/>
            <w:tcBorders>
              <w:bottom w:val="single" w:sz="8" w:color="0000FF"/>
            </w:tcBorders>
            <w:gridSpan w:val="4"/>
          </w:tcPr>
          <w:p>
            <w:pPr>
              <w:spacing w:after="0" w:line="207" w:lineRule="exact"/>
              <w:rPr>
                <w:rFonts w:ascii="Times New Roman" w:cs="Times New Roman" w:eastAsia="Times New Roman" w:hAnsi="Times New Roman"/>
                <w:sz w:val="18"/>
                <w:szCs w:val="18"/>
                <w:color w:val="0000FF"/>
                <w:w w:val="99"/>
              </w:rPr>
            </w:pPr>
            <w:hyperlink w:anchor="page39">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21"/>
                <w:szCs w:val="21"/>
                <w:color w:val="auto"/>
              </w:rPr>
            </w:pPr>
          </w:p>
        </w:tc>
        <w:tc>
          <w:tcPr>
            <w:tcW w:w="8720" w:type="dxa"/>
            <w:vAlign w:val="bottom"/>
            <w:tcBorders>
              <w:bottom w:val="single" w:sz="8" w:color="0000FF"/>
            </w:tcBorders>
            <w:gridSpan w:val="4"/>
          </w:tcPr>
          <w:p>
            <w:pPr>
              <w:spacing w:after="0" w:line="207" w:lineRule="exact"/>
              <w:rPr>
                <w:rFonts w:ascii="Times New Roman" w:cs="Times New Roman" w:eastAsia="Times New Roman" w:hAnsi="Times New Roman"/>
                <w:sz w:val="18"/>
                <w:szCs w:val="18"/>
                <w:color w:val="0000FF"/>
                <w:w w:val="99"/>
              </w:rPr>
            </w:pPr>
            <w:hyperlink w:anchor="page40">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r>
      <w:tr>
        <w:trPr>
          <w:trHeight w:val="291"/>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4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101.SCH</w:t>
            </w:r>
          </w:p>
        </w:tc>
        <w:tc>
          <w:tcPr>
            <w:tcW w:w="1040" w:type="dxa"/>
            <w:vAlign w:val="bottom"/>
          </w:tcPr>
          <w:p>
            <w:pPr>
              <w:spacing w:after="0"/>
              <w:rPr>
                <w:sz w:val="23"/>
                <w:szCs w:val="23"/>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101.CAL</w:t>
            </w:r>
          </w:p>
        </w:tc>
        <w:tc>
          <w:tcPr>
            <w:tcW w:w="1040" w:type="dxa"/>
            <w:vAlign w:val="bottom"/>
          </w:tcPr>
          <w:p>
            <w:pPr>
              <w:spacing w:after="0"/>
              <w:rPr>
                <w:sz w:val="23"/>
                <w:szCs w:val="23"/>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40" w:type="dxa"/>
            <w:vAlign w:val="bottom"/>
          </w:tcPr>
          <w:p>
            <w:pPr>
              <w:spacing w:after="0"/>
              <w:rPr>
                <w:sz w:val="23"/>
                <w:szCs w:val="23"/>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101.LAB</w:t>
            </w:r>
          </w:p>
        </w:tc>
        <w:tc>
          <w:tcPr>
            <w:tcW w:w="1040" w:type="dxa"/>
            <w:vAlign w:val="bottom"/>
          </w:tcPr>
          <w:p>
            <w:pPr>
              <w:spacing w:after="0"/>
              <w:rPr>
                <w:sz w:val="23"/>
                <w:szCs w:val="23"/>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40" w:type="dxa"/>
            <w:vAlign w:val="bottom"/>
          </w:tcPr>
          <w:p>
            <w:pPr>
              <w:spacing w:after="0"/>
              <w:rPr>
                <w:sz w:val="23"/>
                <w:szCs w:val="23"/>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1360" w:hanging="832"/>
        <w:spacing w:after="0" w:line="281"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our Quarterly Report on Form 10-Q filed on August 3, 2007 (File No. 001-10716).</w:t>
      </w:r>
    </w:p>
    <w:p>
      <w:pPr>
        <w:spacing w:after="0" w:line="1" w:lineRule="exact"/>
        <w:rPr>
          <w:rFonts w:ascii="Times New Roman" w:cs="Times New Roman" w:eastAsia="Times New Roman" w:hAnsi="Times New Roman"/>
          <w:sz w:val="18"/>
          <w:szCs w:val="18"/>
          <w:color w:val="auto"/>
        </w:rPr>
      </w:pPr>
    </w:p>
    <w:p>
      <w:pPr>
        <w:ind w:left="1360" w:hanging="832"/>
        <w:spacing w:after="0" w:line="281"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our Current Report on Form 8-K filed on December 18, 2015 (File No. 001-10716).</w:t>
      </w:r>
    </w:p>
    <w:p>
      <w:pPr>
        <w:spacing w:after="0" w:line="1" w:lineRule="exact"/>
        <w:rPr>
          <w:rFonts w:ascii="Times New Roman" w:cs="Times New Roman" w:eastAsia="Times New Roman" w:hAnsi="Times New Roman"/>
          <w:sz w:val="18"/>
          <w:szCs w:val="18"/>
          <w:color w:val="auto"/>
        </w:rPr>
      </w:pPr>
    </w:p>
    <w:p>
      <w:pPr>
        <w:ind w:left="1360" w:hanging="832"/>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filed with our Current Report on Form 8-K filed on March 7, 2019 (File No. 001-10716).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00"/>
          </w:cols>
          <w:pgMar w:left="240" w:top="121" w:right="7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41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9"/>
              </w:rPr>
              <w:t>TRIMAS CORPORATION (Registrant)</w:t>
            </w:r>
          </w:p>
        </w:tc>
        <w:tc>
          <w:tcPr>
            <w:tcW w:w="4600" w:type="dxa"/>
            <w:vAlign w:val="bottom"/>
          </w:tcPr>
          <w:p>
            <w:pPr>
              <w:spacing w:after="0"/>
              <w:rPr>
                <w:sz w:val="20"/>
                <w:szCs w:val="20"/>
                <w:color w:val="auto"/>
              </w:rPr>
            </w:pPr>
          </w:p>
        </w:tc>
      </w:tr>
      <w:tr>
        <w:trPr>
          <w:trHeight w:val="567"/>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8"/>
              </w:rPr>
              <w:t>/s/ ROBERT J. ZALUPSKI</w:t>
            </w:r>
          </w:p>
        </w:tc>
      </w:tr>
      <w:tr>
        <w:trPr>
          <w:trHeight w:val="149"/>
        </w:trPr>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16"/>
        </w:trPr>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rPr>
              <w:t>Robert J. Zalupski</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2019</w:t>
            </w:r>
          </w:p>
        </w:tc>
        <w:tc>
          <w:tcPr>
            <w:tcW w:w="41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702"/>
        </w:trPr>
        <w:tc>
          <w:tcPr>
            <w:tcW w:w="2640" w:type="dxa"/>
            <w:vAlign w:val="bottom"/>
          </w:tcPr>
          <w:p>
            <w:pPr>
              <w:spacing w:after="0"/>
              <w:rPr>
                <w:sz w:val="24"/>
                <w:szCs w:val="24"/>
                <w:color w:val="auto"/>
              </w:rPr>
            </w:pPr>
          </w:p>
        </w:tc>
        <w:tc>
          <w:tcPr>
            <w:tcW w:w="41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35</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33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Thomas A. Amato</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33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J. Zalupski</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2019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Thomas A. Amato</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2019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Robert J. Zalupski</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Archives/edgar/data/842633/000110465907058776/a07-19157_1ex3d1.htm" TargetMode="External"/><Relationship Id="rId13" Type="http://schemas.openxmlformats.org/officeDocument/2006/relationships/hyperlink" Target="http://www.sec.gov/Archives/edgar/data/842633/000084263315000161/thirdamendedandrestatedbyl.htm" TargetMode="External"/><Relationship Id="rId14" Type="http://schemas.openxmlformats.org/officeDocument/2006/relationships/hyperlink" Target="http://www.sec.gov/Archives/edgar/data/842633/000084263319000025/trimasexecutiveseveranc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2019-12-28T13:39:56Z</dcterms:created>
  <dcterms:modified xsi:type="dcterms:W3CDTF">2019-12-28T13:39:56Z</dcterms:modified>
</cp:coreProperties>
</file>