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TRIMAS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7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166,665.00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81,295.00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167,183.00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9680"/>
          </w:cols>
          <w:pgMar w:left="320" w:top="111" w:right="7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beneficial ownership calculation relies on the 35,873,873 outstanding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in the Form 10-Q by the issuer on July 31, 2026, which reports share totals as of July 23,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TRIMAS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38505 WOODWARD AVENUE, SUITE 200, BLOOMFIELD HILLS, MICHIGAN, 48304.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840"/>
          </w:cols>
          <w:pgMar w:left="320" w:top="111" w:right="739" w:bottom="0" w:gutter="0" w:footer="0" w:header="0"/>
          <w:type w:val="continuous"/>
        </w:sectPr>
      </w:pPr>
    </w:p>
    <w:bookmarkStart w:id="2" w:name="page3"/>
    <w:bookmarkEnd w:id="2"/>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167,183.00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ectPr>
          <w:pgSz w:w="11900" w:h="16876"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166,665.00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81,295.00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76"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Merrill Lynch Pierce Fenner &amp; Smith, Inc., a broker dealer registered under section 15 of the Act (15 U.S.C. 78o); and U.S. Trust Co of Delaware, a corporation which holding does not exceed one percent of the reported securities.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76"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76"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Monica Yako</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2026-11-06T13:55:15Z</dcterms:created>
  <dcterms:modified xsi:type="dcterms:W3CDTF">2026-11-06T13:55:15Z</dcterms:modified>
</cp:coreProperties>
</file>