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63" w:lineRule="exact"/>
        <w:rPr>
          <w:sz w:val="24"/>
          <w:szCs w:val="24"/>
          <w:color w:val="auto"/>
        </w:rPr>
      </w:pPr>
    </w:p>
    <w:p>
      <w:pPr>
        <w:ind w:left="340"/>
        <w:spacing w:after="0"/>
        <w:rPr>
          <w:sz w:val="20"/>
          <w:szCs w:val="20"/>
          <w:color w:val="auto"/>
        </w:rPr>
      </w:pPr>
      <w:r>
        <w:rPr>
          <w:rFonts w:ascii="Arial" w:cs="Arial" w:eastAsia="Arial" w:hAnsi="Arial"/>
          <w:sz w:val="18"/>
          <w:szCs w:val="18"/>
          <w:b w:val="1"/>
          <w:bCs w:val="1"/>
          <w:color w:val="auto"/>
        </w:rPr>
        <w:t>(Mark One)</w:t>
      </w:r>
    </w:p>
    <w:p>
      <w:pPr>
        <w:spacing w:after="0" w:line="270" w:lineRule="exact"/>
        <w:rPr>
          <w:sz w:val="24"/>
          <w:szCs w:val="24"/>
          <w:color w:val="auto"/>
        </w:rPr>
      </w:pPr>
    </w:p>
    <w:p>
      <w:pPr>
        <w:ind w:left="1800" w:hanging="1049"/>
        <w:spacing w:after="0"/>
        <w:tabs>
          <w:tab w:leader="none" w:pos="180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3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2016</w:t>
      </w:r>
    </w:p>
    <w:p>
      <w:pPr>
        <w:spacing w:after="0" w:line="27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70" w:lineRule="exact"/>
        <w:rPr>
          <w:sz w:val="24"/>
          <w:szCs w:val="24"/>
          <w:color w:val="auto"/>
        </w:rPr>
      </w:pPr>
    </w:p>
    <w:p>
      <w:pPr>
        <w:ind w:left="1800" w:hanging="1049"/>
        <w:spacing w:after="0"/>
        <w:tabs>
          <w:tab w:leader="none" w:pos="180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56" w:lineRule="exact"/>
        <w:rPr>
          <w:sz w:val="24"/>
          <w:szCs w:val="24"/>
          <w:color w:val="auto"/>
        </w:rPr>
      </w:pPr>
    </w:p>
    <w:tbl>
      <w:tblPr>
        <w:tblLayout w:type="fixed"/>
        <w:tblInd w:w="3220" w:type="dxa"/>
        <w:tblCellMar>
          <w:top w:w="0" w:type="dxa"/>
          <w:left w:w="0" w:type="dxa"/>
          <w:bottom w:w="0" w:type="dxa"/>
          <w:right w:w="0" w:type="dxa"/>
        </w:tblCellMar>
      </w:tblPr>
      <w:tr>
        <w:trPr>
          <w:trHeight w:val="207"/>
        </w:trPr>
        <w:tc>
          <w:tcPr>
            <w:tcW w:w="2780" w:type="dxa"/>
            <w:vAlign w:val="bottom"/>
          </w:tcPr>
          <w:p>
            <w:pPr>
              <w:ind w:left="400"/>
              <w:spacing w:after="0"/>
              <w:rPr>
                <w:sz w:val="20"/>
                <w:szCs w:val="20"/>
                <w:color w:val="auto"/>
              </w:rPr>
            </w:pPr>
            <w:r>
              <w:rPr>
                <w:rFonts w:ascii="Arial" w:cs="Arial" w:eastAsia="Arial" w:hAnsi="Arial"/>
                <w:sz w:val="18"/>
                <w:szCs w:val="18"/>
                <w:b w:val="1"/>
                <w:bCs w:val="1"/>
                <w:color w:val="auto"/>
                <w:w w:val="91"/>
              </w:rPr>
              <w:t>For the Transition Period from</w:t>
            </w:r>
          </w:p>
        </w:tc>
        <w:tc>
          <w:tcPr>
            <w:tcW w:w="800" w:type="dxa"/>
            <w:vAlign w:val="bottom"/>
            <w:tcBorders>
              <w:bottom w:val="single" w:sz="8" w:color="auto"/>
            </w:tcBorders>
          </w:tcPr>
          <w:p>
            <w:pPr>
              <w:spacing w:after="0"/>
              <w:rPr>
                <w:sz w:val="17"/>
                <w:szCs w:val="17"/>
                <w:color w:val="auto"/>
              </w:rPr>
            </w:pPr>
          </w:p>
        </w:tc>
        <w:tc>
          <w:tcPr>
            <w:tcW w:w="160" w:type="dxa"/>
            <w:vAlign w:val="bottom"/>
          </w:tcPr>
          <w:p>
            <w:pPr>
              <w:spacing w:after="0"/>
              <w:rPr>
                <w:sz w:val="20"/>
                <w:szCs w:val="20"/>
                <w:color w:val="auto"/>
              </w:rPr>
            </w:pPr>
            <w:r>
              <w:rPr>
                <w:rFonts w:ascii="Arial" w:cs="Arial" w:eastAsia="Arial" w:hAnsi="Arial"/>
                <w:sz w:val="18"/>
                <w:szCs w:val="18"/>
                <w:b w:val="1"/>
                <w:bCs w:val="1"/>
                <w:color w:val="auto"/>
                <w:w w:val="82"/>
              </w:rPr>
              <w:t>to</w:t>
            </w:r>
          </w:p>
        </w:tc>
        <w:tc>
          <w:tcPr>
            <w:tcW w:w="7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Pr>
          <w:p>
            <w:pPr>
              <w:jc w:val="right"/>
              <w:spacing w:after="0"/>
              <w:rPr>
                <w:sz w:val="20"/>
                <w:szCs w:val="20"/>
                <w:color w:val="auto"/>
              </w:rPr>
            </w:pPr>
            <w:r>
              <w:rPr>
                <w:rFonts w:ascii="Arial" w:cs="Arial" w:eastAsia="Arial" w:hAnsi="Arial"/>
                <w:sz w:val="18"/>
                <w:szCs w:val="18"/>
                <w:b w:val="1"/>
                <w:bCs w:val="1"/>
                <w:color w:val="auto"/>
                <w:w w:val="78"/>
              </w:rPr>
              <w:t>.</w:t>
            </w:r>
          </w:p>
        </w:tc>
      </w:tr>
      <w:tr>
        <w:trPr>
          <w:trHeight w:val="345"/>
        </w:trPr>
        <w:tc>
          <w:tcPr>
            <w:tcW w:w="4500" w:type="dxa"/>
            <w:vAlign w:val="bottom"/>
            <w:gridSpan w:val="4"/>
          </w:tcPr>
          <w:p>
            <w:pPr>
              <w:jc w:val="center"/>
              <w:ind w:left="381"/>
              <w:spacing w:after="0"/>
              <w:rPr>
                <w:sz w:val="20"/>
                <w:szCs w:val="20"/>
                <w:color w:val="auto"/>
              </w:rPr>
            </w:pPr>
            <w:r>
              <w:rPr>
                <w:rFonts w:ascii="Arial" w:cs="Arial" w:eastAsia="Arial" w:hAnsi="Arial"/>
                <w:sz w:val="18"/>
                <w:szCs w:val="18"/>
                <w:b w:val="1"/>
                <w:bCs w:val="1"/>
                <w:color w:val="auto"/>
                <w:w w:val="89"/>
              </w:rPr>
              <w:t>Commission file number 001-10716</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555"/>
        </w:trPr>
        <w:tc>
          <w:tcPr>
            <w:tcW w:w="4500" w:type="dxa"/>
            <w:vAlign w:val="bottom"/>
            <w:gridSpan w:val="4"/>
          </w:tcPr>
          <w:p>
            <w:pPr>
              <w:jc w:val="center"/>
              <w:ind w:left="381"/>
              <w:spacing w:after="0"/>
              <w:rPr>
                <w:sz w:val="20"/>
                <w:szCs w:val="20"/>
                <w:color w:val="auto"/>
              </w:rPr>
            </w:pPr>
            <w:r>
              <w:rPr>
                <w:rFonts w:ascii="Arial" w:cs="Arial" w:eastAsia="Arial" w:hAnsi="Arial"/>
                <w:sz w:val="32"/>
                <w:szCs w:val="32"/>
                <w:b w:val="1"/>
                <w:bCs w:val="1"/>
                <w:color w:val="auto"/>
              </w:rPr>
              <w:t>TRIMAS CORPORATION</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63"/>
        </w:trPr>
        <w:tc>
          <w:tcPr>
            <w:tcW w:w="4500" w:type="dxa"/>
            <w:vAlign w:val="bottom"/>
            <w:gridSpan w:val="4"/>
          </w:tcPr>
          <w:p>
            <w:pPr>
              <w:jc w:val="center"/>
              <w:ind w:left="401"/>
              <w:spacing w:after="0"/>
              <w:rPr>
                <w:sz w:val="20"/>
                <w:szCs w:val="20"/>
                <w:color w:val="auto"/>
              </w:rPr>
            </w:pPr>
            <w:r>
              <w:rPr>
                <w:rFonts w:ascii="Arial" w:cs="Arial" w:eastAsia="Arial" w:hAnsi="Arial"/>
                <w:sz w:val="18"/>
                <w:szCs w:val="18"/>
                <w:color w:val="auto"/>
                <w:w w:val="90"/>
              </w:rPr>
              <w:t>(Exact name of registrant as specified in its charter)</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566"/>
        </w:trPr>
        <w:tc>
          <w:tcPr>
            <w:tcW w:w="2780" w:type="dxa"/>
            <w:vAlign w:val="bottom"/>
          </w:tcPr>
          <w:p>
            <w:pPr>
              <w:jc w:val="center"/>
              <w:ind w:right="521"/>
              <w:spacing w:after="0"/>
              <w:rPr>
                <w:sz w:val="20"/>
                <w:szCs w:val="20"/>
                <w:color w:val="auto"/>
              </w:rPr>
            </w:pPr>
            <w:r>
              <w:rPr>
                <w:rFonts w:ascii="Arial" w:cs="Arial" w:eastAsia="Arial" w:hAnsi="Arial"/>
                <w:sz w:val="18"/>
                <w:szCs w:val="18"/>
                <w:b w:val="1"/>
                <w:bCs w:val="1"/>
                <w:color w:val="auto"/>
                <w:w w:val="91"/>
              </w:rPr>
              <w:t>Delaware</w:t>
            </w:r>
          </w:p>
        </w:tc>
        <w:tc>
          <w:tcPr>
            <w:tcW w:w="1720" w:type="dxa"/>
            <w:vAlign w:val="bottom"/>
            <w:gridSpan w:val="3"/>
          </w:tcPr>
          <w:p>
            <w:pPr>
              <w:jc w:val="center"/>
              <w:ind w:left="450"/>
              <w:spacing w:after="0"/>
              <w:rPr>
                <w:sz w:val="20"/>
                <w:szCs w:val="20"/>
                <w:color w:val="auto"/>
              </w:rPr>
            </w:pPr>
            <w:r>
              <w:rPr>
                <w:rFonts w:ascii="Arial" w:cs="Arial" w:eastAsia="Arial" w:hAnsi="Arial"/>
                <w:sz w:val="18"/>
                <w:szCs w:val="18"/>
                <w:b w:val="1"/>
                <w:bCs w:val="1"/>
                <w:color w:val="auto"/>
                <w:w w:val="89"/>
              </w:rPr>
              <w:t>38-2687639</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2780" w:type="dxa"/>
            <w:vAlign w:val="bottom"/>
          </w:tcPr>
          <w:p>
            <w:pPr>
              <w:jc w:val="center"/>
              <w:ind w:right="521"/>
              <w:spacing w:after="0"/>
              <w:rPr>
                <w:sz w:val="20"/>
                <w:szCs w:val="20"/>
                <w:color w:val="auto"/>
              </w:rPr>
            </w:pPr>
            <w:r>
              <w:rPr>
                <w:rFonts w:ascii="Arial" w:cs="Arial" w:eastAsia="Arial" w:hAnsi="Arial"/>
                <w:sz w:val="18"/>
                <w:szCs w:val="18"/>
                <w:color w:val="auto"/>
                <w:w w:val="92"/>
              </w:rPr>
              <w:t>(State or other jurisdiction of</w:t>
            </w:r>
          </w:p>
        </w:tc>
        <w:tc>
          <w:tcPr>
            <w:tcW w:w="1720" w:type="dxa"/>
            <w:vAlign w:val="bottom"/>
            <w:gridSpan w:val="3"/>
          </w:tcPr>
          <w:p>
            <w:pPr>
              <w:jc w:val="center"/>
              <w:ind w:left="450"/>
              <w:spacing w:after="0"/>
              <w:rPr>
                <w:sz w:val="20"/>
                <w:szCs w:val="20"/>
                <w:color w:val="auto"/>
              </w:rPr>
            </w:pPr>
            <w:r>
              <w:rPr>
                <w:rFonts w:ascii="Arial" w:cs="Arial" w:eastAsia="Arial" w:hAnsi="Arial"/>
                <w:sz w:val="18"/>
                <w:szCs w:val="18"/>
                <w:color w:val="auto"/>
                <w:w w:val="93"/>
              </w:rPr>
              <w:t>(IRS Employer</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2780" w:type="dxa"/>
            <w:vAlign w:val="bottom"/>
          </w:tcPr>
          <w:p>
            <w:pPr>
              <w:jc w:val="center"/>
              <w:ind w:right="521"/>
              <w:spacing w:after="0"/>
              <w:rPr>
                <w:sz w:val="20"/>
                <w:szCs w:val="20"/>
                <w:color w:val="auto"/>
              </w:rPr>
            </w:pPr>
            <w:r>
              <w:rPr>
                <w:rFonts w:ascii="Arial" w:cs="Arial" w:eastAsia="Arial" w:hAnsi="Arial"/>
                <w:sz w:val="18"/>
                <w:szCs w:val="18"/>
                <w:color w:val="auto"/>
                <w:w w:val="92"/>
              </w:rPr>
              <w:t>incorporation or organization)</w:t>
            </w:r>
          </w:p>
        </w:tc>
        <w:tc>
          <w:tcPr>
            <w:tcW w:w="1820" w:type="dxa"/>
            <w:vAlign w:val="bottom"/>
            <w:gridSpan w:val="5"/>
          </w:tcPr>
          <w:p>
            <w:pPr>
              <w:jc w:val="center"/>
              <w:ind w:left="350"/>
              <w:spacing w:after="0"/>
              <w:rPr>
                <w:sz w:val="20"/>
                <w:szCs w:val="20"/>
                <w:color w:val="auto"/>
              </w:rPr>
            </w:pPr>
            <w:r>
              <w:rPr>
                <w:rFonts w:ascii="Arial" w:cs="Arial" w:eastAsia="Arial" w:hAnsi="Arial"/>
                <w:sz w:val="18"/>
                <w:szCs w:val="18"/>
                <w:color w:val="auto"/>
                <w:w w:val="95"/>
              </w:rPr>
              <w:t>Identification No.)</w:t>
            </w:r>
          </w:p>
        </w:tc>
      </w:tr>
      <w:tr>
        <w:trPr>
          <w:trHeight w:val="324"/>
        </w:trPr>
        <w:tc>
          <w:tcPr>
            <w:tcW w:w="4500" w:type="dxa"/>
            <w:vAlign w:val="bottom"/>
            <w:gridSpan w:val="4"/>
          </w:tcPr>
          <w:p>
            <w:pPr>
              <w:jc w:val="center"/>
              <w:ind w:left="401"/>
              <w:spacing w:after="0"/>
              <w:rPr>
                <w:sz w:val="20"/>
                <w:szCs w:val="20"/>
                <w:color w:val="auto"/>
              </w:rPr>
            </w:pPr>
            <w:r>
              <w:rPr>
                <w:rFonts w:ascii="Arial" w:cs="Arial" w:eastAsia="Arial" w:hAnsi="Arial"/>
                <w:sz w:val="18"/>
                <w:szCs w:val="18"/>
                <w:b w:val="1"/>
                <w:bCs w:val="1"/>
                <w:color w:val="auto"/>
                <w:w w:val="90"/>
              </w:rPr>
              <w:t>39400 Woodward Avenue, Suite 130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14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Bloomfield Hills, Michigan 48304</w:t>
      </w:r>
    </w:p>
    <w:p>
      <w:pPr>
        <w:spacing w:after="0" w:line="17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16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(248) 631-5450</w:t>
      </w:r>
    </w:p>
    <w:p>
      <w:pPr>
        <w:spacing w:after="0" w:line="17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17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27"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x No o.</w:t>
      </w:r>
    </w:p>
    <w:p>
      <w:pPr>
        <w:spacing w:after="0" w:line="127" w:lineRule="exact"/>
        <w:rPr>
          <w:sz w:val="24"/>
          <w:szCs w:val="24"/>
          <w:color w:val="auto"/>
        </w:rPr>
      </w:pPr>
    </w:p>
    <w:p>
      <w:pPr>
        <w:jc w:val="both"/>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233" w:right="239" w:bottom="1440" w:gutter="0" w:footer="0" w:header="0"/>
        </w:sectPr>
      </w:pPr>
    </w:p>
    <w:p>
      <w:pPr>
        <w:spacing w:after="0" w:line="174" w:lineRule="exact"/>
        <w:rPr>
          <w:sz w:val="24"/>
          <w:szCs w:val="24"/>
          <w:color w:val="auto"/>
        </w:rPr>
      </w:pPr>
    </w:p>
    <w:p>
      <w:pPr>
        <w:jc w:val="center"/>
        <w:ind w:left="800"/>
        <w:spacing w:after="0"/>
        <w:rPr>
          <w:sz w:val="20"/>
          <w:szCs w:val="20"/>
          <w:color w:val="auto"/>
        </w:rPr>
      </w:pPr>
      <w:r>
        <w:rPr>
          <w:rFonts w:ascii="Arial" w:cs="Arial" w:eastAsia="Arial" w:hAnsi="Arial"/>
          <w:sz w:val="16"/>
          <w:szCs w:val="16"/>
          <w:color w:val="auto"/>
        </w:rPr>
        <w:t>Large accelerated filer x</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jc w:val="center"/>
        <w:ind w:right="120"/>
        <w:spacing w:after="0"/>
        <w:rPr>
          <w:sz w:val="20"/>
          <w:szCs w:val="20"/>
          <w:color w:val="auto"/>
        </w:rPr>
      </w:pPr>
      <w:r>
        <w:rPr>
          <w:rFonts w:ascii="Arial" w:cs="Arial" w:eastAsia="Arial" w:hAnsi="Arial"/>
          <w:sz w:val="16"/>
          <w:szCs w:val="16"/>
          <w:color w:val="auto"/>
        </w:rPr>
        <w:t>Accelerated filer o</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o</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jc w:val="center"/>
        <w:ind w:right="940"/>
        <w:spacing w:after="0"/>
        <w:rPr>
          <w:sz w:val="20"/>
          <w:szCs w:val="20"/>
          <w:color w:val="auto"/>
        </w:rPr>
      </w:pPr>
      <w:r>
        <w:rPr>
          <w:rFonts w:ascii="Arial" w:cs="Arial" w:eastAsia="Arial" w:hAnsi="Arial"/>
          <w:sz w:val="16"/>
          <w:szCs w:val="16"/>
          <w:color w:val="auto"/>
        </w:rPr>
        <w:t>Smaller reporting company o</w:t>
      </w:r>
    </w:p>
    <w:p>
      <w:pPr>
        <w:spacing w:after="0" w:line="82" w:lineRule="exact"/>
        <w:rPr>
          <w:sz w:val="24"/>
          <w:szCs w:val="24"/>
          <w:color w:val="auto"/>
        </w:rPr>
      </w:pPr>
    </w:p>
    <w:p>
      <w:pPr>
        <w:sectPr>
          <w:pgSz w:w="11900" w:h="16838" w:orient="portrait"/>
          <w:cols w:equalWidth="0" w:num="4">
            <w:col w:w="2820" w:space="720"/>
            <w:col w:w="1460" w:space="720"/>
            <w:col w:w="1920" w:space="720"/>
            <w:col w:w="3060"/>
          </w:cols>
          <w:pgMar w:left="240" w:top="233" w:right="239" w:bottom="1440" w:gutter="0" w:footer="0" w:header="0"/>
          <w:type w:val="continuous"/>
        </w:sectPr>
      </w:pPr>
    </w:p>
    <w:p>
      <w:pPr>
        <w:jc w:val="center"/>
        <w:ind w:left="1700"/>
        <w:spacing w:after="0"/>
        <w:rPr>
          <w:sz w:val="20"/>
          <w:szCs w:val="20"/>
          <w:color w:val="auto"/>
        </w:rPr>
      </w:pPr>
      <w:r>
        <w:rPr>
          <w:rFonts w:ascii="Arial" w:cs="Arial" w:eastAsia="Arial" w:hAnsi="Arial"/>
          <w:sz w:val="13"/>
          <w:szCs w:val="13"/>
          <w:color w:val="auto"/>
        </w:rPr>
        <w:t>(Do not check if a</w:t>
      </w:r>
    </w:p>
    <w:p>
      <w:pPr>
        <w:jc w:val="center"/>
        <w:ind w:left="1700"/>
        <w:spacing w:after="0"/>
        <w:rPr>
          <w:sz w:val="20"/>
          <w:szCs w:val="20"/>
          <w:color w:val="auto"/>
        </w:rPr>
      </w:pPr>
      <w:r>
        <w:rPr>
          <w:rFonts w:ascii="Arial" w:cs="Arial" w:eastAsia="Arial" w:hAnsi="Arial"/>
          <w:sz w:val="11"/>
          <w:szCs w:val="11"/>
          <w:color w:val="auto"/>
        </w:rPr>
        <w:t>smaller reporting company)</w:t>
      </w:r>
    </w:p>
    <w:p>
      <w:pPr>
        <w:sectPr>
          <w:pgSz w:w="11900" w:h="16838" w:orient="portrait"/>
          <w:cols w:equalWidth="0" w:num="1">
            <w:col w:w="11420"/>
          </w:cols>
          <w:pgMar w:left="240" w:top="233" w:right="239" w:bottom="1440" w:gutter="0" w:footer="0" w:header="0"/>
          <w:type w:val="continuous"/>
        </w:sectPr>
      </w:pPr>
    </w:p>
    <w:p>
      <w:pPr>
        <w:spacing w:after="0" w:line="106" w:lineRule="exact"/>
        <w:rPr>
          <w:sz w:val="24"/>
          <w:szCs w:val="24"/>
          <w:color w:val="auto"/>
        </w:rPr>
      </w:pPr>
    </w:p>
    <w:p>
      <w:pPr>
        <w:ind w:right="2020"/>
        <w:spacing w:after="0" w:line="553" w:lineRule="auto"/>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 No x As of April 22, 2016, the number of outstanding shares of the Registrant's common stock, $0.01 par value, was 45,464,271 shares.</w:t>
      </w:r>
    </w:p>
    <w:p>
      <w:pPr>
        <w:sectPr>
          <w:pgSz w:w="11900" w:h="16838" w:orient="portrait"/>
          <w:cols w:equalWidth="0" w:num="1">
            <w:col w:w="11420"/>
          </w:cols>
          <w:pgMar w:left="240" w:top="233"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2100" w:type="dxa"/>
            <w:vAlign w:val="bottom"/>
            <w:gridSpan w:val="5"/>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80"/>
        </w:trPr>
        <w:tc>
          <w:tcPr>
            <w:tcW w:w="1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160" w:type="dxa"/>
            <w:vAlign w:val="bottom"/>
            <w:gridSpan w:val="13"/>
          </w:tcPr>
          <w:p>
            <w:pPr>
              <w:jc w:val="center"/>
              <w:ind w:right="3300"/>
              <w:spacing w:after="0"/>
              <w:rPr>
                <w:sz w:val="20"/>
                <w:szCs w:val="20"/>
                <w:color w:val="auto"/>
              </w:rPr>
            </w:pPr>
            <w:r>
              <w:rPr>
                <w:rFonts w:ascii="Arial" w:cs="Arial" w:eastAsia="Arial" w:hAnsi="Arial"/>
                <w:sz w:val="18"/>
                <w:szCs w:val="18"/>
                <w:b w:val="1"/>
                <w:bCs w:val="1"/>
                <w:color w:val="auto"/>
                <w:w w:val="95"/>
              </w:rPr>
              <w:t>TriMas Corporation</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8"/>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0" w:type="dxa"/>
            <w:vAlign w:val="bottom"/>
            <w:gridSpan w:val="11"/>
          </w:tcPr>
          <w:p>
            <w:pPr>
              <w:jc w:val="center"/>
              <w:ind w:right="3840"/>
              <w:spacing w:after="0"/>
              <w:rPr>
                <w:sz w:val="20"/>
                <w:szCs w:val="20"/>
                <w:color w:val="auto"/>
              </w:rPr>
            </w:pPr>
            <w:r>
              <w:rPr>
                <w:rFonts w:ascii="Arial" w:cs="Arial" w:eastAsia="Arial" w:hAnsi="Arial"/>
                <w:sz w:val="18"/>
                <w:szCs w:val="18"/>
                <w:b w:val="1"/>
                <w:bCs w:val="1"/>
                <w:color w:val="auto"/>
                <w:w w:val="93"/>
              </w:rPr>
              <w:t>Index</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9"/>
        </w:trPr>
        <w:tc>
          <w:tcPr>
            <w:tcW w:w="1100" w:type="dxa"/>
            <w:vAlign w:val="bottom"/>
          </w:tcPr>
          <w:p>
            <w:pPr>
              <w:spacing w:after="0"/>
              <w:rPr>
                <w:sz w:val="24"/>
                <w:szCs w:val="24"/>
                <w:color w:val="auto"/>
              </w:rPr>
            </w:pPr>
          </w:p>
        </w:tc>
        <w:tc>
          <w:tcPr>
            <w:tcW w:w="1000" w:type="dxa"/>
            <w:vAlign w:val="bottom"/>
            <w:gridSpan w:val="4"/>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w:t>
              </w:r>
            </w:hyperlink>
          </w:p>
        </w:tc>
        <w:tc>
          <w:tcPr>
            <w:tcW w:w="7840" w:type="dxa"/>
            <w:vAlign w:val="bottom"/>
            <w:gridSpan w:val="27"/>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Financial Information</w:t>
              </w:r>
            </w:hyperlink>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1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80"/>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920" w:type="dxa"/>
            <w:vAlign w:val="bottom"/>
            <w:gridSpan w:val="2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Forward-Looking Statements</w:t>
              </w:r>
            </w:hyperlink>
          </w:p>
        </w:tc>
        <w:tc>
          <w:tcPr>
            <w:tcW w:w="380" w:type="dxa"/>
            <w:vAlign w:val="bottom"/>
            <w:gridSpan w:val="3"/>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2</w:t>
              </w:r>
            </w:hyperlink>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480"/>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gridSpan w:val="5"/>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6920" w:type="dxa"/>
            <w:vAlign w:val="bottom"/>
            <w:gridSpan w:val="22"/>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Financial Statements</w:t>
              </w:r>
            </w:hyperlink>
          </w:p>
        </w:tc>
        <w:tc>
          <w:tcPr>
            <w:tcW w:w="380" w:type="dxa"/>
            <w:vAlign w:val="bottom"/>
            <w:gridSpan w:val="3"/>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3</w:t>
              </w:r>
            </w:hyperlink>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480"/>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36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Balance Sheet as of March 31, 2016 and December 31, 2015</w:t>
              </w:r>
            </w:hyperlink>
          </w:p>
        </w:tc>
        <w:tc>
          <w:tcPr>
            <w:tcW w:w="1560" w:type="dxa"/>
            <w:vAlign w:val="bottom"/>
            <w:gridSpan w:val="6"/>
          </w:tcPr>
          <w:p>
            <w:pPr>
              <w:spacing w:after="0"/>
              <w:rPr>
                <w:sz w:val="24"/>
                <w:szCs w:val="24"/>
                <w:color w:val="auto"/>
              </w:rPr>
            </w:pPr>
          </w:p>
        </w:tc>
        <w:tc>
          <w:tcPr>
            <w:tcW w:w="28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3</w:t>
              </w:r>
            </w:hyperlink>
          </w:p>
        </w:tc>
      </w:tr>
      <w:tr>
        <w:trPr>
          <w:trHeight w:val="480"/>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80" w:type="dxa"/>
            <w:vAlign w:val="bottom"/>
            <w:tcBorders>
              <w:bottom w:val="single" w:sz="8" w:color="0000EE"/>
            </w:tcBorders>
            <w:gridSpan w:val="19"/>
          </w:tcPr>
          <w:p>
            <w:pPr>
              <w:spacing w:after="0"/>
              <w:rPr>
                <w:rFonts w:ascii="Arial" w:cs="Arial" w:eastAsia="Arial" w:hAnsi="Arial"/>
                <w:sz w:val="18"/>
                <w:szCs w:val="18"/>
                <w:color w:val="0000EE"/>
                <w:w w:val="90"/>
              </w:rPr>
            </w:pPr>
            <w:hyperlink w:anchor="page5">
              <w:r>
                <w:rPr>
                  <w:rFonts w:ascii="Arial" w:cs="Arial" w:eastAsia="Arial" w:hAnsi="Arial"/>
                  <w:sz w:val="18"/>
                  <w:szCs w:val="18"/>
                  <w:color w:val="0000EE"/>
                  <w:w w:val="90"/>
                </w:rPr>
                <w:t>Consolidated Statement of Income for the Three Months Ended March 31, 2016 and 2015</w:t>
              </w:r>
            </w:hyperlink>
          </w:p>
        </w:tc>
        <w:tc>
          <w:tcPr>
            <w:tcW w:w="440" w:type="dxa"/>
            <w:vAlign w:val="bottom"/>
            <w:gridSpan w:val="3"/>
          </w:tcPr>
          <w:p>
            <w:pPr>
              <w:spacing w:after="0"/>
              <w:rPr>
                <w:sz w:val="24"/>
                <w:szCs w:val="24"/>
                <w:color w:val="auto"/>
              </w:rPr>
            </w:pPr>
          </w:p>
        </w:tc>
        <w:tc>
          <w:tcPr>
            <w:tcW w:w="28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4</w:t>
              </w:r>
            </w:hyperlink>
          </w:p>
        </w:tc>
      </w:tr>
      <w:tr>
        <w:trPr>
          <w:trHeight w:val="480"/>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540" w:type="dxa"/>
            <w:vAlign w:val="bottom"/>
            <w:tcBorders>
              <w:bottom w:val="single" w:sz="8" w:color="0000EE"/>
            </w:tcBorders>
            <w:gridSpan w:val="20"/>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Consolidated Statement of Comprehensive Income for the Three Months Ended March 31,</w:t>
              </w:r>
            </w:hyperlink>
          </w:p>
        </w:tc>
        <w:tc>
          <w:tcPr>
            <w:tcW w:w="380" w:type="dxa"/>
            <w:vAlign w:val="bottom"/>
            <w:gridSpan w:val="2"/>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920" w:type="dxa"/>
            <w:vAlign w:val="bottom"/>
            <w:gridSpan w:val="22"/>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2016 and 2015</w:t>
              </w:r>
            </w:hyperlink>
          </w:p>
        </w:tc>
        <w:tc>
          <w:tcPr>
            <w:tcW w:w="380" w:type="dxa"/>
            <w:vAlign w:val="bottom"/>
            <w:gridSpan w:val="3"/>
          </w:tcPr>
          <w:p>
            <w:pPr>
              <w:jc w:val="right"/>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5</w:t>
              </w:r>
            </w:hyperlink>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480"/>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920" w:type="dxa"/>
            <w:vAlign w:val="bottom"/>
            <w:gridSpan w:val="22"/>
          </w:tcPr>
          <w:p>
            <w:pPr>
              <w:spacing w:after="0"/>
              <w:rPr>
                <w:rFonts w:ascii="Arial" w:cs="Arial" w:eastAsia="Arial" w:hAnsi="Arial"/>
                <w:sz w:val="18"/>
                <w:szCs w:val="18"/>
                <w:color w:val="0000EE"/>
                <w:w w:val="97"/>
              </w:rPr>
            </w:pPr>
            <w:hyperlink w:anchor="page7">
              <w:r>
                <w:rPr>
                  <w:rFonts w:ascii="Arial" w:cs="Arial" w:eastAsia="Arial" w:hAnsi="Arial"/>
                  <w:sz w:val="18"/>
                  <w:szCs w:val="18"/>
                  <w:color w:val="0000EE"/>
                  <w:w w:val="97"/>
                </w:rPr>
                <w:t>Consolidated Statement of Cash Flows for the Three Months Ended March 31, 2016 and</w:t>
              </w:r>
            </w:hyperlink>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7">
              <w:r>
                <w:rPr>
                  <w:rFonts w:ascii="Arial" w:cs="Arial" w:eastAsia="Arial" w:hAnsi="Arial"/>
                  <w:sz w:val="18"/>
                  <w:szCs w:val="18"/>
                  <w:color w:val="0000EE"/>
                  <w:w w:val="84"/>
                </w:rPr>
                <w:t>2015</w:t>
              </w:r>
            </w:hyperlink>
          </w:p>
        </w:tc>
        <w:tc>
          <w:tcPr>
            <w:tcW w:w="1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11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20" w:type="dxa"/>
            <w:vAlign w:val="bottom"/>
            <w:tcBorders>
              <w:top w:val="single" w:sz="8" w:color="0000EE"/>
            </w:tcBorders>
          </w:tcPr>
          <w:p>
            <w:pPr>
              <w:spacing w:after="0"/>
              <w:rPr>
                <w:sz w:val="17"/>
                <w:szCs w:val="17"/>
                <w:color w:val="auto"/>
              </w:rPr>
            </w:pPr>
          </w:p>
        </w:tc>
        <w:tc>
          <w:tcPr>
            <w:tcW w:w="10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gridSpan w:val="2"/>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7">
              <w:r>
                <w:rPr>
                  <w:rFonts w:ascii="Arial" w:cs="Arial" w:eastAsia="Arial" w:hAnsi="Arial"/>
                  <w:sz w:val="18"/>
                  <w:szCs w:val="18"/>
                  <w:color w:val="0000EE"/>
                  <w:w w:val="79"/>
                </w:rPr>
                <w:t>6</w:t>
              </w:r>
            </w:hyperlink>
          </w:p>
        </w:tc>
      </w:tr>
      <w:tr>
        <w:trPr>
          <w:trHeight w:val="480"/>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720" w:type="dxa"/>
            <w:vAlign w:val="bottom"/>
            <w:tcBorders>
              <w:bottom w:val="single" w:sz="8" w:color="0000EE"/>
            </w:tcBorders>
            <w:gridSpan w:val="21"/>
          </w:tcPr>
          <w:p>
            <w:pPr>
              <w:spacing w:after="0"/>
              <w:rPr>
                <w:rFonts w:ascii="Arial" w:cs="Arial" w:eastAsia="Arial" w:hAnsi="Arial"/>
                <w:sz w:val="18"/>
                <w:szCs w:val="18"/>
                <w:color w:val="0000EE"/>
                <w:w w:val="90"/>
              </w:rPr>
            </w:pPr>
            <w:hyperlink w:anchor="page8">
              <w:r>
                <w:rPr>
                  <w:rFonts w:ascii="Arial" w:cs="Arial" w:eastAsia="Arial" w:hAnsi="Arial"/>
                  <w:sz w:val="18"/>
                  <w:szCs w:val="18"/>
                  <w:color w:val="0000EE"/>
                  <w:w w:val="90"/>
                </w:rPr>
                <w:t>Consolidated Statement of Shareholders' Equity for the Three Months Ended March 31, 2016</w:t>
              </w:r>
            </w:hyperlink>
          </w:p>
        </w:tc>
        <w:tc>
          <w:tcPr>
            <w:tcW w:w="200" w:type="dxa"/>
            <w:vAlign w:val="bottom"/>
          </w:tcPr>
          <w:p>
            <w:pPr>
              <w:spacing w:after="0"/>
              <w:rPr>
                <w:sz w:val="24"/>
                <w:szCs w:val="24"/>
                <w:color w:val="auto"/>
              </w:rPr>
            </w:pPr>
          </w:p>
        </w:tc>
        <w:tc>
          <w:tcPr>
            <w:tcW w:w="28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8">
              <w:r>
                <w:rPr>
                  <w:rFonts w:ascii="Arial" w:cs="Arial" w:eastAsia="Arial" w:hAnsi="Arial"/>
                  <w:sz w:val="18"/>
                  <w:szCs w:val="18"/>
                  <w:color w:val="0000EE"/>
                  <w:w w:val="79"/>
                </w:rPr>
                <w:t>7</w:t>
              </w:r>
            </w:hyperlink>
          </w:p>
        </w:tc>
      </w:tr>
      <w:tr>
        <w:trPr>
          <w:trHeight w:val="480"/>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920" w:type="dxa"/>
            <w:vAlign w:val="bottom"/>
            <w:gridSpan w:val="22"/>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Notes to Consolidated Financial Statements</w:t>
              </w:r>
            </w:hyperlink>
          </w:p>
        </w:tc>
        <w:tc>
          <w:tcPr>
            <w:tcW w:w="380" w:type="dxa"/>
            <w:vAlign w:val="bottom"/>
            <w:gridSpan w:val="3"/>
          </w:tcPr>
          <w:p>
            <w:pPr>
              <w:jc w:val="right"/>
              <w:spacing w:after="0"/>
              <w:rPr>
                <w:rFonts w:ascii="Arial" w:cs="Arial" w:eastAsia="Arial" w:hAnsi="Arial"/>
                <w:sz w:val="18"/>
                <w:szCs w:val="18"/>
                <w:color w:val="0000EE"/>
              </w:rPr>
            </w:pPr>
            <w:hyperlink w:anchor="page9">
              <w:r>
                <w:rPr>
                  <w:rFonts w:ascii="Arial" w:cs="Arial" w:eastAsia="Arial" w:hAnsi="Arial"/>
                  <w:sz w:val="18"/>
                  <w:szCs w:val="18"/>
                  <w:color w:val="0000EE"/>
                </w:rPr>
                <w:t>8</w:t>
              </w:r>
            </w:hyperlink>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480"/>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gridSpan w:val="5"/>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Item 2.</w:t>
              </w:r>
            </w:hyperlink>
          </w:p>
        </w:tc>
        <w:tc>
          <w:tcPr>
            <w:tcW w:w="6920" w:type="dxa"/>
            <w:vAlign w:val="bottom"/>
            <w:gridSpan w:val="22"/>
          </w:tcPr>
          <w:p>
            <w:pPr>
              <w:spacing w:after="0"/>
              <w:rPr>
                <w:rFonts w:ascii="Arial" w:cs="Arial" w:eastAsia="Arial" w:hAnsi="Arial"/>
                <w:sz w:val="18"/>
                <w:szCs w:val="18"/>
                <w:color w:val="0000EE"/>
                <w:w w:val="97"/>
              </w:rPr>
            </w:pPr>
            <w:hyperlink w:anchor="page22">
              <w:r>
                <w:rPr>
                  <w:rFonts w:ascii="Arial" w:cs="Arial" w:eastAsia="Arial" w:hAnsi="Arial"/>
                  <w:sz w:val="18"/>
                  <w:szCs w:val="18"/>
                  <w:color w:val="0000EE"/>
                  <w:w w:val="97"/>
                </w:rPr>
                <w:t>Management's Discussion and Analysis of Financial Condition and Results of Operations</w:t>
              </w:r>
            </w:hyperlink>
          </w:p>
        </w:tc>
        <w:tc>
          <w:tcPr>
            <w:tcW w:w="380" w:type="dxa"/>
            <w:vAlign w:val="bottom"/>
            <w:gridSpan w:val="3"/>
          </w:tcPr>
          <w:p>
            <w:pPr>
              <w:jc w:val="right"/>
              <w:spacing w:after="0"/>
              <w:rPr>
                <w:rFonts w:ascii="Arial" w:cs="Arial" w:eastAsia="Arial" w:hAnsi="Arial"/>
                <w:sz w:val="18"/>
                <w:szCs w:val="18"/>
                <w:color w:val="0000EE"/>
              </w:rPr>
            </w:pPr>
            <w:hyperlink w:anchor="page22">
              <w:r>
                <w:rPr>
                  <w:rFonts w:ascii="Arial" w:cs="Arial" w:eastAsia="Arial" w:hAnsi="Arial"/>
                  <w:sz w:val="18"/>
                  <w:szCs w:val="18"/>
                  <w:color w:val="0000EE"/>
                </w:rPr>
                <w:t>21</w:t>
              </w:r>
            </w:hyperlink>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9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100" w:type="dxa"/>
            <w:vAlign w:val="bottom"/>
            <w:gridSpan w:val="3"/>
            <w:shd w:val="clear" w:color="auto" w:fill="0000EE"/>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80"/>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gridSpan w:val="2"/>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Item 3.</w:t>
              </w:r>
            </w:hyperlink>
          </w:p>
        </w:tc>
        <w:tc>
          <w:tcPr>
            <w:tcW w:w="280" w:type="dxa"/>
            <w:vAlign w:val="bottom"/>
            <w:gridSpan w:val="3"/>
          </w:tcPr>
          <w:p>
            <w:pPr>
              <w:spacing w:after="0"/>
              <w:rPr>
                <w:sz w:val="24"/>
                <w:szCs w:val="24"/>
                <w:color w:val="auto"/>
              </w:rPr>
            </w:pPr>
          </w:p>
        </w:tc>
        <w:tc>
          <w:tcPr>
            <w:tcW w:w="6920" w:type="dxa"/>
            <w:vAlign w:val="bottom"/>
            <w:gridSpan w:val="22"/>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Quantitative and Qualitative Disclosures about Market Risk</w:t>
              </w:r>
            </w:hyperlink>
          </w:p>
        </w:tc>
        <w:tc>
          <w:tcPr>
            <w:tcW w:w="380" w:type="dxa"/>
            <w:vAlign w:val="bottom"/>
            <w:gridSpan w:val="3"/>
          </w:tcPr>
          <w:p>
            <w:pPr>
              <w:jc w:val="right"/>
              <w:spacing w:after="0"/>
              <w:rPr>
                <w:rFonts w:ascii="Arial" w:cs="Arial" w:eastAsia="Arial" w:hAnsi="Arial"/>
                <w:sz w:val="18"/>
                <w:szCs w:val="18"/>
                <w:color w:val="0000EE"/>
              </w:rPr>
            </w:pPr>
            <w:hyperlink w:anchor="page34">
              <w:r>
                <w:rPr>
                  <w:rFonts w:ascii="Arial" w:cs="Arial" w:eastAsia="Arial" w:hAnsi="Arial"/>
                  <w:sz w:val="18"/>
                  <w:szCs w:val="18"/>
                  <w:color w:val="0000EE"/>
                </w:rPr>
                <w:t>33</w:t>
              </w:r>
            </w:hyperlink>
          </w:p>
        </w:tc>
      </w:tr>
      <w:tr>
        <w:trPr>
          <w:trHeight w:val="480"/>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Borders>
              <w:top w:val="single" w:sz="8" w:color="0000EE"/>
            </w:tcBorders>
            <w:gridSpan w:val="2"/>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Item 4.</w:t>
              </w:r>
            </w:hyperlink>
          </w:p>
        </w:tc>
        <w:tc>
          <w:tcPr>
            <w:tcW w:w="280" w:type="dxa"/>
            <w:vAlign w:val="bottom"/>
            <w:gridSpan w:val="3"/>
          </w:tcPr>
          <w:p>
            <w:pPr>
              <w:spacing w:after="0"/>
              <w:rPr>
                <w:sz w:val="24"/>
                <w:szCs w:val="24"/>
                <w:color w:val="auto"/>
              </w:rPr>
            </w:pPr>
          </w:p>
        </w:tc>
        <w:tc>
          <w:tcPr>
            <w:tcW w:w="4300" w:type="dxa"/>
            <w:vAlign w:val="bottom"/>
            <w:tcBorders>
              <w:top w:val="single" w:sz="8" w:color="0000EE"/>
            </w:tcBorders>
            <w:gridSpan w:val="14"/>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Controls and Procedures</w:t>
              </w:r>
            </w:hyperlink>
          </w:p>
        </w:tc>
        <w:tc>
          <w:tcPr>
            <w:tcW w:w="2620" w:type="dxa"/>
            <w:vAlign w:val="bottom"/>
            <w:gridSpan w:val="8"/>
          </w:tcPr>
          <w:p>
            <w:pPr>
              <w:spacing w:after="0"/>
              <w:rPr>
                <w:sz w:val="24"/>
                <w:szCs w:val="24"/>
                <w:color w:val="auto"/>
              </w:rPr>
            </w:pPr>
          </w:p>
        </w:tc>
        <w:tc>
          <w:tcPr>
            <w:tcW w:w="380" w:type="dxa"/>
            <w:vAlign w:val="bottom"/>
            <w:gridSpan w:val="3"/>
          </w:tcPr>
          <w:p>
            <w:pPr>
              <w:jc w:val="right"/>
              <w:spacing w:after="0"/>
              <w:rPr>
                <w:rFonts w:ascii="Arial" w:cs="Arial" w:eastAsia="Arial" w:hAnsi="Arial"/>
                <w:sz w:val="18"/>
                <w:szCs w:val="18"/>
                <w:color w:val="0000EE"/>
              </w:rPr>
            </w:pPr>
            <w:hyperlink w:anchor="page34">
              <w:r>
                <w:rPr>
                  <w:rFonts w:ascii="Arial" w:cs="Arial" w:eastAsia="Arial" w:hAnsi="Arial"/>
                  <w:sz w:val="18"/>
                  <w:szCs w:val="18"/>
                  <w:color w:val="0000EE"/>
                </w:rPr>
                <w:t>33</w:t>
              </w:r>
            </w:hyperlink>
          </w:p>
        </w:tc>
      </w:tr>
      <w:tr>
        <w:trPr>
          <w:trHeight w:val="20"/>
        </w:trPr>
        <w:tc>
          <w:tcPr>
            <w:tcW w:w="110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2580" w:type="dxa"/>
            <w:vAlign w:val="bottom"/>
            <w:gridSpan w:val="7"/>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480"/>
        </w:trPr>
        <w:tc>
          <w:tcPr>
            <w:tcW w:w="1100" w:type="dxa"/>
            <w:vAlign w:val="bottom"/>
          </w:tcPr>
          <w:p>
            <w:pPr>
              <w:spacing w:after="0"/>
              <w:rPr>
                <w:sz w:val="24"/>
                <w:szCs w:val="24"/>
                <w:color w:val="auto"/>
              </w:rPr>
            </w:pPr>
          </w:p>
        </w:tc>
        <w:tc>
          <w:tcPr>
            <w:tcW w:w="580" w:type="dxa"/>
            <w:vAlign w:val="bottom"/>
            <w:tcBorders>
              <w:bottom w:val="single" w:sz="8" w:color="0000EE"/>
            </w:tcBorders>
            <w:gridSpan w:val="3"/>
          </w:tcPr>
          <w:p>
            <w:pPr>
              <w:spacing w:after="0"/>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Part II.</w:t>
              </w:r>
            </w:hyperlink>
          </w:p>
        </w:tc>
        <w:tc>
          <w:tcPr>
            <w:tcW w:w="420" w:type="dxa"/>
            <w:vAlign w:val="bottom"/>
          </w:tcPr>
          <w:p>
            <w:pPr>
              <w:spacing w:after="0"/>
              <w:rPr>
                <w:sz w:val="24"/>
                <w:szCs w:val="24"/>
                <w:color w:val="auto"/>
              </w:rPr>
            </w:pPr>
          </w:p>
        </w:tc>
        <w:tc>
          <w:tcPr>
            <w:tcW w:w="1440" w:type="dxa"/>
            <w:vAlign w:val="bottom"/>
            <w:tcBorders>
              <w:bottom w:val="single" w:sz="8" w:color="0000EE"/>
            </w:tcBorders>
            <w:gridSpan w:val="7"/>
          </w:tcPr>
          <w:p>
            <w:pPr>
              <w:spacing w:after="0"/>
              <w:rPr>
                <w:rFonts w:ascii="Arial" w:cs="Arial" w:eastAsia="Arial" w:hAnsi="Arial"/>
                <w:sz w:val="18"/>
                <w:szCs w:val="18"/>
                <w:b w:val="1"/>
                <w:bCs w:val="1"/>
                <w:color w:val="0000EE"/>
                <w:w w:val="93"/>
              </w:rPr>
            </w:pPr>
            <w:hyperlink w:anchor="page35">
              <w:r>
                <w:rPr>
                  <w:rFonts w:ascii="Arial" w:cs="Arial" w:eastAsia="Arial" w:hAnsi="Arial"/>
                  <w:sz w:val="18"/>
                  <w:szCs w:val="18"/>
                  <w:b w:val="1"/>
                  <w:bCs w:val="1"/>
                  <w:color w:val="0000EE"/>
                  <w:w w:val="93"/>
                </w:rPr>
                <w:t>Other Information</w:t>
              </w:r>
            </w:hyperlink>
          </w:p>
        </w:tc>
        <w:tc>
          <w:tcPr>
            <w:tcW w:w="6400" w:type="dxa"/>
            <w:vAlign w:val="bottom"/>
            <w:gridSpan w:val="20"/>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80"/>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gridSpan w:val="2"/>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Item 1.</w:t>
              </w:r>
            </w:hyperlink>
          </w:p>
        </w:tc>
        <w:tc>
          <w:tcPr>
            <w:tcW w:w="280" w:type="dxa"/>
            <w:vAlign w:val="bottom"/>
            <w:gridSpan w:val="3"/>
          </w:tcPr>
          <w:p>
            <w:pPr>
              <w:spacing w:after="0"/>
              <w:rPr>
                <w:sz w:val="24"/>
                <w:szCs w:val="24"/>
                <w:color w:val="auto"/>
              </w:rPr>
            </w:pPr>
          </w:p>
        </w:tc>
        <w:tc>
          <w:tcPr>
            <w:tcW w:w="6920" w:type="dxa"/>
            <w:vAlign w:val="bottom"/>
            <w:gridSpan w:val="22"/>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Legal Proceedings</w:t>
              </w:r>
            </w:hyperlink>
          </w:p>
        </w:tc>
        <w:tc>
          <w:tcPr>
            <w:tcW w:w="380" w:type="dxa"/>
            <w:vAlign w:val="bottom"/>
            <w:gridSpan w:val="3"/>
          </w:tcPr>
          <w:p>
            <w:pPr>
              <w:jc w:val="right"/>
              <w:spacing w:after="0"/>
              <w:rPr>
                <w:rFonts w:ascii="Arial" w:cs="Arial" w:eastAsia="Arial" w:hAnsi="Arial"/>
                <w:sz w:val="18"/>
                <w:szCs w:val="18"/>
                <w:color w:val="0000EE"/>
              </w:rPr>
            </w:pPr>
            <w:hyperlink w:anchor="page35">
              <w:r>
                <w:rPr>
                  <w:rFonts w:ascii="Arial" w:cs="Arial" w:eastAsia="Arial" w:hAnsi="Arial"/>
                  <w:sz w:val="18"/>
                  <w:szCs w:val="18"/>
                  <w:color w:val="0000EE"/>
                </w:rPr>
                <w:t>34</w:t>
              </w:r>
            </w:hyperlink>
          </w:p>
        </w:tc>
      </w:tr>
      <w:tr>
        <w:trPr>
          <w:trHeight w:val="480"/>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Borders>
              <w:top w:val="single" w:sz="8" w:color="0000EE"/>
            </w:tcBorders>
            <w:gridSpan w:val="2"/>
          </w:tcPr>
          <w:p>
            <w:pPr>
              <w:spacing w:after="0"/>
              <w:rPr>
                <w:rFonts w:ascii="Arial" w:cs="Arial" w:eastAsia="Arial" w:hAnsi="Arial"/>
                <w:sz w:val="18"/>
                <w:szCs w:val="18"/>
                <w:color w:val="0000EE"/>
                <w:w w:val="92"/>
              </w:rPr>
            </w:pPr>
            <w:hyperlink w:anchor="page35">
              <w:r>
                <w:rPr>
                  <w:rFonts w:ascii="Arial" w:cs="Arial" w:eastAsia="Arial" w:hAnsi="Arial"/>
                  <w:sz w:val="18"/>
                  <w:szCs w:val="18"/>
                  <w:color w:val="0000EE"/>
                  <w:w w:val="92"/>
                </w:rPr>
                <w:t>Item 1A.</w:t>
              </w:r>
            </w:hyperlink>
          </w:p>
        </w:tc>
        <w:tc>
          <w:tcPr>
            <w:tcW w:w="280" w:type="dxa"/>
            <w:vAlign w:val="bottom"/>
            <w:gridSpan w:val="3"/>
          </w:tcPr>
          <w:p>
            <w:pPr>
              <w:spacing w:after="0"/>
              <w:rPr>
                <w:sz w:val="24"/>
                <w:szCs w:val="24"/>
                <w:color w:val="auto"/>
              </w:rPr>
            </w:pPr>
          </w:p>
        </w:tc>
        <w:tc>
          <w:tcPr>
            <w:tcW w:w="900" w:type="dxa"/>
            <w:vAlign w:val="bottom"/>
            <w:tcBorders>
              <w:top w:val="single" w:sz="8" w:color="0000EE"/>
            </w:tcBorders>
            <w:gridSpan w:val="5"/>
          </w:tcPr>
          <w:p>
            <w:pPr>
              <w:spacing w:after="0"/>
              <w:rPr>
                <w:rFonts w:ascii="Arial" w:cs="Arial" w:eastAsia="Arial" w:hAnsi="Arial"/>
                <w:sz w:val="18"/>
                <w:szCs w:val="18"/>
                <w:color w:val="0000EE"/>
                <w:w w:val="87"/>
              </w:rPr>
            </w:pPr>
            <w:hyperlink w:anchor="page35">
              <w:r>
                <w:rPr>
                  <w:rFonts w:ascii="Arial" w:cs="Arial" w:eastAsia="Arial" w:hAnsi="Arial"/>
                  <w:sz w:val="18"/>
                  <w:szCs w:val="18"/>
                  <w:color w:val="0000EE"/>
                  <w:w w:val="87"/>
                </w:rPr>
                <w:t>Risk Factors</w:t>
              </w:r>
            </w:hyperlink>
          </w:p>
        </w:tc>
        <w:tc>
          <w:tcPr>
            <w:tcW w:w="420" w:type="dxa"/>
            <w:vAlign w:val="bottom"/>
            <w:tcBorders>
              <w:top w:val="single" w:sz="8" w:color="0000EE"/>
            </w:tcBorders>
            <w:gridSpan w:val="3"/>
          </w:tcPr>
          <w:p>
            <w:pPr>
              <w:spacing w:after="0"/>
              <w:rPr>
                <w:sz w:val="24"/>
                <w:szCs w:val="24"/>
                <w:color w:val="auto"/>
              </w:rPr>
            </w:pPr>
          </w:p>
        </w:tc>
        <w:tc>
          <w:tcPr>
            <w:tcW w:w="5600" w:type="dxa"/>
            <w:vAlign w:val="bottom"/>
            <w:gridSpan w:val="14"/>
          </w:tcPr>
          <w:p>
            <w:pPr>
              <w:spacing w:after="0"/>
              <w:rPr>
                <w:sz w:val="24"/>
                <w:szCs w:val="24"/>
                <w:color w:val="auto"/>
              </w:rPr>
            </w:pPr>
          </w:p>
        </w:tc>
        <w:tc>
          <w:tcPr>
            <w:tcW w:w="380" w:type="dxa"/>
            <w:vAlign w:val="bottom"/>
            <w:gridSpan w:val="3"/>
          </w:tcPr>
          <w:p>
            <w:pPr>
              <w:jc w:val="right"/>
              <w:spacing w:after="0"/>
              <w:rPr>
                <w:rFonts w:ascii="Arial" w:cs="Arial" w:eastAsia="Arial" w:hAnsi="Arial"/>
                <w:sz w:val="18"/>
                <w:szCs w:val="18"/>
                <w:color w:val="0000EE"/>
              </w:rPr>
            </w:pPr>
            <w:hyperlink w:anchor="page35">
              <w:r>
                <w:rPr>
                  <w:rFonts w:ascii="Arial" w:cs="Arial" w:eastAsia="Arial" w:hAnsi="Arial"/>
                  <w:sz w:val="18"/>
                  <w:szCs w:val="18"/>
                  <w:color w:val="0000EE"/>
                </w:rPr>
                <w:t>34</w:t>
              </w:r>
            </w:hyperlink>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2580" w:type="dxa"/>
            <w:vAlign w:val="bottom"/>
            <w:gridSpan w:val="7"/>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80"/>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gridSpan w:val="2"/>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Item 2.</w:t>
              </w:r>
            </w:hyperlink>
          </w:p>
        </w:tc>
        <w:tc>
          <w:tcPr>
            <w:tcW w:w="280" w:type="dxa"/>
            <w:vAlign w:val="bottom"/>
            <w:gridSpan w:val="3"/>
          </w:tcPr>
          <w:p>
            <w:pPr>
              <w:spacing w:after="0"/>
              <w:rPr>
                <w:sz w:val="24"/>
                <w:szCs w:val="24"/>
                <w:color w:val="auto"/>
              </w:rPr>
            </w:pPr>
          </w:p>
        </w:tc>
        <w:tc>
          <w:tcPr>
            <w:tcW w:w="6920" w:type="dxa"/>
            <w:vAlign w:val="bottom"/>
            <w:gridSpan w:val="22"/>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Unregistered Sales of Equity Securities and Use of Proceeds</w:t>
              </w:r>
            </w:hyperlink>
          </w:p>
        </w:tc>
        <w:tc>
          <w:tcPr>
            <w:tcW w:w="380" w:type="dxa"/>
            <w:vAlign w:val="bottom"/>
            <w:gridSpan w:val="3"/>
          </w:tcPr>
          <w:p>
            <w:pPr>
              <w:jc w:val="right"/>
              <w:spacing w:after="0"/>
              <w:rPr>
                <w:rFonts w:ascii="Arial" w:cs="Arial" w:eastAsia="Arial" w:hAnsi="Arial"/>
                <w:sz w:val="18"/>
                <w:szCs w:val="18"/>
                <w:color w:val="0000EE"/>
              </w:rPr>
            </w:pPr>
            <w:hyperlink w:anchor="page35">
              <w:r>
                <w:rPr>
                  <w:rFonts w:ascii="Arial" w:cs="Arial" w:eastAsia="Arial" w:hAnsi="Arial"/>
                  <w:sz w:val="18"/>
                  <w:szCs w:val="18"/>
                  <w:color w:val="0000EE"/>
                </w:rPr>
                <w:t>34</w:t>
              </w:r>
            </w:hyperlink>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2020" w:type="dxa"/>
            <w:vAlign w:val="bottom"/>
            <w:gridSpan w:val="4"/>
            <w:shd w:val="clear" w:color="auto" w:fill="0000EE"/>
          </w:tcPr>
          <w:p>
            <w:pPr>
              <w:spacing w:after="0" w:line="20" w:lineRule="exact"/>
              <w:rPr>
                <w:sz w:val="1"/>
                <w:szCs w:val="1"/>
                <w:color w:val="auto"/>
              </w:rPr>
            </w:pPr>
          </w:p>
        </w:tc>
        <w:tc>
          <w:tcPr>
            <w:tcW w:w="2580" w:type="dxa"/>
            <w:vAlign w:val="bottom"/>
            <w:gridSpan w:val="7"/>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80"/>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gridSpan w:val="5"/>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Item 3.</w:t>
              </w:r>
            </w:hyperlink>
          </w:p>
        </w:tc>
        <w:tc>
          <w:tcPr>
            <w:tcW w:w="6920" w:type="dxa"/>
            <w:vAlign w:val="bottom"/>
            <w:gridSpan w:val="22"/>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Defaults Upon Senior Securities</w:t>
              </w:r>
            </w:hyperlink>
          </w:p>
        </w:tc>
        <w:tc>
          <w:tcPr>
            <w:tcW w:w="380" w:type="dxa"/>
            <w:vAlign w:val="bottom"/>
            <w:gridSpan w:val="3"/>
          </w:tcPr>
          <w:p>
            <w:pPr>
              <w:jc w:val="right"/>
              <w:spacing w:after="0"/>
              <w:rPr>
                <w:rFonts w:ascii="Arial" w:cs="Arial" w:eastAsia="Arial" w:hAnsi="Arial"/>
                <w:sz w:val="18"/>
                <w:szCs w:val="18"/>
                <w:color w:val="0000EE"/>
              </w:rPr>
            </w:pPr>
            <w:hyperlink w:anchor="page35">
              <w:r>
                <w:rPr>
                  <w:rFonts w:ascii="Arial" w:cs="Arial" w:eastAsia="Arial" w:hAnsi="Arial"/>
                  <w:sz w:val="18"/>
                  <w:szCs w:val="18"/>
                  <w:color w:val="0000EE"/>
                </w:rPr>
                <w:t>34</w:t>
              </w:r>
            </w:hyperlink>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1020" w:type="dxa"/>
            <w:vAlign w:val="bottom"/>
            <w:gridSpan w:val="4"/>
            <w:shd w:val="clear" w:color="auto" w:fill="0000EE"/>
          </w:tcPr>
          <w:p>
            <w:pPr>
              <w:spacing w:after="0" w:line="20" w:lineRule="exact"/>
              <w:rPr>
                <w:sz w:val="1"/>
                <w:szCs w:val="1"/>
                <w:color w:val="auto"/>
              </w:rPr>
            </w:pPr>
          </w:p>
        </w:tc>
        <w:tc>
          <w:tcPr>
            <w:tcW w:w="4600" w:type="dxa"/>
            <w:vAlign w:val="bottom"/>
            <w:gridSpan w:val="11"/>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80"/>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gridSpan w:val="5"/>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Item 4.</w:t>
              </w:r>
            </w:hyperlink>
          </w:p>
        </w:tc>
        <w:tc>
          <w:tcPr>
            <w:tcW w:w="6920" w:type="dxa"/>
            <w:vAlign w:val="bottom"/>
            <w:gridSpan w:val="22"/>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Mine Safety Disclosures</w:t>
              </w:r>
            </w:hyperlink>
          </w:p>
        </w:tc>
        <w:tc>
          <w:tcPr>
            <w:tcW w:w="380" w:type="dxa"/>
            <w:vAlign w:val="bottom"/>
            <w:gridSpan w:val="3"/>
          </w:tcPr>
          <w:p>
            <w:pPr>
              <w:jc w:val="right"/>
              <w:spacing w:after="0"/>
              <w:rPr>
                <w:rFonts w:ascii="Arial" w:cs="Arial" w:eastAsia="Arial" w:hAnsi="Arial"/>
                <w:sz w:val="18"/>
                <w:szCs w:val="18"/>
                <w:color w:val="0000EE"/>
              </w:rPr>
            </w:pPr>
            <w:hyperlink w:anchor="page35">
              <w:r>
                <w:rPr>
                  <w:rFonts w:ascii="Arial" w:cs="Arial" w:eastAsia="Arial" w:hAnsi="Arial"/>
                  <w:sz w:val="18"/>
                  <w:szCs w:val="18"/>
                  <w:color w:val="0000EE"/>
                </w:rPr>
                <w:t>34</w:t>
              </w:r>
            </w:hyperlink>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5160" w:type="dxa"/>
            <w:vAlign w:val="bottom"/>
            <w:gridSpan w:val="1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80"/>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gridSpan w:val="5"/>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Item 5.</w:t>
              </w:r>
            </w:hyperlink>
          </w:p>
        </w:tc>
        <w:tc>
          <w:tcPr>
            <w:tcW w:w="6920" w:type="dxa"/>
            <w:vAlign w:val="bottom"/>
            <w:gridSpan w:val="22"/>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Other Information</w:t>
              </w:r>
            </w:hyperlink>
          </w:p>
        </w:tc>
        <w:tc>
          <w:tcPr>
            <w:tcW w:w="380" w:type="dxa"/>
            <w:vAlign w:val="bottom"/>
            <w:gridSpan w:val="3"/>
          </w:tcPr>
          <w:p>
            <w:pPr>
              <w:jc w:val="right"/>
              <w:spacing w:after="0"/>
              <w:rPr>
                <w:rFonts w:ascii="Arial" w:cs="Arial" w:eastAsia="Arial" w:hAnsi="Arial"/>
                <w:sz w:val="18"/>
                <w:szCs w:val="18"/>
                <w:color w:val="0000EE"/>
              </w:rPr>
            </w:pPr>
            <w:hyperlink w:anchor="page35">
              <w:r>
                <w:rPr>
                  <w:rFonts w:ascii="Arial" w:cs="Arial" w:eastAsia="Arial" w:hAnsi="Arial"/>
                  <w:sz w:val="18"/>
                  <w:szCs w:val="18"/>
                  <w:color w:val="0000EE"/>
                </w:rPr>
                <w:t>34</w:t>
              </w:r>
            </w:hyperlink>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5620" w:type="dxa"/>
            <w:vAlign w:val="bottom"/>
            <w:gridSpan w:val="1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80"/>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gridSpan w:val="5"/>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Item 6.</w:t>
              </w:r>
            </w:hyperlink>
          </w:p>
        </w:tc>
        <w:tc>
          <w:tcPr>
            <w:tcW w:w="6920" w:type="dxa"/>
            <w:vAlign w:val="bottom"/>
            <w:gridSpan w:val="22"/>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Exhibits</w:t>
              </w:r>
            </w:hyperlink>
          </w:p>
        </w:tc>
        <w:tc>
          <w:tcPr>
            <w:tcW w:w="380" w:type="dxa"/>
            <w:vAlign w:val="bottom"/>
            <w:gridSpan w:val="3"/>
          </w:tcPr>
          <w:p>
            <w:pPr>
              <w:jc w:val="right"/>
              <w:spacing w:after="0"/>
              <w:rPr>
                <w:rFonts w:ascii="Arial" w:cs="Arial" w:eastAsia="Arial" w:hAnsi="Arial"/>
                <w:sz w:val="18"/>
                <w:szCs w:val="18"/>
                <w:color w:val="0000EE"/>
              </w:rPr>
            </w:pPr>
            <w:hyperlink w:anchor="page36">
              <w:r>
                <w:rPr>
                  <w:rFonts w:ascii="Arial" w:cs="Arial" w:eastAsia="Arial" w:hAnsi="Arial"/>
                  <w:sz w:val="18"/>
                  <w:szCs w:val="18"/>
                  <w:color w:val="0000EE"/>
                </w:rPr>
                <w:t>35</w:t>
              </w:r>
            </w:hyperlink>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480"/>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gridSpan w:val="5"/>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Signature</w:t>
              </w:r>
            </w:hyperlink>
            <w:r>
              <w:rPr>
                <w:rFonts w:ascii="Arial" w:cs="Arial" w:eastAsia="Arial" w:hAnsi="Arial"/>
                <w:sz w:val="18"/>
                <w:szCs w:val="18"/>
                <w:color w:val="0033CC"/>
              </w:rPr>
              <w:t>s</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gridSpan w:val="3"/>
          </w:tcPr>
          <w:p>
            <w:pPr>
              <w:jc w:val="right"/>
              <w:spacing w:after="0"/>
              <w:rPr>
                <w:rFonts w:ascii="Arial" w:cs="Arial" w:eastAsia="Arial" w:hAnsi="Arial"/>
                <w:sz w:val="18"/>
                <w:szCs w:val="18"/>
                <w:color w:val="0000EE"/>
              </w:rPr>
            </w:pPr>
            <w:hyperlink w:anchor="page37">
              <w:r>
                <w:rPr>
                  <w:rFonts w:ascii="Arial" w:cs="Arial" w:eastAsia="Arial" w:hAnsi="Arial"/>
                  <w:sz w:val="18"/>
                  <w:szCs w:val="18"/>
                  <w:color w:val="0000EE"/>
                </w:rPr>
                <w:t>36</w:t>
              </w:r>
            </w:hyperlink>
          </w:p>
        </w:tc>
      </w:tr>
      <w:tr>
        <w:trPr>
          <w:trHeight w:val="723"/>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33CC"/>
            </w:tcBorders>
          </w:tcPr>
          <w:p>
            <w:pPr>
              <w:spacing w:after="0"/>
              <w:rPr>
                <w:sz w:val="24"/>
                <w:szCs w:val="24"/>
                <w:color w:val="auto"/>
              </w:rPr>
            </w:pPr>
          </w:p>
        </w:tc>
        <w:tc>
          <w:tcPr>
            <w:tcW w:w="160" w:type="dxa"/>
            <w:vAlign w:val="bottom"/>
          </w:tcPr>
          <w:p>
            <w:pPr>
              <w:spacing w:after="0"/>
              <w:rPr>
                <w:sz w:val="24"/>
                <w:szCs w:val="24"/>
                <w:color w:val="auto"/>
              </w:rPr>
            </w:pPr>
          </w:p>
        </w:tc>
        <w:tc>
          <w:tcPr>
            <w:tcW w:w="3140" w:type="dxa"/>
            <w:vAlign w:val="bottom"/>
            <w:gridSpan w:val="13"/>
          </w:tcPr>
          <w:p>
            <w:pPr>
              <w:jc w:val="center"/>
              <w:ind w:left="2150"/>
              <w:spacing w:after="0"/>
              <w:rPr>
                <w:sz w:val="20"/>
                <w:szCs w:val="20"/>
                <w:color w:val="auto"/>
              </w:rPr>
            </w:pPr>
            <w:r>
              <w:rPr>
                <w:rFonts w:ascii="Arial" w:cs="Arial" w:eastAsia="Arial" w:hAnsi="Arial"/>
                <w:sz w:val="18"/>
                <w:szCs w:val="18"/>
                <w:color w:val="auto"/>
                <w:w w:val="99"/>
              </w:rPr>
              <w:t>1</w:t>
            </w: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bl>
    <w:p>
      <w:pPr>
        <w:sectPr>
          <w:pgSz w:w="11900" w:h="16838" w:orient="portrait"/>
          <w:cols w:equalWidth="0" w:num="1">
            <w:col w:w="10320"/>
          </w:cols>
          <w:pgMar w:left="240" w:top="108" w:right="13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report may contain forward-looking statements within the meaning of Section 27A of the Securities Act of 1933 and Section 21E of the Securities Exchange Act of 1934 about our financial condition, results of operations and business. These forward-looking statements can be identified by the use of forward-looking words, such as “may,” “could,” “should,” “estimate,” “project,” “forecast,” “intend,” “expect,” “anticipate,” “believe,” “target,” “plan” or other comparable words, or by discussions of strategy that may involve risks and uncertainties.</w:t>
      </w:r>
    </w:p>
    <w:p>
      <w:pPr>
        <w:spacing w:after="0" w:line="14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These forward-looking statements are subject to numerous assumptions, risks and uncertainties which could materially affect our business, financial condition or future results including, but not limited to, risks and uncertainties with respect to: the Company's leverage; liabilities imposed by the Company's debt instruments; market demand; competitive factors; supply constraints; material and energy costs; risks and uncertainties associated with intangible assets, including goodwill or other intangible asset impairment charges; technology factors; litigation; government and regulatory actions; the Company's accounting policies; future trends; general economic and currency conditions; various conditions specific to the Company's business and industry; the Company’s ability to identify attractive acquisition candidates, successfully integrate acquired operations or realize the intended benefits of such acquisitions; the Company’s ability to attain targeted savings and free cash flow amounts under its Financial Improvement Plan; future prospects of the Company; and other risks that are discussed in Part I, Item 1A, "Risk Factors," in our Annual Report on Form 10-K for the year ended December 31, 2015. The risks described in our Annual Report on Form 10-K and elsewhere in this report are not the only risks facing our Company. Additional risks and uncertainties not currently known to us or that we currently deemed to be immaterial also may materially adversely affect our business, financial position and results of operations or cash flows.</w:t>
      </w:r>
    </w:p>
    <w:p>
      <w:pPr>
        <w:spacing w:after="0" w:line="1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cautionary statements set forth above should be considered in connection with any subsequent written or oral forward-looking statements that we or persons acting on our behalf may issue. We caution readers not to place undue reliance on the statements, which speak only as of the date of this report. We do not undertake any obligation to review or confirm analysts' expectations or estimates or to release publicly any revisions to any forward-looking statement to reflect events or circumstances after the date of this report or to reflect the occurrence of unanticipated events.</w:t>
      </w:r>
    </w:p>
    <w:p>
      <w:pPr>
        <w:spacing w:after="0" w:line="1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disclose important factors that could cause our actual results to differ materially from our expectations implied by our forward-looking statements under Part I, Item 2,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and elsewhere in this report. These cautionary statements qualify all forward-looking statements attributed to us or persons acting on our behalf. When we indicate that an event, condition or circumstance could or would have an adverse effect on us, we mean to include effects upon our business, financial and other conditions, results of operations, prospects and ability to service our debt.</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Consolidated Financial Statements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6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4"/>
              </w:rPr>
              <w:t>March 31,</w:t>
            </w:r>
          </w:p>
        </w:tc>
        <w:tc>
          <w:tcPr>
            <w:tcW w:w="240" w:type="dxa"/>
            <w:vAlign w:val="bottom"/>
          </w:tcPr>
          <w:p>
            <w:pPr>
              <w:spacing w:after="0"/>
              <w:rPr>
                <w:sz w:val="17"/>
                <w:szCs w:val="17"/>
                <w:color w:val="auto"/>
              </w:rPr>
            </w:pPr>
          </w:p>
        </w:tc>
        <w:tc>
          <w:tcPr>
            <w:tcW w:w="1460" w:type="dxa"/>
            <w:vAlign w:val="bottom"/>
          </w:tcPr>
          <w:p>
            <w:pPr>
              <w:jc w:val="right"/>
              <w:ind w:right="311"/>
              <w:spacing w:after="0"/>
              <w:rPr>
                <w:sz w:val="20"/>
                <w:szCs w:val="20"/>
                <w:color w:val="auto"/>
              </w:rPr>
            </w:pPr>
            <w:r>
              <w:rPr>
                <w:rFonts w:ascii="Arial" w:cs="Arial" w:eastAsia="Arial" w:hAnsi="Arial"/>
                <w:sz w:val="16"/>
                <w:szCs w:val="16"/>
                <w:b w:val="1"/>
                <w:bCs w:val="1"/>
                <w:color w:val="auto"/>
                <w:w w:val="99"/>
              </w:rPr>
              <w:t>December 31,</w:t>
            </w:r>
          </w:p>
        </w:tc>
      </w:tr>
      <w:tr>
        <w:trPr>
          <w:trHeight w:val="210"/>
        </w:trPr>
        <w:tc>
          <w:tcPr>
            <w:tcW w:w="7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jc w:val="center"/>
              <w:ind w:right="171"/>
              <w:spacing w:after="0"/>
              <w:rPr>
                <w:sz w:val="20"/>
                <w:szCs w:val="20"/>
                <w:color w:val="auto"/>
              </w:rPr>
            </w:pPr>
            <w:r>
              <w:rPr>
                <w:rFonts w:ascii="Arial" w:cs="Arial" w:eastAsia="Arial" w:hAnsi="Arial"/>
                <w:sz w:val="16"/>
                <w:szCs w:val="16"/>
                <w:b w:val="1"/>
                <w:bCs w:val="1"/>
                <w:color w:val="auto"/>
                <w:w w:val="89"/>
              </w:rPr>
              <w:t>2016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ind w:right="591"/>
              <w:spacing w:after="0"/>
              <w:rPr>
                <w:sz w:val="20"/>
                <w:szCs w:val="20"/>
                <w:color w:val="auto"/>
              </w:rPr>
            </w:pPr>
            <w:r>
              <w:rPr>
                <w:rFonts w:ascii="Arial" w:cs="Arial" w:eastAsia="Arial" w:hAnsi="Arial"/>
                <w:sz w:val="16"/>
                <w:szCs w:val="16"/>
                <w:b w:val="1"/>
                <w:bCs w:val="1"/>
                <w:color w:val="auto"/>
              </w:rPr>
              <w:t>2015</w:t>
            </w:r>
          </w:p>
        </w:tc>
      </w:tr>
      <w:tr>
        <w:trPr>
          <w:trHeight w:val="33"/>
        </w:trPr>
        <w:tc>
          <w:tcPr>
            <w:tcW w:w="7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366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center"/>
              <w:ind w:right="380"/>
              <w:spacing w:after="0"/>
              <w:rPr>
                <w:sz w:val="20"/>
                <w:szCs w:val="20"/>
                <w:color w:val="auto"/>
              </w:rPr>
            </w:pPr>
            <w:r>
              <w:rPr>
                <w:rFonts w:ascii="Arial" w:cs="Arial" w:eastAsia="Arial" w:hAnsi="Arial"/>
                <w:sz w:val="18"/>
                <w:szCs w:val="18"/>
                <w:b w:val="1"/>
                <w:bCs w:val="1"/>
                <w:color w:val="auto"/>
                <w:w w:val="91"/>
              </w:rPr>
              <w:t>(unaudited)</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25,420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19,450</w:t>
            </w:r>
          </w:p>
        </w:tc>
      </w:tr>
      <w:tr>
        <w:trPr>
          <w:trHeight w:val="229"/>
        </w:trPr>
        <w:tc>
          <w:tcPr>
            <w:tcW w:w="7900" w:type="dxa"/>
            <w:vAlign w:val="bottom"/>
          </w:tcPr>
          <w:p>
            <w:pPr>
              <w:ind w:left="280"/>
              <w:spacing w:after="0"/>
              <w:rPr>
                <w:sz w:val="20"/>
                <w:szCs w:val="20"/>
                <w:color w:val="auto"/>
              </w:rPr>
            </w:pPr>
            <w:r>
              <w:rPr>
                <w:rFonts w:ascii="Arial" w:cs="Arial" w:eastAsia="Arial" w:hAnsi="Arial"/>
                <w:sz w:val="18"/>
                <w:szCs w:val="18"/>
                <w:color w:val="auto"/>
                <w:w w:val="94"/>
              </w:rPr>
              <w:t>Receivables, net of reserves of approximately $4.5 million and $3.7 million as of March 31, 2016 and</w:t>
            </w: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7900" w:type="dxa"/>
            <w:vAlign w:val="bottom"/>
          </w:tcPr>
          <w:p>
            <w:pPr>
              <w:ind w:left="280"/>
              <w:spacing w:after="0"/>
              <w:rPr>
                <w:sz w:val="20"/>
                <w:szCs w:val="20"/>
                <w:color w:val="auto"/>
              </w:rPr>
            </w:pPr>
            <w:r>
              <w:rPr>
                <w:rFonts w:ascii="Arial" w:cs="Arial" w:eastAsia="Arial" w:hAnsi="Arial"/>
                <w:sz w:val="18"/>
                <w:szCs w:val="18"/>
                <w:color w:val="auto"/>
              </w:rPr>
              <w:t>December 31, 2015, respectively</w:t>
            </w:r>
          </w:p>
        </w:tc>
        <w:tc>
          <w:tcPr>
            <w:tcW w:w="260" w:type="dxa"/>
            <w:vAlign w:val="bottom"/>
          </w:tcPr>
          <w:p>
            <w:pPr>
              <w:spacing w:after="0"/>
              <w:rPr>
                <w:sz w:val="20"/>
                <w:szCs w:val="20"/>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131,630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121,990</w:t>
            </w: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Inventories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167,320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167,370</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10,070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17,810</w:t>
            </w:r>
          </w:p>
        </w:tc>
      </w:tr>
      <w:tr>
        <w:trPr>
          <w:trHeight w:val="27"/>
        </w:trPr>
        <w:tc>
          <w:tcPr>
            <w:tcW w:w="7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334,440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326,620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179,670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181,130</w:t>
            </w: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379,250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378,920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Other intangibles, net</w:t>
            </w: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268,720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273,870</w:t>
            </w: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9,500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9,760</w:t>
            </w:r>
          </w:p>
        </w:tc>
      </w:tr>
      <w:tr>
        <w:trPr>
          <w:trHeight w:val="297"/>
        </w:trPr>
        <w:tc>
          <w:tcPr>
            <w:tcW w:w="790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assets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1,171,580</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1,170,300</w:t>
            </w:r>
          </w:p>
        </w:tc>
      </w:tr>
      <w:tr>
        <w:trPr>
          <w:trHeight w:val="237"/>
        </w:trPr>
        <w:tc>
          <w:tcPr>
            <w:tcW w:w="7900" w:type="dxa"/>
            <w:vAlign w:val="bottom"/>
            <w:tcBorders>
              <w:bottom w:val="single" w:sz="8" w:color="CCEEFF"/>
            </w:tcBorders>
            <w:shd w:val="clear" w:color="auto" w:fill="CCEEFF"/>
          </w:tcPr>
          <w:p>
            <w:pPr>
              <w:ind w:left="2500"/>
              <w:spacing w:after="0"/>
              <w:rPr>
                <w:sz w:val="20"/>
                <w:szCs w:val="20"/>
                <w:color w:val="auto"/>
              </w:rPr>
            </w:pPr>
            <w:r>
              <w:rPr>
                <w:rFonts w:ascii="Arial" w:cs="Arial" w:eastAsia="Arial" w:hAnsi="Arial"/>
                <w:sz w:val="18"/>
                <w:szCs w:val="18"/>
                <w:b w:val="1"/>
                <w:bCs w:val="1"/>
                <w:color w:val="auto"/>
              </w:rPr>
              <w:t>Liabilities and Shareholders' Equity</w:t>
            </w:r>
          </w:p>
        </w:tc>
        <w:tc>
          <w:tcPr>
            <w:tcW w:w="2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Current maturities, long-term debt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13,840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13,850</w:t>
            </w:r>
          </w:p>
        </w:tc>
      </w:tr>
      <w:tr>
        <w:trPr>
          <w:trHeight w:val="243"/>
        </w:trPr>
        <w:tc>
          <w:tcPr>
            <w:tcW w:w="790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75,050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88,420</w:t>
            </w: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41,940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50,480</w:t>
            </w:r>
          </w:p>
        </w:tc>
      </w:tr>
      <w:tr>
        <w:trPr>
          <w:trHeight w:val="237"/>
        </w:trPr>
        <w:tc>
          <w:tcPr>
            <w:tcW w:w="790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130,830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152,750</w:t>
            </w: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net</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424,010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405,780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21"/>
                <w:szCs w:val="21"/>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9,100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11,260</w:t>
            </w: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56,920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53,320</w:t>
            </w:r>
          </w:p>
        </w:tc>
      </w:tr>
      <w:tr>
        <w:trPr>
          <w:trHeight w:val="237"/>
        </w:trPr>
        <w:tc>
          <w:tcPr>
            <w:tcW w:w="7900" w:type="dxa"/>
            <w:vAlign w:val="bottom"/>
          </w:tcPr>
          <w:p>
            <w:pPr>
              <w:ind w:left="500"/>
              <w:spacing w:after="0"/>
              <w:rPr>
                <w:sz w:val="20"/>
                <w:szCs w:val="20"/>
                <w:color w:val="auto"/>
              </w:rPr>
            </w:pPr>
            <w:r>
              <w:rPr>
                <w:rFonts w:ascii="Arial" w:cs="Arial" w:eastAsia="Arial" w:hAnsi="Arial"/>
                <w:sz w:val="18"/>
                <w:szCs w:val="18"/>
                <w:color w:val="auto"/>
              </w:rPr>
              <w:t>Total liabilities</w:t>
            </w:r>
          </w:p>
        </w:tc>
        <w:tc>
          <w:tcPr>
            <w:tcW w:w="2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620,860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623,110</w:t>
            </w:r>
          </w:p>
        </w:tc>
      </w:tr>
      <w:tr>
        <w:trPr>
          <w:trHeight w:val="27"/>
        </w:trPr>
        <w:tc>
          <w:tcPr>
            <w:tcW w:w="7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9"/>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Preferred stock, $0.01 par: Authorized 100,000,000 shares;</w:t>
            </w: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r>
      <w:tr>
        <w:trPr>
          <w:trHeight w:val="23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Issued and outstanding: None</w:t>
            </w:r>
          </w:p>
        </w:tc>
        <w:tc>
          <w:tcPr>
            <w:tcW w:w="2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7900" w:type="dxa"/>
            <w:vAlign w:val="bottom"/>
          </w:tcPr>
          <w:p>
            <w:pPr>
              <w:ind w:left="40"/>
              <w:spacing w:after="0"/>
              <w:rPr>
                <w:sz w:val="20"/>
                <w:szCs w:val="20"/>
                <w:color w:val="auto"/>
              </w:rPr>
            </w:pPr>
            <w:r>
              <w:rPr>
                <w:rFonts w:ascii="Arial" w:cs="Arial" w:eastAsia="Arial" w:hAnsi="Arial"/>
                <w:sz w:val="18"/>
                <w:szCs w:val="18"/>
                <w:color w:val="auto"/>
              </w:rPr>
              <w:t>Common stock, $0.01 par: Authorized 400,000,000 shares;</w:t>
            </w: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30"/>
        </w:trPr>
        <w:tc>
          <w:tcPr>
            <w:tcW w:w="7900" w:type="dxa"/>
            <w:vAlign w:val="bottom"/>
          </w:tcPr>
          <w:p>
            <w:pPr>
              <w:ind w:left="40"/>
              <w:spacing w:after="0"/>
              <w:rPr>
                <w:sz w:val="20"/>
                <w:szCs w:val="20"/>
                <w:color w:val="auto"/>
              </w:rPr>
            </w:pPr>
            <w:r>
              <w:rPr>
                <w:rFonts w:ascii="Arial" w:cs="Arial" w:eastAsia="Arial" w:hAnsi="Arial"/>
                <w:sz w:val="18"/>
                <w:szCs w:val="18"/>
                <w:color w:val="auto"/>
                <w:w w:val="90"/>
              </w:rPr>
              <w:t>Issued and outstanding: 45,452,998 shares at March 31, 2016 and 45,322,527 shares at December 31, 2015</w:t>
            </w:r>
          </w:p>
        </w:tc>
        <w:tc>
          <w:tcPr>
            <w:tcW w:w="260" w:type="dxa"/>
            <w:vAlign w:val="bottom"/>
          </w:tcPr>
          <w:p>
            <w:pPr>
              <w:spacing w:after="0"/>
              <w:rPr>
                <w:sz w:val="20"/>
                <w:szCs w:val="20"/>
                <w:color w:val="auto"/>
              </w:rPr>
            </w:pPr>
          </w:p>
        </w:tc>
        <w:tc>
          <w:tcPr>
            <w:tcW w:w="1460" w:type="dxa"/>
            <w:vAlign w:val="bottom"/>
          </w:tcPr>
          <w:p>
            <w:pPr>
              <w:jc w:val="right"/>
              <w:ind w:right="31"/>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450</w:t>
            </w: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Paid-in capital</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812,860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812,160</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Accumulated deficit</w:t>
            </w:r>
          </w:p>
        </w:tc>
        <w:tc>
          <w:tcPr>
            <w:tcW w:w="2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(245,820)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(254,120)</w:t>
            </w: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(16,770)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(11,300)</w:t>
            </w:r>
          </w:p>
        </w:tc>
      </w:tr>
      <w:tr>
        <w:trPr>
          <w:trHeight w:val="237"/>
        </w:trPr>
        <w:tc>
          <w:tcPr>
            <w:tcW w:w="7900" w:type="dxa"/>
            <w:vAlign w:val="bottom"/>
          </w:tcPr>
          <w:p>
            <w:pPr>
              <w:ind w:left="500"/>
              <w:spacing w:after="0"/>
              <w:rPr>
                <w:sz w:val="20"/>
                <w:szCs w:val="20"/>
                <w:color w:val="auto"/>
              </w:rPr>
            </w:pPr>
            <w:r>
              <w:rPr>
                <w:rFonts w:ascii="Arial" w:cs="Arial" w:eastAsia="Arial" w:hAnsi="Arial"/>
                <w:sz w:val="18"/>
                <w:szCs w:val="18"/>
                <w:color w:val="auto"/>
              </w:rPr>
              <w:t>Total shareholders' equity</w:t>
            </w:r>
          </w:p>
        </w:tc>
        <w:tc>
          <w:tcPr>
            <w:tcW w:w="2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550,720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547,190</w:t>
            </w:r>
          </w:p>
        </w:tc>
      </w:tr>
      <w:tr>
        <w:trPr>
          <w:trHeight w:val="27"/>
        </w:trPr>
        <w:tc>
          <w:tcPr>
            <w:tcW w:w="7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liabilities and shareholders' equity</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1,171,580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1,170,300</w:t>
            </w:r>
          </w:p>
        </w:tc>
      </w:tr>
      <w:tr>
        <w:trPr>
          <w:trHeight w:val="20"/>
        </w:trPr>
        <w:tc>
          <w:tcPr>
            <w:tcW w:w="7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(Unaudited—dollars in thousands, except for per share amounts)</w:t>
      </w:r>
    </w:p>
    <w:p>
      <w:pPr>
        <w:spacing w:after="0" w:line="200" w:lineRule="exact"/>
        <w:rPr>
          <w:sz w:val="20"/>
          <w:szCs w:val="20"/>
          <w:color w:val="auto"/>
        </w:rPr>
      </w:pPr>
    </w:p>
    <w:p>
      <w:pPr>
        <w:spacing w:after="0" w:line="335" w:lineRule="exact"/>
        <w:rPr>
          <w:sz w:val="20"/>
          <w:szCs w:val="20"/>
          <w:color w:val="auto"/>
        </w:rPr>
      </w:pPr>
    </w:p>
    <w:p>
      <w:pPr>
        <w:jc w:val="center"/>
        <w:ind w:left="862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862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5450840</wp:posOffset>
            </wp:positionH>
            <wp:positionV relativeFrom="paragraph">
              <wp:posOffset>33020</wp:posOffset>
            </wp:positionV>
            <wp:extent cx="18008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430"/>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ind w:right="430"/>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33"/>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202,880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224,130</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(146,960)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(161,210)</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55,920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62,920</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(39,470)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(39,900)</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profit</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16,450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23,020</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Other expense, net:</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(3,450)</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Other expense, net</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(1,320)</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Other expense, net</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(4,770)</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Income from continuing operations before income tax expense</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12,950</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18,250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(6,310)</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Income from continuing operations</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8,300</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11,940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discontinued operations, net of tax</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2,040</w:t>
            </w:r>
          </w:p>
        </w:tc>
        <w:tc>
          <w:tcPr>
            <w:tcW w:w="0" w:type="dxa"/>
            <w:vAlign w:val="bottom"/>
          </w:tcPr>
          <w:p>
            <w:pPr>
              <w:spacing w:after="0"/>
              <w:rPr>
                <w:sz w:val="1"/>
                <w:szCs w:val="1"/>
                <w:color w:val="auto"/>
              </w:rPr>
            </w:pPr>
          </w:p>
        </w:tc>
      </w:tr>
      <w:tr>
        <w:trPr>
          <w:trHeight w:val="297"/>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8,300</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13,980</w:t>
            </w:r>
          </w:p>
        </w:tc>
        <w:tc>
          <w:tcPr>
            <w:tcW w:w="0" w:type="dxa"/>
            <w:vAlign w:val="bottom"/>
          </w:tcPr>
          <w:p>
            <w:pPr>
              <w:spacing w:after="0"/>
              <w:rPr>
                <w:sz w:val="1"/>
                <w:szCs w:val="1"/>
                <w:color w:val="auto"/>
              </w:rPr>
            </w:pPr>
          </w:p>
        </w:tc>
      </w:tr>
      <w:tr>
        <w:trPr>
          <w:trHeight w:val="23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earnings per share:</w:t>
            </w: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500"/>
              <w:spacing w:after="0"/>
              <w:rPr>
                <w:sz w:val="20"/>
                <w:szCs w:val="20"/>
                <w:color w:val="auto"/>
              </w:rPr>
            </w:pPr>
            <w:r>
              <w:rPr>
                <w:rFonts w:ascii="Arial" w:cs="Arial" w:eastAsia="Arial" w:hAnsi="Arial"/>
                <w:sz w:val="18"/>
                <w:szCs w:val="18"/>
                <w:color w:val="auto"/>
              </w:rPr>
              <w:t>Continuing operations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0.18</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Discontinued operations</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97"/>
        </w:trPr>
        <w:tc>
          <w:tcPr>
            <w:tcW w:w="858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Net income per share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0.18</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51"/>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common shares—basic</w:t>
            </w:r>
          </w:p>
        </w:tc>
        <w:tc>
          <w:tcPr>
            <w:tcW w:w="2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45,278,990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44,997,961</w:t>
            </w:r>
          </w:p>
        </w:tc>
        <w:tc>
          <w:tcPr>
            <w:tcW w:w="0" w:type="dxa"/>
            <w:vAlign w:val="bottom"/>
          </w:tcPr>
          <w:p>
            <w:pPr>
              <w:spacing w:after="0"/>
              <w:rPr>
                <w:sz w:val="1"/>
                <w:szCs w:val="1"/>
                <w:color w:val="auto"/>
              </w:rPr>
            </w:pPr>
          </w:p>
        </w:tc>
      </w:tr>
      <w:tr>
        <w:trPr>
          <w:trHeight w:val="20"/>
        </w:trPr>
        <w:tc>
          <w:tcPr>
            <w:tcW w:w="85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Diluted earnings per share:</w:t>
            </w: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58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Continuing operations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43"/>
        </w:trPr>
        <w:tc>
          <w:tcPr>
            <w:tcW w:w="8580" w:type="dxa"/>
            <w:vAlign w:val="bottom"/>
          </w:tcPr>
          <w:p>
            <w:pPr>
              <w:ind w:left="500"/>
              <w:spacing w:after="0"/>
              <w:rPr>
                <w:sz w:val="20"/>
                <w:szCs w:val="20"/>
                <w:color w:val="auto"/>
              </w:rPr>
            </w:pPr>
            <w:r>
              <w:rPr>
                <w:rFonts w:ascii="Arial" w:cs="Arial" w:eastAsia="Arial" w:hAnsi="Arial"/>
                <w:sz w:val="18"/>
                <w:szCs w:val="18"/>
                <w:color w:val="auto"/>
              </w:rPr>
              <w:t>Discontinued operations</w:t>
            </w:r>
          </w:p>
        </w:tc>
        <w:tc>
          <w:tcPr>
            <w:tcW w:w="2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income per share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0.18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8580" w:type="dxa"/>
            <w:vAlign w:val="bottom"/>
          </w:tcPr>
          <w:p>
            <w:pPr>
              <w:ind w:left="40"/>
              <w:spacing w:after="0"/>
              <w:rPr>
                <w:sz w:val="20"/>
                <w:szCs w:val="20"/>
                <w:color w:val="auto"/>
              </w:rPr>
            </w:pPr>
            <w:r>
              <w:rPr>
                <w:rFonts w:ascii="Arial" w:cs="Arial" w:eastAsia="Arial" w:hAnsi="Arial"/>
                <w:sz w:val="18"/>
                <w:szCs w:val="18"/>
                <w:color w:val="auto"/>
              </w:rPr>
              <w:t>Weighted average common shares—diluted</w:t>
            </w: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45,654,816</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45,400,843</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TriMas Corporation</w:t>
      </w:r>
    </w:p>
    <w:p>
      <w:pPr>
        <w:spacing w:after="0" w:line="27"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Consolidated Statement of Comprehensive Income</w:t>
      </w:r>
    </w:p>
    <w:p>
      <w:pPr>
        <w:spacing w:after="0" w:line="9"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(Unaudited—dollars in thousands)</w:t>
      </w:r>
    </w:p>
    <w:p>
      <w:pPr>
        <w:spacing w:after="0" w:line="373" w:lineRule="exact"/>
        <w:rPr>
          <w:sz w:val="20"/>
          <w:szCs w:val="20"/>
          <w:color w:val="auto"/>
        </w:rPr>
      </w:pPr>
    </w:p>
    <w:p>
      <w:pPr>
        <w:jc w:val="center"/>
        <w:ind w:left="690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690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5073650</wp:posOffset>
            </wp:positionH>
            <wp:positionV relativeFrom="paragraph">
              <wp:posOffset>33020</wp:posOffset>
            </wp:positionV>
            <wp:extent cx="14751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5105" cy="8890"/>
                    </a:xfrm>
                    <a:prstGeom prst="rect">
                      <a:avLst/>
                    </a:prstGeom>
                    <a:noFill/>
                  </pic:spPr>
                </pic:pic>
              </a:graphicData>
            </a:graphic>
          </wp:anchor>
        </w:drawing>
      </w:r>
    </w:p>
    <w:p>
      <w:pPr>
        <w:spacing w:after="0" w:line="72" w:lineRule="exact"/>
        <w:rPr>
          <w:sz w:val="20"/>
          <w:szCs w:val="20"/>
          <w:color w:val="auto"/>
        </w:rPr>
      </w:pPr>
    </w:p>
    <w:tbl>
      <w:tblPr>
        <w:tblLayout w:type="fixed"/>
        <w:tblInd w:w="1120" w:type="dxa"/>
        <w:tblCellMar>
          <w:top w:w="0" w:type="dxa"/>
          <w:left w:w="0" w:type="dxa"/>
          <w:bottom w:w="0" w:type="dxa"/>
          <w:right w:w="0" w:type="dxa"/>
        </w:tblCellMar>
      </w:tblPr>
      <w:tr>
        <w:trPr>
          <w:trHeight w:val="210"/>
        </w:trPr>
        <w:tc>
          <w:tcPr>
            <w:tcW w:w="6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31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311"/>
              <w:spacing w:after="0"/>
              <w:rPr>
                <w:sz w:val="20"/>
                <w:szCs w:val="20"/>
                <w:color w:val="auto"/>
              </w:rPr>
            </w:pPr>
            <w:r>
              <w:rPr>
                <w:rFonts w:ascii="Arial" w:cs="Arial" w:eastAsia="Arial" w:hAnsi="Arial"/>
                <w:sz w:val="16"/>
                <w:szCs w:val="16"/>
                <w:b w:val="1"/>
                <w:bCs w:val="1"/>
                <w:color w:val="auto"/>
              </w:rPr>
              <w:t>2015</w:t>
            </w:r>
          </w:p>
        </w:tc>
      </w:tr>
      <w:tr>
        <w:trPr>
          <w:trHeight w:val="33"/>
        </w:trPr>
        <w:tc>
          <w:tcPr>
            <w:tcW w:w="6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8,300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13,980</w:t>
            </w:r>
          </w:p>
        </w:tc>
      </w:tr>
      <w:tr>
        <w:trPr>
          <w:trHeight w:val="237"/>
        </w:trPr>
        <w:tc>
          <w:tcPr>
            <w:tcW w:w="686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r>
      <w:tr>
        <w:trPr>
          <w:trHeight w:val="27"/>
        </w:trPr>
        <w:tc>
          <w:tcPr>
            <w:tcW w:w="6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Defined benefit pension and postretirement plans (Note 13)</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w:t>
            </w:r>
          </w:p>
        </w:tc>
      </w:tr>
      <w:tr>
        <w:trPr>
          <w:trHeight w:val="243"/>
        </w:trPr>
        <w:tc>
          <w:tcPr>
            <w:tcW w:w="6860" w:type="dxa"/>
            <w:vAlign w:val="bottom"/>
          </w:tcPr>
          <w:p>
            <w:pPr>
              <w:ind w:left="160"/>
              <w:spacing w:after="0"/>
              <w:rPr>
                <w:sz w:val="20"/>
                <w:szCs w:val="20"/>
                <w:color w:val="auto"/>
              </w:rPr>
            </w:pPr>
            <w:r>
              <w:rPr>
                <w:rFonts w:ascii="Arial" w:cs="Arial" w:eastAsia="Arial" w:hAnsi="Arial"/>
                <w:sz w:val="18"/>
                <w:szCs w:val="18"/>
                <w:color w:val="auto"/>
              </w:rPr>
              <w:t>Foreign currency translation</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(2,660)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(6,540)</w:t>
            </w:r>
          </w:p>
        </w:tc>
      </w:tr>
      <w:tr>
        <w:trPr>
          <w:trHeight w:val="27"/>
        </w:trPr>
        <w:tc>
          <w:tcPr>
            <w:tcW w:w="6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8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Derivative instruments (Note 8)</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w:t>
            </w:r>
          </w:p>
        </w:tc>
      </w:tr>
      <w:tr>
        <w:trPr>
          <w:trHeight w:val="237"/>
        </w:trPr>
        <w:tc>
          <w:tcPr>
            <w:tcW w:w="6860" w:type="dxa"/>
            <w:vAlign w:val="bottom"/>
          </w:tcPr>
          <w:p>
            <w:pPr>
              <w:ind w:left="160"/>
              <w:spacing w:after="0"/>
              <w:rPr>
                <w:sz w:val="20"/>
                <w:szCs w:val="20"/>
                <w:color w:val="auto"/>
              </w:rPr>
            </w:pPr>
            <w:r>
              <w:rPr>
                <w:rFonts w:ascii="Arial" w:cs="Arial" w:eastAsia="Arial" w:hAnsi="Arial"/>
                <w:sz w:val="18"/>
                <w:szCs w:val="18"/>
                <w:color w:val="auto"/>
              </w:rPr>
              <w:t>Total other comprehensive loss</w:t>
            </w: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(5,470)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(6,680)</w:t>
            </w:r>
          </w:p>
        </w:tc>
      </w:tr>
      <w:tr>
        <w:trPr>
          <w:trHeight w:val="27"/>
        </w:trPr>
        <w:tc>
          <w:tcPr>
            <w:tcW w:w="6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comprehensive income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2,830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7,300</w:t>
            </w:r>
          </w:p>
        </w:tc>
      </w:tr>
      <w:tr>
        <w:trPr>
          <w:trHeight w:val="20"/>
        </w:trPr>
        <w:tc>
          <w:tcPr>
            <w:tcW w:w="6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320"/>
          </w:cols>
          <w:pgMar w:left="240" w:top="125" w:right="13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color w:val="auto"/>
        </w:rPr>
        <w:t>TriMas Corporation</w:t>
      </w:r>
    </w:p>
    <w:p>
      <w:pPr>
        <w:spacing w:after="0" w:line="27"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color w:val="auto"/>
        </w:rPr>
        <w:t>Consolidated Statement of Cash Flows</w:t>
      </w:r>
    </w:p>
    <w:p>
      <w:pPr>
        <w:spacing w:after="0" w:line="9"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color w:val="auto"/>
        </w:rPr>
        <w:t>(Unaudited—dollars in thousands)</w:t>
      </w:r>
    </w:p>
    <w:p>
      <w:pPr>
        <w:spacing w:after="0" w:line="157" w:lineRule="exact"/>
        <w:rPr>
          <w:sz w:val="20"/>
          <w:szCs w:val="20"/>
          <w:color w:val="auto"/>
        </w:rPr>
      </w:pPr>
    </w:p>
    <w:p>
      <w:pPr>
        <w:jc w:val="center"/>
        <w:ind w:left="7840"/>
        <w:spacing w:after="0"/>
        <w:rPr>
          <w:sz w:val="20"/>
          <w:szCs w:val="20"/>
          <w:color w:val="auto"/>
        </w:rPr>
      </w:pPr>
      <w:r>
        <w:rPr>
          <w:rFonts w:ascii="Arial" w:cs="Arial" w:eastAsia="Arial" w:hAnsi="Arial"/>
          <w:sz w:val="15"/>
          <w:szCs w:val="15"/>
          <w:b w:val="1"/>
          <w:bCs w:val="1"/>
          <w:color w:val="auto"/>
        </w:rPr>
        <w:t>Three months ended March</w:t>
      </w:r>
    </w:p>
    <w:p>
      <w:pPr>
        <w:spacing w:after="0" w:line="38" w:lineRule="exact"/>
        <w:rPr>
          <w:sz w:val="20"/>
          <w:szCs w:val="20"/>
          <w:color w:val="auto"/>
        </w:rPr>
      </w:pPr>
    </w:p>
    <w:p>
      <w:pPr>
        <w:jc w:val="center"/>
        <w:ind w:left="7840"/>
        <w:spacing w:after="0"/>
        <w:rPr>
          <w:sz w:val="20"/>
          <w:szCs w:val="20"/>
          <w:color w:val="auto"/>
        </w:rPr>
      </w:pPr>
      <w:r>
        <w:rPr>
          <w:rFonts w:ascii="Arial" w:cs="Arial" w:eastAsia="Arial" w:hAnsi="Arial"/>
          <w:sz w:val="16"/>
          <w:szCs w:val="16"/>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5459095</wp:posOffset>
            </wp:positionH>
            <wp:positionV relativeFrom="paragraph">
              <wp:posOffset>33020</wp:posOffset>
            </wp:positionV>
            <wp:extent cx="13036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72" w:lineRule="exact"/>
        <w:rPr>
          <w:sz w:val="20"/>
          <w:szCs w:val="20"/>
          <w:color w:val="auto"/>
        </w:rPr>
      </w:pPr>
    </w:p>
    <w:tbl>
      <w:tblPr>
        <w:tblLayout w:type="fixed"/>
        <w:tblInd w:w="800" w:type="dxa"/>
        <w:tblCellMar>
          <w:top w:w="0" w:type="dxa"/>
          <w:left w:w="0" w:type="dxa"/>
          <w:bottom w:w="0" w:type="dxa"/>
          <w:right w:w="0" w:type="dxa"/>
        </w:tblCellMar>
      </w:tblPr>
      <w:tr>
        <w:trPr>
          <w:trHeight w:val="210"/>
        </w:trPr>
        <w:tc>
          <w:tcPr>
            <w:tcW w:w="7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ind w:right="230"/>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ind w:right="250"/>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33"/>
        </w:trPr>
        <w:tc>
          <w:tcPr>
            <w:tcW w:w="7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8,300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13,980</w:t>
            </w:r>
          </w:p>
        </w:tc>
        <w:tc>
          <w:tcPr>
            <w:tcW w:w="0" w:type="dxa"/>
            <w:vAlign w:val="bottom"/>
          </w:tcPr>
          <w:p>
            <w:pPr>
              <w:spacing w:after="0"/>
              <w:rPr>
                <w:sz w:val="1"/>
                <w:szCs w:val="1"/>
                <w:color w:val="auto"/>
              </w:rPr>
            </w:pPr>
          </w:p>
        </w:tc>
      </w:tr>
      <w:tr>
        <w:trPr>
          <w:trHeight w:val="27"/>
        </w:trPr>
        <w:tc>
          <w:tcPr>
            <w:tcW w:w="7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discontinued operations</w:t>
            </w:r>
          </w:p>
        </w:tc>
        <w:tc>
          <w:tcPr>
            <w:tcW w:w="2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2,040</w:t>
            </w:r>
          </w:p>
        </w:tc>
        <w:tc>
          <w:tcPr>
            <w:tcW w:w="0" w:type="dxa"/>
            <w:vAlign w:val="bottom"/>
          </w:tcPr>
          <w:p>
            <w:pPr>
              <w:spacing w:after="0"/>
              <w:rPr>
                <w:sz w:val="1"/>
                <w:szCs w:val="1"/>
                <w:color w:val="auto"/>
              </w:rPr>
            </w:pPr>
          </w:p>
        </w:tc>
      </w:tr>
      <w:tr>
        <w:trPr>
          <w:trHeight w:val="237"/>
        </w:trPr>
        <w:tc>
          <w:tcPr>
            <w:tcW w:w="7800" w:type="dxa"/>
            <w:vAlign w:val="bottom"/>
          </w:tcPr>
          <w:p>
            <w:pPr>
              <w:ind w:left="20"/>
              <w:spacing w:after="0"/>
              <w:rPr>
                <w:sz w:val="20"/>
                <w:szCs w:val="20"/>
                <w:color w:val="auto"/>
              </w:rPr>
            </w:pPr>
            <w:r>
              <w:rPr>
                <w:rFonts w:ascii="Arial" w:cs="Arial" w:eastAsia="Arial" w:hAnsi="Arial"/>
                <w:sz w:val="18"/>
                <w:szCs w:val="18"/>
                <w:color w:val="auto"/>
              </w:rPr>
              <w:t>Income from continuing operations</w:t>
            </w:r>
          </w:p>
        </w:tc>
        <w:tc>
          <w:tcPr>
            <w:tcW w:w="2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8,300</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11,940</w:t>
            </w:r>
          </w:p>
        </w:tc>
        <w:tc>
          <w:tcPr>
            <w:tcW w:w="0" w:type="dxa"/>
            <w:vAlign w:val="bottom"/>
          </w:tcPr>
          <w:p>
            <w:pPr>
              <w:spacing w:after="0"/>
              <w:rPr>
                <w:sz w:val="1"/>
                <w:szCs w:val="1"/>
                <w:color w:val="auto"/>
              </w:rPr>
            </w:pPr>
          </w:p>
        </w:tc>
      </w:tr>
      <w:tr>
        <w:trPr>
          <w:trHeight w:val="27"/>
        </w:trPr>
        <w:tc>
          <w:tcPr>
            <w:tcW w:w="7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Adjustments to reconcile net income to net cash used for 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00" w:type="dxa"/>
            <w:vAlign w:val="bottom"/>
          </w:tcPr>
          <w:p>
            <w:pPr>
              <w:ind w:left="260"/>
              <w:spacing w:after="0"/>
              <w:rPr>
                <w:sz w:val="20"/>
                <w:szCs w:val="20"/>
                <w:color w:val="auto"/>
              </w:rPr>
            </w:pPr>
            <w:r>
              <w:rPr>
                <w:rFonts w:ascii="Arial" w:cs="Arial" w:eastAsia="Arial" w:hAnsi="Arial"/>
                <w:sz w:val="18"/>
                <w:szCs w:val="18"/>
                <w:color w:val="auto"/>
              </w:rPr>
              <w:t>Loss on dispositions of property and equipment</w:t>
            </w:r>
          </w:p>
        </w:tc>
        <w:tc>
          <w:tcPr>
            <w:tcW w:w="2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590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7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Depreciation</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5,940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5,080</w:t>
            </w:r>
          </w:p>
        </w:tc>
        <w:tc>
          <w:tcPr>
            <w:tcW w:w="0" w:type="dxa"/>
            <w:vAlign w:val="bottom"/>
          </w:tcPr>
          <w:p>
            <w:pPr>
              <w:spacing w:after="0"/>
              <w:rPr>
                <w:sz w:val="1"/>
                <w:szCs w:val="1"/>
                <w:color w:val="auto"/>
              </w:rPr>
            </w:pPr>
          </w:p>
        </w:tc>
      </w:tr>
      <w:tr>
        <w:trPr>
          <w:trHeight w:val="243"/>
        </w:trPr>
        <w:tc>
          <w:tcPr>
            <w:tcW w:w="7800" w:type="dxa"/>
            <w:vAlign w:val="bottom"/>
          </w:tcPr>
          <w:p>
            <w:pPr>
              <w:ind w:left="260"/>
              <w:spacing w:after="0"/>
              <w:rPr>
                <w:sz w:val="20"/>
                <w:szCs w:val="20"/>
                <w:color w:val="auto"/>
              </w:rPr>
            </w:pPr>
            <w:r>
              <w:rPr>
                <w:rFonts w:ascii="Arial" w:cs="Arial" w:eastAsia="Arial" w:hAnsi="Arial"/>
                <w:sz w:val="18"/>
                <w:szCs w:val="18"/>
                <w:color w:val="auto"/>
              </w:rPr>
              <w:t>Amortization of intangible assets</w:t>
            </w:r>
          </w:p>
        </w:tc>
        <w:tc>
          <w:tcPr>
            <w:tcW w:w="2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5,100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5,360</w:t>
            </w:r>
          </w:p>
        </w:tc>
        <w:tc>
          <w:tcPr>
            <w:tcW w:w="0" w:type="dxa"/>
            <w:vAlign w:val="bottom"/>
          </w:tcPr>
          <w:p>
            <w:pPr>
              <w:spacing w:after="0"/>
              <w:rPr>
                <w:sz w:val="1"/>
                <w:szCs w:val="1"/>
                <w:color w:val="auto"/>
              </w:rPr>
            </w:pPr>
          </w:p>
        </w:tc>
      </w:tr>
      <w:tr>
        <w:trPr>
          <w:trHeight w:val="27"/>
        </w:trPr>
        <w:tc>
          <w:tcPr>
            <w:tcW w:w="7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Amortization of debt issue costs</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43"/>
        </w:trPr>
        <w:tc>
          <w:tcPr>
            <w:tcW w:w="7800" w:type="dxa"/>
            <w:vAlign w:val="bottom"/>
          </w:tcPr>
          <w:p>
            <w:pPr>
              <w:ind w:left="260"/>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7"/>
        </w:trPr>
        <w:tc>
          <w:tcPr>
            <w:tcW w:w="7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Non-cash compensation expense</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1,980</w:t>
            </w:r>
          </w:p>
        </w:tc>
        <w:tc>
          <w:tcPr>
            <w:tcW w:w="0" w:type="dxa"/>
            <w:vAlign w:val="bottom"/>
          </w:tcPr>
          <w:p>
            <w:pPr>
              <w:spacing w:after="0"/>
              <w:rPr>
                <w:sz w:val="1"/>
                <w:szCs w:val="1"/>
                <w:color w:val="auto"/>
              </w:rPr>
            </w:pPr>
          </w:p>
        </w:tc>
      </w:tr>
      <w:tr>
        <w:trPr>
          <w:trHeight w:val="243"/>
        </w:trPr>
        <w:tc>
          <w:tcPr>
            <w:tcW w:w="7800" w:type="dxa"/>
            <w:vAlign w:val="bottom"/>
          </w:tcPr>
          <w:p>
            <w:pPr>
              <w:ind w:left="260"/>
              <w:spacing w:after="0"/>
              <w:rPr>
                <w:sz w:val="20"/>
                <w:szCs w:val="20"/>
                <w:color w:val="auto"/>
              </w:rPr>
            </w:pPr>
            <w:r>
              <w:rPr>
                <w:rFonts w:ascii="Arial" w:cs="Arial" w:eastAsia="Arial" w:hAnsi="Arial"/>
                <w:sz w:val="18"/>
                <w:szCs w:val="18"/>
                <w:color w:val="auto"/>
              </w:rPr>
              <w:t>Tax effect from stock based compensation</w:t>
            </w:r>
          </w:p>
        </w:tc>
        <w:tc>
          <w:tcPr>
            <w:tcW w:w="2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620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7"/>
        </w:trPr>
        <w:tc>
          <w:tcPr>
            <w:tcW w:w="7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Increase in receivables</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(7,310)</w:t>
            </w:r>
          </w:p>
        </w:tc>
        <w:tc>
          <w:tcPr>
            <w:tcW w:w="0" w:type="dxa"/>
            <w:vAlign w:val="bottom"/>
          </w:tcPr>
          <w:p>
            <w:pPr>
              <w:spacing w:after="0"/>
              <w:rPr>
                <w:sz w:val="1"/>
                <w:szCs w:val="1"/>
                <w:color w:val="auto"/>
              </w:rPr>
            </w:pPr>
          </w:p>
        </w:tc>
      </w:tr>
      <w:tr>
        <w:trPr>
          <w:trHeight w:val="243"/>
        </w:trPr>
        <w:tc>
          <w:tcPr>
            <w:tcW w:w="7800" w:type="dxa"/>
            <w:vAlign w:val="bottom"/>
          </w:tcPr>
          <w:p>
            <w:pPr>
              <w:ind w:left="260"/>
              <w:spacing w:after="0"/>
              <w:rPr>
                <w:sz w:val="20"/>
                <w:szCs w:val="20"/>
                <w:color w:val="auto"/>
              </w:rPr>
            </w:pPr>
            <w:r>
              <w:rPr>
                <w:rFonts w:ascii="Arial" w:cs="Arial" w:eastAsia="Arial" w:hAnsi="Arial"/>
                <w:sz w:val="18"/>
                <w:szCs w:val="18"/>
                <w:color w:val="auto"/>
              </w:rPr>
              <w:t>(Increase) decrease in inventories</w:t>
            </w:r>
          </w:p>
        </w:tc>
        <w:tc>
          <w:tcPr>
            <w:tcW w:w="2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330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(1,930)</w:t>
            </w:r>
          </w:p>
        </w:tc>
        <w:tc>
          <w:tcPr>
            <w:tcW w:w="0" w:type="dxa"/>
            <w:vAlign w:val="bottom"/>
          </w:tcPr>
          <w:p>
            <w:pPr>
              <w:spacing w:after="0"/>
              <w:rPr>
                <w:sz w:val="1"/>
                <w:szCs w:val="1"/>
                <w:color w:val="auto"/>
              </w:rPr>
            </w:pPr>
          </w:p>
        </w:tc>
      </w:tr>
      <w:tr>
        <w:trPr>
          <w:trHeight w:val="27"/>
        </w:trPr>
        <w:tc>
          <w:tcPr>
            <w:tcW w:w="7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(Increase) decrease in prepaid expenses and other assets</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(2,280)</w:t>
            </w:r>
          </w:p>
        </w:tc>
        <w:tc>
          <w:tcPr>
            <w:tcW w:w="0" w:type="dxa"/>
            <w:vAlign w:val="bottom"/>
          </w:tcPr>
          <w:p>
            <w:pPr>
              <w:spacing w:after="0"/>
              <w:rPr>
                <w:sz w:val="1"/>
                <w:szCs w:val="1"/>
                <w:color w:val="auto"/>
              </w:rPr>
            </w:pPr>
          </w:p>
        </w:tc>
      </w:tr>
      <w:tr>
        <w:trPr>
          <w:trHeight w:val="243"/>
        </w:trPr>
        <w:tc>
          <w:tcPr>
            <w:tcW w:w="7800" w:type="dxa"/>
            <w:vAlign w:val="bottom"/>
          </w:tcPr>
          <w:p>
            <w:pPr>
              <w:ind w:left="260"/>
              <w:spacing w:after="0"/>
              <w:rPr>
                <w:sz w:val="20"/>
                <w:szCs w:val="20"/>
                <w:color w:val="auto"/>
              </w:rPr>
            </w:pPr>
            <w:r>
              <w:rPr>
                <w:rFonts w:ascii="Arial" w:cs="Arial" w:eastAsia="Arial" w:hAnsi="Arial"/>
                <w:sz w:val="18"/>
                <w:szCs w:val="18"/>
                <w:color w:val="auto"/>
              </w:rPr>
              <w:t>Decrease in accounts payable and accrued liabilities</w:t>
            </w: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(23,660)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(7,980)</w:t>
            </w:r>
          </w:p>
        </w:tc>
        <w:tc>
          <w:tcPr>
            <w:tcW w:w="0" w:type="dxa"/>
            <w:vAlign w:val="bottom"/>
          </w:tcPr>
          <w:p>
            <w:pPr>
              <w:spacing w:after="0"/>
              <w:rPr>
                <w:sz w:val="1"/>
                <w:szCs w:val="1"/>
                <w:color w:val="auto"/>
              </w:rPr>
            </w:pPr>
          </w:p>
        </w:tc>
      </w:tr>
      <w:tr>
        <w:trPr>
          <w:trHeight w:val="27"/>
        </w:trPr>
        <w:tc>
          <w:tcPr>
            <w:tcW w:w="7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Other, net</w:t>
            </w:r>
          </w:p>
        </w:tc>
        <w:tc>
          <w:tcPr>
            <w:tcW w:w="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(1,690)</w:t>
            </w:r>
          </w:p>
        </w:tc>
        <w:tc>
          <w:tcPr>
            <w:tcW w:w="0" w:type="dxa"/>
            <w:vAlign w:val="bottom"/>
          </w:tcPr>
          <w:p>
            <w:pPr>
              <w:spacing w:after="0"/>
              <w:rPr>
                <w:sz w:val="1"/>
                <w:szCs w:val="1"/>
                <w:color w:val="auto"/>
              </w:rPr>
            </w:pPr>
          </w:p>
        </w:tc>
      </w:tr>
      <w:tr>
        <w:trPr>
          <w:trHeight w:val="237"/>
        </w:trPr>
        <w:tc>
          <w:tcPr>
            <w:tcW w:w="7800" w:type="dxa"/>
            <w:vAlign w:val="bottom"/>
          </w:tcPr>
          <w:p>
            <w:pPr>
              <w:ind w:left="480"/>
              <w:spacing w:after="0"/>
              <w:rPr>
                <w:sz w:val="20"/>
                <w:szCs w:val="20"/>
                <w:color w:val="auto"/>
              </w:rPr>
            </w:pPr>
            <w:r>
              <w:rPr>
                <w:rFonts w:ascii="Arial" w:cs="Arial" w:eastAsia="Arial" w:hAnsi="Arial"/>
                <w:sz w:val="18"/>
                <w:szCs w:val="18"/>
                <w:color w:val="auto"/>
              </w:rPr>
              <w:t>Net cash provided by (used for) operating activities of continuing operations</w:t>
            </w:r>
          </w:p>
        </w:tc>
        <w:tc>
          <w:tcPr>
            <w:tcW w:w="2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(3,340)</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3,860</w:t>
            </w:r>
          </w:p>
        </w:tc>
        <w:tc>
          <w:tcPr>
            <w:tcW w:w="0" w:type="dxa"/>
            <w:vAlign w:val="bottom"/>
          </w:tcPr>
          <w:p>
            <w:pPr>
              <w:spacing w:after="0"/>
              <w:rPr>
                <w:sz w:val="1"/>
                <w:szCs w:val="1"/>
                <w:color w:val="auto"/>
              </w:rPr>
            </w:pPr>
          </w:p>
        </w:tc>
      </w:tr>
      <w:tr>
        <w:trPr>
          <w:trHeight w:val="27"/>
        </w:trPr>
        <w:tc>
          <w:tcPr>
            <w:tcW w:w="7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8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Net cash used for operating activities of discontinued operations</w:t>
            </w:r>
          </w:p>
        </w:tc>
        <w:tc>
          <w:tcPr>
            <w:tcW w:w="2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(27,130)</w:t>
            </w:r>
          </w:p>
        </w:tc>
        <w:tc>
          <w:tcPr>
            <w:tcW w:w="0" w:type="dxa"/>
            <w:vAlign w:val="bottom"/>
          </w:tcPr>
          <w:p>
            <w:pPr>
              <w:spacing w:after="0"/>
              <w:rPr>
                <w:sz w:val="1"/>
                <w:szCs w:val="1"/>
                <w:color w:val="auto"/>
              </w:rPr>
            </w:pPr>
          </w:p>
        </w:tc>
      </w:tr>
      <w:tr>
        <w:trPr>
          <w:trHeight w:val="237"/>
        </w:trPr>
        <w:tc>
          <w:tcPr>
            <w:tcW w:w="7800" w:type="dxa"/>
            <w:vAlign w:val="bottom"/>
          </w:tcPr>
          <w:p>
            <w:pPr>
              <w:ind w:left="680"/>
              <w:spacing w:after="0"/>
              <w:rPr>
                <w:sz w:val="20"/>
                <w:szCs w:val="20"/>
                <w:color w:val="auto"/>
              </w:rPr>
            </w:pPr>
            <w:r>
              <w:rPr>
                <w:rFonts w:ascii="Arial" w:cs="Arial" w:eastAsia="Arial" w:hAnsi="Arial"/>
                <w:sz w:val="18"/>
                <w:szCs w:val="18"/>
                <w:color w:val="auto"/>
              </w:rPr>
              <w:t>Net cash used for operating activities</w:t>
            </w:r>
          </w:p>
        </w:tc>
        <w:tc>
          <w:tcPr>
            <w:tcW w:w="2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(3,340)</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(23,270)</w:t>
            </w:r>
          </w:p>
        </w:tc>
        <w:tc>
          <w:tcPr>
            <w:tcW w:w="0" w:type="dxa"/>
            <w:vAlign w:val="bottom"/>
          </w:tcPr>
          <w:p>
            <w:pPr>
              <w:spacing w:after="0"/>
              <w:rPr>
                <w:sz w:val="1"/>
                <w:szCs w:val="1"/>
                <w:color w:val="auto"/>
              </w:rPr>
            </w:pPr>
          </w:p>
        </w:tc>
      </w:tr>
      <w:tr>
        <w:trPr>
          <w:trHeight w:val="27"/>
        </w:trPr>
        <w:tc>
          <w:tcPr>
            <w:tcW w:w="7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00" w:type="dxa"/>
            <w:vAlign w:val="bottom"/>
          </w:tcPr>
          <w:p>
            <w:pPr>
              <w:ind w:left="260"/>
              <w:spacing w:after="0"/>
              <w:rPr>
                <w:sz w:val="20"/>
                <w:szCs w:val="20"/>
                <w:color w:val="auto"/>
              </w:rPr>
            </w:pPr>
            <w:r>
              <w:rPr>
                <w:rFonts w:ascii="Arial" w:cs="Arial" w:eastAsia="Arial" w:hAnsi="Arial"/>
                <w:sz w:val="18"/>
                <w:szCs w:val="18"/>
                <w:color w:val="auto"/>
              </w:rPr>
              <w:t>Capital expenditures</w:t>
            </w: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(5,980)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(5,690)</w:t>
            </w:r>
          </w:p>
        </w:tc>
        <w:tc>
          <w:tcPr>
            <w:tcW w:w="0" w:type="dxa"/>
            <w:vAlign w:val="bottom"/>
          </w:tcPr>
          <w:p>
            <w:pPr>
              <w:spacing w:after="0"/>
              <w:rPr>
                <w:sz w:val="1"/>
                <w:szCs w:val="1"/>
                <w:color w:val="auto"/>
              </w:rPr>
            </w:pPr>
          </w:p>
        </w:tc>
      </w:tr>
      <w:tr>
        <w:trPr>
          <w:trHeight w:val="27"/>
        </w:trPr>
        <w:tc>
          <w:tcPr>
            <w:tcW w:w="7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proceeds from disposition of property and equipment</w:t>
            </w:r>
          </w:p>
        </w:tc>
        <w:tc>
          <w:tcPr>
            <w:tcW w:w="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37"/>
        </w:trPr>
        <w:tc>
          <w:tcPr>
            <w:tcW w:w="7800" w:type="dxa"/>
            <w:vAlign w:val="bottom"/>
          </w:tcPr>
          <w:p>
            <w:pPr>
              <w:ind w:left="480"/>
              <w:spacing w:after="0"/>
              <w:rPr>
                <w:sz w:val="20"/>
                <w:szCs w:val="20"/>
                <w:color w:val="auto"/>
              </w:rPr>
            </w:pPr>
            <w:r>
              <w:rPr>
                <w:rFonts w:ascii="Arial" w:cs="Arial" w:eastAsia="Arial" w:hAnsi="Arial"/>
                <w:sz w:val="18"/>
                <w:szCs w:val="18"/>
                <w:color w:val="auto"/>
              </w:rPr>
              <w:t>Net cash used for investing activities of continuing operations</w:t>
            </w:r>
          </w:p>
        </w:tc>
        <w:tc>
          <w:tcPr>
            <w:tcW w:w="2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(5,860)</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(5,170)</w:t>
            </w:r>
          </w:p>
        </w:tc>
        <w:tc>
          <w:tcPr>
            <w:tcW w:w="0" w:type="dxa"/>
            <w:vAlign w:val="bottom"/>
          </w:tcPr>
          <w:p>
            <w:pPr>
              <w:spacing w:after="0"/>
              <w:rPr>
                <w:sz w:val="1"/>
                <w:szCs w:val="1"/>
                <w:color w:val="auto"/>
              </w:rPr>
            </w:pPr>
          </w:p>
        </w:tc>
      </w:tr>
      <w:tr>
        <w:trPr>
          <w:trHeight w:val="27"/>
        </w:trPr>
        <w:tc>
          <w:tcPr>
            <w:tcW w:w="7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8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Net cash used for investing activities of discontinued operations</w:t>
            </w:r>
          </w:p>
        </w:tc>
        <w:tc>
          <w:tcPr>
            <w:tcW w:w="2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0" w:type="dxa"/>
            <w:vAlign w:val="bottom"/>
          </w:tcPr>
          <w:p>
            <w:pPr>
              <w:spacing w:after="0"/>
              <w:rPr>
                <w:sz w:val="1"/>
                <w:szCs w:val="1"/>
                <w:color w:val="auto"/>
              </w:rPr>
            </w:pPr>
          </w:p>
        </w:tc>
      </w:tr>
      <w:tr>
        <w:trPr>
          <w:trHeight w:val="237"/>
        </w:trPr>
        <w:tc>
          <w:tcPr>
            <w:tcW w:w="7800" w:type="dxa"/>
            <w:vAlign w:val="bottom"/>
          </w:tcPr>
          <w:p>
            <w:pPr>
              <w:ind w:left="680"/>
              <w:spacing w:after="0"/>
              <w:rPr>
                <w:sz w:val="20"/>
                <w:szCs w:val="20"/>
                <w:color w:val="auto"/>
              </w:rPr>
            </w:pPr>
            <w:r>
              <w:rPr>
                <w:rFonts w:ascii="Arial" w:cs="Arial" w:eastAsia="Arial" w:hAnsi="Arial"/>
                <w:sz w:val="18"/>
                <w:szCs w:val="18"/>
                <w:color w:val="auto"/>
              </w:rPr>
              <w:t>Net cash used for investing activities</w:t>
            </w:r>
          </w:p>
        </w:tc>
        <w:tc>
          <w:tcPr>
            <w:tcW w:w="2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(5,860)</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(7,370)</w:t>
            </w:r>
          </w:p>
        </w:tc>
        <w:tc>
          <w:tcPr>
            <w:tcW w:w="0" w:type="dxa"/>
            <w:vAlign w:val="bottom"/>
          </w:tcPr>
          <w:p>
            <w:pPr>
              <w:spacing w:after="0"/>
              <w:rPr>
                <w:sz w:val="1"/>
                <w:szCs w:val="1"/>
                <w:color w:val="auto"/>
              </w:rPr>
            </w:pPr>
          </w:p>
        </w:tc>
      </w:tr>
      <w:tr>
        <w:trPr>
          <w:trHeight w:val="27"/>
        </w:trPr>
        <w:tc>
          <w:tcPr>
            <w:tcW w:w="7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00" w:type="dxa"/>
            <w:vAlign w:val="bottom"/>
          </w:tcPr>
          <w:p>
            <w:pPr>
              <w:ind w:left="260"/>
              <w:spacing w:after="0"/>
              <w:rPr>
                <w:sz w:val="20"/>
                <w:szCs w:val="20"/>
                <w:color w:val="auto"/>
              </w:rPr>
            </w:pPr>
            <w:r>
              <w:rPr>
                <w:rFonts w:ascii="Arial" w:cs="Arial" w:eastAsia="Arial" w:hAnsi="Arial"/>
                <w:sz w:val="18"/>
                <w:szCs w:val="18"/>
                <w:color w:val="auto"/>
              </w:rPr>
              <w:t>Repayments of borrowings on term loan facilities</w:t>
            </w: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(3,470)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(5,860)</w:t>
            </w:r>
          </w:p>
        </w:tc>
        <w:tc>
          <w:tcPr>
            <w:tcW w:w="0" w:type="dxa"/>
            <w:vAlign w:val="bottom"/>
          </w:tcPr>
          <w:p>
            <w:pPr>
              <w:spacing w:after="0"/>
              <w:rPr>
                <w:sz w:val="1"/>
                <w:szCs w:val="1"/>
                <w:color w:val="auto"/>
              </w:rPr>
            </w:pPr>
          </w:p>
        </w:tc>
      </w:tr>
      <w:tr>
        <w:trPr>
          <w:trHeight w:val="27"/>
        </w:trPr>
        <w:tc>
          <w:tcPr>
            <w:tcW w:w="7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Proceeds from borrowings on revolving credit and accounts receivable facilities</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117,130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289,440</w:t>
            </w:r>
          </w:p>
        </w:tc>
        <w:tc>
          <w:tcPr>
            <w:tcW w:w="0" w:type="dxa"/>
            <w:vAlign w:val="bottom"/>
          </w:tcPr>
          <w:p>
            <w:pPr>
              <w:spacing w:after="0"/>
              <w:rPr>
                <w:sz w:val="1"/>
                <w:szCs w:val="1"/>
                <w:color w:val="auto"/>
              </w:rPr>
            </w:pPr>
          </w:p>
        </w:tc>
      </w:tr>
      <w:tr>
        <w:trPr>
          <w:trHeight w:val="243"/>
        </w:trPr>
        <w:tc>
          <w:tcPr>
            <w:tcW w:w="7800" w:type="dxa"/>
            <w:vAlign w:val="bottom"/>
          </w:tcPr>
          <w:p>
            <w:pPr>
              <w:ind w:left="260"/>
              <w:spacing w:after="0"/>
              <w:rPr>
                <w:sz w:val="20"/>
                <w:szCs w:val="20"/>
                <w:color w:val="auto"/>
              </w:rPr>
            </w:pPr>
            <w:r>
              <w:rPr>
                <w:rFonts w:ascii="Arial" w:cs="Arial" w:eastAsia="Arial" w:hAnsi="Arial"/>
                <w:sz w:val="18"/>
                <w:szCs w:val="18"/>
                <w:color w:val="auto"/>
              </w:rPr>
              <w:t>Repayments of borrowings on revolving credit and accounts receivable facilities</w:t>
            </w: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(97,220)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5"/>
              </w:rPr>
              <w:t>(245,880)</w:t>
            </w:r>
          </w:p>
        </w:tc>
        <w:tc>
          <w:tcPr>
            <w:tcW w:w="0" w:type="dxa"/>
            <w:vAlign w:val="bottom"/>
          </w:tcPr>
          <w:p>
            <w:pPr>
              <w:spacing w:after="0"/>
              <w:rPr>
                <w:sz w:val="1"/>
                <w:szCs w:val="1"/>
                <w:color w:val="auto"/>
              </w:rPr>
            </w:pPr>
          </w:p>
        </w:tc>
      </w:tr>
      <w:tr>
        <w:trPr>
          <w:trHeight w:val="27"/>
        </w:trPr>
        <w:tc>
          <w:tcPr>
            <w:tcW w:w="7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Payments for deferred purchase price</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(5,400)</w:t>
            </w:r>
          </w:p>
        </w:tc>
        <w:tc>
          <w:tcPr>
            <w:tcW w:w="0" w:type="dxa"/>
            <w:vAlign w:val="bottom"/>
          </w:tcPr>
          <w:p>
            <w:pPr>
              <w:spacing w:after="0"/>
              <w:rPr>
                <w:sz w:val="1"/>
                <w:szCs w:val="1"/>
                <w:color w:val="auto"/>
              </w:rPr>
            </w:pPr>
          </w:p>
        </w:tc>
      </w:tr>
      <w:tr>
        <w:trPr>
          <w:trHeight w:val="243"/>
        </w:trPr>
        <w:tc>
          <w:tcPr>
            <w:tcW w:w="7800" w:type="dxa"/>
            <w:vAlign w:val="bottom"/>
          </w:tcPr>
          <w:p>
            <w:pPr>
              <w:ind w:left="260"/>
              <w:spacing w:after="0"/>
              <w:rPr>
                <w:sz w:val="20"/>
                <w:szCs w:val="20"/>
                <w:color w:val="auto"/>
              </w:rPr>
            </w:pPr>
            <w:r>
              <w:rPr>
                <w:rFonts w:ascii="Arial" w:cs="Arial" w:eastAsia="Arial" w:hAnsi="Arial"/>
                <w:sz w:val="18"/>
                <w:szCs w:val="18"/>
                <w:color w:val="auto"/>
                <w:w w:val="98"/>
              </w:rPr>
              <w:t>Shares surrendered upon vesting of options and restricted stock awards to cover tax obligations</w:t>
            </w: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(650)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(2,560)</w:t>
            </w:r>
          </w:p>
        </w:tc>
        <w:tc>
          <w:tcPr>
            <w:tcW w:w="0" w:type="dxa"/>
            <w:vAlign w:val="bottom"/>
          </w:tcPr>
          <w:p>
            <w:pPr>
              <w:spacing w:after="0"/>
              <w:rPr>
                <w:sz w:val="1"/>
                <w:szCs w:val="1"/>
                <w:color w:val="auto"/>
              </w:rPr>
            </w:pPr>
          </w:p>
        </w:tc>
      </w:tr>
      <w:tr>
        <w:trPr>
          <w:trHeight w:val="27"/>
        </w:trPr>
        <w:tc>
          <w:tcPr>
            <w:tcW w:w="7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Proceeds from exercise of stock options</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43"/>
        </w:trPr>
        <w:tc>
          <w:tcPr>
            <w:tcW w:w="7800" w:type="dxa"/>
            <w:vAlign w:val="bottom"/>
          </w:tcPr>
          <w:p>
            <w:pPr>
              <w:ind w:left="260"/>
              <w:spacing w:after="0"/>
              <w:rPr>
                <w:sz w:val="20"/>
                <w:szCs w:val="20"/>
                <w:color w:val="auto"/>
              </w:rPr>
            </w:pPr>
            <w:r>
              <w:rPr>
                <w:rFonts w:ascii="Arial" w:cs="Arial" w:eastAsia="Arial" w:hAnsi="Arial"/>
                <w:sz w:val="18"/>
                <w:szCs w:val="18"/>
                <w:color w:val="auto"/>
              </w:rPr>
              <w:t>Tax effect from stock based compensation</w:t>
            </w: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(620)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7"/>
        </w:trPr>
        <w:tc>
          <w:tcPr>
            <w:tcW w:w="7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8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Net cash provided by financing activities of continuing operations</w:t>
            </w:r>
          </w:p>
        </w:tc>
        <w:tc>
          <w:tcPr>
            <w:tcW w:w="2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15,170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30,370</w:t>
            </w:r>
          </w:p>
        </w:tc>
        <w:tc>
          <w:tcPr>
            <w:tcW w:w="0" w:type="dxa"/>
            <w:vAlign w:val="bottom"/>
          </w:tcPr>
          <w:p>
            <w:pPr>
              <w:spacing w:after="0"/>
              <w:rPr>
                <w:sz w:val="1"/>
                <w:szCs w:val="1"/>
                <w:color w:val="auto"/>
              </w:rPr>
            </w:pPr>
          </w:p>
        </w:tc>
      </w:tr>
      <w:tr>
        <w:trPr>
          <w:trHeight w:val="237"/>
        </w:trPr>
        <w:tc>
          <w:tcPr>
            <w:tcW w:w="7800" w:type="dxa"/>
            <w:vAlign w:val="bottom"/>
          </w:tcPr>
          <w:p>
            <w:pPr>
              <w:ind w:left="480"/>
              <w:spacing w:after="0"/>
              <w:rPr>
                <w:sz w:val="20"/>
                <w:szCs w:val="20"/>
                <w:color w:val="auto"/>
              </w:rPr>
            </w:pPr>
            <w:r>
              <w:rPr>
                <w:rFonts w:ascii="Arial" w:cs="Arial" w:eastAsia="Arial" w:hAnsi="Arial"/>
                <w:sz w:val="18"/>
                <w:szCs w:val="18"/>
                <w:color w:val="auto"/>
              </w:rPr>
              <w:t>Net cash used for financing activities of discontinued operations</w:t>
            </w:r>
          </w:p>
        </w:tc>
        <w:tc>
          <w:tcPr>
            <w:tcW w:w="2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7"/>
        </w:trPr>
        <w:tc>
          <w:tcPr>
            <w:tcW w:w="7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80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Net cash provided by financing activities</w:t>
            </w:r>
          </w:p>
        </w:tc>
        <w:tc>
          <w:tcPr>
            <w:tcW w:w="2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15,170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29,950</w:t>
            </w:r>
          </w:p>
        </w:tc>
        <w:tc>
          <w:tcPr>
            <w:tcW w:w="0" w:type="dxa"/>
            <w:vAlign w:val="bottom"/>
          </w:tcPr>
          <w:p>
            <w:pPr>
              <w:spacing w:after="0"/>
              <w:rPr>
                <w:sz w:val="1"/>
                <w:szCs w:val="1"/>
                <w:color w:val="auto"/>
              </w:rPr>
            </w:pPr>
          </w:p>
        </w:tc>
      </w:tr>
      <w:tr>
        <w:trPr>
          <w:trHeight w:val="237"/>
        </w:trPr>
        <w:tc>
          <w:tcPr>
            <w:tcW w:w="7800" w:type="dxa"/>
            <w:vAlign w:val="bottom"/>
          </w:tcPr>
          <w:p>
            <w:pPr>
              <w:ind w:left="20"/>
              <w:spacing w:after="0"/>
              <w:rPr>
                <w:sz w:val="20"/>
                <w:szCs w:val="20"/>
                <w:color w:val="auto"/>
              </w:rPr>
            </w:pPr>
            <w:r>
              <w:rPr>
                <w:rFonts w:ascii="Arial" w:cs="Arial" w:eastAsia="Arial" w:hAnsi="Arial"/>
                <w:sz w:val="18"/>
                <w:szCs w:val="18"/>
                <w:b w:val="1"/>
                <w:bCs w:val="1"/>
                <w:color w:val="auto"/>
              </w:rPr>
              <w:t>Cash and Cash Equivalents:</w:t>
            </w:r>
          </w:p>
        </w:tc>
        <w:tc>
          <w:tcPr>
            <w:tcW w:w="2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increase (decrease) for the period</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5,970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43"/>
        </w:trPr>
        <w:tc>
          <w:tcPr>
            <w:tcW w:w="7800" w:type="dxa"/>
            <w:vAlign w:val="bottom"/>
          </w:tcPr>
          <w:p>
            <w:pPr>
              <w:ind w:left="260"/>
              <w:spacing w:after="0"/>
              <w:rPr>
                <w:sz w:val="20"/>
                <w:szCs w:val="20"/>
                <w:color w:val="auto"/>
              </w:rPr>
            </w:pPr>
            <w:r>
              <w:rPr>
                <w:rFonts w:ascii="Arial" w:cs="Arial" w:eastAsia="Arial" w:hAnsi="Arial"/>
                <w:sz w:val="18"/>
                <w:szCs w:val="18"/>
                <w:color w:val="auto"/>
              </w:rPr>
              <w:t>At beginning of period</w:t>
            </w:r>
          </w:p>
        </w:tc>
        <w:tc>
          <w:tcPr>
            <w:tcW w:w="20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19,450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24,420</w:t>
            </w:r>
          </w:p>
        </w:tc>
        <w:tc>
          <w:tcPr>
            <w:tcW w:w="0" w:type="dxa"/>
            <w:vAlign w:val="bottom"/>
          </w:tcPr>
          <w:p>
            <w:pPr>
              <w:spacing w:after="0"/>
              <w:rPr>
                <w:sz w:val="1"/>
                <w:szCs w:val="1"/>
                <w:color w:val="auto"/>
              </w:rPr>
            </w:pPr>
          </w:p>
        </w:tc>
      </w:tr>
      <w:tr>
        <w:trPr>
          <w:trHeight w:val="27"/>
        </w:trPr>
        <w:tc>
          <w:tcPr>
            <w:tcW w:w="7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8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At end of period</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25,420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23,730</w:t>
            </w:r>
          </w:p>
        </w:tc>
        <w:tc>
          <w:tcPr>
            <w:tcW w:w="0" w:type="dxa"/>
            <w:vAlign w:val="bottom"/>
          </w:tcPr>
          <w:p>
            <w:pPr>
              <w:spacing w:after="0"/>
              <w:rPr>
                <w:sz w:val="1"/>
                <w:szCs w:val="1"/>
                <w:color w:val="auto"/>
              </w:rPr>
            </w:pPr>
          </w:p>
        </w:tc>
      </w:tr>
      <w:tr>
        <w:trPr>
          <w:trHeight w:val="20"/>
        </w:trPr>
        <w:tc>
          <w:tcPr>
            <w:tcW w:w="7800" w:type="dxa"/>
            <w:vAlign w:val="bottom"/>
            <w:vMerge w:val="restart"/>
          </w:tcPr>
          <w:p>
            <w:pPr>
              <w:ind w:left="260"/>
              <w:spacing w:after="0"/>
              <w:rPr>
                <w:sz w:val="20"/>
                <w:szCs w:val="20"/>
                <w:color w:val="auto"/>
              </w:rPr>
            </w:pPr>
            <w:r>
              <w:rPr>
                <w:rFonts w:ascii="Arial" w:cs="Arial" w:eastAsia="Arial" w:hAnsi="Arial"/>
                <w:sz w:val="18"/>
                <w:szCs w:val="18"/>
                <w:color w:val="auto"/>
              </w:rPr>
              <w:t>Supplemental disclosure of cash flow information:</w:t>
            </w: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80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8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Cash paid for interest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2,980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4,710</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7800" w:type="dxa"/>
            <w:vAlign w:val="bottom"/>
          </w:tcPr>
          <w:p>
            <w:pPr>
              <w:ind w:left="480"/>
              <w:spacing w:after="0"/>
              <w:rPr>
                <w:sz w:val="20"/>
                <w:szCs w:val="20"/>
                <w:color w:val="auto"/>
              </w:rPr>
            </w:pPr>
            <w:r>
              <w:rPr>
                <w:rFonts w:ascii="Arial" w:cs="Arial" w:eastAsia="Arial" w:hAnsi="Arial"/>
                <w:sz w:val="18"/>
                <w:szCs w:val="18"/>
                <w:color w:val="auto"/>
              </w:rPr>
              <w:t>Cash paid for taxes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1,780</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8,340</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The accompanying notes are an integral part of these financial statements.</w:t>
      </w:r>
    </w:p>
    <w:p>
      <w:pPr>
        <w:sectPr>
          <w:pgSz w:w="11900" w:h="16838" w:orient="portrait"/>
          <w:cols w:equalWidth="0" w:num="1">
            <w:col w:w="10660"/>
          </w:cols>
          <w:pgMar w:left="240" w:top="125" w:right="999" w:bottom="867" w:gutter="0" w:footer="0" w:header="0"/>
        </w:sectPr>
      </w:pPr>
    </w:p>
    <w:p>
      <w:pPr>
        <w:spacing w:after="0" w:line="252"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660"/>
          </w:cols>
          <w:pgMar w:left="240" w:top="125" w:right="999" w:bottom="867"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(Unaudited—dollars in thousands)</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Accumulated</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4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Other</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4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Common</w:t>
            </w:r>
          </w:p>
        </w:tc>
        <w:tc>
          <w:tcPr>
            <w:tcW w:w="240" w:type="dxa"/>
            <w:vAlign w:val="bottom"/>
          </w:tcPr>
          <w:p>
            <w:pPr>
              <w:spacing w:after="0"/>
              <w:rPr>
                <w:sz w:val="17"/>
                <w:szCs w:val="17"/>
                <w:color w:val="auto"/>
              </w:rPr>
            </w:pPr>
          </w:p>
        </w:tc>
        <w:tc>
          <w:tcPr>
            <w:tcW w:w="1120" w:type="dxa"/>
            <w:vAlign w:val="bottom"/>
            <w:gridSpan w:val="2"/>
          </w:tcPr>
          <w:p>
            <w:pPr>
              <w:ind w:left="140"/>
              <w:spacing w:after="0"/>
              <w:rPr>
                <w:sz w:val="20"/>
                <w:szCs w:val="20"/>
                <w:color w:val="auto"/>
              </w:rPr>
            </w:pPr>
            <w:r>
              <w:rPr>
                <w:rFonts w:ascii="Arial" w:cs="Arial" w:eastAsia="Arial" w:hAnsi="Arial"/>
                <w:sz w:val="16"/>
                <w:szCs w:val="16"/>
                <w:b w:val="1"/>
                <w:bCs w:val="1"/>
                <w:color w:val="auto"/>
              </w:rPr>
              <w:t>Paid-in</w:t>
            </w:r>
          </w:p>
        </w:tc>
        <w:tc>
          <w:tcPr>
            <w:tcW w:w="14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Accumulated</w:t>
            </w: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Comprehensive</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0"/>
        </w:trPr>
        <w:tc>
          <w:tcPr>
            <w:tcW w:w="4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7"/>
              </w:rPr>
              <w:t>Stock</w:t>
            </w:r>
          </w:p>
        </w:tc>
        <w:tc>
          <w:tcPr>
            <w:tcW w:w="240" w:type="dxa"/>
            <w:vAlign w:val="bottom"/>
          </w:tcPr>
          <w:p>
            <w:pPr>
              <w:spacing w:after="0"/>
              <w:rPr>
                <w:sz w:val="18"/>
                <w:szCs w:val="18"/>
                <w:color w:val="auto"/>
              </w:rPr>
            </w:pPr>
          </w:p>
        </w:tc>
        <w:tc>
          <w:tcPr>
            <w:tcW w:w="1120" w:type="dxa"/>
            <w:vAlign w:val="bottom"/>
            <w:gridSpan w:val="2"/>
          </w:tcPr>
          <w:p>
            <w:pPr>
              <w:ind w:left="120"/>
              <w:spacing w:after="0"/>
              <w:rPr>
                <w:sz w:val="20"/>
                <w:szCs w:val="20"/>
                <w:color w:val="auto"/>
              </w:rPr>
            </w:pPr>
            <w:r>
              <w:rPr>
                <w:rFonts w:ascii="Arial" w:cs="Arial" w:eastAsia="Arial" w:hAnsi="Arial"/>
                <w:sz w:val="16"/>
                <w:szCs w:val="16"/>
                <w:b w:val="1"/>
                <w:bCs w:val="1"/>
                <w:color w:val="auto"/>
              </w:rPr>
              <w:t>Capital</w:t>
            </w: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Deficit</w:t>
            </w: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5"/>
              </w:rPr>
              <w:t>Loss</w:t>
            </w:r>
          </w:p>
        </w:tc>
        <w:tc>
          <w:tcPr>
            <w:tcW w:w="280" w:type="dxa"/>
            <w:vAlign w:val="bottom"/>
          </w:tcPr>
          <w:p>
            <w:pPr>
              <w:spacing w:after="0"/>
              <w:rPr>
                <w:sz w:val="18"/>
                <w:szCs w:val="18"/>
                <w:color w:val="auto"/>
              </w:rPr>
            </w:pPr>
          </w:p>
        </w:tc>
        <w:tc>
          <w:tcPr>
            <w:tcW w:w="980" w:type="dxa"/>
            <w:vAlign w:val="bottom"/>
          </w:tcPr>
          <w:p>
            <w:pPr>
              <w:jc w:val="right"/>
              <w:ind w:right="371"/>
              <w:spacing w:after="0"/>
              <w:rPr>
                <w:sz w:val="20"/>
                <w:szCs w:val="20"/>
                <w:color w:val="auto"/>
              </w:rPr>
            </w:pPr>
            <w:r>
              <w:rPr>
                <w:rFonts w:ascii="Arial" w:cs="Arial" w:eastAsia="Arial" w:hAnsi="Arial"/>
                <w:sz w:val="16"/>
                <w:szCs w:val="16"/>
                <w:b w:val="1"/>
                <w:bCs w:val="1"/>
                <w:color w:val="auto"/>
              </w:rPr>
              <w:t>Total</w:t>
            </w:r>
          </w:p>
        </w:tc>
      </w:tr>
      <w:tr>
        <w:trPr>
          <w:trHeight w:val="33"/>
        </w:trPr>
        <w:tc>
          <w:tcPr>
            <w:tcW w:w="4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December 31, 2015</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812,160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(254,120)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547,190</w:t>
            </w: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8,300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8,300</w:t>
            </w:r>
          </w:p>
        </w:tc>
      </w:tr>
      <w:tr>
        <w:trPr>
          <w:trHeight w:val="27"/>
        </w:trPr>
        <w:tc>
          <w:tcPr>
            <w:tcW w:w="4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loss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(5,470)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(5,470)</w:t>
            </w:r>
          </w:p>
        </w:tc>
      </w:tr>
      <w:tr>
        <w:trPr>
          <w:trHeight w:val="229"/>
        </w:trPr>
        <w:tc>
          <w:tcPr>
            <w:tcW w:w="4480" w:type="dxa"/>
            <w:vAlign w:val="bottom"/>
          </w:tcPr>
          <w:p>
            <w:pPr>
              <w:ind w:left="40"/>
              <w:spacing w:after="0"/>
              <w:rPr>
                <w:sz w:val="20"/>
                <w:szCs w:val="20"/>
                <w:color w:val="auto"/>
              </w:rPr>
            </w:pPr>
            <w:r>
              <w:rPr>
                <w:rFonts w:ascii="Arial" w:cs="Arial" w:eastAsia="Arial" w:hAnsi="Arial"/>
                <w:sz w:val="18"/>
                <w:szCs w:val="18"/>
                <w:color w:val="auto"/>
                <w:w w:val="95"/>
              </w:rPr>
              <w:t>Shares surrendered upon vesting of options and restricted</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4480" w:type="dxa"/>
            <w:vAlign w:val="bottom"/>
          </w:tcPr>
          <w:p>
            <w:pPr>
              <w:ind w:left="40"/>
              <w:spacing w:after="0"/>
              <w:rPr>
                <w:sz w:val="20"/>
                <w:szCs w:val="20"/>
                <w:color w:val="auto"/>
              </w:rPr>
            </w:pPr>
            <w:r>
              <w:rPr>
                <w:rFonts w:ascii="Arial" w:cs="Arial" w:eastAsia="Arial" w:hAnsi="Arial"/>
                <w:sz w:val="18"/>
                <w:szCs w:val="18"/>
                <w:color w:val="auto"/>
              </w:rPr>
              <w:t>stock awards to cover tax obligations</w:t>
            </w:r>
          </w:p>
        </w:tc>
        <w:tc>
          <w:tcPr>
            <w:tcW w:w="22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(650)</w:t>
            </w:r>
          </w:p>
        </w:tc>
      </w:tr>
      <w:tr>
        <w:trPr>
          <w:trHeight w:val="27"/>
        </w:trPr>
        <w:tc>
          <w:tcPr>
            <w:tcW w:w="4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effect from stock based compensation</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(620)</w:t>
            </w: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Non-cash compensation expense</w:t>
            </w:r>
          </w:p>
        </w:tc>
        <w:tc>
          <w:tcPr>
            <w:tcW w:w="2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1,970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1,970</w:t>
            </w:r>
          </w:p>
        </w:tc>
      </w:tr>
      <w:tr>
        <w:trPr>
          <w:trHeight w:val="27"/>
        </w:trPr>
        <w:tc>
          <w:tcPr>
            <w:tcW w:w="44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March 31, 2016</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450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812,860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(245,820)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(16,770)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550,720</w:t>
            </w:r>
          </w:p>
        </w:tc>
      </w:tr>
      <w:tr>
        <w:trPr>
          <w:trHeight w:val="20"/>
        </w:trPr>
        <w:tc>
          <w:tcPr>
            <w:tcW w:w="4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TriMas Corporation ("TriMas" or the "Company"), and its consolidated subsidiaries, is a global manufacturer and distributor of products for commercial, industrial and consumer markets. The Company is principally engaged in the following reportable segments with diverse products and market channels: Packaging, Aerospace, Energy and Engineered Components. See Note 10, "</w:t>
      </w:r>
      <w:r>
        <w:rPr>
          <w:rFonts w:ascii="Arial" w:cs="Arial" w:eastAsia="Arial" w:hAnsi="Arial"/>
          <w:sz w:val="18"/>
          <w:szCs w:val="18"/>
          <w:i w:val="1"/>
          <w:iCs w:val="1"/>
          <w:color w:val="auto"/>
        </w:rPr>
        <w:t>Segment Information</w:t>
      </w:r>
      <w:r>
        <w:rPr>
          <w:rFonts w:ascii="Arial" w:cs="Arial" w:eastAsia="Arial" w:hAnsi="Arial"/>
          <w:sz w:val="18"/>
          <w:szCs w:val="18"/>
          <w:color w:val="auto"/>
        </w:rPr>
        <w:t>," for further information on each of the Company's reportable segments.</w:t>
      </w:r>
    </w:p>
    <w:p>
      <w:pPr>
        <w:spacing w:after="0" w:line="2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30, 2015, the Company completed the spin-off of its Cequent businesses, creating a new independent publicly traded company, Horizon Global Corporation ("Horizon"). The Company incurred approximately $30 million of one-time, pre-tax costs associated with the spin-off, of which approximately $4 million was incurred during the three months ended March 31, 2015 and was included in income from discontinued operations. These costs primarily related to financing, legal, tax and accounting services rendered by third parties.</w:t>
      </w:r>
    </w:p>
    <w:p>
      <w:pPr>
        <w:spacing w:after="0" w:line="2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results of operations and cash flows of the Cequent businesses are reflected as discontinued operations for all periods presented through the date of the spin-off. See Note 3, "</w:t>
      </w:r>
      <w:r>
        <w:rPr>
          <w:rFonts w:ascii="Arial" w:cs="Arial" w:eastAsia="Arial" w:hAnsi="Arial"/>
          <w:sz w:val="18"/>
          <w:szCs w:val="18"/>
          <w:i w:val="1"/>
          <w:iCs w:val="1"/>
          <w:color w:val="auto"/>
        </w:rPr>
        <w:t>Discontinued Operations</w:t>
      </w:r>
      <w:r>
        <w:rPr>
          <w:rFonts w:ascii="Arial" w:cs="Arial" w:eastAsia="Arial" w:hAnsi="Arial"/>
          <w:sz w:val="18"/>
          <w:szCs w:val="18"/>
          <w:color w:val="auto"/>
        </w:rPr>
        <w:t>," for further details regarding the spin-off.</w:t>
      </w:r>
    </w:p>
    <w:p>
      <w:pPr>
        <w:spacing w:after="0" w:line="22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accompanying consolidated financial statements include the accounts of the Company and its subsidiaries and, in the opinion of management, contain all adjustments, including adjustments of a normal and recurring nature, necessary for a fair presentation of financial position and results of operations. Results of operations for interim periods are not necessarily indicative of results for the full year. The accompanying consolidated financial statements and notes thereto should be read in conjunction with the Company's 2015 Annual Report on Form 10-K.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New Accounting Pronouncements</w:t>
      </w:r>
    </w:p>
    <w:p>
      <w:pPr>
        <w:spacing w:after="0" w:line="28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March 2016, the Financial Accounting Standards Board ("FASB") issued Accounting Standards Update ("ASU") 2016-09, "Compensation - Stock Compensation (Topic 718)" ("ASU 2016-09"). ASU 2016-09 simplifies several aspects of accounting for share-based payment award transactions, including income tax consequences, classification of awards as either equity or liabilities and classification on the statement of cash flows. ASU 2016-09 is effective for fiscal years, and interim periods within those years, beginning after December 15, 2016, with early adoption permitted. The Company is in the process of assessing the impact of adoption of ASU 2016-09 on its consolidated financial statements.</w:t>
      </w:r>
    </w:p>
    <w:p>
      <w:pPr>
        <w:spacing w:after="0" w:line="22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February 2016, the FASB issued ASU 2016-02, "Leases (Topic 842)" ("ASU 2016-02"). ASU 2016-02 requires that lessees, at the lease commencement date, recognize a lease liability representing the lessee's obligation to make lease payments arising from a lease as well as a right-of-use asset, which represents the lessee's right to use, or control the use of a specified asset, for the lease term. The new guidance also aligns lessor accounting to the lessee accounting model and to Topic 606, "Revenue from Contracts with Customers." ASU 2016-02 is effective for fiscal years, and interim periods within those years, beginning after December 15, 2018 and is to be applied using a modified retrospective approach with early adoption permitted. The Company is in the process of assessing the impact of the adoption of ASU 2016-02 on its consolidated financial statements.</w:t>
      </w:r>
    </w:p>
    <w:p>
      <w:pPr>
        <w:spacing w:after="0" w:line="23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July 2015, the FASB issued ASU 2015-11, "Inventory (Topic 330): Simplifying the Measurement of Inventory" ("ASU 2015-11"). ASU 2015-11 requires an entity to measure inventory at the lower of cost and net realizable value, thereby simplifying the current guidance under which an entity must measure inventory at the lower of cost or market. The ASU defines net realizable value as the estimated selling prices in the ordinary course of business, less reasonably predictable costs of completion, disposal and transportation. ASU 2015-11 is effective for fiscal years, and interim periods within those years, beginning after December 15, 2016 and is to be applied prospectively with early adoption permitted. The Company is in the process of assessing the impact of adoption of ASU 2015-11 on its consolidated financial statements.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May 2014, the FASB issued ASU 2014-09, "Revenue from Contracts with Customers (Topic 606)" ("ASU 2014-09"). ASU 2014-09 requires that an entity recognize revenue to depict the transfer of promised goods or services to customers in an amount that reflects the consideration to which the company expects to be entitled in exchange for those goods or services. ASU 2014-09 was originally effective for fiscal years, and interim periods within those years, beginning on or after December 15, 2016. In August 2015, the FASB issued ASU 2015-14, "Revenue from Contracts with Customers (Topic 606): Deferral of the Effective Date" ("ASU 2015-14"), which defers ASU 2014-09 by one year, making it effective for annual reporting periods beginning on or after December 15, 2017 while also providing for early adoption, but not before the original effective date. Additionally, in March 2016, the FASB issued ASU 2016-08, "Revenue from Contracts with Customers (Topic 606): Principal versus Agent Considerations (Reporting Revenue Gross versus Net)," which clarifies the implementation guidance on principal versus agent considerations in ASU 2014-09. The Company is in the process of assessing the impact of the adoption of these ASUs on its consolidated financial statements.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Discontinued Operations</w:t>
      </w:r>
    </w:p>
    <w:p>
      <w:pPr>
        <w:spacing w:after="0" w:line="28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June 30, 2015, the Company completed the spin-off of its Cequent businesses (comprised of the former Cequent Americas and Cequent Asia Pacific Europe Africa ("Cequent APEA") reportable segments), creating a new independent publicly traded company, Horizon, through the distribution of 100% of the Company's interest in Horizon to holders of the Company's common stock. On June 30, 2015, each of the Company's shareholders of record as of the close of business on the record date of June 25, 2015 received two shares of Horizon common stock for every five shares of TriMas common stock held. In addition, on June 30, 2015, immediately prior to the effective time of the spin-off, Horizon entered into a new debt financing arrangement and used the proceeds to make a cash distribution of approximately $214.5 million to the Company.</w:t>
      </w:r>
    </w:p>
    <w:p>
      <w:pPr>
        <w:spacing w:after="0" w:line="2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Following the spin-off, there were no assets or liabilities remaining from the Cequent operations. The Cequent businesses are presented as discontinued operations in the Company's consolidated statement of income and cash flows for all periods presented.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Results of discontinued operations are summarized as follows:</w:t>
      </w:r>
    </w:p>
    <w:p>
      <w:pPr>
        <w:spacing w:after="0" w:line="200" w:lineRule="exact"/>
        <w:rPr>
          <w:sz w:val="20"/>
          <w:szCs w:val="20"/>
          <w:color w:val="auto"/>
        </w:rPr>
      </w:pPr>
    </w:p>
    <w:p>
      <w:pPr>
        <w:spacing w:after="0" w:line="242" w:lineRule="exact"/>
        <w:rPr>
          <w:sz w:val="20"/>
          <w:szCs w:val="20"/>
          <w:color w:val="auto"/>
        </w:rPr>
      </w:pPr>
    </w:p>
    <w:tbl>
      <w:tblPr>
        <w:tblLayout w:type="fixed"/>
        <w:tblInd w:w="1840" w:type="dxa"/>
        <w:tblCellMar>
          <w:top w:w="0" w:type="dxa"/>
          <w:left w:w="0" w:type="dxa"/>
          <w:bottom w:w="0" w:type="dxa"/>
          <w:right w:w="0" w:type="dxa"/>
        </w:tblCellMar>
      </w:tblPr>
      <w:tr>
        <w:trPr>
          <w:trHeight w:val="203"/>
        </w:trPr>
        <w:tc>
          <w:tcPr>
            <w:tcW w:w="5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jc w:val="center"/>
              <w:ind w:right="92"/>
              <w:spacing w:after="0"/>
              <w:rPr>
                <w:sz w:val="20"/>
                <w:szCs w:val="20"/>
                <w:color w:val="auto"/>
              </w:rPr>
            </w:pPr>
            <w:r>
              <w:rPr>
                <w:rFonts w:ascii="Arial" w:cs="Arial" w:eastAsia="Arial" w:hAnsi="Arial"/>
                <w:sz w:val="16"/>
                <w:szCs w:val="16"/>
                <w:b w:val="1"/>
                <w:bCs w:val="1"/>
                <w:color w:val="auto"/>
                <w:w w:val="90"/>
              </w:rPr>
              <w:t>Three months ended</w:t>
            </w:r>
          </w:p>
        </w:tc>
        <w:tc>
          <w:tcPr>
            <w:tcW w:w="0" w:type="dxa"/>
            <w:vAlign w:val="bottom"/>
          </w:tcPr>
          <w:p>
            <w:pPr>
              <w:spacing w:after="0"/>
              <w:rPr>
                <w:sz w:val="1"/>
                <w:szCs w:val="1"/>
                <w:color w:val="auto"/>
              </w:rPr>
            </w:pPr>
          </w:p>
        </w:tc>
      </w:tr>
      <w:tr>
        <w:trPr>
          <w:trHeight w:val="210"/>
        </w:trPr>
        <w:tc>
          <w:tcPr>
            <w:tcW w:w="5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center"/>
              <w:ind w:right="92"/>
              <w:spacing w:after="0"/>
              <w:rPr>
                <w:sz w:val="20"/>
                <w:szCs w:val="20"/>
                <w:color w:val="auto"/>
              </w:rPr>
            </w:pPr>
            <w:r>
              <w:rPr>
                <w:rFonts w:ascii="Arial" w:cs="Arial" w:eastAsia="Arial" w:hAnsi="Arial"/>
                <w:sz w:val="16"/>
                <w:szCs w:val="16"/>
                <w:b w:val="1"/>
                <w:bCs w:val="1"/>
                <w:color w:val="auto"/>
                <w:w w:val="94"/>
              </w:rPr>
              <w:t>March 31,</w:t>
            </w:r>
          </w:p>
        </w:tc>
        <w:tc>
          <w:tcPr>
            <w:tcW w:w="0" w:type="dxa"/>
            <w:vAlign w:val="bottom"/>
          </w:tcPr>
          <w:p>
            <w:pPr>
              <w:spacing w:after="0"/>
              <w:rPr>
                <w:sz w:val="1"/>
                <w:szCs w:val="1"/>
                <w:color w:val="auto"/>
              </w:rPr>
            </w:pPr>
          </w:p>
        </w:tc>
      </w:tr>
      <w:tr>
        <w:trPr>
          <w:trHeight w:val="33"/>
        </w:trPr>
        <w:tc>
          <w:tcPr>
            <w:tcW w:w="58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center"/>
              <w:ind w:right="92"/>
              <w:spacing w:after="0"/>
              <w:rPr>
                <w:sz w:val="20"/>
                <w:szCs w:val="20"/>
                <w:color w:val="auto"/>
              </w:rPr>
            </w:pPr>
            <w:r>
              <w:rPr>
                <w:rFonts w:ascii="Arial" w:cs="Arial" w:eastAsia="Arial" w:hAnsi="Arial"/>
                <w:sz w:val="16"/>
                <w:szCs w:val="16"/>
                <w:b w:val="1"/>
                <w:bCs w:val="1"/>
                <w:color w:val="auto"/>
                <w:w w:val="95"/>
              </w:rPr>
              <w:t>2015</w:t>
            </w:r>
          </w:p>
        </w:tc>
        <w:tc>
          <w:tcPr>
            <w:tcW w:w="0" w:type="dxa"/>
            <w:vAlign w:val="bottom"/>
          </w:tcPr>
          <w:p>
            <w:pPr>
              <w:spacing w:after="0"/>
              <w:rPr>
                <w:sz w:val="1"/>
                <w:szCs w:val="1"/>
                <w:color w:val="auto"/>
              </w:rPr>
            </w:pPr>
          </w:p>
        </w:tc>
      </w:tr>
      <w:tr>
        <w:trPr>
          <w:trHeight w:val="33"/>
        </w:trPr>
        <w:tc>
          <w:tcPr>
            <w:tcW w:w="58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center"/>
              <w:ind w:right="92"/>
              <w:spacing w:after="0"/>
              <w:rPr>
                <w:sz w:val="20"/>
                <w:szCs w:val="20"/>
                <w:color w:val="auto"/>
              </w:rPr>
            </w:pPr>
            <w:r>
              <w:rPr>
                <w:rFonts w:ascii="Arial" w:cs="Arial" w:eastAsia="Arial" w:hAnsi="Arial"/>
                <w:sz w:val="16"/>
                <w:szCs w:val="16"/>
                <w:b w:val="1"/>
                <w:bCs w:val="1"/>
                <w:color w:val="auto"/>
                <w:w w:val="89"/>
              </w:rPr>
              <w:t>(dollars in thousands)</w:t>
            </w:r>
          </w:p>
        </w:tc>
        <w:tc>
          <w:tcPr>
            <w:tcW w:w="0" w:type="dxa"/>
            <w:vAlign w:val="bottom"/>
          </w:tcPr>
          <w:p>
            <w:pPr>
              <w:spacing w:after="0"/>
              <w:rPr>
                <w:sz w:val="1"/>
                <w:szCs w:val="1"/>
                <w:color w:val="auto"/>
              </w:rPr>
            </w:pPr>
          </w:p>
        </w:tc>
      </w:tr>
      <w:tr>
        <w:trPr>
          <w:trHeight w:val="33"/>
        </w:trPr>
        <w:tc>
          <w:tcPr>
            <w:tcW w:w="5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142,360</w:t>
            </w:r>
          </w:p>
        </w:tc>
        <w:tc>
          <w:tcPr>
            <w:tcW w:w="0" w:type="dxa"/>
            <w:vAlign w:val="bottom"/>
          </w:tcPr>
          <w:p>
            <w:pPr>
              <w:spacing w:after="0"/>
              <w:rPr>
                <w:sz w:val="1"/>
                <w:szCs w:val="1"/>
                <w:color w:val="auto"/>
              </w:rPr>
            </w:pPr>
          </w:p>
        </w:tc>
      </w:tr>
      <w:tr>
        <w:trPr>
          <w:trHeight w:val="243"/>
        </w:trPr>
        <w:tc>
          <w:tcPr>
            <w:tcW w:w="586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1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(107,060)</w:t>
            </w:r>
          </w:p>
        </w:tc>
        <w:tc>
          <w:tcPr>
            <w:tcW w:w="0" w:type="dxa"/>
            <w:vAlign w:val="bottom"/>
          </w:tcPr>
          <w:p>
            <w:pPr>
              <w:spacing w:after="0"/>
              <w:rPr>
                <w:sz w:val="1"/>
                <w:szCs w:val="1"/>
                <w:color w:val="auto"/>
              </w:rPr>
            </w:pPr>
          </w:p>
        </w:tc>
      </w:tr>
      <w:tr>
        <w:trPr>
          <w:trHeight w:val="27"/>
        </w:trPr>
        <w:tc>
          <w:tcPr>
            <w:tcW w:w="58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Gross profit</w:t>
            </w:r>
          </w:p>
        </w:tc>
        <w:tc>
          <w:tcPr>
            <w:tcW w:w="1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35,300</w:t>
            </w:r>
          </w:p>
        </w:tc>
        <w:tc>
          <w:tcPr>
            <w:tcW w:w="0" w:type="dxa"/>
            <w:vAlign w:val="bottom"/>
          </w:tcPr>
          <w:p>
            <w:pPr>
              <w:spacing w:after="0"/>
              <w:rPr>
                <w:sz w:val="1"/>
                <w:szCs w:val="1"/>
                <w:color w:val="auto"/>
              </w:rPr>
            </w:pPr>
          </w:p>
        </w:tc>
      </w:tr>
      <w:tr>
        <w:trPr>
          <w:trHeight w:val="243"/>
        </w:trPr>
        <w:tc>
          <w:tcPr>
            <w:tcW w:w="586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(30,820)</w:t>
            </w:r>
          </w:p>
        </w:tc>
        <w:tc>
          <w:tcPr>
            <w:tcW w:w="0" w:type="dxa"/>
            <w:vAlign w:val="bottom"/>
          </w:tcPr>
          <w:p>
            <w:pPr>
              <w:spacing w:after="0"/>
              <w:rPr>
                <w:sz w:val="1"/>
                <w:szCs w:val="1"/>
                <w:color w:val="auto"/>
              </w:rPr>
            </w:pPr>
          </w:p>
        </w:tc>
      </w:tr>
      <w:tr>
        <w:trPr>
          <w:trHeight w:val="27"/>
        </w:trPr>
        <w:tc>
          <w:tcPr>
            <w:tcW w:w="58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Operating profit</w:t>
            </w:r>
          </w:p>
        </w:tc>
        <w:tc>
          <w:tcPr>
            <w:tcW w:w="16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4,480</w:t>
            </w:r>
          </w:p>
        </w:tc>
        <w:tc>
          <w:tcPr>
            <w:tcW w:w="0" w:type="dxa"/>
            <w:vAlign w:val="bottom"/>
          </w:tcPr>
          <w:p>
            <w:pPr>
              <w:spacing w:after="0"/>
              <w:rPr>
                <w:sz w:val="1"/>
                <w:szCs w:val="1"/>
                <w:color w:val="auto"/>
              </w:rPr>
            </w:pPr>
          </w:p>
        </w:tc>
      </w:tr>
      <w:tr>
        <w:trPr>
          <w:trHeight w:val="237"/>
        </w:trPr>
        <w:tc>
          <w:tcPr>
            <w:tcW w:w="58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6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(1,220)</w:t>
            </w: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expense, net</w:t>
            </w:r>
          </w:p>
        </w:tc>
        <w:tc>
          <w:tcPr>
            <w:tcW w:w="16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37"/>
        </w:trPr>
        <w:tc>
          <w:tcPr>
            <w:tcW w:w="5860" w:type="dxa"/>
            <w:vAlign w:val="bottom"/>
          </w:tcPr>
          <w:p>
            <w:pPr>
              <w:ind w:left="140"/>
              <w:spacing w:after="0"/>
              <w:rPr>
                <w:sz w:val="20"/>
                <w:szCs w:val="20"/>
                <w:color w:val="auto"/>
              </w:rPr>
            </w:pPr>
            <w:r>
              <w:rPr>
                <w:rFonts w:ascii="Arial" w:cs="Arial" w:eastAsia="Arial" w:hAnsi="Arial"/>
                <w:sz w:val="18"/>
                <w:szCs w:val="18"/>
                <w:color w:val="auto"/>
              </w:rPr>
              <w:t>Other expense, net</w:t>
            </w:r>
          </w:p>
        </w:tc>
        <w:tc>
          <w:tcPr>
            <w:tcW w:w="160" w:type="dxa"/>
            <w:vAlign w:val="bottom"/>
            <w:tcBorders>
              <w:top w:val="single" w:sz="8" w:color="auto"/>
            </w:tcBorders>
          </w:tcPr>
          <w:p>
            <w:pPr>
              <w:spacing w:after="0"/>
              <w:rPr>
                <w:sz w:val="20"/>
                <w:szCs w:val="20"/>
                <w:color w:val="auto"/>
              </w:rPr>
            </w:pP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(2,470)</w:t>
            </w:r>
          </w:p>
        </w:tc>
        <w:tc>
          <w:tcPr>
            <w:tcW w:w="0" w:type="dxa"/>
            <w:vAlign w:val="bottom"/>
          </w:tcPr>
          <w:p>
            <w:pPr>
              <w:spacing w:after="0"/>
              <w:rPr>
                <w:sz w:val="1"/>
                <w:szCs w:val="1"/>
                <w:color w:val="auto"/>
              </w:rPr>
            </w:pPr>
          </w:p>
        </w:tc>
      </w:tr>
      <w:tr>
        <w:trPr>
          <w:trHeight w:val="27"/>
        </w:trPr>
        <w:tc>
          <w:tcPr>
            <w:tcW w:w="58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discontinued operations, before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243"/>
        </w:trPr>
        <w:tc>
          <w:tcPr>
            <w:tcW w:w="5860" w:type="dxa"/>
            <w:vAlign w:val="bottom"/>
          </w:tcPr>
          <w:p>
            <w:pPr>
              <w:ind w:left="20"/>
              <w:spacing w:after="0"/>
              <w:rPr>
                <w:sz w:val="20"/>
                <w:szCs w:val="20"/>
                <w:color w:val="auto"/>
              </w:rPr>
            </w:pPr>
            <w:r>
              <w:rPr>
                <w:rFonts w:ascii="Arial" w:cs="Arial" w:eastAsia="Arial" w:hAnsi="Arial"/>
                <w:sz w:val="18"/>
                <w:szCs w:val="18"/>
                <w:color w:val="auto"/>
              </w:rPr>
              <w:t>Income tax benefit</w:t>
            </w:r>
          </w:p>
        </w:tc>
        <w:tc>
          <w:tcPr>
            <w:tcW w:w="160" w:type="dxa"/>
            <w:vAlign w:val="bottom"/>
          </w:tcPr>
          <w:p>
            <w:pPr>
              <w:spacing w:after="0"/>
              <w:rPr>
                <w:sz w:val="21"/>
                <w:szCs w:val="21"/>
                <w:color w:val="auto"/>
              </w:rPr>
            </w:pPr>
          </w:p>
        </w:tc>
        <w:tc>
          <w:tcPr>
            <w:tcW w:w="1760" w:type="dxa"/>
            <w:vAlign w:val="bottom"/>
          </w:tcPr>
          <w:p>
            <w:pPr>
              <w:jc w:val="right"/>
              <w:ind w:right="32"/>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58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8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Income from discontinued operations, net of tax</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2,040</w:t>
            </w:r>
          </w:p>
        </w:tc>
        <w:tc>
          <w:tcPr>
            <w:tcW w:w="0" w:type="dxa"/>
            <w:vAlign w:val="bottom"/>
          </w:tcPr>
          <w:p>
            <w:pPr>
              <w:spacing w:after="0"/>
              <w:rPr>
                <w:sz w:val="1"/>
                <w:szCs w:val="1"/>
                <w:color w:val="auto"/>
              </w:rPr>
            </w:pPr>
          </w:p>
        </w:tc>
      </w:tr>
      <w:tr>
        <w:trPr>
          <w:trHeight w:val="20"/>
        </w:trPr>
        <w:tc>
          <w:tcPr>
            <w:tcW w:w="5860" w:type="dxa"/>
            <w:vAlign w:val="bottom"/>
            <w:vMerge w:val="restart"/>
          </w:tcPr>
          <w:p>
            <w:pPr>
              <w:ind w:left="3820"/>
              <w:spacing w:after="0"/>
              <w:rPr>
                <w:sz w:val="20"/>
                <w:szCs w:val="20"/>
                <w:color w:val="auto"/>
              </w:rPr>
            </w:pPr>
            <w:r>
              <w:rPr>
                <w:rFonts w:ascii="Arial" w:cs="Arial" w:eastAsia="Arial" w:hAnsi="Arial"/>
                <w:sz w:val="18"/>
                <w:szCs w:val="18"/>
                <w:color w:val="auto"/>
              </w:rPr>
              <w:t>9</w:t>
            </w: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58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 and Other Intangible Assets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for the three months ended March 31, 2016 are summarized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Engineered</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10"/>
        </w:trPr>
        <w:tc>
          <w:tcPr>
            <w:tcW w:w="3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ind w:left="40"/>
              <w:spacing w:after="0"/>
              <w:rPr>
                <w:sz w:val="20"/>
                <w:szCs w:val="20"/>
                <w:color w:val="auto"/>
              </w:rPr>
            </w:pPr>
            <w:r>
              <w:rPr>
                <w:rFonts w:ascii="Arial" w:cs="Arial" w:eastAsia="Arial" w:hAnsi="Arial"/>
                <w:sz w:val="16"/>
                <w:szCs w:val="16"/>
                <w:b w:val="1"/>
                <w:bCs w:val="1"/>
                <w:color w:val="auto"/>
              </w:rPr>
              <w:t>Packaging</w:t>
            </w:r>
          </w:p>
        </w:tc>
        <w:tc>
          <w:tcPr>
            <w:tcW w:w="160" w:type="dxa"/>
            <w:vAlign w:val="bottom"/>
          </w:tcPr>
          <w:p>
            <w:pPr>
              <w:spacing w:after="0"/>
              <w:rPr>
                <w:sz w:val="18"/>
                <w:szCs w:val="18"/>
                <w:color w:val="auto"/>
              </w:rPr>
            </w:pPr>
          </w:p>
        </w:tc>
        <w:tc>
          <w:tcPr>
            <w:tcW w:w="1060" w:type="dxa"/>
            <w:vAlign w:val="bottom"/>
            <w:gridSpan w:val="2"/>
          </w:tcPr>
          <w:p>
            <w:pPr>
              <w:ind w:left="40"/>
              <w:spacing w:after="0"/>
              <w:rPr>
                <w:sz w:val="20"/>
                <w:szCs w:val="20"/>
                <w:color w:val="auto"/>
              </w:rPr>
            </w:pPr>
            <w:r>
              <w:rPr>
                <w:rFonts w:ascii="Arial" w:cs="Arial" w:eastAsia="Arial" w:hAnsi="Arial"/>
                <w:sz w:val="16"/>
                <w:szCs w:val="16"/>
                <w:b w:val="1"/>
                <w:bCs w:val="1"/>
                <w:color w:val="auto"/>
              </w:rPr>
              <w:t>Aerospace</w:t>
            </w:r>
          </w:p>
        </w:tc>
        <w:tc>
          <w:tcPr>
            <w:tcW w:w="200" w:type="dxa"/>
            <w:vAlign w:val="bottom"/>
          </w:tcPr>
          <w:p>
            <w:pPr>
              <w:spacing w:after="0"/>
              <w:rPr>
                <w:sz w:val="18"/>
                <w:szCs w:val="18"/>
                <w:color w:val="auto"/>
              </w:rPr>
            </w:pPr>
          </w:p>
        </w:tc>
        <w:tc>
          <w:tcPr>
            <w:tcW w:w="1020" w:type="dxa"/>
            <w:vAlign w:val="bottom"/>
            <w:gridSpan w:val="2"/>
          </w:tcPr>
          <w:p>
            <w:pPr>
              <w:ind w:left="100"/>
              <w:spacing w:after="0"/>
              <w:rPr>
                <w:sz w:val="20"/>
                <w:szCs w:val="20"/>
                <w:color w:val="auto"/>
              </w:rPr>
            </w:pPr>
            <w:r>
              <w:rPr>
                <w:rFonts w:ascii="Arial" w:cs="Arial" w:eastAsia="Arial" w:hAnsi="Arial"/>
                <w:sz w:val="16"/>
                <w:szCs w:val="16"/>
                <w:b w:val="1"/>
                <w:bCs w:val="1"/>
                <w:color w:val="auto"/>
              </w:rPr>
              <w:t>Energy</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Components</w:t>
            </w:r>
          </w:p>
        </w:tc>
        <w:tc>
          <w:tcPr>
            <w:tcW w:w="260" w:type="dxa"/>
            <w:vAlign w:val="bottom"/>
          </w:tcPr>
          <w:p>
            <w:pPr>
              <w:spacing w:after="0"/>
              <w:rPr>
                <w:sz w:val="18"/>
                <w:szCs w:val="18"/>
                <w:color w:val="auto"/>
              </w:rPr>
            </w:pPr>
          </w:p>
        </w:tc>
        <w:tc>
          <w:tcPr>
            <w:tcW w:w="860" w:type="dxa"/>
            <w:vAlign w:val="bottom"/>
          </w:tcPr>
          <w:p>
            <w:pPr>
              <w:jc w:val="right"/>
              <w:ind w:right="292"/>
              <w:spacing w:after="0"/>
              <w:rPr>
                <w:sz w:val="20"/>
                <w:szCs w:val="20"/>
                <w:color w:val="auto"/>
              </w:rPr>
            </w:pPr>
            <w:r>
              <w:rPr>
                <w:rFonts w:ascii="Arial" w:cs="Arial" w:eastAsia="Arial" w:hAnsi="Arial"/>
                <w:sz w:val="16"/>
                <w:szCs w:val="16"/>
                <w:b w:val="1"/>
                <w:bCs w:val="1"/>
                <w:color w:val="auto"/>
              </w:rPr>
              <w:t>Total</w:t>
            </w:r>
          </w:p>
        </w:tc>
      </w:tr>
      <w:tr>
        <w:trPr>
          <w:trHeight w:val="33"/>
        </w:trPr>
        <w:tc>
          <w:tcPr>
            <w:tcW w:w="3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6"/>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7"/>
        </w:trPr>
        <w:tc>
          <w:tcPr>
            <w:tcW w:w="3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0" w:type="dxa"/>
            <w:vAlign w:val="bottom"/>
            <w:gridSpan w:val="6"/>
          </w:tcPr>
          <w:p>
            <w:pPr>
              <w:jc w:val="right"/>
              <w:spacing w:after="0"/>
              <w:rPr>
                <w:sz w:val="20"/>
                <w:szCs w:val="20"/>
                <w:color w:val="auto"/>
              </w:rPr>
            </w:pPr>
            <w:r>
              <w:rPr>
                <w:rFonts w:ascii="Arial" w:cs="Arial" w:eastAsia="Arial" w:hAnsi="Arial"/>
                <w:sz w:val="16"/>
                <w:szCs w:val="16"/>
                <w:b w:val="1"/>
                <w:bCs w:val="1"/>
                <w:color w:val="auto"/>
              </w:rPr>
              <w:t>(dollars in thousands)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33"/>
        </w:trPr>
        <w:tc>
          <w:tcPr>
            <w:tcW w:w="3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165,730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206,630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378,920</w:t>
            </w:r>
          </w:p>
        </w:tc>
      </w:tr>
      <w:tr>
        <w:trPr>
          <w:trHeight w:val="243"/>
        </w:trPr>
        <w:tc>
          <w:tcPr>
            <w:tcW w:w="3160" w:type="dxa"/>
            <w:vAlign w:val="bottom"/>
          </w:tcPr>
          <w:p>
            <w:pPr>
              <w:ind w:left="180"/>
              <w:spacing w:after="0"/>
              <w:rPr>
                <w:sz w:val="20"/>
                <w:szCs w:val="20"/>
                <w:color w:val="auto"/>
              </w:rPr>
            </w:pPr>
            <w:r>
              <w:rPr>
                <w:rFonts w:ascii="Arial" w:cs="Arial" w:eastAsia="Arial" w:hAnsi="Arial"/>
                <w:sz w:val="18"/>
                <w:szCs w:val="18"/>
                <w:color w:val="auto"/>
                <w:w w:val="97"/>
              </w:rPr>
              <w:t>Foreign currency translation and other</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330</w:t>
            </w:r>
          </w:p>
        </w:tc>
      </w:tr>
      <w:tr>
        <w:trPr>
          <w:trHeight w:val="27"/>
        </w:trPr>
        <w:tc>
          <w:tcPr>
            <w:tcW w:w="3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3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March 31, 2016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166,060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206,630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6,560</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379,250</w:t>
            </w: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gross carrying amounts and accumulated amortization of the Company's other intangibles as of March 31, 2016 and December 31, 2015 are summarized below. The Company amortizes these assets over periods ranging from one to 30 years.</w:t>
      </w:r>
    </w:p>
    <w:p>
      <w:pPr>
        <w:spacing w:after="0" w:line="200" w:lineRule="exact"/>
        <w:rPr>
          <w:sz w:val="20"/>
          <w:szCs w:val="20"/>
          <w:color w:val="auto"/>
        </w:rPr>
      </w:pPr>
    </w:p>
    <w:p>
      <w:pPr>
        <w:spacing w:after="0" w:line="201" w:lineRule="exact"/>
        <w:rPr>
          <w:sz w:val="20"/>
          <w:szCs w:val="20"/>
          <w:color w:val="auto"/>
        </w:rPr>
      </w:pPr>
    </w:p>
    <w:tbl>
      <w:tblPr>
        <w:tblLayout w:type="fixed"/>
        <w:tblInd w:w="1140" w:type="dxa"/>
        <w:tblCellMar>
          <w:top w:w="0" w:type="dxa"/>
          <w:left w:w="0" w:type="dxa"/>
          <w:bottom w:w="0" w:type="dxa"/>
          <w:right w:w="0" w:type="dxa"/>
        </w:tblCellMar>
      </w:tblPr>
      <w:tr>
        <w:trPr>
          <w:trHeight w:val="210"/>
        </w:trPr>
        <w:tc>
          <w:tcPr>
            <w:tcW w:w="3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60" w:type="dxa"/>
            <w:vAlign w:val="bottom"/>
            <w:gridSpan w:val="5"/>
          </w:tcPr>
          <w:p>
            <w:pPr>
              <w:ind w:left="600"/>
              <w:spacing w:after="0"/>
              <w:rPr>
                <w:sz w:val="20"/>
                <w:szCs w:val="20"/>
                <w:color w:val="auto"/>
              </w:rPr>
            </w:pPr>
            <w:r>
              <w:rPr>
                <w:rFonts w:ascii="Arial" w:cs="Arial" w:eastAsia="Arial" w:hAnsi="Arial"/>
                <w:sz w:val="16"/>
                <w:szCs w:val="16"/>
                <w:b w:val="1"/>
                <w:bCs w:val="1"/>
                <w:color w:val="auto"/>
              </w:rPr>
              <w:t>As of March 31, 2016</w:t>
            </w:r>
          </w:p>
        </w:tc>
        <w:tc>
          <w:tcPr>
            <w:tcW w:w="120" w:type="dxa"/>
            <w:vAlign w:val="bottom"/>
          </w:tcPr>
          <w:p>
            <w:pPr>
              <w:spacing w:after="0"/>
              <w:rPr>
                <w:sz w:val="18"/>
                <w:szCs w:val="18"/>
                <w:color w:val="auto"/>
              </w:rPr>
            </w:pPr>
          </w:p>
        </w:tc>
        <w:tc>
          <w:tcPr>
            <w:tcW w:w="2760" w:type="dxa"/>
            <w:vAlign w:val="bottom"/>
            <w:gridSpan w:val="4"/>
          </w:tcPr>
          <w:p>
            <w:pPr>
              <w:jc w:val="right"/>
              <w:ind w:right="492"/>
              <w:spacing w:after="0"/>
              <w:rPr>
                <w:sz w:val="20"/>
                <w:szCs w:val="20"/>
                <w:color w:val="auto"/>
              </w:rPr>
            </w:pPr>
            <w:r>
              <w:rPr>
                <w:rFonts w:ascii="Arial" w:cs="Arial" w:eastAsia="Arial" w:hAnsi="Arial"/>
                <w:sz w:val="16"/>
                <w:szCs w:val="16"/>
                <w:b w:val="1"/>
                <w:bCs w:val="1"/>
                <w:color w:val="auto"/>
              </w:rPr>
              <w:t>As of December 31, 2015</w:t>
            </w:r>
          </w:p>
        </w:tc>
      </w:tr>
      <w:tr>
        <w:trPr>
          <w:trHeight w:val="33"/>
        </w:trPr>
        <w:tc>
          <w:tcPr>
            <w:tcW w:w="3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09"/>
        </w:trPr>
        <w:tc>
          <w:tcPr>
            <w:tcW w:w="3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Gross Carrying</w:t>
            </w:r>
          </w:p>
        </w:tc>
        <w:tc>
          <w:tcPr>
            <w:tcW w:w="18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6"/>
                <w:szCs w:val="16"/>
                <w:b w:val="1"/>
                <w:bCs w:val="1"/>
                <w:color w:val="auto"/>
              </w:rPr>
              <w:t>Accumulated</w:t>
            </w: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Gross Carrying</w:t>
            </w:r>
          </w:p>
        </w:tc>
        <w:tc>
          <w:tcPr>
            <w:tcW w:w="180" w:type="dxa"/>
            <w:vAlign w:val="bottom"/>
          </w:tcPr>
          <w:p>
            <w:pPr>
              <w:spacing w:after="0"/>
              <w:rPr>
                <w:sz w:val="18"/>
                <w:szCs w:val="18"/>
                <w:color w:val="auto"/>
              </w:rPr>
            </w:pPr>
          </w:p>
        </w:tc>
        <w:tc>
          <w:tcPr>
            <w:tcW w:w="1240" w:type="dxa"/>
            <w:vAlign w:val="bottom"/>
          </w:tcPr>
          <w:p>
            <w:pPr>
              <w:jc w:val="right"/>
              <w:ind w:right="152"/>
              <w:spacing w:after="0"/>
              <w:rPr>
                <w:sz w:val="20"/>
                <w:szCs w:val="20"/>
                <w:color w:val="auto"/>
              </w:rPr>
            </w:pPr>
            <w:r>
              <w:rPr>
                <w:rFonts w:ascii="Arial" w:cs="Arial" w:eastAsia="Arial" w:hAnsi="Arial"/>
                <w:sz w:val="16"/>
                <w:szCs w:val="16"/>
                <w:b w:val="1"/>
                <w:bCs w:val="1"/>
                <w:color w:val="auto"/>
                <w:w w:val="97"/>
              </w:rPr>
              <w:t>Accumulated</w:t>
            </w:r>
          </w:p>
        </w:tc>
      </w:tr>
      <w:tr>
        <w:trPr>
          <w:trHeight w:val="210"/>
        </w:trPr>
        <w:tc>
          <w:tcPr>
            <w:tcW w:w="3280" w:type="dxa"/>
            <w:vAlign w:val="bottom"/>
            <w:gridSpan w:val="2"/>
          </w:tcPr>
          <w:p>
            <w:pPr>
              <w:ind w:left="20"/>
              <w:spacing w:after="0"/>
              <w:rPr>
                <w:sz w:val="20"/>
                <w:szCs w:val="20"/>
                <w:color w:val="auto"/>
              </w:rPr>
            </w:pPr>
            <w:r>
              <w:rPr>
                <w:rFonts w:ascii="Arial" w:cs="Arial" w:eastAsia="Arial" w:hAnsi="Arial"/>
                <w:sz w:val="16"/>
                <w:szCs w:val="16"/>
                <w:b w:val="1"/>
                <w:bCs w:val="1"/>
                <w:color w:val="auto"/>
              </w:rPr>
              <w:t>Intangible Category by Useful Life</w:t>
            </w: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Amount</w:t>
            </w:r>
          </w:p>
        </w:tc>
        <w:tc>
          <w:tcPr>
            <w:tcW w:w="18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6"/>
                <w:szCs w:val="16"/>
                <w:b w:val="1"/>
                <w:bCs w:val="1"/>
                <w:color w:val="auto"/>
              </w:rPr>
              <w:t>Amortization</w:t>
            </w: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Amount</w:t>
            </w:r>
          </w:p>
        </w:tc>
        <w:tc>
          <w:tcPr>
            <w:tcW w:w="180" w:type="dxa"/>
            <w:vAlign w:val="bottom"/>
          </w:tcPr>
          <w:p>
            <w:pPr>
              <w:spacing w:after="0"/>
              <w:rPr>
                <w:sz w:val="18"/>
                <w:szCs w:val="18"/>
                <w:color w:val="auto"/>
              </w:rPr>
            </w:pPr>
          </w:p>
        </w:tc>
        <w:tc>
          <w:tcPr>
            <w:tcW w:w="1240" w:type="dxa"/>
            <w:vAlign w:val="bottom"/>
          </w:tcPr>
          <w:p>
            <w:pPr>
              <w:jc w:val="right"/>
              <w:ind w:right="152"/>
              <w:spacing w:after="0"/>
              <w:rPr>
                <w:sz w:val="20"/>
                <w:szCs w:val="20"/>
                <w:color w:val="auto"/>
              </w:rPr>
            </w:pPr>
            <w:r>
              <w:rPr>
                <w:rFonts w:ascii="Arial" w:cs="Arial" w:eastAsia="Arial" w:hAnsi="Arial"/>
                <w:sz w:val="16"/>
                <w:szCs w:val="16"/>
                <w:b w:val="1"/>
                <w:bCs w:val="1"/>
                <w:color w:val="auto"/>
              </w:rPr>
              <w:t>Amortization</w:t>
            </w:r>
          </w:p>
        </w:tc>
      </w:tr>
      <w:tr>
        <w:trPr>
          <w:trHeight w:val="33"/>
        </w:trPr>
        <w:tc>
          <w:tcPr>
            <w:tcW w:w="3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1"/>
        </w:trPr>
        <w:tc>
          <w:tcPr>
            <w:tcW w:w="3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0" w:type="dxa"/>
            <w:vAlign w:val="bottom"/>
            <w:gridSpan w:val="5"/>
          </w:tcPr>
          <w:p>
            <w:pPr>
              <w:ind w:left="560"/>
              <w:spacing w:after="0"/>
              <w:rPr>
                <w:sz w:val="20"/>
                <w:szCs w:val="20"/>
                <w:color w:val="auto"/>
              </w:rPr>
            </w:pPr>
            <w:r>
              <w:rPr>
                <w:rFonts w:ascii="Arial" w:cs="Arial" w:eastAsia="Arial" w:hAnsi="Arial"/>
                <w:sz w:val="16"/>
                <w:szCs w:val="16"/>
                <w:b w:val="1"/>
                <w:bCs w:val="1"/>
                <w:color w:val="auto"/>
              </w:rPr>
              <w:t>(dollars in thousands)</w:t>
            </w: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3"/>
        </w:trPr>
        <w:tc>
          <w:tcPr>
            <w:tcW w:w="3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Finite-lived intangible assets:</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3280" w:type="dxa"/>
            <w:vAlign w:val="bottom"/>
            <w:gridSpan w:val="2"/>
          </w:tcPr>
          <w:p>
            <w:pPr>
              <w:ind w:left="160"/>
              <w:spacing w:after="0"/>
              <w:rPr>
                <w:sz w:val="20"/>
                <w:szCs w:val="20"/>
                <w:color w:val="auto"/>
              </w:rPr>
            </w:pPr>
            <w:r>
              <w:rPr>
                <w:rFonts w:ascii="Arial" w:cs="Arial" w:eastAsia="Arial" w:hAnsi="Arial"/>
                <w:sz w:val="18"/>
                <w:szCs w:val="18"/>
                <w:color w:val="auto"/>
              </w:rPr>
              <w:t>Customer relationships, 5 – 12 years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74,850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(27,910)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74,890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(25,960)</w:t>
            </w:r>
          </w:p>
        </w:tc>
      </w:tr>
      <w:tr>
        <w:trPr>
          <w:trHeight w:val="27"/>
        </w:trPr>
        <w:tc>
          <w:tcPr>
            <w:tcW w:w="3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32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Customer relationships, 15 – 25 years</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132,230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(39,780)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132,230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(38,060)</w:t>
            </w:r>
          </w:p>
        </w:tc>
      </w:tr>
      <w:tr>
        <w:trPr>
          <w:trHeight w:val="237"/>
        </w:trPr>
        <w:tc>
          <w:tcPr>
            <w:tcW w:w="3280" w:type="dxa"/>
            <w:vAlign w:val="bottom"/>
            <w:gridSpan w:val="2"/>
          </w:tcPr>
          <w:p>
            <w:pPr>
              <w:ind w:left="380"/>
              <w:spacing w:after="0"/>
              <w:rPr>
                <w:sz w:val="20"/>
                <w:szCs w:val="20"/>
                <w:color w:val="auto"/>
              </w:rPr>
            </w:pPr>
            <w:r>
              <w:rPr>
                <w:rFonts w:ascii="Arial" w:cs="Arial" w:eastAsia="Arial" w:hAnsi="Arial"/>
                <w:sz w:val="18"/>
                <w:szCs w:val="18"/>
                <w:color w:val="auto"/>
              </w:rPr>
              <w:t>Total customer relationships</w:t>
            </w: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207,080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(67,690)</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207,120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(64,020)</w:t>
            </w:r>
          </w:p>
        </w:tc>
      </w:tr>
      <w:tr>
        <w:trPr>
          <w:trHeight w:val="27"/>
        </w:trPr>
        <w:tc>
          <w:tcPr>
            <w:tcW w:w="3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2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Technology and other, 1 – 15 years</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57,850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(23,670)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57,860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(22,770)</w:t>
            </w:r>
          </w:p>
        </w:tc>
      </w:tr>
      <w:tr>
        <w:trPr>
          <w:trHeight w:val="243"/>
        </w:trPr>
        <w:tc>
          <w:tcPr>
            <w:tcW w:w="3280" w:type="dxa"/>
            <w:vAlign w:val="bottom"/>
            <w:gridSpan w:val="2"/>
          </w:tcPr>
          <w:p>
            <w:pPr>
              <w:ind w:left="160"/>
              <w:spacing w:after="0"/>
              <w:rPr>
                <w:sz w:val="20"/>
                <w:szCs w:val="20"/>
                <w:color w:val="auto"/>
              </w:rPr>
            </w:pPr>
            <w:r>
              <w:rPr>
                <w:rFonts w:ascii="Arial" w:cs="Arial" w:eastAsia="Arial" w:hAnsi="Arial"/>
                <w:sz w:val="18"/>
                <w:szCs w:val="18"/>
                <w:color w:val="auto"/>
              </w:rPr>
              <w:t>Technology and other, 17 – 30 years</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43,300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(29,780)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43,300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(29,250)</w:t>
            </w:r>
          </w:p>
        </w:tc>
      </w:tr>
      <w:tr>
        <w:trPr>
          <w:trHeight w:val="27"/>
        </w:trPr>
        <w:tc>
          <w:tcPr>
            <w:tcW w:w="3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32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technology and other</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101,150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(53,450)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101,160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(52,020)</w:t>
            </w:r>
          </w:p>
        </w:tc>
      </w:tr>
      <w:tr>
        <w:trPr>
          <w:trHeight w:val="243"/>
        </w:trPr>
        <w:tc>
          <w:tcPr>
            <w:tcW w:w="3280" w:type="dxa"/>
            <w:vAlign w:val="bottom"/>
            <w:gridSpan w:val="2"/>
          </w:tcPr>
          <w:p>
            <w:pPr>
              <w:ind w:left="20"/>
              <w:spacing w:after="0"/>
              <w:rPr>
                <w:sz w:val="20"/>
                <w:szCs w:val="20"/>
                <w:color w:val="auto"/>
              </w:rPr>
            </w:pPr>
            <w:r>
              <w:rPr>
                <w:rFonts w:ascii="Arial" w:cs="Arial" w:eastAsia="Arial" w:hAnsi="Arial"/>
                <w:sz w:val="18"/>
                <w:szCs w:val="18"/>
                <w:color w:val="auto"/>
              </w:rPr>
              <w:t>Indefinite-lived intangible assets:</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3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32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Trademark/Trade names</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81,630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81,630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3280" w:type="dxa"/>
            <w:vAlign w:val="bottom"/>
            <w:gridSpan w:val="2"/>
          </w:tcPr>
          <w:p>
            <w:pPr>
              <w:ind w:left="20"/>
              <w:spacing w:after="0"/>
              <w:rPr>
                <w:sz w:val="20"/>
                <w:szCs w:val="20"/>
                <w:color w:val="auto"/>
              </w:rPr>
            </w:pPr>
            <w:r>
              <w:rPr>
                <w:rFonts w:ascii="Arial" w:cs="Arial" w:eastAsia="Arial" w:hAnsi="Arial"/>
                <w:sz w:val="18"/>
                <w:szCs w:val="18"/>
                <w:color w:val="auto"/>
              </w:rPr>
              <w:t>Total other intangible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389,860</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(121,140)</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389,910</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(116,040)</w:t>
            </w:r>
          </w:p>
        </w:tc>
      </w:tr>
      <w:tr>
        <w:trPr>
          <w:trHeight w:val="20"/>
        </w:trPr>
        <w:tc>
          <w:tcPr>
            <w:tcW w:w="3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related to intangible assets as included in the accompanying consolidated statement of income is summarized as follows: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60" w:type="dxa"/>
            <w:vAlign w:val="bottom"/>
          </w:tcPr>
          <w:p>
            <w:pPr>
              <w:spacing w:after="0"/>
              <w:rPr>
                <w:sz w:val="18"/>
                <w:szCs w:val="18"/>
                <w:color w:val="auto"/>
              </w:rPr>
            </w:pPr>
          </w:p>
        </w:tc>
        <w:tc>
          <w:tcPr>
            <w:tcW w:w="3060" w:type="dxa"/>
            <w:vAlign w:val="bottom"/>
            <w:gridSpan w:val="5"/>
          </w:tcPr>
          <w:p>
            <w:pPr>
              <w:jc w:val="right"/>
              <w:ind w:right="350"/>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33"/>
        </w:trPr>
        <w:tc>
          <w:tcPr>
            <w:tcW w:w="83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83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2015</w:t>
            </w: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360" w:type="dxa"/>
            <w:vAlign w:val="bottom"/>
          </w:tcPr>
          <w:p>
            <w:pPr>
              <w:spacing w:after="0"/>
              <w:rPr>
                <w:sz w:val="2"/>
                <w:szCs w:val="2"/>
                <w:color w:val="auto"/>
              </w:rPr>
            </w:pPr>
          </w:p>
        </w:tc>
        <w:tc>
          <w:tcPr>
            <w:tcW w:w="2520" w:type="dxa"/>
            <w:vAlign w:val="bottom"/>
            <w:tcBorders>
              <w:bottom w:val="single" w:sz="8" w:color="auto"/>
            </w:tcBorders>
            <w:gridSpan w:val="4"/>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360" w:type="dxa"/>
            <w:vAlign w:val="bottom"/>
          </w:tcPr>
          <w:p>
            <w:pPr>
              <w:spacing w:after="0"/>
              <w:rPr>
                <w:sz w:val="18"/>
                <w:szCs w:val="18"/>
                <w:color w:val="auto"/>
              </w:rPr>
            </w:pPr>
          </w:p>
        </w:tc>
        <w:tc>
          <w:tcPr>
            <w:tcW w:w="2520" w:type="dxa"/>
            <w:vAlign w:val="bottom"/>
            <w:gridSpan w:val="4"/>
          </w:tcPr>
          <w:p>
            <w:pPr>
              <w:jc w:val="right"/>
              <w:ind w:right="133"/>
              <w:spacing w:after="0"/>
              <w:rPr>
                <w:sz w:val="20"/>
                <w:szCs w:val="20"/>
                <w:color w:val="auto"/>
              </w:rPr>
            </w:pPr>
            <w:r>
              <w:rPr>
                <w:rFonts w:ascii="Arial" w:cs="Arial" w:eastAsia="Arial" w:hAnsi="Arial"/>
                <w:sz w:val="16"/>
                <w:szCs w:val="16"/>
                <w:b w:val="1"/>
                <w:bCs w:val="1"/>
                <w:color w:val="auto"/>
              </w:rPr>
              <w:t>(dollars in thousands)</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 and other, included in cost of sales</w:t>
            </w:r>
          </w:p>
        </w:tc>
        <w:tc>
          <w:tcPr>
            <w:tcW w:w="940" w:type="dxa"/>
            <w:vAlign w:val="bottom"/>
            <w:tcBorders>
              <w:bottom w:val="single" w:sz="8" w:color="CCEEFF"/>
            </w:tcBorders>
            <w:shd w:val="clear" w:color="auto" w:fill="CCEEFF"/>
          </w:tcPr>
          <w:p>
            <w:pPr>
              <w:jc w:val="right"/>
              <w:ind w:right="735"/>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1,380</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3"/>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1,610</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Customer relationships, included in selling, general and administrative expenses</w:t>
            </w:r>
          </w:p>
        </w:tc>
        <w:tc>
          <w:tcPr>
            <w:tcW w:w="94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3,720</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w w:val="93"/>
              </w:rPr>
              <w:t>3,750</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amortization expense</w:t>
            </w:r>
          </w:p>
        </w:tc>
        <w:tc>
          <w:tcPr>
            <w:tcW w:w="940" w:type="dxa"/>
            <w:vAlign w:val="bottom"/>
            <w:tcBorders>
              <w:bottom w:val="single" w:sz="8" w:color="auto"/>
            </w:tcBorders>
            <w:shd w:val="clear" w:color="auto" w:fill="CCEEFF"/>
          </w:tcPr>
          <w:p>
            <w:pPr>
              <w:jc w:val="right"/>
              <w:ind w:right="735"/>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5,100</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733"/>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5,360</w:t>
            </w:r>
          </w:p>
        </w:tc>
        <w:tc>
          <w:tcPr>
            <w:tcW w:w="0" w:type="dxa"/>
            <w:vAlign w:val="bottom"/>
          </w:tcPr>
          <w:p>
            <w:pPr>
              <w:spacing w:after="0"/>
              <w:rPr>
                <w:sz w:val="1"/>
                <w:szCs w:val="1"/>
                <w:color w:val="auto"/>
              </w:rPr>
            </w:pPr>
          </w:p>
        </w:tc>
      </w:tr>
      <w:tr>
        <w:trPr>
          <w:trHeight w:val="20"/>
        </w:trPr>
        <w:tc>
          <w:tcPr>
            <w:tcW w:w="8360" w:type="dxa"/>
            <w:vAlign w:val="bottom"/>
            <w:vMerge w:val="restart"/>
          </w:tcPr>
          <w:p>
            <w:pPr>
              <w:jc w:val="right"/>
              <w:ind w:right="2470"/>
              <w:spacing w:after="0"/>
              <w:rPr>
                <w:sz w:val="20"/>
                <w:szCs w:val="20"/>
                <w:color w:val="auto"/>
              </w:rPr>
            </w:pPr>
            <w:r>
              <w:rPr>
                <w:rFonts w:ascii="Arial" w:cs="Arial" w:eastAsia="Arial" w:hAnsi="Arial"/>
                <w:sz w:val="18"/>
                <w:szCs w:val="18"/>
                <w:color w:val="auto"/>
              </w:rPr>
              <w:t>10</w:t>
            </w: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836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Inventories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 of the following components:</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8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gridSpan w:val="3"/>
          </w:tcPr>
          <w:p>
            <w:pPr>
              <w:jc w:val="center"/>
              <w:ind w:right="400"/>
              <w:spacing w:after="0"/>
              <w:rPr>
                <w:sz w:val="20"/>
                <w:szCs w:val="20"/>
                <w:color w:val="auto"/>
              </w:rPr>
            </w:pPr>
            <w:r>
              <w:rPr>
                <w:rFonts w:ascii="Arial" w:cs="Arial" w:eastAsia="Arial" w:hAnsi="Arial"/>
                <w:sz w:val="16"/>
                <w:szCs w:val="16"/>
                <w:b w:val="1"/>
                <w:bCs w:val="1"/>
                <w:color w:val="auto"/>
                <w:w w:val="97"/>
              </w:rPr>
              <w:t>March 31,</w:t>
            </w:r>
          </w:p>
        </w:tc>
        <w:tc>
          <w:tcPr>
            <w:tcW w:w="22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center"/>
              <w:ind w:right="153"/>
              <w:spacing w:after="0"/>
              <w:rPr>
                <w:sz w:val="20"/>
                <w:szCs w:val="20"/>
                <w:color w:val="auto"/>
              </w:rPr>
            </w:pPr>
            <w:r>
              <w:rPr>
                <w:rFonts w:ascii="Arial" w:cs="Arial" w:eastAsia="Arial" w:hAnsi="Arial"/>
                <w:sz w:val="16"/>
                <w:szCs w:val="16"/>
                <w:b w:val="1"/>
                <w:bCs w:val="1"/>
                <w:color w:val="auto"/>
                <w:w w:val="89"/>
              </w:rPr>
              <w:t>2016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center"/>
              <w:ind w:right="112"/>
              <w:spacing w:after="0"/>
              <w:rPr>
                <w:sz w:val="20"/>
                <w:szCs w:val="20"/>
                <w:color w:val="auto"/>
              </w:rPr>
            </w:pPr>
            <w:r>
              <w:rPr>
                <w:rFonts w:ascii="Arial" w:cs="Arial" w:eastAsia="Arial" w:hAnsi="Arial"/>
                <w:sz w:val="16"/>
                <w:szCs w:val="16"/>
                <w:b w:val="1"/>
                <w:bCs w:val="1"/>
                <w:color w:val="auto"/>
                <w:w w:val="89"/>
              </w:rPr>
              <w:t>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40" w:type="dxa"/>
            <w:vAlign w:val="bottom"/>
            <w:gridSpan w:val="6"/>
          </w:tcPr>
          <w:p>
            <w:pPr>
              <w:jc w:val="center"/>
              <w:ind w:right="220"/>
              <w:spacing w:after="0"/>
              <w:rPr>
                <w:sz w:val="20"/>
                <w:szCs w:val="20"/>
                <w:color w:val="auto"/>
              </w:rPr>
            </w:pPr>
            <w:r>
              <w:rPr>
                <w:rFonts w:ascii="Arial" w:cs="Arial" w:eastAsia="Arial" w:hAnsi="Arial"/>
                <w:sz w:val="16"/>
                <w:szCs w:val="16"/>
                <w:b w:val="1"/>
                <w:bCs w:val="1"/>
                <w:color w:val="auto"/>
                <w:w w:val="89"/>
              </w:rPr>
              <w:t>(dollars in thousands)</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101,920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101,480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20" w:type="dxa"/>
            <w:vAlign w:val="bottom"/>
            <w:gridSpan w:val="2"/>
          </w:tcPr>
          <w:p>
            <w:pPr>
              <w:ind w:left="20"/>
              <w:spacing w:after="0"/>
              <w:rPr>
                <w:sz w:val="20"/>
                <w:szCs w:val="20"/>
                <w:color w:val="auto"/>
              </w:rPr>
            </w:pPr>
            <w:r>
              <w:rPr>
                <w:rFonts w:ascii="Arial" w:cs="Arial" w:eastAsia="Arial" w:hAnsi="Arial"/>
                <w:sz w:val="18"/>
                <w:szCs w:val="18"/>
                <w:color w:val="auto"/>
              </w:rPr>
              <w:t>Work in process</w:t>
            </w: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25,340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23,620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8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2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40,060</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42,270</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120" w:type="dxa"/>
            <w:vAlign w:val="bottom"/>
            <w:gridSpan w:val="2"/>
          </w:tcPr>
          <w:p>
            <w:pPr>
              <w:ind w:left="260"/>
              <w:spacing w:after="0"/>
              <w:rPr>
                <w:sz w:val="20"/>
                <w:szCs w:val="20"/>
                <w:color w:val="auto"/>
              </w:rPr>
            </w:pPr>
            <w:r>
              <w:rPr>
                <w:rFonts w:ascii="Arial" w:cs="Arial" w:eastAsia="Arial" w:hAnsi="Arial"/>
                <w:sz w:val="18"/>
                <w:szCs w:val="18"/>
                <w:color w:val="auto"/>
              </w:rPr>
              <w:t>Total inventories</w:t>
            </w:r>
          </w:p>
        </w:tc>
        <w:tc>
          <w:tcPr>
            <w:tcW w:w="24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167,320</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167,370</w:t>
            </w:r>
          </w:p>
        </w:tc>
        <w:tc>
          <w:tcPr>
            <w:tcW w:w="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1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6. Property and Equipment, Net</w:t>
            </w: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814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8140" w:type="dxa"/>
            <w:vAlign w:val="bottom"/>
            <w:gridSpan w:val="3"/>
          </w:tcPr>
          <w:p>
            <w:pPr>
              <w:spacing w:after="0"/>
              <w:rPr>
                <w:sz w:val="20"/>
                <w:szCs w:val="20"/>
                <w:color w:val="auto"/>
              </w:rPr>
            </w:pPr>
            <w:r>
              <w:rPr>
                <w:rFonts w:ascii="Arial" w:cs="Arial" w:eastAsia="Arial" w:hAnsi="Arial"/>
                <w:sz w:val="18"/>
                <w:szCs w:val="18"/>
                <w:color w:val="auto"/>
              </w:rPr>
              <w:t>Property and equipment consists of the following components:</w:t>
            </w: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1"/>
        </w:trPr>
        <w:tc>
          <w:tcPr>
            <w:tcW w:w="2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gridSpan w:val="3"/>
          </w:tcPr>
          <w:p>
            <w:pPr>
              <w:jc w:val="center"/>
              <w:ind w:right="420"/>
              <w:spacing w:after="0"/>
              <w:rPr>
                <w:sz w:val="20"/>
                <w:szCs w:val="20"/>
                <w:color w:val="auto"/>
              </w:rPr>
            </w:pPr>
            <w:r>
              <w:rPr>
                <w:rFonts w:ascii="Arial" w:cs="Arial" w:eastAsia="Arial" w:hAnsi="Arial"/>
                <w:sz w:val="16"/>
                <w:szCs w:val="16"/>
                <w:b w:val="1"/>
                <w:bCs w:val="1"/>
                <w:color w:val="auto"/>
                <w:w w:val="94"/>
              </w:rPr>
              <w:t>March 31,</w:t>
            </w:r>
          </w:p>
        </w:tc>
        <w:tc>
          <w:tcPr>
            <w:tcW w:w="220" w:type="dxa"/>
            <w:vAlign w:val="bottom"/>
          </w:tcPr>
          <w:p>
            <w:pPr>
              <w:spacing w:after="0"/>
              <w:rPr>
                <w:sz w:val="24"/>
                <w:szCs w:val="2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center"/>
              <w:ind w:right="173"/>
              <w:spacing w:after="0"/>
              <w:rPr>
                <w:sz w:val="20"/>
                <w:szCs w:val="20"/>
                <w:color w:val="auto"/>
              </w:rPr>
            </w:pPr>
            <w:r>
              <w:rPr>
                <w:rFonts w:ascii="Arial" w:cs="Arial" w:eastAsia="Arial" w:hAnsi="Arial"/>
                <w:sz w:val="16"/>
                <w:szCs w:val="16"/>
                <w:b w:val="1"/>
                <w:bCs w:val="1"/>
                <w:color w:val="auto"/>
                <w:w w:val="95"/>
              </w:rPr>
              <w:t>2016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center"/>
              <w:ind w:right="132"/>
              <w:spacing w:after="0"/>
              <w:rPr>
                <w:sz w:val="20"/>
                <w:szCs w:val="20"/>
                <w:color w:val="auto"/>
              </w:rPr>
            </w:pPr>
            <w:r>
              <w:rPr>
                <w:rFonts w:ascii="Arial" w:cs="Arial" w:eastAsia="Arial" w:hAnsi="Arial"/>
                <w:sz w:val="16"/>
                <w:szCs w:val="16"/>
                <w:b w:val="1"/>
                <w:bCs w:val="1"/>
                <w:color w:val="auto"/>
                <w:w w:val="95"/>
              </w:rPr>
              <w:t>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gridSpan w:val="5"/>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40" w:type="dxa"/>
            <w:vAlign w:val="bottom"/>
            <w:gridSpan w:val="6"/>
          </w:tcPr>
          <w:p>
            <w:pPr>
              <w:jc w:val="center"/>
              <w:ind w:right="260"/>
              <w:spacing w:after="0"/>
              <w:rPr>
                <w:sz w:val="20"/>
                <w:szCs w:val="20"/>
                <w:color w:val="auto"/>
              </w:rPr>
            </w:pPr>
            <w:r>
              <w:rPr>
                <w:rFonts w:ascii="Arial" w:cs="Arial" w:eastAsia="Arial" w:hAnsi="Arial"/>
                <w:sz w:val="16"/>
                <w:szCs w:val="16"/>
                <w:b w:val="1"/>
                <w:bCs w:val="1"/>
                <w:color w:val="auto"/>
                <w:w w:val="89"/>
              </w:rPr>
              <w:t>(dollars in thousands)</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Land and land improvements</w:t>
            </w:r>
          </w:p>
        </w:tc>
        <w:tc>
          <w:tcPr>
            <w:tcW w:w="2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14,840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14,820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20" w:type="dxa"/>
            <w:vAlign w:val="bottom"/>
            <w:gridSpan w:val="2"/>
          </w:tcPr>
          <w:p>
            <w:pPr>
              <w:ind w:left="20"/>
              <w:spacing w:after="0"/>
              <w:rPr>
                <w:sz w:val="20"/>
                <w:szCs w:val="20"/>
                <w:color w:val="auto"/>
              </w:rPr>
            </w:pPr>
            <w:r>
              <w:rPr>
                <w:rFonts w:ascii="Arial" w:cs="Arial" w:eastAsia="Arial" w:hAnsi="Arial"/>
                <w:sz w:val="18"/>
                <w:szCs w:val="18"/>
                <w:color w:val="auto"/>
              </w:rPr>
              <w:t>Buildings</w:t>
            </w:r>
          </w:p>
        </w:tc>
        <w:tc>
          <w:tcPr>
            <w:tcW w:w="24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68,970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67,790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8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Machinery and equipment</w:t>
            </w:r>
          </w:p>
        </w:tc>
        <w:tc>
          <w:tcPr>
            <w:tcW w:w="2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277,620</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274,650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361,430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357,260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181,760</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176,130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100" w:type="dxa"/>
            <w:vAlign w:val="bottom"/>
          </w:tcPr>
          <w:p>
            <w:pPr>
              <w:ind w:left="280"/>
              <w:spacing w:after="0"/>
              <w:rPr>
                <w:sz w:val="20"/>
                <w:szCs w:val="20"/>
                <w:color w:val="auto"/>
              </w:rPr>
            </w:pPr>
            <w:r>
              <w:rPr>
                <w:rFonts w:ascii="Arial" w:cs="Arial" w:eastAsia="Arial" w:hAnsi="Arial"/>
                <w:sz w:val="18"/>
                <w:szCs w:val="18"/>
                <w:color w:val="auto"/>
              </w:rPr>
              <w:t>Property and equipment, net</w:t>
            </w:r>
          </w:p>
        </w:tc>
        <w:tc>
          <w:tcPr>
            <w:tcW w:w="2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179,670</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181,130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12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8140" w:type="dxa"/>
            <w:vAlign w:val="bottom"/>
            <w:gridSpan w:val="3"/>
          </w:tcPr>
          <w:p>
            <w:pPr>
              <w:spacing w:after="0"/>
              <w:rPr>
                <w:sz w:val="20"/>
                <w:szCs w:val="20"/>
                <w:color w:val="auto"/>
              </w:rPr>
            </w:pPr>
            <w:r>
              <w:rPr>
                <w:rFonts w:ascii="Arial" w:cs="Arial" w:eastAsia="Arial" w:hAnsi="Arial"/>
                <w:sz w:val="18"/>
                <w:szCs w:val="18"/>
                <w:color w:val="auto"/>
                <w:w w:val="98"/>
              </w:rPr>
              <w:t>Depreciation expense as included in the accompanying consolidated statement of income is as follows:</w:t>
            </w: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2"/>
        </w:trPr>
        <w:tc>
          <w:tcPr>
            <w:tcW w:w="2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40" w:type="dxa"/>
            <w:vAlign w:val="bottom"/>
            <w:gridSpan w:val="6"/>
          </w:tcPr>
          <w:p>
            <w:pPr>
              <w:jc w:val="center"/>
              <w:ind w:right="220"/>
              <w:spacing w:after="0"/>
              <w:rPr>
                <w:sz w:val="20"/>
                <w:szCs w:val="20"/>
                <w:color w:val="auto"/>
              </w:rPr>
            </w:pPr>
            <w:r>
              <w:rPr>
                <w:rFonts w:ascii="Arial" w:cs="Arial" w:eastAsia="Arial" w:hAnsi="Arial"/>
                <w:sz w:val="16"/>
                <w:szCs w:val="16"/>
                <w:b w:val="1"/>
                <w:bCs w:val="1"/>
                <w:color w:val="auto"/>
                <w:w w:val="92"/>
              </w:rPr>
              <w:t>Three months ended March 31,</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center"/>
              <w:ind w:right="153"/>
              <w:spacing w:after="0"/>
              <w:rPr>
                <w:sz w:val="20"/>
                <w:szCs w:val="20"/>
                <w:color w:val="auto"/>
              </w:rPr>
            </w:pPr>
            <w:r>
              <w:rPr>
                <w:rFonts w:ascii="Arial" w:cs="Arial" w:eastAsia="Arial" w:hAnsi="Arial"/>
                <w:sz w:val="16"/>
                <w:szCs w:val="16"/>
                <w:b w:val="1"/>
                <w:bCs w:val="1"/>
                <w:color w:val="auto"/>
                <w:w w:val="89"/>
              </w:rPr>
              <w:t>2016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center"/>
              <w:ind w:right="112"/>
              <w:spacing w:after="0"/>
              <w:rPr>
                <w:sz w:val="20"/>
                <w:szCs w:val="20"/>
                <w:color w:val="auto"/>
              </w:rPr>
            </w:pPr>
            <w:r>
              <w:rPr>
                <w:rFonts w:ascii="Arial" w:cs="Arial" w:eastAsia="Arial" w:hAnsi="Arial"/>
                <w:sz w:val="16"/>
                <w:szCs w:val="16"/>
                <w:b w:val="1"/>
                <w:bCs w:val="1"/>
                <w:color w:val="auto"/>
                <w:w w:val="89"/>
              </w:rPr>
              <w:t>2015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gridSpan w:val="6"/>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40" w:type="dxa"/>
            <w:vAlign w:val="bottom"/>
            <w:gridSpan w:val="6"/>
          </w:tcPr>
          <w:p>
            <w:pPr>
              <w:jc w:val="center"/>
              <w:ind w:right="220"/>
              <w:spacing w:after="0"/>
              <w:rPr>
                <w:sz w:val="20"/>
                <w:szCs w:val="20"/>
                <w:color w:val="auto"/>
              </w:rPr>
            </w:pPr>
            <w:r>
              <w:rPr>
                <w:rFonts w:ascii="Arial" w:cs="Arial" w:eastAsia="Arial" w:hAnsi="Arial"/>
                <w:sz w:val="16"/>
                <w:szCs w:val="16"/>
                <w:b w:val="1"/>
                <w:bCs w:val="1"/>
                <w:color w:val="auto"/>
                <w:w w:val="89"/>
              </w:rPr>
              <w:t>(dollars in thousands)</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1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Depreciation expense, included in cost of sales</w:t>
            </w:r>
          </w:p>
        </w:tc>
        <w:tc>
          <w:tcPr>
            <w:tcW w:w="2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20" w:type="dxa"/>
            <w:vAlign w:val="bottom"/>
            <w:gridSpan w:val="2"/>
          </w:tcPr>
          <w:p>
            <w:pPr>
              <w:ind w:left="20"/>
              <w:spacing w:after="0"/>
              <w:rPr>
                <w:sz w:val="20"/>
                <w:szCs w:val="20"/>
                <w:color w:val="auto"/>
              </w:rPr>
            </w:pPr>
            <w:r>
              <w:rPr>
                <w:rFonts w:ascii="Arial" w:cs="Arial" w:eastAsia="Arial" w:hAnsi="Arial"/>
                <w:sz w:val="18"/>
                <w:szCs w:val="18"/>
                <w:color w:val="auto"/>
              </w:rPr>
              <w:t>Depreciation expense, included in selling, general and administrative expenses</w:t>
            </w:r>
          </w:p>
        </w:tc>
        <w:tc>
          <w:tcPr>
            <w:tcW w:w="2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710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720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812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8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depreciation expense</w:t>
            </w:r>
          </w:p>
        </w:tc>
        <w:tc>
          <w:tcPr>
            <w:tcW w:w="2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5,940</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5,080</w:t>
            </w:r>
          </w:p>
        </w:tc>
        <w:tc>
          <w:tcPr>
            <w:tcW w:w="2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1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7. Long-term Debt</w:t>
            </w: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814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8140" w:type="dxa"/>
            <w:vAlign w:val="bottom"/>
            <w:gridSpan w:val="3"/>
          </w:tcPr>
          <w:p>
            <w:pPr>
              <w:spacing w:after="0"/>
              <w:rPr>
                <w:sz w:val="20"/>
                <w:szCs w:val="20"/>
                <w:color w:val="auto"/>
              </w:rPr>
            </w:pPr>
            <w:r>
              <w:rPr>
                <w:rFonts w:ascii="Arial" w:cs="Arial" w:eastAsia="Arial" w:hAnsi="Arial"/>
                <w:sz w:val="18"/>
                <w:szCs w:val="18"/>
                <w:color w:val="auto"/>
              </w:rPr>
              <w:t>The Company's long-term debt consists of the following:</w:t>
            </w: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1"/>
        </w:trPr>
        <w:tc>
          <w:tcPr>
            <w:tcW w:w="2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gridSpan w:val="3"/>
          </w:tcPr>
          <w:p>
            <w:pPr>
              <w:jc w:val="center"/>
              <w:ind w:right="420"/>
              <w:spacing w:after="0"/>
              <w:rPr>
                <w:sz w:val="20"/>
                <w:szCs w:val="20"/>
                <w:color w:val="auto"/>
              </w:rPr>
            </w:pPr>
            <w:r>
              <w:rPr>
                <w:rFonts w:ascii="Arial" w:cs="Arial" w:eastAsia="Arial" w:hAnsi="Arial"/>
                <w:sz w:val="16"/>
                <w:szCs w:val="16"/>
                <w:b w:val="1"/>
                <w:bCs w:val="1"/>
                <w:color w:val="auto"/>
                <w:w w:val="94"/>
              </w:rPr>
              <w:t>March 31,</w:t>
            </w:r>
          </w:p>
        </w:tc>
        <w:tc>
          <w:tcPr>
            <w:tcW w:w="220" w:type="dxa"/>
            <w:vAlign w:val="bottom"/>
          </w:tcPr>
          <w:p>
            <w:pPr>
              <w:spacing w:after="0"/>
              <w:rPr>
                <w:sz w:val="24"/>
                <w:szCs w:val="2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center"/>
              <w:ind w:right="173"/>
              <w:spacing w:after="0"/>
              <w:rPr>
                <w:sz w:val="20"/>
                <w:szCs w:val="20"/>
                <w:color w:val="auto"/>
              </w:rPr>
            </w:pPr>
            <w:r>
              <w:rPr>
                <w:rFonts w:ascii="Arial" w:cs="Arial" w:eastAsia="Arial" w:hAnsi="Arial"/>
                <w:sz w:val="16"/>
                <w:szCs w:val="16"/>
                <w:b w:val="1"/>
                <w:bCs w:val="1"/>
                <w:color w:val="auto"/>
                <w:w w:val="95"/>
              </w:rPr>
              <w:t>2016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center"/>
              <w:ind w:right="132"/>
              <w:spacing w:after="0"/>
              <w:rPr>
                <w:sz w:val="20"/>
                <w:szCs w:val="20"/>
                <w:color w:val="auto"/>
              </w:rPr>
            </w:pPr>
            <w:r>
              <w:rPr>
                <w:rFonts w:ascii="Arial" w:cs="Arial" w:eastAsia="Arial" w:hAnsi="Arial"/>
                <w:sz w:val="16"/>
                <w:szCs w:val="16"/>
                <w:b w:val="1"/>
                <w:bCs w:val="1"/>
                <w:color w:val="auto"/>
                <w:w w:val="95"/>
              </w:rPr>
              <w:t>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gridSpan w:val="5"/>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40" w:type="dxa"/>
            <w:vAlign w:val="bottom"/>
            <w:gridSpan w:val="6"/>
          </w:tcPr>
          <w:p>
            <w:pPr>
              <w:jc w:val="center"/>
              <w:ind w:right="260"/>
              <w:spacing w:after="0"/>
              <w:rPr>
                <w:sz w:val="20"/>
                <w:szCs w:val="20"/>
                <w:color w:val="auto"/>
              </w:rPr>
            </w:pPr>
            <w:r>
              <w:rPr>
                <w:rFonts w:ascii="Arial" w:cs="Arial" w:eastAsia="Arial" w:hAnsi="Arial"/>
                <w:sz w:val="16"/>
                <w:szCs w:val="16"/>
                <w:b w:val="1"/>
                <w:bCs w:val="1"/>
                <w:color w:val="auto"/>
                <w:w w:val="89"/>
              </w:rPr>
              <w:t>(dollars in thousands)</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1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Credit Agreement</w:t>
            </w:r>
          </w:p>
        </w:tc>
        <w:tc>
          <w:tcPr>
            <w:tcW w:w="2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389,330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371,820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120" w:type="dxa"/>
            <w:vAlign w:val="bottom"/>
            <w:gridSpan w:val="2"/>
          </w:tcPr>
          <w:p>
            <w:pPr>
              <w:ind w:left="20"/>
              <w:spacing w:after="0"/>
              <w:rPr>
                <w:sz w:val="20"/>
                <w:szCs w:val="20"/>
                <w:color w:val="auto"/>
              </w:rPr>
            </w:pPr>
            <w:r>
              <w:rPr>
                <w:rFonts w:ascii="Arial" w:cs="Arial" w:eastAsia="Arial" w:hAnsi="Arial"/>
                <w:sz w:val="18"/>
                <w:szCs w:val="18"/>
                <w:color w:val="auto"/>
              </w:rPr>
              <w:t>Receivables facility and other</w:t>
            </w:r>
          </w:p>
        </w:tc>
        <w:tc>
          <w:tcPr>
            <w:tcW w:w="24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54,230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53,860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8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Debt issuance costs</w:t>
            </w:r>
          </w:p>
        </w:tc>
        <w:tc>
          <w:tcPr>
            <w:tcW w:w="2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(5,710)</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(6,050)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437,850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419,630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Current maturities, long-term debt</w:t>
            </w: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13,840</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13,850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100" w:type="dxa"/>
            <w:vAlign w:val="bottom"/>
          </w:tcPr>
          <w:p>
            <w:pPr>
              <w:ind w:left="280"/>
              <w:spacing w:after="0"/>
              <w:rPr>
                <w:sz w:val="20"/>
                <w:szCs w:val="20"/>
                <w:color w:val="auto"/>
              </w:rPr>
            </w:pPr>
            <w:r>
              <w:rPr>
                <w:rFonts w:ascii="Arial" w:cs="Arial" w:eastAsia="Arial" w:hAnsi="Arial"/>
                <w:sz w:val="18"/>
                <w:szCs w:val="18"/>
                <w:color w:val="auto"/>
              </w:rPr>
              <w:t>Long-term debt, net</w:t>
            </w:r>
          </w:p>
        </w:tc>
        <w:tc>
          <w:tcPr>
            <w:tcW w:w="2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424,010</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405,780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825" w:gutter="0" w:footer="0" w:header="0"/>
        </w:sectPr>
      </w:pP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25" w:right="239" w:bottom="825"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w:t>
      </w:r>
    </w:p>
    <w:p>
      <w:pPr>
        <w:spacing w:after="0" w:line="2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is party to a credit agreement (the "Credit Agreement"), consisting of a $500.0 million senior secured revolving credit facility, which permits borrowings denominated in specific foreign currencies ("Foreign Currency Loans"), subject to a $75.0 million sub limit, which matures on June 30, 2020 and is subject to interest at London Interbank Offered Rates ("LIBOR") plus 1.75%, and a $275.0 million senior secured term loan A facility ("Term Loan A Facility"), which matures on June 30, 2020 and is subject to interest at LIBOR plus 1.75%. The interest rate spread is based upon the leverage ratio, as defined, as of the most recent determination date.</w:t>
      </w:r>
    </w:p>
    <w:p>
      <w:pPr>
        <w:spacing w:after="0" w:line="24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Credit Agreement also provides incremental term loan and/or revolving credit facility commitments in an amount not to exceed the greater of $300.0 million and an amount such that, after giving effect to such incremental commitments and the incurrence of any other indebtedness substantially simultaneously with the making of such commitments, the senior secured net leverage ratio, as defined, is no greater than 2.50 to 1.00. The terms and conditions of any incremental term loan and/or revolving credit facility commitments must be no more favorable than the existing credit facility.</w:t>
      </w:r>
    </w:p>
    <w:p>
      <w:pPr>
        <w:spacing w:after="0" w:line="22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Company may be required to prepay a portion of its Term Loan A Facility in an amount equal to a percentage of the Company's excess cash flow, as defined, with such percentage based on the Company's leverage ratio, as defined. As of March 31, 2016, no amounts are due under this provision.</w:t>
      </w:r>
    </w:p>
    <w:p>
      <w:pPr>
        <w:spacing w:after="0" w:line="20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is also able to issue letters of credit, not to exceed $40.0 million in aggregate, against its revolving credit facility commitments. At March 31, 2016 and December 31, 2015, the Company had letters of credit of approximately $18.1 million and $21.6 million, respectively, issued and outstanding.</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At March 31, 2016, the Company had approximately $121.2 million outstanding under its revolving credit facility and had approximately $360.7 million potentially available after giving effect to approximately $18.1 million of letters of credit issued and outstanding. At December 31, 2015, the Company had approximately $100.3 million outstanding under its revolving credit facility and had approximately $378.1 million potentially available after giving effect to approximately $21.6 million of letters of credit issued and outstanding. However, including availability under its accounts receivable facility and after consideration of leverage restrictions contained in the Credit Agreement, the Company had approximately $66.8 million and $107.4 million at March 31, 2016 and December 31, 2015, respectively, of borrowing capacity available for general corporate purposes.</w:t>
      </w:r>
    </w:p>
    <w:p>
      <w:pPr>
        <w:spacing w:after="0" w:line="23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Principal payments required under the Credit Agreement for the Term Loan A Facility are approximately $3.4 million due each fiscal quarter from December 2015 through September 2018 and approximately $5.2 million due each fiscal quarter from December 2018 through March 2020, with final payment of approximately $202.8 million due on June 30, 2020.</w:t>
      </w:r>
    </w:p>
    <w:p>
      <w:pPr>
        <w:spacing w:after="0" w:line="23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debt under the Credit Agreement is an obligation of the Company and certain of its domestic subsidiaries and is secured by substantially all of the assets of such parties. Borrowings under the $75.0 million foreign currency sub limit of the $500.0 million senior secured revolving credit facility are secured by a pledge of the assets of the foreign subsidiary borrowers that are a party to the agreement. The Credit Agreement also contains various negative and affirmative covenants and other requirements affecting the Company and its subsidiaries, including restrictions on the incurrence of debt, liens, mergers, investments, loans, advances, guarantee obligations, acquisitions, assets dispositions, sale-leaseback transactions, hedging agreements, dividends and other restricted payments, transactions with affiliates, restrictive agreements and amendments to charters, bylaws, and other material documents. The terms of the Credit Agreement also require the Company and its subsidiaries to meet certain restrictive financial covenants and ratios computed quarterly, including a maximum leverage ratio (total consolidated indebtedness plus outstanding amounts under the accounts receivable securitization facility over consolidated EBITDA, as defined) and a minimum interest expense coverage ratio (consolidated EBITDA, as defined, over cash interest expense, as defined). At March 31, 2016, the Company was in compliance with its financial covenants contained in the Credit Agreement.</w:t>
      </w:r>
    </w:p>
    <w:p>
      <w:pPr>
        <w:spacing w:after="0" w:line="22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March 31, 2016 and December 31, 2015, the Company's Term Loan A Facility traded at approximately 99.6% of par value and the Company's revolving credit facility traded at approximately 99.3% of par value. The valuations of the Credit Agreement were determined based on Level 2 inputs under the fair value hierarchy, as defined.</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Receivables Facility</w:t>
      </w:r>
    </w:p>
    <w:p>
      <w:pPr>
        <w:spacing w:after="0" w:line="27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is party to an accounts receivable facility through TSPC, Inc. ("TSPC"), a wholly-owned subsidiary, to sell trade accounts receivable of substantially all of the Company's domestic business operations. Under this facility, TSPC, from time to time, may sell an undivided fractional ownership interest in the pool of receivables up to $75.0 million to a third party multi-seller receivables funding company. The net amount financed under the facility is less than the face amount of accounts receivable by an amount that approximates the purchaser's financing costs. The cost of funds under this facility consisted of a 1-month LIBOR-based rate plus a usage fee of 1.00% and a fee on the unused portion of the facility of 0.35% as of March 31, 2016 and 2015.</w:t>
      </w:r>
    </w:p>
    <w:p>
      <w:pPr>
        <w:spacing w:after="0" w:line="21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had approximately $54.0 million and $53.6 million outstanding under the facility as of March 31, 2016 and December 31, 2015, respectively. No amounts were available but not utilized as of March 31, 2016. As of December 31, 2015, approximately $7.1 million was available but not utilized. Aggregate costs incurred under the facility were approximately $0.2 million for both the three months ended March 31, 2016 and 2015, and are included in interest expense in the accompanying consolidated statement of income. The facility expires on June 30, 2020.</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cost of funds fees incurred are determined by calculating the estimated present value of the receivables sold compared to their carrying amount. The estimated present value factor is based on historical collection experience and a discount rate based on a 1-month LIBOR-based rate plus the usage fee discussed above and is computed in accordance with the terms of the agreement. As of March 31, 2016, the cost of funds under the facility was based on an average liquidation period of the portfolio of approximately 1.8 months and an average discount rate of 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Derivative Instruments</w:t>
      </w:r>
    </w:p>
    <w:p>
      <w:pPr>
        <w:spacing w:after="0" w:line="28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utilizes interest rate swap agreements to fix the LIBOR-based variable portion of the interest rate on its long term debt. Terms of the interest rate swap agreements require the Company to receive a variable interest rate and pay a fixed interest rate. As of March 31, 2016, the Company had interest rate swap agreements in place that hedge a notional value of debt ranging from approximately $251.5 million to approximately $192.7 million and amortize consistent with future debt principal payments. The interest rate swap agreements establish fixed interest rates in a range of 0.74% to 2.68% with various expiration terms extending to June 30, 2020. At inception, the interest rate swaps were and continue to be designated as cash flow hedges.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2016 and December 31, 2015, the fair value carrying amount of the Company's derivative instruments are recorded as follows: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20" w:type="dxa"/>
            <w:vAlign w:val="bottom"/>
            <w:gridSpan w:val="4"/>
          </w:tcPr>
          <w:p>
            <w:pPr>
              <w:jc w:val="right"/>
              <w:ind w:right="313"/>
              <w:spacing w:after="0"/>
              <w:rPr>
                <w:sz w:val="20"/>
                <w:szCs w:val="20"/>
                <w:color w:val="auto"/>
              </w:rPr>
            </w:pPr>
            <w:r>
              <w:rPr>
                <w:rFonts w:ascii="Arial" w:cs="Arial" w:eastAsia="Arial" w:hAnsi="Arial"/>
                <w:sz w:val="16"/>
                <w:szCs w:val="16"/>
                <w:b w:val="1"/>
                <w:bCs w:val="1"/>
                <w:color w:val="auto"/>
              </w:rPr>
              <w:t>Asset / (Liability) Derivatives</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ind w:left="100"/>
              <w:spacing w:after="0"/>
              <w:rPr>
                <w:sz w:val="20"/>
                <w:szCs w:val="20"/>
                <w:color w:val="auto"/>
              </w:rPr>
            </w:pPr>
            <w:r>
              <w:rPr>
                <w:rFonts w:ascii="Arial" w:cs="Arial" w:eastAsia="Arial" w:hAnsi="Arial"/>
                <w:sz w:val="16"/>
                <w:szCs w:val="16"/>
                <w:b w:val="1"/>
                <w:bCs w:val="1"/>
                <w:color w:val="auto"/>
              </w:rPr>
              <w:t>March 31,</w:t>
            </w:r>
          </w:p>
        </w:tc>
        <w:tc>
          <w:tcPr>
            <w:tcW w:w="140" w:type="dxa"/>
            <w:vAlign w:val="bottom"/>
          </w:tcPr>
          <w:p>
            <w:pPr>
              <w:spacing w:after="0"/>
              <w:rPr>
                <w:sz w:val="18"/>
                <w:szCs w:val="18"/>
                <w:color w:val="auto"/>
              </w:rPr>
            </w:pPr>
          </w:p>
        </w:tc>
        <w:tc>
          <w:tcPr>
            <w:tcW w:w="1220" w:type="dxa"/>
            <w:vAlign w:val="bottom"/>
          </w:tcPr>
          <w:p>
            <w:pPr>
              <w:jc w:val="right"/>
              <w:ind w:right="153"/>
              <w:spacing w:after="0"/>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rPr>
                <w:sz w:val="1"/>
                <w:szCs w:val="1"/>
                <w:color w:val="auto"/>
              </w:rPr>
            </w:pPr>
          </w:p>
        </w:tc>
      </w:tr>
      <w:tr>
        <w:trPr>
          <w:trHeight w:val="210"/>
        </w:trPr>
        <w:tc>
          <w:tcPr>
            <w:tcW w:w="4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20" w:type="dxa"/>
            <w:vAlign w:val="bottom"/>
            <w:gridSpan w:val="2"/>
          </w:tcPr>
          <w:p>
            <w:pPr>
              <w:ind w:left="460"/>
              <w:spacing w:after="0"/>
              <w:rPr>
                <w:sz w:val="20"/>
                <w:szCs w:val="20"/>
                <w:color w:val="auto"/>
              </w:rPr>
            </w:pPr>
            <w:r>
              <w:rPr>
                <w:rFonts w:ascii="Arial" w:cs="Arial" w:eastAsia="Arial" w:hAnsi="Arial"/>
                <w:sz w:val="16"/>
                <w:szCs w:val="16"/>
                <w:b w:val="1"/>
                <w:bCs w:val="1"/>
                <w:color w:val="auto"/>
              </w:rPr>
              <w:t>Balance Sheet Caption</w:t>
            </w:r>
          </w:p>
        </w:tc>
        <w:tc>
          <w:tcPr>
            <w:tcW w:w="220" w:type="dxa"/>
            <w:vAlign w:val="bottom"/>
          </w:tcPr>
          <w:p>
            <w:pPr>
              <w:spacing w:after="0"/>
              <w:rPr>
                <w:sz w:val="18"/>
                <w:szCs w:val="18"/>
                <w:color w:val="auto"/>
              </w:rPr>
            </w:pPr>
          </w:p>
        </w:tc>
        <w:tc>
          <w:tcPr>
            <w:tcW w:w="1140" w:type="dxa"/>
            <w:vAlign w:val="bottom"/>
          </w:tcPr>
          <w:p>
            <w:pPr>
              <w:jc w:val="right"/>
              <w:ind w:right="434"/>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433"/>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20" w:type="dxa"/>
            <w:vAlign w:val="bottom"/>
            <w:gridSpan w:val="4"/>
          </w:tcPr>
          <w:p>
            <w:pPr>
              <w:jc w:val="right"/>
              <w:ind w:right="573"/>
              <w:spacing w:after="0"/>
              <w:rPr>
                <w:sz w:val="20"/>
                <w:szCs w:val="20"/>
                <w:color w:val="auto"/>
              </w:rPr>
            </w:pPr>
            <w:r>
              <w:rPr>
                <w:rFonts w:ascii="Arial" w:cs="Arial" w:eastAsia="Arial" w:hAnsi="Arial"/>
                <w:sz w:val="16"/>
                <w:szCs w:val="16"/>
                <w:b w:val="1"/>
                <w:bCs w:val="1"/>
                <w:color w:val="auto"/>
              </w:rPr>
              <w:t>(dollars in thousands)</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 designated as hedging instruments</w:t>
            </w:r>
          </w:p>
        </w:tc>
        <w:tc>
          <w:tcPr>
            <w:tcW w:w="126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Interest rate swaps</w:t>
            </w:r>
          </w:p>
        </w:tc>
        <w:tc>
          <w:tcPr>
            <w:tcW w:w="1260" w:type="dxa"/>
            <w:vAlign w:val="bottom"/>
          </w:tcPr>
          <w:p>
            <w:pPr>
              <w:spacing w:after="0"/>
              <w:rPr>
                <w:sz w:val="21"/>
                <w:szCs w:val="21"/>
                <w:color w:val="auto"/>
              </w:rPr>
            </w:pPr>
          </w:p>
        </w:tc>
        <w:tc>
          <w:tcPr>
            <w:tcW w:w="2620" w:type="dxa"/>
            <w:vAlign w:val="bottom"/>
            <w:gridSpan w:val="2"/>
          </w:tcPr>
          <w:p>
            <w:pPr>
              <w:ind w:left="20"/>
              <w:spacing w:after="0"/>
              <w:rPr>
                <w:sz w:val="20"/>
                <w:szCs w:val="20"/>
                <w:color w:val="auto"/>
              </w:rPr>
            </w:pPr>
            <w:r>
              <w:rPr>
                <w:rFonts w:ascii="Arial" w:cs="Arial" w:eastAsia="Arial" w:hAnsi="Arial"/>
                <w:sz w:val="18"/>
                <w:szCs w:val="18"/>
                <w:color w:val="auto"/>
              </w:rPr>
              <w:t>Other assets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rate swaps</w:t>
            </w:r>
          </w:p>
        </w:tc>
        <w:tc>
          <w:tcPr>
            <w:tcW w:w="126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Interest rate swaps</w:t>
            </w:r>
          </w:p>
        </w:tc>
        <w:tc>
          <w:tcPr>
            <w:tcW w:w="1260" w:type="dxa"/>
            <w:vAlign w:val="bottom"/>
          </w:tcPr>
          <w:p>
            <w:pPr>
              <w:spacing w:after="0"/>
              <w:rPr>
                <w:sz w:val="21"/>
                <w:szCs w:val="21"/>
                <w:color w:val="auto"/>
              </w:rPr>
            </w:pPr>
          </w:p>
        </w:tc>
        <w:tc>
          <w:tcPr>
            <w:tcW w:w="2620" w:type="dxa"/>
            <w:vAlign w:val="bottom"/>
            <w:gridSpan w:val="2"/>
          </w:tcPr>
          <w:p>
            <w:pPr>
              <w:ind w:left="20"/>
              <w:spacing w:after="0"/>
              <w:rPr>
                <w:sz w:val="20"/>
                <w:szCs w:val="20"/>
                <w:color w:val="auto"/>
              </w:rPr>
            </w:pPr>
            <w:r>
              <w:rPr>
                <w:rFonts w:ascii="Arial" w:cs="Arial" w:eastAsia="Arial" w:hAnsi="Arial"/>
                <w:sz w:val="18"/>
                <w:szCs w:val="18"/>
                <w:color w:val="auto"/>
              </w:rPr>
              <w:t>Other long-term liabilities</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(6,930)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(3,180)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derivatives designated as hedging instruments</w:t>
            </w:r>
          </w:p>
        </w:tc>
        <w:tc>
          <w:tcPr>
            <w:tcW w:w="1260" w:type="dxa"/>
            <w:vAlign w:val="bottom"/>
            <w:tcBorders>
              <w:bottom w:val="single" w:sz="8" w:color="CCEEFF"/>
            </w:tcBorders>
            <w:shd w:val="clear" w:color="auto" w:fill="CCEEFF"/>
          </w:tcPr>
          <w:p>
            <w:pPr>
              <w:spacing w:after="0"/>
              <w:rPr>
                <w:sz w:val="22"/>
                <w:szCs w:val="22"/>
                <w:color w:val="auto"/>
              </w:rPr>
            </w:pPr>
          </w:p>
        </w:tc>
        <w:tc>
          <w:tcPr>
            <w:tcW w:w="2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(2,900)</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260" w:type="dxa"/>
            <w:vAlign w:val="bottom"/>
            <w:vMerge w:val="restart"/>
          </w:tcPr>
          <w:p>
            <w:pPr>
              <w:jc w:val="right"/>
              <w:ind w:right="70"/>
              <w:spacing w:after="0"/>
              <w:rPr>
                <w:sz w:val="20"/>
                <w:szCs w:val="20"/>
                <w:color w:val="auto"/>
              </w:rPr>
            </w:pPr>
            <w:r>
              <w:rPr>
                <w:rFonts w:ascii="Arial" w:cs="Arial" w:eastAsia="Arial" w:hAnsi="Arial"/>
                <w:sz w:val="18"/>
                <w:szCs w:val="18"/>
                <w:color w:val="auto"/>
              </w:rPr>
              <w:t>13</w:t>
            </w:r>
          </w:p>
        </w:tc>
        <w:tc>
          <w:tcPr>
            <w:tcW w:w="2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47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loss recognized in accumulated other comprehensive income or loss ("AOCI") and the amounts reclassified from AOCI into earnings as of March 31, 2016 and December 31, 2015, and for the three months ended March 31, 2016 and 2015:</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560" w:type="dxa"/>
            <w:vAlign w:val="bottom"/>
            <w:gridSpan w:val="3"/>
          </w:tcPr>
          <w:p>
            <w:pPr>
              <w:jc w:val="center"/>
              <w:ind w:right="193"/>
              <w:spacing w:after="0"/>
              <w:rPr>
                <w:sz w:val="20"/>
                <w:szCs w:val="20"/>
                <w:color w:val="auto"/>
              </w:rPr>
            </w:pPr>
            <w:r>
              <w:rPr>
                <w:rFonts w:ascii="Arial" w:cs="Arial" w:eastAsia="Arial" w:hAnsi="Arial"/>
                <w:sz w:val="16"/>
                <w:szCs w:val="16"/>
                <w:b w:val="1"/>
                <w:bCs w:val="1"/>
                <w:color w:val="auto"/>
                <w:w w:val="89"/>
              </w:rPr>
              <w:t>Amount of Loss Reclassified</w:t>
            </w:r>
          </w:p>
        </w:tc>
        <w:tc>
          <w:tcPr>
            <w:tcW w:w="0" w:type="dxa"/>
            <w:vAlign w:val="bottom"/>
          </w:tcPr>
          <w:p>
            <w:pPr>
              <w:spacing w:after="0"/>
              <w:rPr>
                <w:sz w:val="1"/>
                <w:szCs w:val="1"/>
                <w:color w:val="auto"/>
              </w:rPr>
            </w:pPr>
          </w:p>
        </w:tc>
      </w:tr>
      <w:tr>
        <w:trPr>
          <w:trHeight w:val="210"/>
        </w:trPr>
        <w:tc>
          <w:tcPr>
            <w:tcW w:w="3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60" w:type="dxa"/>
            <w:vAlign w:val="bottom"/>
            <w:gridSpan w:val="4"/>
            <w:vMerge w:val="restart"/>
          </w:tcPr>
          <w:p>
            <w:pPr>
              <w:jc w:val="center"/>
              <w:ind w:right="360"/>
              <w:spacing w:after="0"/>
              <w:rPr>
                <w:sz w:val="20"/>
                <w:szCs w:val="20"/>
                <w:color w:val="auto"/>
              </w:rPr>
            </w:pPr>
            <w:r>
              <w:rPr>
                <w:rFonts w:ascii="Arial" w:cs="Arial" w:eastAsia="Arial" w:hAnsi="Arial"/>
                <w:sz w:val="16"/>
                <w:szCs w:val="16"/>
                <w:b w:val="1"/>
                <w:bCs w:val="1"/>
                <w:color w:val="auto"/>
                <w:w w:val="88"/>
              </w:rPr>
              <w:t>Amount of Loss Recognized</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60" w:type="dxa"/>
            <w:vAlign w:val="bottom"/>
            <w:gridSpan w:val="3"/>
          </w:tcPr>
          <w:p>
            <w:pPr>
              <w:jc w:val="center"/>
              <w:ind w:right="173"/>
              <w:spacing w:after="0"/>
              <w:rPr>
                <w:sz w:val="20"/>
                <w:szCs w:val="20"/>
                <w:color w:val="auto"/>
              </w:rPr>
            </w:pPr>
            <w:r>
              <w:rPr>
                <w:rFonts w:ascii="Arial" w:cs="Arial" w:eastAsia="Arial" w:hAnsi="Arial"/>
                <w:sz w:val="16"/>
                <w:szCs w:val="16"/>
                <w:b w:val="1"/>
                <w:bCs w:val="1"/>
                <w:color w:val="auto"/>
                <w:w w:val="95"/>
              </w:rPr>
              <w:t>from AOCI into Earnings</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760" w:type="dxa"/>
            <w:vAlign w:val="bottom"/>
            <w:gridSpan w:val="4"/>
            <w:vMerge w:val="continue"/>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gridSpan w:val="2"/>
          </w:tcPr>
          <w:p>
            <w:pPr>
              <w:jc w:val="center"/>
              <w:ind w:left="318"/>
              <w:spacing w:after="0"/>
              <w:rPr>
                <w:sz w:val="20"/>
                <w:szCs w:val="20"/>
                <w:color w:val="auto"/>
              </w:rPr>
            </w:pPr>
            <w:r>
              <w:rPr>
                <w:rFonts w:ascii="Arial" w:cs="Arial" w:eastAsia="Arial" w:hAnsi="Arial"/>
                <w:sz w:val="16"/>
                <w:szCs w:val="16"/>
                <w:b w:val="1"/>
                <w:bCs w:val="1"/>
                <w:color w:val="auto"/>
                <w:w w:val="95"/>
              </w:rPr>
              <w:t>in AOCI on Derivative</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60" w:type="dxa"/>
            <w:vAlign w:val="bottom"/>
            <w:gridSpan w:val="3"/>
          </w:tcPr>
          <w:p>
            <w:pPr>
              <w:jc w:val="center"/>
              <w:ind w:right="173"/>
              <w:spacing w:after="0"/>
              <w:rPr>
                <w:sz w:val="20"/>
                <w:szCs w:val="20"/>
                <w:color w:val="auto"/>
              </w:rPr>
            </w:pPr>
            <w:r>
              <w:rPr>
                <w:rFonts w:ascii="Arial" w:cs="Arial" w:eastAsia="Arial" w:hAnsi="Arial"/>
                <w:sz w:val="16"/>
                <w:szCs w:val="16"/>
                <w:b w:val="1"/>
                <w:bCs w:val="1"/>
                <w:color w:val="auto"/>
                <w:w w:val="90"/>
              </w:rPr>
              <w:t>Three months ended</w:t>
            </w:r>
          </w:p>
        </w:tc>
        <w:tc>
          <w:tcPr>
            <w:tcW w:w="0" w:type="dxa"/>
            <w:vAlign w:val="bottom"/>
          </w:tcPr>
          <w:p>
            <w:pPr>
              <w:spacing w:after="0"/>
              <w:rPr>
                <w:sz w:val="1"/>
                <w:szCs w:val="1"/>
                <w:color w:val="auto"/>
              </w:rPr>
            </w:pPr>
          </w:p>
        </w:tc>
      </w:tr>
      <w:tr>
        <w:trPr>
          <w:trHeight w:val="210"/>
        </w:trPr>
        <w:tc>
          <w:tcPr>
            <w:tcW w:w="3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60" w:type="dxa"/>
            <w:vAlign w:val="bottom"/>
            <w:gridSpan w:val="4"/>
          </w:tcPr>
          <w:p>
            <w:pPr>
              <w:jc w:val="center"/>
              <w:ind w:right="320"/>
              <w:spacing w:after="0"/>
              <w:rPr>
                <w:sz w:val="20"/>
                <w:szCs w:val="20"/>
                <w:color w:val="auto"/>
              </w:rPr>
            </w:pPr>
            <w:r>
              <w:rPr>
                <w:rFonts w:ascii="Arial" w:cs="Arial" w:eastAsia="Arial" w:hAnsi="Arial"/>
                <w:sz w:val="16"/>
                <w:szCs w:val="16"/>
                <w:b w:val="1"/>
                <w:bCs w:val="1"/>
                <w:color w:val="auto"/>
                <w:w w:val="91"/>
              </w:rPr>
              <w:t>(Effective Portion, net of tax)</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gridSpan w:val="2"/>
          </w:tcPr>
          <w:p>
            <w:pPr>
              <w:jc w:val="center"/>
              <w:ind w:left="597"/>
              <w:spacing w:after="0"/>
              <w:rPr>
                <w:sz w:val="20"/>
                <w:szCs w:val="20"/>
                <w:color w:val="auto"/>
              </w:rPr>
            </w:pPr>
            <w:r>
              <w:rPr>
                <w:rFonts w:ascii="Arial" w:cs="Arial" w:eastAsia="Arial" w:hAnsi="Arial"/>
                <w:sz w:val="16"/>
                <w:szCs w:val="16"/>
                <w:b w:val="1"/>
                <w:bCs w:val="1"/>
                <w:color w:val="auto"/>
                <w:w w:val="94"/>
              </w:rPr>
              <w:t>March 31,</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380" w:type="dxa"/>
            <w:vAlign w:val="bottom"/>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center"/>
              <w:ind w:right="198"/>
              <w:spacing w:after="0"/>
              <w:rPr>
                <w:sz w:val="20"/>
                <w:szCs w:val="20"/>
                <w:color w:val="auto"/>
              </w:rPr>
            </w:pPr>
            <w:r>
              <w:rPr>
                <w:rFonts w:ascii="Arial" w:cs="Arial" w:eastAsia="Arial" w:hAnsi="Arial"/>
                <w:sz w:val="16"/>
                <w:szCs w:val="16"/>
                <w:b w:val="1"/>
                <w:bCs w:val="1"/>
                <w:color w:val="auto"/>
                <w:w w:val="84"/>
              </w:rPr>
              <w:t>As of</w:t>
            </w:r>
          </w:p>
        </w:tc>
        <w:tc>
          <w:tcPr>
            <w:tcW w:w="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Location of Loss Reclassified</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center"/>
              <w:ind w:right="198"/>
              <w:spacing w:after="0"/>
              <w:rPr>
                <w:sz w:val="20"/>
                <w:szCs w:val="20"/>
                <w:color w:val="auto"/>
              </w:rPr>
            </w:pPr>
            <w:r>
              <w:rPr>
                <w:rFonts w:ascii="Arial" w:cs="Arial" w:eastAsia="Arial" w:hAnsi="Arial"/>
                <w:sz w:val="16"/>
                <w:szCs w:val="16"/>
                <w:b w:val="1"/>
                <w:bCs w:val="1"/>
                <w:color w:val="auto"/>
                <w:w w:val="94"/>
              </w:rPr>
              <w:t>March 31,</w:t>
            </w:r>
          </w:p>
        </w:tc>
        <w:tc>
          <w:tcPr>
            <w:tcW w:w="1540" w:type="dxa"/>
            <w:vAlign w:val="bottom"/>
            <w:gridSpan w:val="3"/>
          </w:tcPr>
          <w:p>
            <w:pPr>
              <w:ind w:left="560"/>
              <w:spacing w:after="0"/>
              <w:rPr>
                <w:sz w:val="20"/>
                <w:szCs w:val="20"/>
                <w:color w:val="auto"/>
              </w:rPr>
            </w:pPr>
            <w:r>
              <w:rPr>
                <w:rFonts w:ascii="Arial" w:cs="Arial" w:eastAsia="Arial" w:hAnsi="Arial"/>
                <w:sz w:val="16"/>
                <w:szCs w:val="16"/>
                <w:b w:val="1"/>
                <w:bCs w:val="1"/>
                <w:color w:val="auto"/>
              </w:rPr>
              <w:t>As of</w:t>
            </w:r>
          </w:p>
        </w:tc>
        <w:tc>
          <w:tcPr>
            <w:tcW w:w="23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from AOCI into Earnings</w:t>
            </w: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center"/>
              <w:ind w:right="198"/>
              <w:spacing w:after="0"/>
              <w:rPr>
                <w:sz w:val="20"/>
                <w:szCs w:val="20"/>
                <w:color w:val="auto"/>
              </w:rPr>
            </w:pPr>
            <w:r>
              <w:rPr>
                <w:rFonts w:ascii="Arial" w:cs="Arial" w:eastAsia="Arial" w:hAnsi="Arial"/>
                <w:sz w:val="16"/>
                <w:szCs w:val="16"/>
                <w:b w:val="1"/>
                <w:bCs w:val="1"/>
                <w:color w:val="auto"/>
                <w:w w:val="95"/>
              </w:rPr>
              <w:t>2016</w:t>
            </w:r>
          </w:p>
        </w:tc>
        <w:tc>
          <w:tcPr>
            <w:tcW w:w="1540" w:type="dxa"/>
            <w:vAlign w:val="bottom"/>
            <w:gridSpan w:val="3"/>
          </w:tcPr>
          <w:p>
            <w:pPr>
              <w:ind w:left="100"/>
              <w:spacing w:after="0"/>
              <w:rPr>
                <w:sz w:val="20"/>
                <w:szCs w:val="20"/>
                <w:color w:val="auto"/>
              </w:rPr>
            </w:pPr>
            <w:r>
              <w:rPr>
                <w:rFonts w:ascii="Arial" w:cs="Arial" w:eastAsia="Arial" w:hAnsi="Arial"/>
                <w:sz w:val="16"/>
                <w:szCs w:val="16"/>
                <w:b w:val="1"/>
                <w:bCs w:val="1"/>
                <w:color w:val="auto"/>
                <w:w w:val="98"/>
              </w:rPr>
              <w:t>December 31, 2015</w:t>
            </w:r>
          </w:p>
        </w:tc>
        <w:tc>
          <w:tcPr>
            <w:tcW w:w="23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(Effective Portion)</w:t>
            </w:r>
          </w:p>
        </w:tc>
        <w:tc>
          <w:tcPr>
            <w:tcW w:w="280" w:type="dxa"/>
            <w:vAlign w:val="bottom"/>
          </w:tcPr>
          <w:p>
            <w:pPr>
              <w:spacing w:after="0"/>
              <w:rPr>
                <w:sz w:val="18"/>
                <w:szCs w:val="18"/>
                <w:color w:val="auto"/>
              </w:rPr>
            </w:pPr>
          </w:p>
        </w:tc>
        <w:tc>
          <w:tcPr>
            <w:tcW w:w="1140" w:type="dxa"/>
            <w:vAlign w:val="bottom"/>
          </w:tcPr>
          <w:p>
            <w:pPr>
              <w:jc w:val="right"/>
              <w:ind w:right="497"/>
              <w:spacing w:after="0"/>
              <w:rPr>
                <w:sz w:val="20"/>
                <w:szCs w:val="20"/>
                <w:color w:val="auto"/>
              </w:rPr>
            </w:pPr>
            <w:r>
              <w:rPr>
                <w:rFonts w:ascii="Arial" w:cs="Arial" w:eastAsia="Arial" w:hAnsi="Arial"/>
                <w:sz w:val="16"/>
                <w:szCs w:val="16"/>
                <w:b w:val="1"/>
                <w:bCs w:val="1"/>
                <w:color w:val="auto"/>
              </w:rPr>
              <w:t>2016</w:t>
            </w:r>
          </w:p>
        </w:tc>
        <w:tc>
          <w:tcPr>
            <w:tcW w:w="480" w:type="dxa"/>
            <w:vAlign w:val="bottom"/>
          </w:tcPr>
          <w:p>
            <w:pPr>
              <w:spacing w:after="0"/>
              <w:rPr>
                <w:sz w:val="18"/>
                <w:szCs w:val="18"/>
                <w:color w:val="auto"/>
              </w:rPr>
            </w:pPr>
          </w:p>
        </w:tc>
        <w:tc>
          <w:tcPr>
            <w:tcW w:w="940" w:type="dxa"/>
            <w:vAlign w:val="bottom"/>
          </w:tcPr>
          <w:p>
            <w:pPr>
              <w:jc w:val="right"/>
              <w:ind w:right="433"/>
              <w:spacing w:after="0"/>
              <w:rPr>
                <w:sz w:val="20"/>
                <w:szCs w:val="20"/>
                <w:color w:val="auto"/>
              </w:rPr>
            </w:pPr>
            <w:r>
              <w:rPr>
                <w:rFonts w:ascii="Arial" w:cs="Arial" w:eastAsia="Arial" w:hAnsi="Arial"/>
                <w:sz w:val="16"/>
                <w:szCs w:val="16"/>
                <w:b w:val="1"/>
                <w:bCs w:val="1"/>
                <w:color w:val="auto"/>
              </w:rPr>
              <w:t>2015</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40" w:type="dxa"/>
            <w:vAlign w:val="bottom"/>
            <w:gridSpan w:val="2"/>
          </w:tcPr>
          <w:p>
            <w:pPr>
              <w:jc w:val="center"/>
              <w:ind w:left="318"/>
              <w:spacing w:after="0"/>
              <w:rPr>
                <w:sz w:val="20"/>
                <w:szCs w:val="20"/>
                <w:color w:val="auto"/>
              </w:rPr>
            </w:pPr>
            <w:r>
              <w:rPr>
                <w:rFonts w:ascii="Arial" w:cs="Arial" w:eastAsia="Arial" w:hAnsi="Arial"/>
                <w:sz w:val="16"/>
                <w:szCs w:val="16"/>
                <w:b w:val="1"/>
                <w:bCs w:val="1"/>
                <w:color w:val="auto"/>
                <w:w w:val="90"/>
              </w:rPr>
              <w:t>(dollars in thousands)</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560" w:type="dxa"/>
            <w:vAlign w:val="bottom"/>
            <w:gridSpan w:val="3"/>
          </w:tcPr>
          <w:p>
            <w:pPr>
              <w:jc w:val="center"/>
              <w:ind w:right="173"/>
              <w:spacing w:after="0"/>
              <w:rPr>
                <w:sz w:val="20"/>
                <w:szCs w:val="20"/>
                <w:color w:val="auto"/>
              </w:rPr>
            </w:pPr>
            <w:r>
              <w:rPr>
                <w:rFonts w:ascii="Arial" w:cs="Arial" w:eastAsia="Arial" w:hAnsi="Arial"/>
                <w:sz w:val="16"/>
                <w:szCs w:val="16"/>
                <w:b w:val="1"/>
                <w:bCs w:val="1"/>
                <w:color w:val="auto"/>
                <w:w w:val="89"/>
              </w:rPr>
              <w:t>(dollars in thousands)</w:t>
            </w: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Derivatives designated as hedging</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instruments</w:t>
            </w:r>
          </w:p>
        </w:tc>
        <w:tc>
          <w:tcPr>
            <w:tcW w:w="2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200" w:type="dxa"/>
            <w:vAlign w:val="bottom"/>
          </w:tcPr>
          <w:p>
            <w:pPr>
              <w:ind w:left="180"/>
              <w:spacing w:after="0"/>
              <w:rPr>
                <w:sz w:val="20"/>
                <w:szCs w:val="20"/>
                <w:color w:val="auto"/>
              </w:rPr>
            </w:pPr>
            <w:r>
              <w:rPr>
                <w:rFonts w:ascii="Arial" w:cs="Arial" w:eastAsia="Arial" w:hAnsi="Arial"/>
                <w:sz w:val="18"/>
                <w:szCs w:val="18"/>
                <w:color w:val="auto"/>
              </w:rPr>
              <w:t>Interest rate swaps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8"/>
              <w:spacing w:after="0"/>
              <w:rPr>
                <w:sz w:val="20"/>
                <w:szCs w:val="20"/>
                <w:color w:val="auto"/>
              </w:rPr>
            </w:pPr>
            <w:r>
              <w:rPr>
                <w:rFonts w:ascii="Arial" w:cs="Arial" w:eastAsia="Arial" w:hAnsi="Arial"/>
                <w:sz w:val="18"/>
                <w:szCs w:val="18"/>
                <w:color w:val="auto"/>
              </w:rPr>
              <w:t>(4,750)</w:t>
            </w:r>
          </w:p>
        </w:tc>
        <w:tc>
          <w:tcPr>
            <w:tcW w:w="820" w:type="dxa"/>
            <w:vAlign w:val="bottom"/>
          </w:tcPr>
          <w:p>
            <w:pPr>
              <w:ind w:left="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(1,790)</w:t>
            </w:r>
          </w:p>
        </w:tc>
        <w:tc>
          <w:tcPr>
            <w:tcW w:w="120" w:type="dxa"/>
            <w:vAlign w:val="bottom"/>
          </w:tcPr>
          <w:p>
            <w:pPr>
              <w:spacing w:after="0"/>
              <w:rPr>
                <w:sz w:val="21"/>
                <w:szCs w:val="21"/>
                <w:color w:val="auto"/>
              </w:rPr>
            </w:pPr>
          </w:p>
        </w:tc>
        <w:tc>
          <w:tcPr>
            <w:tcW w:w="238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(110)</w:t>
            </w:r>
          </w:p>
        </w:tc>
        <w:tc>
          <w:tcPr>
            <w:tcW w:w="4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from discontinued</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operations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7"/>
        </w:trPr>
        <w:tc>
          <w:tcPr>
            <w:tcW w:w="32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Over the next 12 months, the Company expects to reclassify approximately $0.8 million of pre-tax deferred losses from AOCI to interest expense as the related interest payments for the designated interest rate swaps are funded.</w:t>
      </w:r>
    </w:p>
    <w:p>
      <w:pPr>
        <w:spacing w:after="0" w:line="2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fair value of the Company's derivatives are estimated using an income approach based on valuation techniques to convert future amounts to a single, discounted amount. Estimates of the fair value of the Company's interest rate swaps use observable inputs such as interest rate yield curves. Fair value measurements and the fair value hierarchy level for the Company's assets and liabilities measured at fair value on a recurring basis as of March 31, 2016 and December 31, 2015 are shown below.</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8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Quoted Prices in</w:t>
            </w: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18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center"/>
              <w:ind w:right="76"/>
              <w:spacing w:after="0"/>
              <w:rPr>
                <w:sz w:val="20"/>
                <w:szCs w:val="20"/>
                <w:color w:val="auto"/>
              </w:rPr>
            </w:pPr>
            <w:r>
              <w:rPr>
                <w:rFonts w:ascii="Arial" w:cs="Arial" w:eastAsia="Arial" w:hAnsi="Arial"/>
                <w:sz w:val="16"/>
                <w:szCs w:val="16"/>
                <w:b w:val="1"/>
                <w:bCs w:val="1"/>
                <w:color w:val="auto"/>
                <w:w w:val="93"/>
              </w:rPr>
              <w:t>Active Markets</w:t>
            </w: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center"/>
              <w:ind w:right="76"/>
              <w:spacing w:after="0"/>
              <w:rPr>
                <w:sz w:val="20"/>
                <w:szCs w:val="20"/>
                <w:color w:val="auto"/>
              </w:rPr>
            </w:pPr>
            <w:r>
              <w:rPr>
                <w:rFonts w:ascii="Arial" w:cs="Arial" w:eastAsia="Arial" w:hAnsi="Arial"/>
                <w:sz w:val="16"/>
                <w:szCs w:val="16"/>
                <w:b w:val="1"/>
                <w:bCs w:val="1"/>
                <w:color w:val="auto"/>
                <w:w w:val="92"/>
              </w:rPr>
              <w:t>Significant</w:t>
            </w:r>
          </w:p>
        </w:tc>
      </w:tr>
      <w:tr>
        <w:trPr>
          <w:trHeight w:val="203"/>
        </w:trPr>
        <w:tc>
          <w:tcPr>
            <w:tcW w:w="18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center"/>
              <w:ind w:right="76"/>
              <w:spacing w:after="0"/>
              <w:rPr>
                <w:sz w:val="20"/>
                <w:szCs w:val="20"/>
                <w:color w:val="auto"/>
              </w:rPr>
            </w:pPr>
            <w:r>
              <w:rPr>
                <w:rFonts w:ascii="Arial" w:cs="Arial" w:eastAsia="Arial" w:hAnsi="Arial"/>
                <w:sz w:val="16"/>
                <w:szCs w:val="16"/>
                <w:b w:val="1"/>
                <w:bCs w:val="1"/>
                <w:color w:val="auto"/>
                <w:w w:val="94"/>
              </w:rPr>
              <w:t>for Identical</w:t>
            </w:r>
          </w:p>
        </w:tc>
        <w:tc>
          <w:tcPr>
            <w:tcW w:w="1500" w:type="dxa"/>
            <w:vAlign w:val="bottom"/>
            <w:gridSpan w:val="2"/>
          </w:tcPr>
          <w:p>
            <w:pPr>
              <w:jc w:val="right"/>
              <w:ind w:right="53"/>
              <w:spacing w:after="0"/>
              <w:rPr>
                <w:sz w:val="20"/>
                <w:szCs w:val="20"/>
                <w:color w:val="auto"/>
              </w:rPr>
            </w:pPr>
            <w:r>
              <w:rPr>
                <w:rFonts w:ascii="Arial" w:cs="Arial" w:eastAsia="Arial" w:hAnsi="Arial"/>
                <w:sz w:val="16"/>
                <w:szCs w:val="16"/>
                <w:b w:val="1"/>
                <w:bCs w:val="1"/>
                <w:color w:val="auto"/>
              </w:rPr>
              <w:t>Significant Other</w:t>
            </w:r>
          </w:p>
        </w:tc>
        <w:tc>
          <w:tcPr>
            <w:tcW w:w="220" w:type="dxa"/>
            <w:vAlign w:val="bottom"/>
          </w:tcPr>
          <w:p>
            <w:pPr>
              <w:spacing w:after="0"/>
              <w:rPr>
                <w:sz w:val="17"/>
                <w:szCs w:val="17"/>
                <w:color w:val="auto"/>
              </w:rPr>
            </w:pPr>
          </w:p>
        </w:tc>
        <w:tc>
          <w:tcPr>
            <w:tcW w:w="1200" w:type="dxa"/>
            <w:vAlign w:val="bottom"/>
          </w:tcPr>
          <w:p>
            <w:pPr>
              <w:jc w:val="center"/>
              <w:ind w:right="76"/>
              <w:spacing w:after="0"/>
              <w:rPr>
                <w:sz w:val="20"/>
                <w:szCs w:val="20"/>
                <w:color w:val="auto"/>
              </w:rPr>
            </w:pPr>
            <w:r>
              <w:rPr>
                <w:rFonts w:ascii="Arial" w:cs="Arial" w:eastAsia="Arial" w:hAnsi="Arial"/>
                <w:sz w:val="16"/>
                <w:szCs w:val="16"/>
                <w:b w:val="1"/>
                <w:bCs w:val="1"/>
                <w:color w:val="auto"/>
                <w:w w:val="90"/>
              </w:rPr>
              <w:t>Unobservable</w:t>
            </w:r>
          </w:p>
        </w:tc>
      </w:tr>
      <w:tr>
        <w:trPr>
          <w:trHeight w:val="203"/>
        </w:trPr>
        <w:tc>
          <w:tcPr>
            <w:tcW w:w="18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center"/>
              <w:ind w:right="76"/>
              <w:spacing w:after="0"/>
              <w:rPr>
                <w:sz w:val="20"/>
                <w:szCs w:val="20"/>
                <w:color w:val="auto"/>
              </w:rPr>
            </w:pPr>
            <w:r>
              <w:rPr>
                <w:rFonts w:ascii="Arial" w:cs="Arial" w:eastAsia="Arial" w:hAnsi="Arial"/>
                <w:sz w:val="16"/>
                <w:szCs w:val="16"/>
                <w:b w:val="1"/>
                <w:bCs w:val="1"/>
                <w:color w:val="auto"/>
                <w:w w:val="79"/>
              </w:rPr>
              <w:t>Assets</w:t>
            </w:r>
          </w:p>
        </w:tc>
        <w:tc>
          <w:tcPr>
            <w:tcW w:w="1500" w:type="dxa"/>
            <w:vAlign w:val="bottom"/>
            <w:gridSpan w:val="2"/>
          </w:tcPr>
          <w:p>
            <w:pPr>
              <w:ind w:left="120"/>
              <w:spacing w:after="0"/>
              <w:rPr>
                <w:sz w:val="20"/>
                <w:szCs w:val="20"/>
                <w:color w:val="auto"/>
              </w:rPr>
            </w:pPr>
            <w:r>
              <w:rPr>
                <w:rFonts w:ascii="Arial" w:cs="Arial" w:eastAsia="Arial" w:hAnsi="Arial"/>
                <w:sz w:val="16"/>
                <w:szCs w:val="16"/>
                <w:b w:val="1"/>
                <w:bCs w:val="1"/>
                <w:color w:val="auto"/>
                <w:w w:val="97"/>
              </w:rPr>
              <w:t>Observable Inputs</w:t>
            </w:r>
          </w:p>
        </w:tc>
        <w:tc>
          <w:tcPr>
            <w:tcW w:w="220" w:type="dxa"/>
            <w:vAlign w:val="bottom"/>
          </w:tcPr>
          <w:p>
            <w:pPr>
              <w:spacing w:after="0"/>
              <w:rPr>
                <w:sz w:val="17"/>
                <w:szCs w:val="17"/>
                <w:color w:val="auto"/>
              </w:rPr>
            </w:pPr>
          </w:p>
        </w:tc>
        <w:tc>
          <w:tcPr>
            <w:tcW w:w="1200" w:type="dxa"/>
            <w:vAlign w:val="bottom"/>
          </w:tcPr>
          <w:p>
            <w:pPr>
              <w:jc w:val="center"/>
              <w:ind w:right="76"/>
              <w:spacing w:after="0"/>
              <w:rPr>
                <w:sz w:val="20"/>
                <w:szCs w:val="20"/>
                <w:color w:val="auto"/>
              </w:rPr>
            </w:pPr>
            <w:r>
              <w:rPr>
                <w:rFonts w:ascii="Arial" w:cs="Arial" w:eastAsia="Arial" w:hAnsi="Arial"/>
                <w:sz w:val="16"/>
                <w:szCs w:val="16"/>
                <w:b w:val="1"/>
                <w:bCs w:val="1"/>
                <w:color w:val="auto"/>
                <w:w w:val="91"/>
              </w:rPr>
              <w:t>Inputs</w:t>
            </w:r>
          </w:p>
        </w:tc>
      </w:tr>
      <w:tr>
        <w:trPr>
          <w:trHeight w:val="210"/>
        </w:trPr>
        <w:tc>
          <w:tcPr>
            <w:tcW w:w="1820" w:type="dxa"/>
            <w:vAlign w:val="bottom"/>
          </w:tcPr>
          <w:p>
            <w:pPr>
              <w:spacing w:after="0"/>
              <w:rPr>
                <w:sz w:val="18"/>
                <w:szCs w:val="18"/>
                <w:color w:val="auto"/>
              </w:rPr>
            </w:pPr>
          </w:p>
        </w:tc>
        <w:tc>
          <w:tcPr>
            <w:tcW w:w="2160" w:type="dxa"/>
            <w:vAlign w:val="bottom"/>
          </w:tcPr>
          <w:p>
            <w:pPr>
              <w:ind w:left="380"/>
              <w:spacing w:after="0"/>
              <w:rPr>
                <w:sz w:val="20"/>
                <w:szCs w:val="20"/>
                <w:color w:val="auto"/>
              </w:rPr>
            </w:pPr>
            <w:r>
              <w:rPr>
                <w:rFonts w:ascii="Arial" w:cs="Arial" w:eastAsia="Arial" w:hAnsi="Arial"/>
                <w:sz w:val="16"/>
                <w:szCs w:val="16"/>
                <w:b w:val="1"/>
                <w:bCs w:val="1"/>
                <w:color w:val="auto"/>
              </w:rPr>
              <w:t>Description</w:t>
            </w:r>
          </w:p>
        </w:tc>
        <w:tc>
          <w:tcPr>
            <w:tcW w:w="1520" w:type="dxa"/>
            <w:vAlign w:val="bottom"/>
          </w:tcPr>
          <w:p>
            <w:pPr>
              <w:ind w:left="660"/>
              <w:spacing w:after="0"/>
              <w:rPr>
                <w:sz w:val="20"/>
                <w:szCs w:val="20"/>
                <w:color w:val="auto"/>
              </w:rPr>
            </w:pPr>
            <w:r>
              <w:rPr>
                <w:rFonts w:ascii="Arial" w:cs="Arial" w:eastAsia="Arial" w:hAnsi="Arial"/>
                <w:sz w:val="16"/>
                <w:szCs w:val="16"/>
                <w:b w:val="1"/>
                <w:bCs w:val="1"/>
                <w:color w:val="auto"/>
              </w:rPr>
              <w:t>Frequency</w:t>
            </w:r>
          </w:p>
        </w:tc>
        <w:tc>
          <w:tcPr>
            <w:tcW w:w="1560" w:type="dxa"/>
            <w:vAlign w:val="bottom"/>
            <w:gridSpan w:val="2"/>
          </w:tcPr>
          <w:p>
            <w:pPr>
              <w:ind w:left="280"/>
              <w:spacing w:after="0"/>
              <w:rPr>
                <w:sz w:val="20"/>
                <w:szCs w:val="20"/>
                <w:color w:val="auto"/>
              </w:rPr>
            </w:pPr>
            <w:r>
              <w:rPr>
                <w:rFonts w:ascii="Arial" w:cs="Arial" w:eastAsia="Arial" w:hAnsi="Arial"/>
                <w:sz w:val="16"/>
                <w:szCs w:val="16"/>
                <w:b w:val="1"/>
                <w:bCs w:val="1"/>
                <w:color w:val="auto"/>
                <w:w w:val="98"/>
              </w:rPr>
              <w:t>Asset / (Liability)</w:t>
            </w:r>
          </w:p>
        </w:tc>
        <w:tc>
          <w:tcPr>
            <w:tcW w:w="180" w:type="dxa"/>
            <w:vAlign w:val="bottom"/>
          </w:tcPr>
          <w:p>
            <w:pPr>
              <w:spacing w:after="0"/>
              <w:rPr>
                <w:sz w:val="18"/>
                <w:szCs w:val="18"/>
                <w:color w:val="auto"/>
              </w:rPr>
            </w:pPr>
          </w:p>
        </w:tc>
        <w:tc>
          <w:tcPr>
            <w:tcW w:w="1260" w:type="dxa"/>
            <w:vAlign w:val="bottom"/>
          </w:tcPr>
          <w:p>
            <w:pPr>
              <w:jc w:val="center"/>
              <w:ind w:right="56"/>
              <w:spacing w:after="0"/>
              <w:rPr>
                <w:sz w:val="20"/>
                <w:szCs w:val="20"/>
                <w:color w:val="auto"/>
              </w:rPr>
            </w:pPr>
            <w:r>
              <w:rPr>
                <w:rFonts w:ascii="Arial" w:cs="Arial" w:eastAsia="Arial" w:hAnsi="Arial"/>
                <w:sz w:val="16"/>
                <w:szCs w:val="16"/>
                <w:b w:val="1"/>
                <w:bCs w:val="1"/>
                <w:color w:val="auto"/>
                <w:w w:val="92"/>
              </w:rPr>
              <w:t>(Level 1)</w:t>
            </w:r>
          </w:p>
        </w:tc>
        <w:tc>
          <w:tcPr>
            <w:tcW w:w="340" w:type="dxa"/>
            <w:vAlign w:val="bottom"/>
          </w:tcPr>
          <w:p>
            <w:pPr>
              <w:spacing w:after="0"/>
              <w:rPr>
                <w:sz w:val="18"/>
                <w:szCs w:val="18"/>
                <w:color w:val="auto"/>
              </w:rPr>
            </w:pPr>
          </w:p>
        </w:tc>
        <w:tc>
          <w:tcPr>
            <w:tcW w:w="1160" w:type="dxa"/>
            <w:vAlign w:val="bottom"/>
          </w:tcPr>
          <w:p>
            <w:pPr>
              <w:jc w:val="right"/>
              <w:ind w:right="353"/>
              <w:spacing w:after="0"/>
              <w:rPr>
                <w:sz w:val="20"/>
                <w:szCs w:val="20"/>
                <w:color w:val="auto"/>
              </w:rPr>
            </w:pPr>
            <w:r>
              <w:rPr>
                <w:rFonts w:ascii="Arial" w:cs="Arial" w:eastAsia="Arial" w:hAnsi="Arial"/>
                <w:sz w:val="16"/>
                <w:szCs w:val="16"/>
                <w:b w:val="1"/>
                <w:bCs w:val="1"/>
                <w:color w:val="auto"/>
              </w:rPr>
              <w:t>(Level 2)</w:t>
            </w:r>
          </w:p>
        </w:tc>
        <w:tc>
          <w:tcPr>
            <w:tcW w:w="220" w:type="dxa"/>
            <w:vAlign w:val="bottom"/>
          </w:tcPr>
          <w:p>
            <w:pPr>
              <w:spacing w:after="0"/>
              <w:rPr>
                <w:sz w:val="18"/>
                <w:szCs w:val="18"/>
                <w:color w:val="auto"/>
              </w:rPr>
            </w:pPr>
          </w:p>
        </w:tc>
        <w:tc>
          <w:tcPr>
            <w:tcW w:w="1200" w:type="dxa"/>
            <w:vAlign w:val="bottom"/>
          </w:tcPr>
          <w:p>
            <w:pPr>
              <w:jc w:val="center"/>
              <w:ind w:right="76"/>
              <w:spacing w:after="0"/>
              <w:rPr>
                <w:sz w:val="20"/>
                <w:szCs w:val="20"/>
                <w:color w:val="auto"/>
              </w:rPr>
            </w:pPr>
            <w:r>
              <w:rPr>
                <w:rFonts w:ascii="Arial" w:cs="Arial" w:eastAsia="Arial" w:hAnsi="Arial"/>
                <w:sz w:val="16"/>
                <w:szCs w:val="16"/>
                <w:b w:val="1"/>
                <w:bCs w:val="1"/>
                <w:color w:val="auto"/>
                <w:w w:val="92"/>
              </w:rPr>
              <w:t>(Level 3)</w:t>
            </w:r>
          </w:p>
        </w:tc>
      </w:tr>
      <w:tr>
        <w:trPr>
          <w:trHeight w:val="33"/>
        </w:trPr>
        <w:tc>
          <w:tcPr>
            <w:tcW w:w="182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1"/>
        </w:trPr>
        <w:tc>
          <w:tcPr>
            <w:tcW w:w="18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60" w:type="dxa"/>
            <w:vAlign w:val="bottom"/>
            <w:gridSpan w:val="3"/>
          </w:tcPr>
          <w:p>
            <w:pPr>
              <w:jc w:val="right"/>
              <w:ind w:right="573"/>
              <w:spacing w:after="0"/>
              <w:rPr>
                <w:sz w:val="20"/>
                <w:szCs w:val="20"/>
                <w:color w:val="auto"/>
              </w:rPr>
            </w:pPr>
            <w:r>
              <w:rPr>
                <w:rFonts w:ascii="Arial" w:cs="Arial" w:eastAsia="Arial" w:hAnsi="Arial"/>
                <w:sz w:val="16"/>
                <w:szCs w:val="16"/>
                <w:b w:val="1"/>
                <w:bCs w:val="1"/>
                <w:color w:val="auto"/>
              </w:rPr>
              <w:t>(dollars in thousands)</w:t>
            </w: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3"/>
        </w:trPr>
        <w:tc>
          <w:tcPr>
            <w:tcW w:w="18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1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March 31, 2016</w:t>
            </w:r>
          </w:p>
        </w:tc>
        <w:tc>
          <w:tcPr>
            <w:tcW w:w="2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rate swaps</w:t>
            </w:r>
          </w:p>
        </w:tc>
        <w:tc>
          <w:tcPr>
            <w:tcW w:w="152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Recurring</w:t>
            </w:r>
          </w:p>
        </w:tc>
        <w:tc>
          <w:tcPr>
            <w:tcW w:w="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(7,680)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(7,680)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w:t>
            </w:r>
          </w:p>
        </w:tc>
      </w:tr>
      <w:tr>
        <w:trPr>
          <w:trHeight w:val="243"/>
        </w:trPr>
        <w:tc>
          <w:tcPr>
            <w:tcW w:w="1820" w:type="dxa"/>
            <w:vAlign w:val="bottom"/>
          </w:tcPr>
          <w:p>
            <w:pPr>
              <w:ind w:left="40"/>
              <w:spacing w:after="0"/>
              <w:rPr>
                <w:sz w:val="20"/>
                <w:szCs w:val="20"/>
                <w:color w:val="auto"/>
              </w:rPr>
            </w:pPr>
            <w:r>
              <w:rPr>
                <w:rFonts w:ascii="Arial" w:cs="Arial" w:eastAsia="Arial" w:hAnsi="Arial"/>
                <w:sz w:val="18"/>
                <w:szCs w:val="18"/>
                <w:color w:val="auto"/>
              </w:rPr>
              <w:t>December 31, 2015</w:t>
            </w:r>
          </w:p>
        </w:tc>
        <w:tc>
          <w:tcPr>
            <w:tcW w:w="2160" w:type="dxa"/>
            <w:vAlign w:val="bottom"/>
          </w:tcPr>
          <w:p>
            <w:pPr>
              <w:ind w:left="380"/>
              <w:spacing w:after="0"/>
              <w:rPr>
                <w:sz w:val="20"/>
                <w:szCs w:val="20"/>
                <w:color w:val="auto"/>
              </w:rPr>
            </w:pPr>
            <w:r>
              <w:rPr>
                <w:rFonts w:ascii="Arial" w:cs="Arial" w:eastAsia="Arial" w:hAnsi="Arial"/>
                <w:sz w:val="18"/>
                <w:szCs w:val="18"/>
                <w:color w:val="auto"/>
              </w:rPr>
              <w:t>Interest rate swaps</w:t>
            </w:r>
          </w:p>
        </w:tc>
        <w:tc>
          <w:tcPr>
            <w:tcW w:w="1520" w:type="dxa"/>
            <w:vAlign w:val="bottom"/>
          </w:tcPr>
          <w:p>
            <w:pPr>
              <w:ind w:left="420"/>
              <w:spacing w:after="0"/>
              <w:rPr>
                <w:sz w:val="20"/>
                <w:szCs w:val="20"/>
                <w:color w:val="auto"/>
              </w:rPr>
            </w:pPr>
            <w:r>
              <w:rPr>
                <w:rFonts w:ascii="Arial" w:cs="Arial" w:eastAsia="Arial" w:hAnsi="Arial"/>
                <w:sz w:val="18"/>
                <w:szCs w:val="18"/>
                <w:color w:val="auto"/>
              </w:rPr>
              <w:t>Recurring</w:t>
            </w:r>
          </w:p>
        </w:tc>
        <w:tc>
          <w:tcPr>
            <w:tcW w:w="640" w:type="dxa"/>
            <w:vAlign w:val="bottom"/>
          </w:tcPr>
          <w:p>
            <w:pPr>
              <w:ind w:left="28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(2,900)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ind w:left="940"/>
              <w:spacing w:after="0"/>
              <w:rPr>
                <w:sz w:val="20"/>
                <w:szCs w:val="20"/>
                <w:color w:val="auto"/>
              </w:rPr>
            </w:pPr>
            <w:r>
              <w:rPr>
                <w:rFonts w:ascii="Arial" w:cs="Arial" w:eastAsia="Arial" w:hAnsi="Arial"/>
                <w:sz w:val="18"/>
                <w:szCs w:val="18"/>
                <w:color w:val="auto"/>
              </w:rPr>
              <w:t>—</w:t>
            </w:r>
          </w:p>
        </w:tc>
        <w:tc>
          <w:tcPr>
            <w:tcW w:w="340" w:type="dxa"/>
            <w:vAlign w:val="bottom"/>
          </w:tcPr>
          <w:p>
            <w:pPr>
              <w:ind w:left="1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(2,900)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ind w:left="920"/>
              <w:spacing w:after="0"/>
              <w:rPr>
                <w:sz w:val="20"/>
                <w:szCs w:val="20"/>
                <w:color w:val="auto"/>
              </w:rPr>
            </w:pPr>
            <w:r>
              <w:rPr>
                <w:rFonts w:ascii="Arial" w:cs="Arial" w:eastAsia="Arial" w:hAnsi="Arial"/>
                <w:sz w:val="18"/>
                <w:szCs w:val="18"/>
                <w:color w:val="auto"/>
              </w:rPr>
              <w:t>—</w:t>
            </w:r>
          </w:p>
        </w:tc>
      </w:tr>
      <w:tr>
        <w:trPr>
          <w:trHeight w:val="621"/>
        </w:trPr>
        <w:tc>
          <w:tcPr>
            <w:tcW w:w="18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640" w:type="dxa"/>
            <w:vAlign w:val="bottom"/>
          </w:tcPr>
          <w:p>
            <w:pPr>
              <w:jc w:val="right"/>
              <w:ind w:right="252"/>
              <w:spacing w:after="0"/>
              <w:rPr>
                <w:sz w:val="20"/>
                <w:szCs w:val="20"/>
                <w:color w:val="auto"/>
              </w:rPr>
            </w:pPr>
            <w:r>
              <w:rPr>
                <w:rFonts w:ascii="Arial" w:cs="Arial" w:eastAsia="Arial" w:hAnsi="Arial"/>
                <w:sz w:val="18"/>
                <w:szCs w:val="18"/>
                <w:color w:val="auto"/>
              </w:rPr>
              <w:t>14</w:t>
            </w: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Asbestos</w:t>
      </w:r>
    </w:p>
    <w:p>
      <w:pPr>
        <w:spacing w:after="0" w:line="27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of March 31, 2016, the Company was a party to 1,009 pending cases involving an aggregate of 6,184 claimants alleging personal injury from exposure to asbestos containing materials formerly used in gaskets (both encapsulated and otherwise) manufactured or distributed by certain of the Company's subsidiaries for use primarily in the petrochemical refining and exploration industries. The following chart summarizes the number of claimants, number of claims filed, number of claims dismissed, number of claims settled, the average settlement amount per claim and the total defense costs, exclusive of amounts reimbursed under the Company's primary insurance, at the applicable date and for the applicable periods:</w:t>
      </w:r>
    </w:p>
    <w:p>
      <w:pPr>
        <w:spacing w:after="0" w:line="389"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37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Average</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3760" w:type="dxa"/>
            <w:vAlign w:val="bottom"/>
          </w:tcPr>
          <w:p>
            <w:pPr>
              <w:spacing w:after="0"/>
              <w:rPr>
                <w:sz w:val="17"/>
                <w:szCs w:val="17"/>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Claims</w:t>
            </w: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Claims</w:t>
            </w:r>
          </w:p>
        </w:tc>
        <w:tc>
          <w:tcPr>
            <w:tcW w:w="1360" w:type="dxa"/>
            <w:vAlign w:val="bottom"/>
            <w:gridSpan w:val="2"/>
          </w:tcPr>
          <w:p>
            <w:pPr>
              <w:ind w:left="380"/>
              <w:spacing w:after="0"/>
              <w:rPr>
                <w:sz w:val="20"/>
                <w:szCs w:val="20"/>
                <w:color w:val="auto"/>
              </w:rPr>
            </w:pPr>
            <w:r>
              <w:rPr>
                <w:rFonts w:ascii="Arial" w:cs="Arial" w:eastAsia="Arial" w:hAnsi="Arial"/>
                <w:sz w:val="16"/>
                <w:szCs w:val="16"/>
                <w:b w:val="1"/>
                <w:bCs w:val="1"/>
                <w:color w:val="auto"/>
              </w:rPr>
              <w:t>Claims</w:t>
            </w:r>
          </w:p>
        </w:tc>
        <w:tc>
          <w:tcPr>
            <w:tcW w:w="14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settlement</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3760" w:type="dxa"/>
            <w:vAlign w:val="bottom"/>
          </w:tcPr>
          <w:p>
            <w:pPr>
              <w:spacing w:after="0"/>
              <w:rPr>
                <w:sz w:val="17"/>
                <w:szCs w:val="17"/>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pending at</w:t>
            </w: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Claims filed</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4"/>
              </w:rPr>
              <w:t>dismissed</w:t>
            </w:r>
          </w:p>
        </w:tc>
        <w:tc>
          <w:tcPr>
            <w:tcW w:w="1360" w:type="dxa"/>
            <w:vAlign w:val="bottom"/>
            <w:gridSpan w:val="2"/>
          </w:tcPr>
          <w:p>
            <w:pPr>
              <w:ind w:left="400"/>
              <w:spacing w:after="0"/>
              <w:rPr>
                <w:sz w:val="20"/>
                <w:szCs w:val="20"/>
                <w:color w:val="auto"/>
              </w:rPr>
            </w:pPr>
            <w:r>
              <w:rPr>
                <w:rFonts w:ascii="Arial" w:cs="Arial" w:eastAsia="Arial" w:hAnsi="Arial"/>
                <w:sz w:val="16"/>
                <w:szCs w:val="16"/>
                <w:b w:val="1"/>
                <w:bCs w:val="1"/>
                <w:color w:val="auto"/>
              </w:rPr>
              <w:t>settled</w:t>
            </w:r>
          </w:p>
        </w:tc>
        <w:tc>
          <w:tcPr>
            <w:tcW w:w="14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amount per</w:t>
            </w:r>
          </w:p>
        </w:tc>
        <w:tc>
          <w:tcPr>
            <w:tcW w:w="140" w:type="dxa"/>
            <w:vAlign w:val="bottom"/>
          </w:tcPr>
          <w:p>
            <w:pPr>
              <w:spacing w:after="0"/>
              <w:rPr>
                <w:sz w:val="17"/>
                <w:szCs w:val="17"/>
                <w:color w:val="auto"/>
              </w:rPr>
            </w:pPr>
          </w:p>
        </w:tc>
        <w:tc>
          <w:tcPr>
            <w:tcW w:w="1100" w:type="dxa"/>
            <w:vAlign w:val="bottom"/>
          </w:tcPr>
          <w:p>
            <w:pPr>
              <w:jc w:val="center"/>
              <w:ind w:right="35"/>
              <w:spacing w:after="0"/>
              <w:rPr>
                <w:sz w:val="20"/>
                <w:szCs w:val="20"/>
                <w:color w:val="auto"/>
              </w:rPr>
            </w:pPr>
            <w:r>
              <w:rPr>
                <w:rFonts w:ascii="Arial" w:cs="Arial" w:eastAsia="Arial" w:hAnsi="Arial"/>
                <w:sz w:val="16"/>
                <w:szCs w:val="16"/>
                <w:b w:val="1"/>
                <w:bCs w:val="1"/>
                <w:color w:val="auto"/>
                <w:w w:val="87"/>
              </w:rPr>
              <w:t>Total defense</w:t>
            </w:r>
          </w:p>
        </w:tc>
      </w:tr>
      <w:tr>
        <w:trPr>
          <w:trHeight w:val="203"/>
        </w:trPr>
        <w:tc>
          <w:tcPr>
            <w:tcW w:w="3760" w:type="dxa"/>
            <w:vAlign w:val="bottom"/>
          </w:tcPr>
          <w:p>
            <w:pPr>
              <w:spacing w:after="0"/>
              <w:rPr>
                <w:sz w:val="17"/>
                <w:szCs w:val="17"/>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beginning of</w:t>
            </w: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6"/>
              </w:rPr>
              <w:t>during</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during</w:t>
            </w:r>
          </w:p>
        </w:tc>
        <w:tc>
          <w:tcPr>
            <w:tcW w:w="1360" w:type="dxa"/>
            <w:vAlign w:val="bottom"/>
            <w:gridSpan w:val="2"/>
          </w:tcPr>
          <w:p>
            <w:pPr>
              <w:ind w:left="400"/>
              <w:spacing w:after="0"/>
              <w:rPr>
                <w:sz w:val="20"/>
                <w:szCs w:val="20"/>
                <w:color w:val="auto"/>
              </w:rPr>
            </w:pPr>
            <w:r>
              <w:rPr>
                <w:rFonts w:ascii="Arial" w:cs="Arial" w:eastAsia="Arial" w:hAnsi="Arial"/>
                <w:sz w:val="16"/>
                <w:szCs w:val="16"/>
                <w:b w:val="1"/>
                <w:bCs w:val="1"/>
                <w:color w:val="auto"/>
              </w:rPr>
              <w:t>during</w:t>
            </w:r>
          </w:p>
        </w:tc>
        <w:tc>
          <w:tcPr>
            <w:tcW w:w="14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claim during</w:t>
            </w:r>
          </w:p>
        </w:tc>
        <w:tc>
          <w:tcPr>
            <w:tcW w:w="140" w:type="dxa"/>
            <w:vAlign w:val="bottom"/>
          </w:tcPr>
          <w:p>
            <w:pPr>
              <w:spacing w:after="0"/>
              <w:rPr>
                <w:sz w:val="17"/>
                <w:szCs w:val="17"/>
                <w:color w:val="auto"/>
              </w:rPr>
            </w:pPr>
          </w:p>
        </w:tc>
        <w:tc>
          <w:tcPr>
            <w:tcW w:w="1100" w:type="dxa"/>
            <w:vAlign w:val="bottom"/>
          </w:tcPr>
          <w:p>
            <w:pPr>
              <w:jc w:val="center"/>
              <w:ind w:right="55"/>
              <w:spacing w:after="0"/>
              <w:rPr>
                <w:sz w:val="20"/>
                <w:szCs w:val="20"/>
                <w:color w:val="auto"/>
              </w:rPr>
            </w:pPr>
            <w:r>
              <w:rPr>
                <w:rFonts w:ascii="Arial" w:cs="Arial" w:eastAsia="Arial" w:hAnsi="Arial"/>
                <w:sz w:val="16"/>
                <w:szCs w:val="16"/>
                <w:b w:val="1"/>
                <w:bCs w:val="1"/>
                <w:color w:val="auto"/>
                <w:w w:val="87"/>
              </w:rPr>
              <w:t>costs during</w:t>
            </w:r>
          </w:p>
        </w:tc>
      </w:tr>
      <w:tr>
        <w:trPr>
          <w:trHeight w:val="210"/>
        </w:trPr>
        <w:tc>
          <w:tcPr>
            <w:tcW w:w="376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period</w:t>
            </w: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period</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period</w:t>
            </w:r>
          </w:p>
        </w:tc>
        <w:tc>
          <w:tcPr>
            <w:tcW w:w="1360" w:type="dxa"/>
            <w:vAlign w:val="bottom"/>
            <w:gridSpan w:val="2"/>
          </w:tcPr>
          <w:p>
            <w:pPr>
              <w:ind w:left="400"/>
              <w:spacing w:after="0"/>
              <w:rPr>
                <w:sz w:val="20"/>
                <w:szCs w:val="20"/>
                <w:color w:val="auto"/>
              </w:rPr>
            </w:pPr>
            <w:r>
              <w:rPr>
                <w:rFonts w:ascii="Arial" w:cs="Arial" w:eastAsia="Arial" w:hAnsi="Arial"/>
                <w:sz w:val="16"/>
                <w:szCs w:val="16"/>
                <w:b w:val="1"/>
                <w:bCs w:val="1"/>
                <w:color w:val="auto"/>
              </w:rPr>
              <w:t>period</w:t>
            </w: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period</w:t>
            </w:r>
          </w:p>
        </w:tc>
        <w:tc>
          <w:tcPr>
            <w:tcW w:w="140" w:type="dxa"/>
            <w:vAlign w:val="bottom"/>
          </w:tcPr>
          <w:p>
            <w:pPr>
              <w:spacing w:after="0"/>
              <w:rPr>
                <w:sz w:val="18"/>
                <w:szCs w:val="18"/>
                <w:color w:val="auto"/>
              </w:rPr>
            </w:pPr>
          </w:p>
        </w:tc>
        <w:tc>
          <w:tcPr>
            <w:tcW w:w="1100" w:type="dxa"/>
            <w:vAlign w:val="bottom"/>
          </w:tcPr>
          <w:p>
            <w:pPr>
              <w:jc w:val="center"/>
              <w:ind w:right="35"/>
              <w:spacing w:after="0"/>
              <w:rPr>
                <w:sz w:val="20"/>
                <w:szCs w:val="20"/>
                <w:color w:val="auto"/>
              </w:rPr>
            </w:pPr>
            <w:r>
              <w:rPr>
                <w:rFonts w:ascii="Arial" w:cs="Arial" w:eastAsia="Arial" w:hAnsi="Arial"/>
                <w:sz w:val="16"/>
                <w:szCs w:val="16"/>
                <w:b w:val="1"/>
                <w:bCs w:val="1"/>
                <w:color w:val="auto"/>
                <w:w w:val="93"/>
              </w:rPr>
              <w:t>period</w:t>
            </w:r>
          </w:p>
        </w:tc>
      </w:tr>
      <w:tr>
        <w:trPr>
          <w:trHeight w:val="33"/>
        </w:trPr>
        <w:tc>
          <w:tcPr>
            <w:tcW w:w="376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3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Year Ended December 31, 2015</w:t>
            </w:r>
          </w:p>
        </w:tc>
        <w:tc>
          <w:tcPr>
            <w:tcW w:w="11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7,992</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266</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1,990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16,963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3,160,000</w:t>
            </w:r>
          </w:p>
        </w:tc>
      </w:tr>
      <w:tr>
        <w:trPr>
          <w:trHeight w:val="243"/>
        </w:trPr>
        <w:tc>
          <w:tcPr>
            <w:tcW w:w="3760" w:type="dxa"/>
            <w:vAlign w:val="bottom"/>
          </w:tcPr>
          <w:p>
            <w:pPr>
              <w:ind w:left="20"/>
              <w:spacing w:after="0"/>
              <w:rPr>
                <w:sz w:val="20"/>
                <w:szCs w:val="20"/>
                <w:color w:val="auto"/>
              </w:rPr>
            </w:pPr>
            <w:r>
              <w:rPr>
                <w:rFonts w:ascii="Arial" w:cs="Arial" w:eastAsia="Arial" w:hAnsi="Arial"/>
                <w:sz w:val="18"/>
                <w:szCs w:val="18"/>
                <w:color w:val="auto"/>
              </w:rPr>
              <w:t>Three Months Ended March 31, 2016</w:t>
            </w:r>
          </w:p>
        </w:tc>
        <w:tc>
          <w:tcPr>
            <w:tcW w:w="1160" w:type="dxa"/>
            <w:vAlign w:val="bottom"/>
          </w:tcPr>
          <w:p>
            <w:pPr>
              <w:jc w:val="right"/>
              <w:ind w:right="36"/>
              <w:spacing w:after="0"/>
              <w:rPr>
                <w:sz w:val="20"/>
                <w:szCs w:val="20"/>
                <w:color w:val="auto"/>
              </w:rPr>
            </w:pPr>
            <w:r>
              <w:rPr>
                <w:rFonts w:ascii="Arial" w:cs="Arial" w:eastAsia="Arial" w:hAnsi="Arial"/>
                <w:sz w:val="18"/>
                <w:szCs w:val="18"/>
                <w:color w:val="auto"/>
              </w:rPr>
              <w:t>6,242</w:t>
            </w:r>
          </w:p>
        </w:tc>
        <w:tc>
          <w:tcPr>
            <w:tcW w:w="120" w:type="dxa"/>
            <w:vAlign w:val="bottom"/>
          </w:tcPr>
          <w:p>
            <w:pPr>
              <w:spacing w:after="0"/>
              <w:rPr>
                <w:sz w:val="21"/>
                <w:szCs w:val="21"/>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3,333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670,000</w:t>
            </w:r>
          </w:p>
        </w:tc>
      </w:tr>
    </w:tbl>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the Company acquired various companies to distribute its products that had distributed gaskets of other manufacturers prior to acquisition. The Company believes that many of its pending cases relate to locations at which none of its gaskets were distributed or used.</w:t>
      </w:r>
    </w:p>
    <w:p>
      <w:pPr>
        <w:spacing w:after="0" w:line="2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may be subjected to significant additional asbestos-related claims in the future, the cost of settling cases in which product identification can be made may increase, and the Company may be subjected to further claims in respect of the former activities of its acquired gasket distributors. The Company is unable to make a meaningful statement concerning the monetary claims made in the asbestos cases given that, among other things, claims may be initially made in some jurisdictions without specifying the amount sought or by simply stating the requisite or maximum permissible monetary relief, and may be amended to alter the amount sought. The large majority of claims do not specify the amount sought. Of the 6,184 claims pending at March 31, 2016, 122 set forth specific amounts of damages (other than those stating the statutory minimum or maximum). Below is a breakdown of the amount sought for those claims seeking specific amounts:</w:t>
      </w:r>
    </w:p>
    <w:p>
      <w:pPr>
        <w:spacing w:after="0" w:line="200" w:lineRule="exact"/>
        <w:rPr>
          <w:sz w:val="20"/>
          <w:szCs w:val="20"/>
          <w:color w:val="auto"/>
        </w:rPr>
      </w:pPr>
    </w:p>
    <w:p>
      <w:pPr>
        <w:spacing w:after="0" w:line="219" w:lineRule="exact"/>
        <w:rPr>
          <w:sz w:val="20"/>
          <w:szCs w:val="20"/>
          <w:color w:val="auto"/>
        </w:rPr>
      </w:pPr>
    </w:p>
    <w:p>
      <w:pPr>
        <w:ind w:left="3280"/>
        <w:spacing w:after="0"/>
        <w:tabs>
          <w:tab w:leader="none" w:pos="6900" w:val="left"/>
          <w:tab w:leader="none" w:pos="9900" w:val="left"/>
        </w:tabs>
        <w:rPr>
          <w:sz w:val="20"/>
          <w:szCs w:val="20"/>
          <w:color w:val="auto"/>
        </w:rPr>
      </w:pPr>
      <w:r>
        <w:rPr>
          <w:rFonts w:ascii="Arial" w:cs="Arial" w:eastAsia="Arial" w:hAnsi="Arial"/>
          <w:sz w:val="16"/>
          <w:szCs w:val="16"/>
          <w:b w:val="1"/>
          <w:bCs w:val="1"/>
          <w:color w:val="auto"/>
        </w:rPr>
        <w:t>Compensatory &amp; Punitive</w:t>
      </w:r>
      <w:r>
        <w:rPr>
          <w:sz w:val="20"/>
          <w:szCs w:val="20"/>
          <w:color w:val="auto"/>
        </w:rPr>
        <w:tab/>
      </w:r>
      <w:r>
        <w:rPr>
          <w:rFonts w:ascii="Arial" w:cs="Arial" w:eastAsia="Arial" w:hAnsi="Arial"/>
          <w:sz w:val="16"/>
          <w:szCs w:val="16"/>
          <w:b w:val="1"/>
          <w:bCs w:val="1"/>
          <w:color w:val="auto"/>
        </w:rPr>
        <w:t>Compensatory Only</w:t>
      </w:r>
      <w:r>
        <w:rPr>
          <w:sz w:val="20"/>
          <w:szCs w:val="20"/>
          <w:color w:val="auto"/>
        </w:rPr>
        <w:tab/>
      </w:r>
      <w:r>
        <w:rPr>
          <w:rFonts w:ascii="Arial" w:cs="Arial" w:eastAsia="Arial" w:hAnsi="Arial"/>
          <w:sz w:val="15"/>
          <w:szCs w:val="15"/>
          <w:b w:val="1"/>
          <w:bCs w:val="1"/>
          <w:color w:val="auto"/>
        </w:rPr>
        <w:t>Punitive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1609090</wp:posOffset>
            </wp:positionH>
            <wp:positionV relativeFrom="paragraph">
              <wp:posOffset>37465</wp:posOffset>
            </wp:positionV>
            <wp:extent cx="56426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42610" cy="8890"/>
                    </a:xfrm>
                    <a:prstGeom prst="rect">
                      <a:avLst/>
                    </a:prstGeom>
                    <a:noFill/>
                  </pic:spPr>
                </pic:pic>
              </a:graphicData>
            </a:graphic>
          </wp:anchor>
        </w:drawing>
      </w:r>
    </w:p>
    <w:p>
      <w:pPr>
        <w:spacing w:after="0" w:line="52" w:lineRule="exact"/>
        <w:rPr>
          <w:sz w:val="20"/>
          <w:szCs w:val="20"/>
          <w:color w:val="auto"/>
        </w:rPr>
      </w:pPr>
    </w:p>
    <w:p>
      <w:pPr>
        <w:ind w:left="40"/>
        <w:spacing w:after="0"/>
        <w:rPr>
          <w:sz w:val="20"/>
          <w:szCs w:val="20"/>
          <w:color w:val="auto"/>
        </w:rPr>
      </w:pPr>
      <w:r>
        <w:rPr>
          <w:rFonts w:ascii="Arial" w:cs="Arial" w:eastAsia="Arial" w:hAnsi="Arial"/>
          <w:sz w:val="18"/>
          <w:szCs w:val="18"/>
          <w:color w:val="auto"/>
        </w:rPr>
        <w:t>Range of damages sought (in</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540" w:type="dxa"/>
            <w:vAlign w:val="bottom"/>
          </w:tcPr>
          <w:p>
            <w:pPr>
              <w:ind w:left="40"/>
              <w:spacing w:after="0"/>
              <w:rPr>
                <w:sz w:val="20"/>
                <w:szCs w:val="20"/>
                <w:color w:val="auto"/>
              </w:rPr>
            </w:pPr>
            <w:r>
              <w:rPr>
                <w:rFonts w:ascii="Arial" w:cs="Arial" w:eastAsia="Arial" w:hAnsi="Arial"/>
                <w:sz w:val="18"/>
                <w:szCs w:val="18"/>
                <w:color w:val="auto"/>
              </w:rPr>
              <w:t>millions)</w:t>
            </w:r>
          </w:p>
        </w:tc>
        <w:tc>
          <w:tcPr>
            <w:tcW w:w="11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$0.0 to $5.0</w:t>
            </w:r>
          </w:p>
        </w:tc>
        <w:tc>
          <w:tcPr>
            <w:tcW w:w="11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$5.0 to $10.0</w:t>
            </w:r>
          </w:p>
        </w:tc>
        <w:tc>
          <w:tcPr>
            <w:tcW w:w="1040" w:type="dxa"/>
            <w:vAlign w:val="bottom"/>
          </w:tcPr>
          <w:p>
            <w:pPr>
              <w:jc w:val="right"/>
              <w:ind w:right="194"/>
              <w:spacing w:after="0"/>
              <w:rPr>
                <w:sz w:val="20"/>
                <w:szCs w:val="20"/>
                <w:color w:val="auto"/>
              </w:rPr>
            </w:pPr>
            <w:r>
              <w:rPr>
                <w:rFonts w:ascii="Arial" w:cs="Arial" w:eastAsia="Arial" w:hAnsi="Arial"/>
                <w:sz w:val="16"/>
                <w:szCs w:val="16"/>
                <w:b w:val="1"/>
                <w:bCs w:val="1"/>
                <w:color w:val="auto"/>
              </w:rPr>
              <w:t>$10.0+</w:t>
            </w:r>
          </w:p>
        </w:tc>
        <w:tc>
          <w:tcPr>
            <w:tcW w:w="100" w:type="dxa"/>
            <w:vAlign w:val="bottom"/>
          </w:tcPr>
          <w:p>
            <w:pPr>
              <w:spacing w:after="0"/>
              <w:rPr>
                <w:sz w:val="20"/>
                <w:szCs w:val="20"/>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$0.0 to $0.6</w:t>
            </w:r>
          </w:p>
        </w:tc>
        <w:tc>
          <w:tcPr>
            <w:tcW w:w="11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$0.6 to $5.0</w:t>
            </w:r>
          </w:p>
        </w:tc>
        <w:tc>
          <w:tcPr>
            <w:tcW w:w="1020" w:type="dxa"/>
            <w:vAlign w:val="bottom"/>
          </w:tcPr>
          <w:p>
            <w:pPr>
              <w:jc w:val="right"/>
              <w:ind w:right="234"/>
              <w:spacing w:after="0"/>
              <w:rPr>
                <w:sz w:val="20"/>
                <w:szCs w:val="20"/>
                <w:color w:val="auto"/>
              </w:rPr>
            </w:pPr>
            <w:r>
              <w:rPr>
                <w:rFonts w:ascii="Arial" w:cs="Arial" w:eastAsia="Arial" w:hAnsi="Arial"/>
                <w:sz w:val="16"/>
                <w:szCs w:val="16"/>
                <w:b w:val="1"/>
                <w:bCs w:val="1"/>
                <w:color w:val="auto"/>
              </w:rPr>
              <w:t>$5.0+</w:t>
            </w:r>
          </w:p>
        </w:tc>
        <w:tc>
          <w:tcPr>
            <w:tcW w:w="100" w:type="dxa"/>
            <w:vAlign w:val="bottom"/>
          </w:tcPr>
          <w:p>
            <w:pPr>
              <w:spacing w:after="0"/>
              <w:rPr>
                <w:sz w:val="20"/>
                <w:szCs w:val="20"/>
                <w:color w:val="auto"/>
              </w:rPr>
            </w:pPr>
          </w:p>
        </w:tc>
        <w:tc>
          <w:tcPr>
            <w:tcW w:w="2060" w:type="dxa"/>
            <w:vAlign w:val="bottom"/>
          </w:tcPr>
          <w:p>
            <w:pPr>
              <w:jc w:val="center"/>
              <w:spacing w:after="0"/>
              <w:rPr>
                <w:sz w:val="20"/>
                <w:szCs w:val="20"/>
                <w:color w:val="auto"/>
              </w:rPr>
            </w:pPr>
            <w:r>
              <w:rPr>
                <w:rFonts w:ascii="Arial" w:cs="Arial" w:eastAsia="Arial" w:hAnsi="Arial"/>
                <w:sz w:val="16"/>
                <w:szCs w:val="16"/>
                <w:b w:val="1"/>
                <w:bCs w:val="1"/>
                <w:color w:val="auto"/>
                <w:w w:val="90"/>
              </w:rPr>
              <w:t>$0.0 to $2.5</w:t>
            </w:r>
          </w:p>
        </w:tc>
      </w:tr>
      <w:tr>
        <w:trPr>
          <w:trHeight w:val="243"/>
        </w:trPr>
        <w:tc>
          <w:tcPr>
            <w:tcW w:w="25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Number of claims</w:t>
            </w:r>
          </w:p>
        </w:tc>
        <w:tc>
          <w:tcPr>
            <w:tcW w:w="1040" w:type="dxa"/>
            <w:vAlign w:val="bottom"/>
            <w:tcBorders>
              <w:top w:val="single" w:sz="8" w:color="auto"/>
            </w:tcBorders>
            <w:shd w:val="clear" w:color="auto" w:fill="CCEEFF"/>
          </w:tcPr>
          <w:p>
            <w:pPr>
              <w:jc w:val="right"/>
              <w:ind w:right="354"/>
              <w:spacing w:after="0"/>
              <w:rPr>
                <w:sz w:val="20"/>
                <w:szCs w:val="20"/>
                <w:color w:val="auto"/>
              </w:rPr>
            </w:pPr>
            <w:r>
              <w:rPr>
                <w:rFonts w:ascii="Arial" w:cs="Arial" w:eastAsia="Arial" w:hAnsi="Arial"/>
                <w:sz w:val="18"/>
                <w:szCs w:val="18"/>
                <w:color w:val="auto"/>
              </w:rPr>
              <w:t>51</w:t>
            </w:r>
          </w:p>
        </w:tc>
        <w:tc>
          <w:tcPr>
            <w:tcW w:w="120" w:type="dxa"/>
            <w:vAlign w:val="bottom"/>
            <w:tcBorders>
              <w:top w:val="single" w:sz="8" w:color="CCEEFF"/>
            </w:tcBorders>
            <w:shd w:val="clear" w:color="auto" w:fill="CCEEFF"/>
          </w:tcPr>
          <w:p>
            <w:pPr>
              <w:spacing w:after="0"/>
              <w:rPr>
                <w:sz w:val="21"/>
                <w:szCs w:val="21"/>
                <w:color w:val="auto"/>
              </w:rPr>
            </w:pPr>
          </w:p>
        </w:tc>
        <w:tc>
          <w:tcPr>
            <w:tcW w:w="1020" w:type="dxa"/>
            <w:vAlign w:val="bottom"/>
            <w:tcBorders>
              <w:top w:val="single" w:sz="8" w:color="auto"/>
            </w:tcBorders>
            <w:shd w:val="clear" w:color="auto" w:fill="CCEEFF"/>
          </w:tcPr>
          <w:p>
            <w:pPr>
              <w:jc w:val="right"/>
              <w:ind w:right="334"/>
              <w:spacing w:after="0"/>
              <w:rPr>
                <w:sz w:val="20"/>
                <w:szCs w:val="20"/>
                <w:color w:val="auto"/>
              </w:rPr>
            </w:pPr>
            <w:r>
              <w:rPr>
                <w:rFonts w:ascii="Arial" w:cs="Arial" w:eastAsia="Arial" w:hAnsi="Arial"/>
                <w:sz w:val="18"/>
                <w:szCs w:val="18"/>
                <w:color w:val="auto"/>
              </w:rPr>
              <w:t>44</w:t>
            </w:r>
          </w:p>
        </w:tc>
        <w:tc>
          <w:tcPr>
            <w:tcW w:w="100" w:type="dxa"/>
            <w:vAlign w:val="bottom"/>
            <w:tcBorders>
              <w:top w:val="single" w:sz="8" w:color="CCEEFF"/>
            </w:tcBorders>
            <w:shd w:val="clear" w:color="auto" w:fill="CCEEFF"/>
          </w:tcPr>
          <w:p>
            <w:pPr>
              <w:spacing w:after="0"/>
              <w:rPr>
                <w:sz w:val="21"/>
                <w:szCs w:val="21"/>
                <w:color w:val="auto"/>
              </w:rPr>
            </w:pPr>
          </w:p>
        </w:tc>
        <w:tc>
          <w:tcPr>
            <w:tcW w:w="1040" w:type="dxa"/>
            <w:vAlign w:val="bottom"/>
            <w:tcBorders>
              <w:top w:val="single" w:sz="8" w:color="auto"/>
            </w:tcBorders>
            <w:shd w:val="clear" w:color="auto" w:fill="CCEEFF"/>
          </w:tcPr>
          <w:p>
            <w:pPr>
              <w:jc w:val="right"/>
              <w:ind w:right="334"/>
              <w:spacing w:after="0"/>
              <w:rPr>
                <w:sz w:val="20"/>
                <w:szCs w:val="20"/>
                <w:color w:val="auto"/>
              </w:rPr>
            </w:pPr>
            <w:r>
              <w:rPr>
                <w:rFonts w:ascii="Arial" w:cs="Arial" w:eastAsia="Arial" w:hAnsi="Arial"/>
                <w:sz w:val="18"/>
                <w:szCs w:val="18"/>
                <w:color w:val="auto"/>
              </w:rPr>
              <w:t>27</w:t>
            </w:r>
          </w:p>
        </w:tc>
        <w:tc>
          <w:tcPr>
            <w:tcW w:w="100" w:type="dxa"/>
            <w:vAlign w:val="bottom"/>
            <w:tcBorders>
              <w:top w:val="single" w:sz="8" w:color="CCEEFF"/>
            </w:tcBorders>
            <w:shd w:val="clear" w:color="auto" w:fill="CCEEFF"/>
          </w:tcPr>
          <w:p>
            <w:pPr>
              <w:spacing w:after="0"/>
              <w:rPr>
                <w:sz w:val="21"/>
                <w:szCs w:val="21"/>
                <w:color w:val="auto"/>
              </w:rPr>
            </w:pPr>
          </w:p>
        </w:tc>
        <w:tc>
          <w:tcPr>
            <w:tcW w:w="1040" w:type="dxa"/>
            <w:vAlign w:val="bottom"/>
            <w:tcBorders>
              <w:top w:val="single" w:sz="8" w:color="auto"/>
            </w:tcBorders>
            <w:shd w:val="clear" w:color="auto" w:fill="CCEEFF"/>
          </w:tcPr>
          <w:p>
            <w:pPr>
              <w:jc w:val="right"/>
              <w:ind w:right="394"/>
              <w:spacing w:after="0"/>
              <w:rPr>
                <w:sz w:val="20"/>
                <w:szCs w:val="20"/>
                <w:color w:val="auto"/>
              </w:rPr>
            </w:pPr>
            <w:r>
              <w:rPr>
                <w:rFonts w:ascii="Arial" w:cs="Arial" w:eastAsia="Arial" w:hAnsi="Arial"/>
                <w:sz w:val="18"/>
                <w:szCs w:val="18"/>
                <w:color w:val="auto"/>
              </w:rPr>
              <w:t>8</w:t>
            </w:r>
          </w:p>
        </w:tc>
        <w:tc>
          <w:tcPr>
            <w:tcW w:w="100" w:type="dxa"/>
            <w:vAlign w:val="bottom"/>
            <w:tcBorders>
              <w:top w:val="single" w:sz="8" w:color="CCEEFF"/>
            </w:tcBorders>
            <w:shd w:val="clear" w:color="auto" w:fill="CCEEFF"/>
          </w:tcPr>
          <w:p>
            <w:pPr>
              <w:spacing w:after="0"/>
              <w:rPr>
                <w:sz w:val="21"/>
                <w:szCs w:val="21"/>
                <w:color w:val="auto"/>
              </w:rPr>
            </w:pPr>
          </w:p>
        </w:tc>
        <w:tc>
          <w:tcPr>
            <w:tcW w:w="1020" w:type="dxa"/>
            <w:vAlign w:val="bottom"/>
            <w:tcBorders>
              <w:top w:val="single" w:sz="8" w:color="auto"/>
            </w:tcBorders>
            <w:shd w:val="clear" w:color="auto" w:fill="CCEEFF"/>
          </w:tcPr>
          <w:p>
            <w:pPr>
              <w:jc w:val="right"/>
              <w:ind w:right="334"/>
              <w:spacing w:after="0"/>
              <w:rPr>
                <w:sz w:val="20"/>
                <w:szCs w:val="20"/>
                <w:color w:val="auto"/>
              </w:rPr>
            </w:pPr>
            <w:r>
              <w:rPr>
                <w:rFonts w:ascii="Arial" w:cs="Arial" w:eastAsia="Arial" w:hAnsi="Arial"/>
                <w:sz w:val="18"/>
                <w:szCs w:val="18"/>
                <w:color w:val="auto"/>
              </w:rPr>
              <w:t>43</w:t>
            </w:r>
          </w:p>
        </w:tc>
        <w:tc>
          <w:tcPr>
            <w:tcW w:w="120" w:type="dxa"/>
            <w:vAlign w:val="bottom"/>
            <w:tcBorders>
              <w:top w:val="single" w:sz="8" w:color="CCEEFF"/>
            </w:tcBorders>
            <w:shd w:val="clear" w:color="auto" w:fill="CCEEFF"/>
          </w:tcPr>
          <w:p>
            <w:pPr>
              <w:spacing w:after="0"/>
              <w:rPr>
                <w:sz w:val="21"/>
                <w:szCs w:val="21"/>
                <w:color w:val="auto"/>
              </w:rPr>
            </w:pPr>
          </w:p>
        </w:tc>
        <w:tc>
          <w:tcPr>
            <w:tcW w:w="1020" w:type="dxa"/>
            <w:vAlign w:val="bottom"/>
            <w:tcBorders>
              <w:top w:val="single" w:sz="8" w:color="auto"/>
            </w:tcBorders>
            <w:shd w:val="clear" w:color="auto" w:fill="CCEEFF"/>
          </w:tcPr>
          <w:p>
            <w:pPr>
              <w:jc w:val="right"/>
              <w:ind w:right="334"/>
              <w:spacing w:after="0"/>
              <w:rPr>
                <w:sz w:val="20"/>
                <w:szCs w:val="20"/>
                <w:color w:val="auto"/>
              </w:rPr>
            </w:pPr>
            <w:r>
              <w:rPr>
                <w:rFonts w:ascii="Arial" w:cs="Arial" w:eastAsia="Arial" w:hAnsi="Arial"/>
                <w:sz w:val="18"/>
                <w:szCs w:val="18"/>
                <w:color w:val="auto"/>
              </w:rPr>
              <w:t>71</w:t>
            </w:r>
          </w:p>
        </w:tc>
        <w:tc>
          <w:tcPr>
            <w:tcW w:w="100" w:type="dxa"/>
            <w:vAlign w:val="bottom"/>
            <w:tcBorders>
              <w:top w:val="single" w:sz="8" w:color="CCEEFF"/>
            </w:tcBorders>
            <w:shd w:val="clear" w:color="auto" w:fill="CCEEFF"/>
          </w:tcPr>
          <w:p>
            <w:pPr>
              <w:spacing w:after="0"/>
              <w:rPr>
                <w:sz w:val="21"/>
                <w:szCs w:val="21"/>
                <w:color w:val="auto"/>
              </w:rPr>
            </w:pPr>
          </w:p>
        </w:tc>
        <w:tc>
          <w:tcPr>
            <w:tcW w:w="2060" w:type="dxa"/>
            <w:vAlign w:val="bottom"/>
            <w:tcBorders>
              <w:top w:val="single" w:sz="8" w:color="auto"/>
            </w:tcBorders>
            <w:shd w:val="clear" w:color="auto" w:fill="CCEEFF"/>
          </w:tcPr>
          <w:p>
            <w:pPr>
              <w:jc w:val="right"/>
              <w:ind w:right="814"/>
              <w:spacing w:after="0"/>
              <w:rPr>
                <w:sz w:val="20"/>
                <w:szCs w:val="20"/>
                <w:color w:val="auto"/>
              </w:rPr>
            </w:pPr>
            <w:r>
              <w:rPr>
                <w:rFonts w:ascii="Arial" w:cs="Arial" w:eastAsia="Arial" w:hAnsi="Arial"/>
                <w:sz w:val="18"/>
                <w:szCs w:val="18"/>
                <w:color w:val="auto"/>
              </w:rPr>
              <w:t>122</w:t>
            </w:r>
          </w:p>
        </w:tc>
      </w:tr>
      <w:tr>
        <w:trPr>
          <w:trHeight w:val="27"/>
        </w:trPr>
        <w:tc>
          <w:tcPr>
            <w:tcW w:w="25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In addition, relatively few of the claims have reached the discovery stage and even fewer claims have gone past the discovery stage.</w:t>
      </w:r>
    </w:p>
    <w:p>
      <w:pPr>
        <w:spacing w:after="0" w:line="27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Total settlement costs (exclusive of defense costs) for all asbestos-related cases, some of which were filed over 20 years ago, have been approximately $7.8 million. All relief sought in the asbestos cases is monetary in nature. To date, approximately 40% of the Company's costs related to settlement and defense of asbestos litigation have been covered by its primary insurance. Effective February 14, 2006, the Company entered into a coverage-in-place agreement with its first level excess carriers regarding the coverage to be provided to the Company for asbestos-related claims when the primary insurance is exhausted. The coverage-in-place agreement makes asbestos defense costs and indemnity coverage available to the Company that might otherwise be disputed by the carriers and provides a methodology for the administration of such expenses. Nonetheless, the Company believes it is likely there will be a period within the next 12 to 18 months, prior to the commencement of coverage under this agreement and following exhaustion of the Company's primary insurance coverage, during which the Company will be solely responsible for defense costs and indemnity payments, the duration of which would be subject to the scope of damage awards and settlements paid.</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Based on the settlements made to date and the number of claims dismissed or withdrawn for lack of product identification, the Company believes that the relief sought (when specified) does not bear a reasonable relationship to its potential liability. Based upon the Company's experience to date, including the trend in annual defense and settlement costs incurred to date, and other available information (including the availability of excess insurance), the Company does not believe these cases will have a material adverse effect on its financial position and results of operations or cash flows.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Claims and Litigation</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subject to other claims and litigation in the ordinary course of business, but does not believe that any such claim or litigation will have a material adverse effect on its financial position and results of operations or cash flows.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Segment Information</w:t>
      </w:r>
    </w:p>
    <w:p>
      <w:pPr>
        <w:spacing w:after="0" w:line="28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TriMas groups its operating segments into reportable segments that provide similar products and services. Each operating segment has discrete financial information evaluated regularly by the Company's chief operating decision maker in determining resource allocation and assessing performance. Within these reportable segments, there are no individual products or product families for which reported net sales accounted for more than 10% of the Company's consolidated net sales. See below for more information regarding the types of products and services provided within each reportable segment:</w:t>
      </w:r>
    </w:p>
    <w:p>
      <w:pPr>
        <w:spacing w:after="0" w:line="20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Packaging – </w:t>
      </w:r>
      <w:r>
        <w:rPr>
          <w:rFonts w:ascii="Arial" w:cs="Arial" w:eastAsia="Arial" w:hAnsi="Arial"/>
          <w:sz w:val="18"/>
          <w:szCs w:val="18"/>
          <w:color w:val="auto"/>
        </w:rPr>
        <w:t>Highly engineered closure and dispensing systems for a range of end markets, using steel and plastic industrial and consumer packaging</w:t>
      </w:r>
      <w:r>
        <w:rPr>
          <w:rFonts w:ascii="Arial" w:cs="Arial" w:eastAsia="Arial" w:hAnsi="Arial"/>
          <w:sz w:val="18"/>
          <w:szCs w:val="18"/>
          <w:b w:val="1"/>
          <w:bCs w:val="1"/>
          <w:color w:val="auto"/>
        </w:rPr>
        <w:t xml:space="preserve"> </w:t>
      </w:r>
      <w:r>
        <w:rPr>
          <w:rFonts w:ascii="Arial" w:cs="Arial" w:eastAsia="Arial" w:hAnsi="Arial"/>
          <w:sz w:val="18"/>
          <w:szCs w:val="18"/>
          <w:color w:val="auto"/>
        </w:rPr>
        <w:t>applications.</w:t>
      </w:r>
    </w:p>
    <w:p>
      <w:pPr>
        <w:spacing w:after="0" w:line="21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Aerospace – </w:t>
      </w:r>
      <w:r>
        <w:rPr>
          <w:rFonts w:ascii="Arial" w:cs="Arial" w:eastAsia="Arial" w:hAnsi="Arial"/>
          <w:sz w:val="18"/>
          <w:szCs w:val="18"/>
          <w:color w:val="auto"/>
        </w:rPr>
        <w:t>Permanent blind bolts, temporary fasteners, highly engineered specialty fasteners and other precision machined parts used in the commercial,</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and military aerospace industries.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Energy – </w:t>
      </w:r>
      <w:r>
        <w:rPr>
          <w:rFonts w:ascii="Arial" w:cs="Arial" w:eastAsia="Arial" w:hAnsi="Arial"/>
          <w:sz w:val="17"/>
          <w:szCs w:val="17"/>
          <w:color w:val="auto"/>
        </w:rPr>
        <w:t>Metallic and non-metallic industrial sealant products and fasteners for the petroleum refining, petrochemical and other industrial markets.</w:t>
      </w:r>
    </w:p>
    <w:p>
      <w:pPr>
        <w:spacing w:after="0" w:line="291"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 xml:space="preserve">Engineered Components – </w:t>
      </w:r>
      <w:r>
        <w:rPr>
          <w:rFonts w:ascii="Arial" w:cs="Arial" w:eastAsia="Arial" w:hAnsi="Arial"/>
          <w:sz w:val="17"/>
          <w:szCs w:val="17"/>
          <w:color w:val="auto"/>
        </w:rPr>
        <w:t>High-pressure and low-pressure cylinders for the transportation, storage and dispensing of compressed gases, and natural gas</w:t>
      </w:r>
      <w:r>
        <w:rPr>
          <w:rFonts w:ascii="Arial" w:cs="Arial" w:eastAsia="Arial" w:hAnsi="Arial"/>
          <w:sz w:val="17"/>
          <w:szCs w:val="17"/>
          <w:b w:val="1"/>
          <w:bCs w:val="1"/>
          <w:color w:val="auto"/>
        </w:rPr>
        <w:t xml:space="preserve"> </w:t>
      </w:r>
      <w:r>
        <w:rPr>
          <w:rFonts w:ascii="Arial" w:cs="Arial" w:eastAsia="Arial" w:hAnsi="Arial"/>
          <w:sz w:val="17"/>
          <w:szCs w:val="17"/>
          <w:color w:val="auto"/>
        </w:rPr>
        <w:t>engines, compressors, gas production equipment and chemical pumps engineered for use at well sites for the oil and gas industry.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Segment activity is as follows:</w:t>
      </w:r>
    </w:p>
    <w:p>
      <w:pPr>
        <w:spacing w:after="0" w:line="200" w:lineRule="exact"/>
        <w:rPr>
          <w:sz w:val="20"/>
          <w:szCs w:val="20"/>
          <w:color w:val="auto"/>
        </w:rPr>
      </w:pPr>
    </w:p>
    <w:p>
      <w:pPr>
        <w:spacing w:after="0" w:line="242" w:lineRule="exact"/>
        <w:rPr>
          <w:sz w:val="20"/>
          <w:szCs w:val="20"/>
          <w:color w:val="auto"/>
        </w:rPr>
      </w:pPr>
    </w:p>
    <w:p>
      <w:pPr>
        <w:jc w:val="center"/>
        <w:ind w:left="838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838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33020</wp:posOffset>
            </wp:positionV>
            <wp:extent cx="19469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ind w:right="491"/>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2015</w:t>
            </w:r>
          </w:p>
        </w:tc>
      </w:tr>
      <w:tr>
        <w:trPr>
          <w:trHeight w:val="33"/>
        </w:trPr>
        <w:tc>
          <w:tcPr>
            <w:tcW w:w="83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gridSpan w:val="4"/>
          </w:tcPr>
          <w:p>
            <w:pPr>
              <w:spacing w:after="0"/>
              <w:rPr>
                <w:sz w:val="2"/>
                <w:szCs w:val="2"/>
                <w:color w:val="auto"/>
              </w:rPr>
            </w:pPr>
          </w:p>
        </w:tc>
      </w:tr>
      <w:tr>
        <w:trPr>
          <w:trHeight w:val="217"/>
        </w:trPr>
        <w:tc>
          <w:tcPr>
            <w:tcW w:w="8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20" w:type="dxa"/>
            <w:vAlign w:val="bottom"/>
            <w:gridSpan w:val="4"/>
          </w:tcPr>
          <w:p>
            <w:pPr>
              <w:jc w:val="right"/>
              <w:ind w:right="671"/>
              <w:spacing w:after="0"/>
              <w:rPr>
                <w:sz w:val="20"/>
                <w:szCs w:val="20"/>
                <w:color w:val="auto"/>
              </w:rPr>
            </w:pPr>
            <w:r>
              <w:rPr>
                <w:rFonts w:ascii="Arial" w:cs="Arial" w:eastAsia="Arial" w:hAnsi="Arial"/>
                <w:sz w:val="16"/>
                <w:szCs w:val="16"/>
                <w:b w:val="1"/>
                <w:bCs w:val="1"/>
                <w:color w:val="auto"/>
              </w:rPr>
              <w:t>(dollars in thousands)</w:t>
            </w:r>
          </w:p>
        </w:tc>
      </w:tr>
      <w:tr>
        <w:trPr>
          <w:trHeight w:val="33"/>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Packaging</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80,110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78,960</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Aerospace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40,500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45,740</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Energy</w:t>
            </w: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44,750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51,160</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Engineered Components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37,520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48,270</w:t>
            </w:r>
          </w:p>
        </w:tc>
      </w:tr>
      <w:tr>
        <w:trPr>
          <w:trHeight w:val="297"/>
        </w:trPr>
        <w:tc>
          <w:tcPr>
            <w:tcW w:w="83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202,880</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224,130</w:t>
            </w:r>
          </w:p>
        </w:tc>
      </w:tr>
      <w:tr>
        <w:trPr>
          <w:trHeight w:val="237"/>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Profit (Loss)</w:t>
            </w: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Packaging</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17,840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17,510</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Aerospace</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8,080</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Energy</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340</w:t>
            </w:r>
          </w:p>
        </w:tc>
      </w:tr>
      <w:tr>
        <w:trPr>
          <w:trHeight w:val="27"/>
        </w:trPr>
        <w:tc>
          <w:tcPr>
            <w:tcW w:w="8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Engineered Components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5,970</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Corporate expenses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(6,820)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(8,880)</w:t>
            </w:r>
          </w:p>
        </w:tc>
      </w:tr>
      <w:tr>
        <w:trPr>
          <w:trHeight w:val="27"/>
        </w:trPr>
        <w:tc>
          <w:tcPr>
            <w:tcW w:w="83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16,450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23,020</w:t>
            </w:r>
          </w:p>
        </w:tc>
      </w:tr>
      <w:tr>
        <w:trPr>
          <w:trHeight w:val="20"/>
        </w:trPr>
        <w:tc>
          <w:tcPr>
            <w:tcW w:w="8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25" w:right="2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Equity Awards</w:t>
      </w:r>
    </w:p>
    <w:p>
      <w:pPr>
        <w:spacing w:after="0" w:line="28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maintains the following long-term equity incentive plans: the TriMas Corporation Director Retainer Share Election Program, the 2011 TriMas Corporation Omnibus Incentive Compensation Plan, the TriMas Corporation 2006 Long Term Equity Incentive Plan and the TriMas Corporation 2002 Long Term Equity Incentive Plan (collectively, the "Plans"). The 2002 Long Term Equity Incentive Plan expired in 2012, such that, while existing grants will remain outstanding until exercised, vested or cancelled, no new shares may be issued under the plan. See below for details of awards under the Plans by type.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did not grant any stock option awards during the three months ended March 31, 2016. Information related to stock options at March 31, 2016 is as follows: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8"/>
              </w:rPr>
              <w:t>Average</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7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Weighted</w:t>
            </w:r>
          </w:p>
        </w:tc>
        <w:tc>
          <w:tcPr>
            <w:tcW w:w="13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Remaining</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780" w:type="dxa"/>
            <w:vAlign w:val="bottom"/>
          </w:tcPr>
          <w:p>
            <w:pPr>
              <w:spacing w:after="0"/>
              <w:rPr>
                <w:sz w:val="17"/>
                <w:szCs w:val="17"/>
                <w:color w:val="auto"/>
              </w:rPr>
            </w:pPr>
          </w:p>
        </w:tc>
        <w:tc>
          <w:tcPr>
            <w:tcW w:w="14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Number of</w:t>
            </w:r>
          </w:p>
        </w:tc>
        <w:tc>
          <w:tcPr>
            <w:tcW w:w="160" w:type="dxa"/>
            <w:vAlign w:val="bottom"/>
          </w:tcPr>
          <w:p>
            <w:pPr>
              <w:spacing w:after="0"/>
              <w:rPr>
                <w:sz w:val="17"/>
                <w:szCs w:val="17"/>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Average</w:t>
            </w:r>
          </w:p>
        </w:tc>
        <w:tc>
          <w:tcPr>
            <w:tcW w:w="13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Contractual Life</w:t>
            </w:r>
          </w:p>
        </w:tc>
        <w:tc>
          <w:tcPr>
            <w:tcW w:w="120" w:type="dxa"/>
            <w:vAlign w:val="bottom"/>
          </w:tcPr>
          <w:p>
            <w:pPr>
              <w:spacing w:after="0"/>
              <w:rPr>
                <w:sz w:val="17"/>
                <w:szCs w:val="17"/>
                <w:color w:val="auto"/>
              </w:rPr>
            </w:pPr>
          </w:p>
        </w:tc>
        <w:tc>
          <w:tcPr>
            <w:tcW w:w="1160" w:type="dxa"/>
            <w:vAlign w:val="bottom"/>
          </w:tcPr>
          <w:p>
            <w:pPr>
              <w:jc w:val="center"/>
              <w:ind w:right="36"/>
              <w:spacing w:after="0"/>
              <w:rPr>
                <w:sz w:val="20"/>
                <w:szCs w:val="20"/>
                <w:color w:val="auto"/>
              </w:rPr>
            </w:pPr>
            <w:r>
              <w:rPr>
                <w:rFonts w:ascii="Arial" w:cs="Arial" w:eastAsia="Arial" w:hAnsi="Arial"/>
                <w:sz w:val="16"/>
                <w:szCs w:val="16"/>
                <w:b w:val="1"/>
                <w:bCs w:val="1"/>
                <w:color w:val="auto"/>
                <w:w w:val="90"/>
              </w:rPr>
              <w:t>Aggregate</w:t>
            </w:r>
          </w:p>
        </w:tc>
      </w:tr>
      <w:tr>
        <w:trPr>
          <w:trHeight w:val="210"/>
        </w:trPr>
        <w:tc>
          <w:tcPr>
            <w:tcW w:w="3780" w:type="dxa"/>
            <w:vAlign w:val="bottom"/>
          </w:tcPr>
          <w:p>
            <w:pPr>
              <w:spacing w:after="0"/>
              <w:rPr>
                <w:sz w:val="18"/>
                <w:szCs w:val="18"/>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Stock Options</w:t>
            </w:r>
          </w:p>
        </w:tc>
        <w:tc>
          <w:tcPr>
            <w:tcW w:w="16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Option Price</w:t>
            </w:r>
          </w:p>
        </w:tc>
        <w:tc>
          <w:tcPr>
            <w:tcW w:w="13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(Years)</w:t>
            </w:r>
          </w:p>
        </w:tc>
        <w:tc>
          <w:tcPr>
            <w:tcW w:w="120" w:type="dxa"/>
            <w:vAlign w:val="bottom"/>
          </w:tcPr>
          <w:p>
            <w:pPr>
              <w:spacing w:after="0"/>
              <w:rPr>
                <w:sz w:val="18"/>
                <w:szCs w:val="18"/>
                <w:color w:val="auto"/>
              </w:rPr>
            </w:pPr>
          </w:p>
        </w:tc>
        <w:tc>
          <w:tcPr>
            <w:tcW w:w="1160" w:type="dxa"/>
            <w:vAlign w:val="bottom"/>
          </w:tcPr>
          <w:p>
            <w:pPr>
              <w:jc w:val="center"/>
              <w:ind w:right="56"/>
              <w:spacing w:after="0"/>
              <w:rPr>
                <w:sz w:val="20"/>
                <w:szCs w:val="20"/>
                <w:color w:val="auto"/>
              </w:rPr>
            </w:pPr>
            <w:r>
              <w:rPr>
                <w:rFonts w:ascii="Arial" w:cs="Arial" w:eastAsia="Arial" w:hAnsi="Arial"/>
                <w:sz w:val="16"/>
                <w:szCs w:val="16"/>
                <w:b w:val="1"/>
                <w:bCs w:val="1"/>
                <w:color w:val="auto"/>
                <w:w w:val="93"/>
              </w:rPr>
              <w:t>Intrinsic Value</w:t>
            </w:r>
          </w:p>
        </w:tc>
      </w:tr>
      <w:tr>
        <w:trPr>
          <w:trHeight w:val="33"/>
        </w:trPr>
        <w:tc>
          <w:tcPr>
            <w:tcW w:w="378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January 1, 2016</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206,123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3780" w:type="dxa"/>
            <w:vAlign w:val="bottom"/>
          </w:tcPr>
          <w:p>
            <w:pPr>
              <w:ind w:left="120"/>
              <w:spacing w:after="0"/>
              <w:rPr>
                <w:sz w:val="20"/>
                <w:szCs w:val="20"/>
                <w:color w:val="auto"/>
              </w:rPr>
            </w:pPr>
            <w:r>
              <w:rPr>
                <w:rFonts w:ascii="Arial" w:cs="Arial" w:eastAsia="Arial" w:hAnsi="Arial"/>
                <w:sz w:val="18"/>
                <w:szCs w:val="18"/>
                <w:color w:val="auto"/>
              </w:rPr>
              <w:t>Exercised</w:t>
            </w:r>
          </w:p>
        </w:tc>
        <w:tc>
          <w:tcPr>
            <w:tcW w:w="1340" w:type="dxa"/>
            <w:vAlign w:val="bottom"/>
          </w:tcPr>
          <w:p>
            <w:pPr>
              <w:jc w:val="right"/>
              <w:spacing w:after="0"/>
              <w:rPr>
                <w:sz w:val="20"/>
                <w:szCs w:val="20"/>
                <w:color w:val="auto"/>
              </w:rPr>
            </w:pPr>
            <w:r>
              <w:rPr>
                <w:rFonts w:ascii="Arial" w:cs="Arial" w:eastAsia="Arial" w:hAnsi="Arial"/>
                <w:sz w:val="18"/>
                <w:szCs w:val="18"/>
                <w:color w:val="auto"/>
              </w:rPr>
              <w:t>(15,800)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0.86</w:t>
            </w: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37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Cancelled</w:t>
            </w: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3780" w:type="dxa"/>
            <w:vAlign w:val="bottom"/>
          </w:tcPr>
          <w:p>
            <w:pPr>
              <w:ind w:left="120"/>
              <w:spacing w:after="0"/>
              <w:rPr>
                <w:sz w:val="20"/>
                <w:szCs w:val="20"/>
                <w:color w:val="auto"/>
              </w:rPr>
            </w:pPr>
            <w:r>
              <w:rPr>
                <w:rFonts w:ascii="Arial" w:cs="Arial" w:eastAsia="Arial" w:hAnsi="Arial"/>
                <w:sz w:val="18"/>
                <w:szCs w:val="18"/>
                <w:color w:val="auto"/>
              </w:rPr>
              <w:t>Expired</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March 31, 2016</w:t>
            </w:r>
          </w:p>
        </w:tc>
        <w:tc>
          <w:tcPr>
            <w:tcW w:w="13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190,323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2,432,388</w:t>
            </w:r>
          </w:p>
        </w:tc>
      </w:tr>
      <w:tr>
        <w:trPr>
          <w:trHeight w:val="20"/>
        </w:trPr>
        <w:tc>
          <w:tcPr>
            <w:tcW w:w="37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of March 31, 2016, 190,323 stock options were exercisable under the Plans. The Company did not incur any stock-based compensation expense related to stock options during the three months ended March 31, 2016 and 2015.</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Shares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The Company awarded the following restricted shares during the first quarter of 2016:</w:t>
      </w:r>
    </w:p>
    <w:p>
      <w:pPr>
        <w:spacing w:after="0" w:line="279" w:lineRule="exact"/>
        <w:rPr>
          <w:sz w:val="20"/>
          <w:szCs w:val="20"/>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granted 600 restricted shares of common stock to certain employees that are subject only to a service condition and vest on the first anniversary date of the award so long as the employee remains with the Company;</w:t>
      </w:r>
    </w:p>
    <w:p>
      <w:pPr>
        <w:spacing w:after="0" w:line="224"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granted 217,818 restricted shares of common stock to certain employees which are subject only to a service condition and vest ratably over three years so long as the employee remains with the Company;</w:t>
      </w:r>
    </w:p>
    <w:p>
      <w:pPr>
        <w:spacing w:after="0" w:line="224" w:lineRule="exact"/>
        <w:rPr>
          <w:rFonts w:ascii="Arial" w:cs="Arial" w:eastAsia="Arial" w:hAnsi="Arial"/>
          <w:sz w:val="18"/>
          <w:szCs w:val="18"/>
          <w:color w:val="auto"/>
        </w:rPr>
      </w:pPr>
    </w:p>
    <w:p>
      <w:pPr>
        <w:jc w:val="both"/>
        <w:ind w:left="660" w:hanging="247"/>
        <w:spacing w:after="0" w:line="279" w:lineRule="auto"/>
        <w:tabs>
          <w:tab w:leader="none" w:pos="660" w:val="left"/>
        </w:tabs>
        <w:numPr>
          <w:ilvl w:val="1"/>
          <w:numId w:val="3"/>
        </w:numPr>
        <w:rPr>
          <w:rFonts w:ascii="Arial" w:cs="Arial" w:eastAsia="Arial" w:hAnsi="Arial"/>
          <w:sz w:val="17"/>
          <w:szCs w:val="17"/>
          <w:color w:val="auto"/>
        </w:rPr>
      </w:pPr>
      <w:r>
        <w:rPr>
          <w:rFonts w:ascii="Arial" w:cs="Arial" w:eastAsia="Arial" w:hAnsi="Arial"/>
          <w:sz w:val="17"/>
          <w:szCs w:val="17"/>
          <w:color w:val="auto"/>
        </w:rPr>
        <w:t>granted 42,740 restricted shares of common stock to certain employees which are subject only to a service condition and vest on the first anniversary date of the award. The awards were made to participants in the Company's short-term incentive compensation plan ("STI"), where all STI participants whose target annual award exceeds $20 thousand receive 80% of the value in earned cash and 20% in the form of a restricted stock award upon finalization of the award amount in the first quarter each year following the previous plan year; and</w:t>
      </w:r>
    </w:p>
    <w:p>
      <w:pPr>
        <w:spacing w:after="0" w:line="225" w:lineRule="exact"/>
        <w:rPr>
          <w:rFonts w:ascii="Arial" w:cs="Arial" w:eastAsia="Arial" w:hAnsi="Arial"/>
          <w:sz w:val="17"/>
          <w:szCs w:val="17"/>
          <w:color w:val="auto"/>
        </w:rPr>
      </w:pPr>
    </w:p>
    <w:p>
      <w:pPr>
        <w:ind w:left="660" w:right="20" w:hanging="247"/>
        <w:spacing w:after="0" w:line="277" w:lineRule="auto"/>
        <w:tabs>
          <w:tab w:leader="none" w:pos="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granted 41,174 restricted shares of common stock to its non-employee independent directors, which vest one year from date of grant so long as the director and/or Company does not terminate their service prior to the vesting date.</w:t>
      </w:r>
    </w:p>
    <w:p>
      <w:pPr>
        <w:spacing w:after="0" w:line="2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during the three months ended March 31, 2016, the Company issued 4,368 shares related to director fee deferrals. The Company allows for its non-employee independent directors to make an annual election to defer all or a portion of their directors fees and to receive the deferred amount in cash or equity. Certain of the Company's directors have elected to defer all or a portion of their directors fees and to receive the amount in Company common stock at a future date.</w:t>
      </w:r>
    </w:p>
    <w:p>
      <w:pPr>
        <w:sectPr>
          <w:pgSz w:w="11900" w:h="16838" w:orient="portrait"/>
          <w:cols w:equalWidth="0" w:num="1">
            <w:col w:w="11420"/>
          </w:cols>
          <w:pgMar w:left="240" w:top="125" w:right="239" w:bottom="1440" w:gutter="0" w:footer="0" w:header="0"/>
        </w:sect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25" w:right="2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During the first quarter of 2016, the Company awarded 193,975 performance-based shares of common stock to certain Company key employees which vest on March 1, 2019, so long as the employee remains with the Company. The performance criteria for these awards is based on the Company's total shareholder return ("TSR") relative to the TSR of the common stock of a pre-defined industry peer-group, measured over a period beginning January 1, 2016 and ending December 31, 2018. TSR is calculated as the Company's average closing stock price for the 20-trading days at the end of the performance period plus Company dividends, divided by the Company's average closing stock price for the 20-trading days prior to the start of the performance period. Depending on the performance achieved, the amount of shares earned can vary from 0% of the target award to a maximum of 200% of the target award. The Company estimated the grant-date fair value and term of the awards subject to a market condition using a Monte Carlo simulation model, using the following weighted-average assumptions: risk-free interest rate of 0.96% and annualized volatility of 35.8%.</w:t>
      </w:r>
    </w:p>
    <w:p>
      <w:pPr>
        <w:spacing w:after="0" w:line="2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2013, the Company awarded performance-based shares of common stock to certain Company key employees which were earned based upon the achievement of EPS CAGR and cash generation performance metrics over a period of three calendar years, beginning January 1, 2013 and ending on December 31, 2015. The Company attained 50% of the target on a weighted average basis, resulting in a reduction of 35,850 shares during the first quarter of 2016.</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Information related to restricted shares at March 31, 2016 is as follows:</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Average</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780" w:type="dxa"/>
            <w:vAlign w:val="bottom"/>
          </w:tcPr>
          <w:p>
            <w:pPr>
              <w:spacing w:after="0"/>
              <w:rPr>
                <w:sz w:val="17"/>
                <w:szCs w:val="17"/>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Number of</w:t>
            </w:r>
          </w:p>
        </w:tc>
        <w:tc>
          <w:tcPr>
            <w:tcW w:w="120" w:type="dxa"/>
            <w:vAlign w:val="bottom"/>
          </w:tcPr>
          <w:p>
            <w:pPr>
              <w:spacing w:after="0"/>
              <w:rPr>
                <w:sz w:val="17"/>
                <w:szCs w:val="17"/>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Weighted</w:t>
            </w:r>
          </w:p>
        </w:tc>
        <w:tc>
          <w:tcPr>
            <w:tcW w:w="13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Remaining</w:t>
            </w: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780" w:type="dxa"/>
            <w:vAlign w:val="bottom"/>
          </w:tcPr>
          <w:p>
            <w:pPr>
              <w:spacing w:after="0"/>
              <w:rPr>
                <w:sz w:val="17"/>
                <w:szCs w:val="17"/>
                <w:color w:val="auto"/>
              </w:rPr>
            </w:pPr>
          </w:p>
        </w:tc>
        <w:tc>
          <w:tcPr>
            <w:tcW w:w="14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8"/>
              </w:rPr>
              <w:t>Unvested</w:t>
            </w:r>
          </w:p>
        </w:tc>
        <w:tc>
          <w:tcPr>
            <w:tcW w:w="120" w:type="dxa"/>
            <w:vAlign w:val="bottom"/>
          </w:tcPr>
          <w:p>
            <w:pPr>
              <w:spacing w:after="0"/>
              <w:rPr>
                <w:sz w:val="17"/>
                <w:szCs w:val="17"/>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Average Grant</w:t>
            </w:r>
          </w:p>
        </w:tc>
        <w:tc>
          <w:tcPr>
            <w:tcW w:w="13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5"/>
              </w:rPr>
              <w:t>Contractual Life</w:t>
            </w:r>
          </w:p>
        </w:tc>
        <w:tc>
          <w:tcPr>
            <w:tcW w:w="120" w:type="dxa"/>
            <w:vAlign w:val="bottom"/>
          </w:tcPr>
          <w:p>
            <w:pPr>
              <w:spacing w:after="0"/>
              <w:rPr>
                <w:sz w:val="17"/>
                <w:szCs w:val="17"/>
                <w:color w:val="auto"/>
              </w:rPr>
            </w:pPr>
          </w:p>
        </w:tc>
        <w:tc>
          <w:tcPr>
            <w:tcW w:w="1160" w:type="dxa"/>
            <w:vAlign w:val="bottom"/>
          </w:tcPr>
          <w:p>
            <w:pPr>
              <w:jc w:val="center"/>
              <w:ind w:right="36"/>
              <w:spacing w:after="0"/>
              <w:rPr>
                <w:sz w:val="20"/>
                <w:szCs w:val="20"/>
                <w:color w:val="auto"/>
              </w:rPr>
            </w:pPr>
            <w:r>
              <w:rPr>
                <w:rFonts w:ascii="Arial" w:cs="Arial" w:eastAsia="Arial" w:hAnsi="Arial"/>
                <w:sz w:val="16"/>
                <w:szCs w:val="16"/>
                <w:b w:val="1"/>
                <w:bCs w:val="1"/>
                <w:color w:val="auto"/>
                <w:w w:val="90"/>
              </w:rPr>
              <w:t>Aggregate</w:t>
            </w:r>
          </w:p>
        </w:tc>
      </w:tr>
      <w:tr>
        <w:trPr>
          <w:trHeight w:val="210"/>
        </w:trPr>
        <w:tc>
          <w:tcPr>
            <w:tcW w:w="3780" w:type="dxa"/>
            <w:vAlign w:val="bottom"/>
          </w:tcPr>
          <w:p>
            <w:pPr>
              <w:spacing w:after="0"/>
              <w:rPr>
                <w:sz w:val="18"/>
                <w:szCs w:val="18"/>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Restricted Shares</w:t>
            </w:r>
          </w:p>
        </w:tc>
        <w:tc>
          <w:tcPr>
            <w:tcW w:w="14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3"/>
              </w:rPr>
              <w:t>Date Fair Value</w:t>
            </w:r>
          </w:p>
        </w:tc>
        <w:tc>
          <w:tcPr>
            <w:tcW w:w="13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(Years)</w:t>
            </w:r>
          </w:p>
        </w:tc>
        <w:tc>
          <w:tcPr>
            <w:tcW w:w="120" w:type="dxa"/>
            <w:vAlign w:val="bottom"/>
          </w:tcPr>
          <w:p>
            <w:pPr>
              <w:spacing w:after="0"/>
              <w:rPr>
                <w:sz w:val="18"/>
                <w:szCs w:val="18"/>
                <w:color w:val="auto"/>
              </w:rPr>
            </w:pPr>
          </w:p>
        </w:tc>
        <w:tc>
          <w:tcPr>
            <w:tcW w:w="1160" w:type="dxa"/>
            <w:vAlign w:val="bottom"/>
          </w:tcPr>
          <w:p>
            <w:pPr>
              <w:jc w:val="center"/>
              <w:ind w:right="56"/>
              <w:spacing w:after="0"/>
              <w:rPr>
                <w:sz w:val="20"/>
                <w:szCs w:val="20"/>
                <w:color w:val="auto"/>
              </w:rPr>
            </w:pPr>
            <w:r>
              <w:rPr>
                <w:rFonts w:ascii="Arial" w:cs="Arial" w:eastAsia="Arial" w:hAnsi="Arial"/>
                <w:sz w:val="16"/>
                <w:szCs w:val="16"/>
                <w:b w:val="1"/>
                <w:bCs w:val="1"/>
                <w:color w:val="auto"/>
                <w:w w:val="93"/>
              </w:rPr>
              <w:t>Intrinsic Value</w:t>
            </w:r>
          </w:p>
        </w:tc>
      </w:tr>
      <w:tr>
        <w:trPr>
          <w:trHeight w:val="33"/>
        </w:trPr>
        <w:tc>
          <w:tcPr>
            <w:tcW w:w="378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January 1, 2016</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765,314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23.73</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3780" w:type="dxa"/>
            <w:vAlign w:val="bottom"/>
          </w:tcPr>
          <w:p>
            <w:pPr>
              <w:ind w:left="120"/>
              <w:spacing w:after="0"/>
              <w:rPr>
                <w:sz w:val="20"/>
                <w:szCs w:val="20"/>
                <w:color w:val="auto"/>
              </w:rPr>
            </w:pPr>
            <w:r>
              <w:rPr>
                <w:rFonts w:ascii="Arial" w:cs="Arial" w:eastAsia="Arial" w:hAnsi="Arial"/>
                <w:sz w:val="18"/>
                <w:szCs w:val="18"/>
                <w:color w:val="auto"/>
              </w:rPr>
              <w:t>Granted</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500,675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18.46</w:t>
            </w: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37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Vested</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(227,601)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25.17</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3780" w:type="dxa"/>
            <w:vAlign w:val="bottom"/>
          </w:tcPr>
          <w:p>
            <w:pPr>
              <w:ind w:left="120"/>
              <w:spacing w:after="0"/>
              <w:rPr>
                <w:sz w:val="20"/>
                <w:szCs w:val="20"/>
                <w:color w:val="auto"/>
              </w:rPr>
            </w:pPr>
            <w:r>
              <w:rPr>
                <w:rFonts w:ascii="Arial" w:cs="Arial" w:eastAsia="Arial" w:hAnsi="Arial"/>
                <w:sz w:val="18"/>
                <w:szCs w:val="18"/>
                <w:color w:val="auto"/>
              </w:rPr>
              <w:t>Cancelled</w:t>
            </w:r>
          </w:p>
        </w:tc>
        <w:tc>
          <w:tcPr>
            <w:tcW w:w="1340" w:type="dxa"/>
            <w:vAlign w:val="bottom"/>
          </w:tcPr>
          <w:p>
            <w:pPr>
              <w:jc w:val="right"/>
              <w:spacing w:after="0"/>
              <w:rPr>
                <w:sz w:val="20"/>
                <w:szCs w:val="20"/>
                <w:color w:val="auto"/>
              </w:rPr>
            </w:pPr>
            <w:r>
              <w:rPr>
                <w:rFonts w:ascii="Arial" w:cs="Arial" w:eastAsia="Arial" w:hAnsi="Arial"/>
                <w:sz w:val="18"/>
                <w:szCs w:val="18"/>
                <w:color w:val="auto"/>
              </w:rPr>
              <w:t>(61,573)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24.14</w:t>
            </w: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March 31, 2016</w:t>
            </w:r>
          </w:p>
        </w:tc>
        <w:tc>
          <w:tcPr>
            <w:tcW w:w="13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976,815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20.67</w:t>
            </w: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17,133,799</w:t>
            </w:r>
          </w:p>
        </w:tc>
      </w:tr>
      <w:tr>
        <w:trPr>
          <w:trHeight w:val="20"/>
        </w:trPr>
        <w:tc>
          <w:tcPr>
            <w:tcW w:w="37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March 31, 2016, there was approximately $14.6 million of unrecognized compensation cost related to unvested restricted shares that is expected to be recorded over a weighted-average period of 2.3 years.</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recognized approximately $2.0 million of stock-based compensation expense related to restricted shares during the three months ended March 31, 2016 and 2015, respectively. The stock-based compensation expense is included in selling, general and administrative expenses in the accompanying consolidated statement of income.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Earnings per Share</w:t>
      </w:r>
    </w:p>
    <w:p>
      <w:pPr>
        <w:spacing w:after="0" w:line="28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Net income is divided by the weighted average number of common shares outstanding during the period to calculate basic earnings per share. Diluted earnings per share is calculated to give effect to stock options and restricted share awards. The calculation of diluted earnings per share included 286,189 and 279,269 restricted shares for the three months ended March 31, 2016 and 2015, respectively. The calculation of diluted earnings per share also included options to purchase 89,637 and 123,613 shares of common stock for the three months ended March 31, 2016 and 2015, respectively.</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Defined Benefit Plans</w:t>
      </w:r>
    </w:p>
    <w:p>
      <w:pPr>
        <w:spacing w:after="0" w:line="2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periodic pension and postretirement benefit costs for the Company's defined benefit pension plans and postretirement benefit plans cover certain foreign employees, union hourly employees and salaried employees. The components of net periodic pension and postretirement benefit costs for the three months ended March 31, 2016 and 2015 are as follows:</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gridSpan w:val="4"/>
          </w:tcPr>
          <w:p>
            <w:pPr>
              <w:jc w:val="center"/>
              <w:ind w:right="51"/>
              <w:spacing w:after="0"/>
              <w:rPr>
                <w:sz w:val="20"/>
                <w:szCs w:val="20"/>
                <w:color w:val="auto"/>
              </w:rPr>
            </w:pPr>
            <w:r>
              <w:rPr>
                <w:rFonts w:ascii="Arial" w:cs="Arial" w:eastAsia="Arial" w:hAnsi="Arial"/>
                <w:sz w:val="16"/>
                <w:szCs w:val="16"/>
                <w:b w:val="1"/>
                <w:bCs w:val="1"/>
                <w:color w:val="auto"/>
                <w:w w:val="92"/>
              </w:rPr>
              <w:t>Other Postretirement</w:t>
            </w:r>
          </w:p>
        </w:tc>
      </w:tr>
      <w:tr>
        <w:trPr>
          <w:trHeight w:val="210"/>
        </w:trPr>
        <w:tc>
          <w:tcPr>
            <w:tcW w:w="7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87"/>
              </w:rPr>
              <w:t>Pension Plans</w:t>
            </w:r>
          </w:p>
        </w:tc>
        <w:tc>
          <w:tcPr>
            <w:tcW w:w="180" w:type="dxa"/>
            <w:vAlign w:val="bottom"/>
          </w:tcPr>
          <w:p>
            <w:pPr>
              <w:spacing w:after="0"/>
              <w:rPr>
                <w:sz w:val="18"/>
                <w:szCs w:val="18"/>
                <w:color w:val="auto"/>
              </w:rPr>
            </w:pPr>
          </w:p>
        </w:tc>
        <w:tc>
          <w:tcPr>
            <w:tcW w:w="1100" w:type="dxa"/>
            <w:vAlign w:val="bottom"/>
            <w:gridSpan w:val="3"/>
          </w:tcPr>
          <w:p>
            <w:pPr>
              <w:jc w:val="center"/>
              <w:ind w:left="414"/>
              <w:spacing w:after="0"/>
              <w:rPr>
                <w:sz w:val="20"/>
                <w:szCs w:val="20"/>
                <w:color w:val="auto"/>
              </w:rPr>
            </w:pPr>
            <w:r>
              <w:rPr>
                <w:rFonts w:ascii="Arial" w:cs="Arial" w:eastAsia="Arial" w:hAnsi="Arial"/>
                <w:sz w:val="16"/>
                <w:szCs w:val="16"/>
                <w:b w:val="1"/>
                <w:bCs w:val="1"/>
                <w:color w:val="auto"/>
                <w:w w:val="88"/>
              </w:rPr>
              <w:t>Benefits</w:t>
            </w:r>
          </w:p>
        </w:tc>
        <w:tc>
          <w:tcPr>
            <w:tcW w:w="640" w:type="dxa"/>
            <w:vAlign w:val="bottom"/>
          </w:tcPr>
          <w:p>
            <w:pPr>
              <w:spacing w:after="0"/>
              <w:rPr>
                <w:sz w:val="18"/>
                <w:szCs w:val="18"/>
                <w:color w:val="auto"/>
              </w:rPr>
            </w:pPr>
          </w:p>
        </w:tc>
      </w:tr>
      <w:tr>
        <w:trPr>
          <w:trHeight w:val="33"/>
        </w:trPr>
        <w:tc>
          <w:tcPr>
            <w:tcW w:w="74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4"/>
          </w:tcPr>
          <w:p>
            <w:pPr>
              <w:spacing w:after="0"/>
              <w:rPr>
                <w:sz w:val="2"/>
                <w:szCs w:val="2"/>
                <w:color w:val="auto"/>
              </w:rPr>
            </w:pPr>
          </w:p>
        </w:tc>
      </w:tr>
      <w:tr>
        <w:trPr>
          <w:trHeight w:val="209"/>
        </w:trPr>
        <w:tc>
          <w:tcPr>
            <w:tcW w:w="7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gridSpan w:val="5"/>
          </w:tcPr>
          <w:p>
            <w:pPr>
              <w:jc w:val="center"/>
              <w:ind w:right="280"/>
              <w:spacing w:after="0"/>
              <w:rPr>
                <w:sz w:val="20"/>
                <w:szCs w:val="20"/>
                <w:color w:val="auto"/>
              </w:rPr>
            </w:pPr>
            <w:r>
              <w:rPr>
                <w:rFonts w:ascii="Arial" w:cs="Arial" w:eastAsia="Arial" w:hAnsi="Arial"/>
                <w:sz w:val="16"/>
                <w:szCs w:val="16"/>
                <w:b w:val="1"/>
                <w:bCs w:val="1"/>
                <w:color w:val="auto"/>
                <w:w w:val="90"/>
              </w:rPr>
              <w:t>Three months ended</w:t>
            </w:r>
          </w:p>
        </w:tc>
        <w:tc>
          <w:tcPr>
            <w:tcW w:w="180" w:type="dxa"/>
            <w:vAlign w:val="bottom"/>
          </w:tcPr>
          <w:p>
            <w:pPr>
              <w:spacing w:after="0"/>
              <w:rPr>
                <w:sz w:val="18"/>
                <w:szCs w:val="18"/>
                <w:color w:val="auto"/>
              </w:rPr>
            </w:pPr>
          </w:p>
        </w:tc>
        <w:tc>
          <w:tcPr>
            <w:tcW w:w="1740" w:type="dxa"/>
            <w:vAlign w:val="bottom"/>
            <w:gridSpan w:val="4"/>
          </w:tcPr>
          <w:p>
            <w:pPr>
              <w:jc w:val="center"/>
              <w:ind w:right="71"/>
              <w:spacing w:after="0"/>
              <w:rPr>
                <w:sz w:val="20"/>
                <w:szCs w:val="20"/>
                <w:color w:val="auto"/>
              </w:rPr>
            </w:pPr>
            <w:r>
              <w:rPr>
                <w:rFonts w:ascii="Arial" w:cs="Arial" w:eastAsia="Arial" w:hAnsi="Arial"/>
                <w:sz w:val="16"/>
                <w:szCs w:val="16"/>
                <w:b w:val="1"/>
                <w:bCs w:val="1"/>
                <w:color w:val="auto"/>
                <w:w w:val="90"/>
              </w:rPr>
              <w:t>Three months ended</w:t>
            </w:r>
          </w:p>
        </w:tc>
      </w:tr>
      <w:tr>
        <w:trPr>
          <w:trHeight w:val="210"/>
        </w:trPr>
        <w:tc>
          <w:tcPr>
            <w:tcW w:w="7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gridSpan w:val="5"/>
          </w:tcPr>
          <w:p>
            <w:pPr>
              <w:jc w:val="center"/>
              <w:ind w:right="280"/>
              <w:spacing w:after="0"/>
              <w:rPr>
                <w:sz w:val="20"/>
                <w:szCs w:val="20"/>
                <w:color w:val="auto"/>
              </w:rPr>
            </w:pPr>
            <w:r>
              <w:rPr>
                <w:rFonts w:ascii="Arial" w:cs="Arial" w:eastAsia="Arial" w:hAnsi="Arial"/>
                <w:sz w:val="16"/>
                <w:szCs w:val="16"/>
                <w:b w:val="1"/>
                <w:bCs w:val="1"/>
                <w:color w:val="auto"/>
                <w:w w:val="94"/>
              </w:rPr>
              <w:t>March 31,</w:t>
            </w:r>
          </w:p>
        </w:tc>
        <w:tc>
          <w:tcPr>
            <w:tcW w:w="180" w:type="dxa"/>
            <w:vAlign w:val="bottom"/>
          </w:tcPr>
          <w:p>
            <w:pPr>
              <w:spacing w:after="0"/>
              <w:rPr>
                <w:sz w:val="18"/>
                <w:szCs w:val="18"/>
                <w:color w:val="auto"/>
              </w:rPr>
            </w:pPr>
          </w:p>
        </w:tc>
        <w:tc>
          <w:tcPr>
            <w:tcW w:w="1740" w:type="dxa"/>
            <w:vAlign w:val="bottom"/>
            <w:gridSpan w:val="4"/>
          </w:tcPr>
          <w:p>
            <w:pPr>
              <w:jc w:val="center"/>
              <w:ind w:right="71"/>
              <w:spacing w:after="0"/>
              <w:rPr>
                <w:sz w:val="20"/>
                <w:szCs w:val="20"/>
                <w:color w:val="auto"/>
              </w:rPr>
            </w:pPr>
            <w:r>
              <w:rPr>
                <w:rFonts w:ascii="Arial" w:cs="Arial" w:eastAsia="Arial" w:hAnsi="Arial"/>
                <w:sz w:val="16"/>
                <w:szCs w:val="16"/>
                <w:b w:val="1"/>
                <w:bCs w:val="1"/>
                <w:color w:val="auto"/>
                <w:w w:val="94"/>
              </w:rPr>
              <w:t>March 31,</w:t>
            </w:r>
          </w:p>
        </w:tc>
      </w:tr>
      <w:tr>
        <w:trPr>
          <w:trHeight w:val="33"/>
        </w:trPr>
        <w:tc>
          <w:tcPr>
            <w:tcW w:w="74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31"/>
        </w:trPr>
        <w:tc>
          <w:tcPr>
            <w:tcW w:w="7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214"/>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ind w:right="213"/>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ind w:right="194"/>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ind w:right="211"/>
              <w:spacing w:after="0"/>
              <w:rPr>
                <w:sz w:val="20"/>
                <w:szCs w:val="20"/>
                <w:color w:val="auto"/>
              </w:rPr>
            </w:pPr>
            <w:r>
              <w:rPr>
                <w:rFonts w:ascii="Arial" w:cs="Arial" w:eastAsia="Arial" w:hAnsi="Arial"/>
                <w:sz w:val="16"/>
                <w:szCs w:val="16"/>
                <w:b w:val="1"/>
                <w:bCs w:val="1"/>
                <w:color w:val="auto"/>
                <w:w w:val="89"/>
              </w:rPr>
              <w:t>2015</w:t>
            </w:r>
          </w:p>
        </w:tc>
      </w:tr>
      <w:tr>
        <w:trPr>
          <w:trHeight w:val="33"/>
        </w:trPr>
        <w:tc>
          <w:tcPr>
            <w:tcW w:w="74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5"/>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17"/>
        </w:trPr>
        <w:tc>
          <w:tcPr>
            <w:tcW w:w="7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5"/>
          </w:tcPr>
          <w:p>
            <w:pPr>
              <w:ind w:left="40"/>
              <w:spacing w:after="0"/>
              <w:rPr>
                <w:sz w:val="20"/>
                <w:szCs w:val="20"/>
                <w:color w:val="auto"/>
              </w:rPr>
            </w:pPr>
            <w:r>
              <w:rPr>
                <w:rFonts w:ascii="Arial" w:cs="Arial" w:eastAsia="Arial" w:hAnsi="Arial"/>
                <w:sz w:val="16"/>
                <w:szCs w:val="16"/>
                <w:b w:val="1"/>
                <w:bCs w:val="1"/>
                <w:color w:val="auto"/>
              </w:rPr>
              <w:t>(dollars in thousands)</w:t>
            </w: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33"/>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Interest costs</w:t>
            </w:r>
          </w:p>
        </w:tc>
        <w:tc>
          <w:tcPr>
            <w:tcW w:w="200" w:type="dxa"/>
            <w:vAlign w:val="bottom"/>
          </w:tcPr>
          <w:p>
            <w:pPr>
              <w:spacing w:after="0"/>
              <w:rPr>
                <w:sz w:val="21"/>
                <w:szCs w:val="21"/>
                <w:color w:val="auto"/>
              </w:rPr>
            </w:pP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640" w:type="dxa"/>
            <w:vAlign w:val="bottom"/>
          </w:tcPr>
          <w:p>
            <w:pPr>
              <w:jc w:val="right"/>
              <w:ind w:right="11"/>
              <w:spacing w:after="0"/>
              <w:rPr>
                <w:sz w:val="20"/>
                <w:szCs w:val="20"/>
                <w:color w:val="auto"/>
              </w:rPr>
            </w:pPr>
            <w:r>
              <w:rPr>
                <w:rFonts w:ascii="Arial" w:cs="Arial" w:eastAsia="Arial" w:hAnsi="Arial"/>
                <w:sz w:val="18"/>
                <w:szCs w:val="18"/>
                <w:color w:val="auto"/>
              </w:rPr>
              <w:t>10</w:t>
            </w:r>
          </w:p>
        </w:tc>
      </w:tr>
      <w:tr>
        <w:trPr>
          <w:trHeight w:val="27"/>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Amortization of net (gain)/loss</w:t>
            </w:r>
          </w:p>
        </w:tc>
        <w:tc>
          <w:tcPr>
            <w:tcW w:w="200" w:type="dxa"/>
            <w:vAlign w:val="bottom"/>
          </w:tcPr>
          <w:p>
            <w:pPr>
              <w:spacing w:after="0"/>
              <w:rPr>
                <w:sz w:val="21"/>
                <w:szCs w:val="21"/>
                <w:color w:val="auto"/>
              </w:rPr>
            </w:pP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7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periodic benefit cost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460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520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0"/>
        </w:trPr>
        <w:tc>
          <w:tcPr>
            <w:tcW w:w="7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contributed approximately $0.5 million to its defined benefit pension plans during the three months ended March 31, 2016. The Company expects to contribute approximately $2.0 million to its defined benefit pension plans for the full year 2016.</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Other Comprehensive Income (Loss)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Changes in AOCI by component for the three months ended March 31, 2016 are summarized as follows, net of tax:</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Foreign</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4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Defined</w:t>
            </w:r>
          </w:p>
        </w:tc>
        <w:tc>
          <w:tcPr>
            <w:tcW w:w="14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Derivative</w:t>
            </w:r>
          </w:p>
        </w:tc>
        <w:tc>
          <w:tcPr>
            <w:tcW w:w="140" w:type="dxa"/>
            <w:vAlign w:val="bottom"/>
          </w:tcPr>
          <w:p>
            <w:pPr>
              <w:spacing w:after="0"/>
              <w:rPr>
                <w:sz w:val="17"/>
                <w:szCs w:val="17"/>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Currency</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10"/>
        </w:trPr>
        <w:tc>
          <w:tcPr>
            <w:tcW w:w="4780" w:type="dxa"/>
            <w:vAlign w:val="bottom"/>
          </w:tcPr>
          <w:p>
            <w:pPr>
              <w:spacing w:after="0"/>
              <w:rPr>
                <w:sz w:val="18"/>
                <w:szCs w:val="18"/>
                <w:color w:val="auto"/>
              </w:rPr>
            </w:pPr>
          </w:p>
        </w:tc>
        <w:tc>
          <w:tcPr>
            <w:tcW w:w="11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Benefit Plans</w:t>
            </w:r>
          </w:p>
        </w:tc>
        <w:tc>
          <w:tcPr>
            <w:tcW w:w="11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3"/>
              </w:rPr>
              <w:t>Instruments</w:t>
            </w:r>
          </w:p>
        </w:tc>
        <w:tc>
          <w:tcPr>
            <w:tcW w:w="112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Translation</w:t>
            </w:r>
          </w:p>
        </w:tc>
        <w:tc>
          <w:tcPr>
            <w:tcW w:w="220" w:type="dxa"/>
            <w:vAlign w:val="bottom"/>
          </w:tcPr>
          <w:p>
            <w:pPr>
              <w:spacing w:after="0"/>
              <w:rPr>
                <w:sz w:val="18"/>
                <w:szCs w:val="18"/>
                <w:color w:val="auto"/>
              </w:rPr>
            </w:pPr>
          </w:p>
        </w:tc>
        <w:tc>
          <w:tcPr>
            <w:tcW w:w="800" w:type="dxa"/>
            <w:vAlign w:val="bottom"/>
          </w:tcPr>
          <w:p>
            <w:pPr>
              <w:jc w:val="right"/>
              <w:ind w:right="251"/>
              <w:spacing w:after="0"/>
              <w:rPr>
                <w:sz w:val="20"/>
                <w:szCs w:val="20"/>
                <w:color w:val="auto"/>
              </w:rPr>
            </w:pPr>
            <w:r>
              <w:rPr>
                <w:rFonts w:ascii="Arial" w:cs="Arial" w:eastAsia="Arial" w:hAnsi="Arial"/>
                <w:sz w:val="16"/>
                <w:szCs w:val="16"/>
                <w:b w:val="1"/>
                <w:bCs w:val="1"/>
                <w:color w:val="auto"/>
              </w:rPr>
              <w:t>Total</w:t>
            </w:r>
          </w:p>
        </w:tc>
      </w:tr>
      <w:tr>
        <w:trPr>
          <w:trHeight w:val="33"/>
        </w:trPr>
        <w:tc>
          <w:tcPr>
            <w:tcW w:w="47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5"/>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7"/>
        </w:trPr>
        <w:tc>
          <w:tcPr>
            <w:tcW w:w="4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20" w:type="dxa"/>
            <w:vAlign w:val="bottom"/>
            <w:gridSpan w:val="5"/>
          </w:tcPr>
          <w:p>
            <w:pPr>
              <w:ind w:left="200"/>
              <w:spacing w:after="0"/>
              <w:rPr>
                <w:sz w:val="20"/>
                <w:szCs w:val="20"/>
                <w:color w:val="auto"/>
              </w:rPr>
            </w:pPr>
            <w:r>
              <w:rPr>
                <w:rFonts w:ascii="Arial" w:cs="Arial" w:eastAsia="Arial" w:hAnsi="Arial"/>
                <w:sz w:val="16"/>
                <w:szCs w:val="16"/>
                <w:b w:val="1"/>
                <w:bCs w:val="1"/>
                <w:color w:val="auto"/>
              </w:rPr>
              <w:t>(dollars in thousands)</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33"/>
        </w:trPr>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(12,370)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(11,300)</w:t>
            </w:r>
          </w:p>
        </w:tc>
      </w:tr>
      <w:tr>
        <w:trPr>
          <w:trHeight w:val="270"/>
        </w:trPr>
        <w:tc>
          <w:tcPr>
            <w:tcW w:w="478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Net unrealized losses arising during the period </w:t>
            </w:r>
            <w:r>
              <w:rPr>
                <w:rFonts w:ascii="Arial" w:cs="Arial" w:eastAsia="Arial" w:hAnsi="Arial"/>
                <w:sz w:val="25"/>
                <w:szCs w:val="25"/>
                <w:color w:val="auto"/>
                <w:vertAlign w:val="superscript"/>
              </w:rPr>
              <w:t>(a)</w:t>
            </w:r>
          </w:p>
        </w:tc>
        <w:tc>
          <w:tcPr>
            <w:tcW w:w="180" w:type="dxa"/>
            <w:vAlign w:val="bottom"/>
          </w:tcPr>
          <w:p>
            <w:pPr>
              <w:spacing w:after="0"/>
              <w:rPr>
                <w:sz w:val="23"/>
                <w:szCs w:val="23"/>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(3,030)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(2,660)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(5,690)</w:t>
            </w:r>
          </w:p>
        </w:tc>
      </w:tr>
      <w:tr>
        <w:trPr>
          <w:trHeight w:val="270"/>
        </w:trPr>
        <w:tc>
          <w:tcPr>
            <w:tcW w:w="478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Less: Net realized losses reclassified to net income </w:t>
            </w:r>
            <w:r>
              <w:rPr>
                <w:rFonts w:ascii="Arial" w:cs="Arial" w:eastAsia="Arial" w:hAnsi="Arial"/>
                <w:sz w:val="25"/>
                <w:szCs w:val="25"/>
                <w:color w:val="auto"/>
                <w:vertAlign w:val="superscript"/>
              </w:rPr>
              <w:t>(b)</w:t>
            </w: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r>
      <w:tr>
        <w:trPr>
          <w:trHeight w:val="237"/>
        </w:trPr>
        <w:tc>
          <w:tcPr>
            <w:tcW w:w="4780" w:type="dxa"/>
            <w:vAlign w:val="bottom"/>
          </w:tcPr>
          <w:p>
            <w:pPr>
              <w:ind w:left="180"/>
              <w:spacing w:after="0"/>
              <w:rPr>
                <w:sz w:val="20"/>
                <w:szCs w:val="20"/>
                <w:color w:val="auto"/>
              </w:rPr>
            </w:pPr>
            <w:r>
              <w:rPr>
                <w:rFonts w:ascii="Arial" w:cs="Arial" w:eastAsia="Arial" w:hAnsi="Arial"/>
                <w:sz w:val="18"/>
                <w:szCs w:val="18"/>
                <w:color w:val="auto"/>
              </w:rPr>
              <w:t>Net current-period other comprehensive income (loss)</w:t>
            </w:r>
          </w:p>
        </w:tc>
        <w:tc>
          <w:tcPr>
            <w:tcW w:w="18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(2,960)</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(2,660)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(5,470)</w:t>
            </w:r>
          </w:p>
        </w:tc>
      </w:tr>
      <w:tr>
        <w:trPr>
          <w:trHeight w:val="27"/>
        </w:trPr>
        <w:tc>
          <w:tcPr>
            <w:tcW w:w="47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March 31, 2016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(12,220)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(16,770)</w:t>
            </w:r>
          </w:p>
        </w:tc>
      </w:tr>
      <w:tr>
        <w:trPr>
          <w:trHeight w:val="20"/>
        </w:trPr>
        <w:tc>
          <w:tcPr>
            <w:tcW w:w="4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60"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w:t>
      </w:r>
    </w:p>
    <w:p>
      <w:pPr>
        <w:spacing w:after="0" w:line="256" w:lineRule="exact"/>
        <w:rPr>
          <w:sz w:val="20"/>
          <w:szCs w:val="20"/>
          <w:color w:val="auto"/>
        </w:rPr>
      </w:pPr>
    </w:p>
    <w:p>
      <w:pPr>
        <w:ind w:left="140" w:hanging="132"/>
        <w:spacing w:after="0"/>
        <w:tabs>
          <w:tab w:leader="none" w:pos="140" w:val="left"/>
        </w:tabs>
        <w:numPr>
          <w:ilvl w:val="0"/>
          <w:numId w:val="4"/>
        </w:numPr>
        <w:rPr>
          <w:rFonts w:ascii="Arial" w:cs="Arial" w:eastAsia="Arial" w:hAnsi="Arial"/>
          <w:sz w:val="9"/>
          <w:szCs w:val="9"/>
          <w:color w:val="auto"/>
        </w:rPr>
      </w:pPr>
      <w:r>
        <w:rPr>
          <w:rFonts w:ascii="Arial" w:cs="Arial" w:eastAsia="Arial" w:hAnsi="Arial"/>
          <w:sz w:val="14"/>
          <w:szCs w:val="14"/>
          <w:color w:val="auto"/>
        </w:rPr>
        <w:t>Derivative instruments, net of income tax of approximately $1.9 million. See Note 8, "</w:t>
      </w:r>
      <w:r>
        <w:rPr>
          <w:rFonts w:ascii="Arial" w:cs="Arial" w:eastAsia="Arial" w:hAnsi="Arial"/>
          <w:sz w:val="14"/>
          <w:szCs w:val="14"/>
          <w:i w:val="1"/>
          <w:iCs w:val="1"/>
          <w:color w:val="auto"/>
        </w:rPr>
        <w:t>Derivative Instruments</w:t>
      </w:r>
      <w:r>
        <w:rPr>
          <w:rFonts w:ascii="Arial" w:cs="Arial" w:eastAsia="Arial" w:hAnsi="Arial"/>
          <w:sz w:val="14"/>
          <w:szCs w:val="14"/>
          <w:color w:val="auto"/>
        </w:rPr>
        <w:t>," for further details.</w:t>
      </w:r>
    </w:p>
    <w:p>
      <w:pPr>
        <w:spacing w:after="0" w:line="271" w:lineRule="exact"/>
        <w:rPr>
          <w:rFonts w:ascii="Arial" w:cs="Arial" w:eastAsia="Arial" w:hAnsi="Arial"/>
          <w:sz w:val="9"/>
          <w:szCs w:val="9"/>
          <w:color w:val="auto"/>
        </w:rPr>
      </w:pPr>
    </w:p>
    <w:p>
      <w:pPr>
        <w:ind w:left="180" w:hanging="172"/>
        <w:spacing w:after="0" w:line="273" w:lineRule="auto"/>
        <w:tabs>
          <w:tab w:leader="none" w:pos="145" w:val="left"/>
        </w:tabs>
        <w:numPr>
          <w:ilvl w:val="0"/>
          <w:numId w:val="4"/>
        </w:numPr>
        <w:rPr>
          <w:rFonts w:ascii="Arial" w:cs="Arial" w:eastAsia="Arial" w:hAnsi="Arial"/>
          <w:sz w:val="9"/>
          <w:szCs w:val="9"/>
          <w:color w:val="auto"/>
        </w:rPr>
      </w:pPr>
      <w:r>
        <w:rPr>
          <w:rFonts w:ascii="Arial" w:cs="Arial" w:eastAsia="Arial" w:hAnsi="Arial"/>
          <w:sz w:val="14"/>
          <w:szCs w:val="14"/>
          <w:color w:val="auto"/>
        </w:rPr>
        <w:t>Defined benefit plans, net of income tax of approximately $0.1 million. See Note 13, "</w:t>
      </w:r>
      <w:r>
        <w:rPr>
          <w:rFonts w:ascii="Arial" w:cs="Arial" w:eastAsia="Arial" w:hAnsi="Arial"/>
          <w:sz w:val="14"/>
          <w:szCs w:val="14"/>
          <w:i w:val="1"/>
          <w:iCs w:val="1"/>
          <w:color w:val="auto"/>
        </w:rPr>
        <w:t>Defined Benefit Plans</w:t>
      </w:r>
      <w:r>
        <w:rPr>
          <w:rFonts w:ascii="Arial" w:cs="Arial" w:eastAsia="Arial" w:hAnsi="Arial"/>
          <w:sz w:val="14"/>
          <w:szCs w:val="14"/>
          <w:color w:val="auto"/>
        </w:rPr>
        <w:t>," for further details. Derivative instruments, net of income tax of approximately $0.1 million. See Note 8, "</w:t>
      </w:r>
      <w:r>
        <w:rPr>
          <w:rFonts w:ascii="Arial" w:cs="Arial" w:eastAsia="Arial" w:hAnsi="Arial"/>
          <w:sz w:val="14"/>
          <w:szCs w:val="14"/>
          <w:i w:val="1"/>
          <w:iCs w:val="1"/>
          <w:color w:val="auto"/>
        </w:rPr>
        <w:t>Derivative Instruments</w:t>
      </w:r>
      <w:r>
        <w:rPr>
          <w:rFonts w:ascii="Arial" w:cs="Arial" w:eastAsia="Arial" w:hAnsi="Arial"/>
          <w:sz w:val="14"/>
          <w:szCs w:val="14"/>
          <w:color w:val="auto"/>
        </w:rPr>
        <w:t>," for further details.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Changes in AOCI by component for the three months ended March 31, 2015 are summarized as follows, net of tax:</w:t>
      </w:r>
    </w:p>
    <w:p>
      <w:pPr>
        <w:spacing w:after="0" w:line="200" w:lineRule="exact"/>
        <w:rPr>
          <w:sz w:val="20"/>
          <w:szCs w:val="20"/>
          <w:color w:val="auto"/>
        </w:rPr>
      </w:pPr>
    </w:p>
    <w:p>
      <w:pPr>
        <w:spacing w:after="0" w:line="242" w:lineRule="exact"/>
        <w:rPr>
          <w:sz w:val="20"/>
          <w:szCs w:val="20"/>
          <w:color w:val="auto"/>
        </w:rPr>
      </w:pPr>
    </w:p>
    <w:tbl>
      <w:tblPr>
        <w:tblLayout w:type="fixed"/>
        <w:tblInd w:w="180" w:type="dxa"/>
        <w:tblCellMar>
          <w:top w:w="0" w:type="dxa"/>
          <w:left w:w="0" w:type="dxa"/>
          <w:bottom w:w="0" w:type="dxa"/>
          <w:right w:w="0" w:type="dxa"/>
        </w:tblCellMar>
      </w:tblPr>
      <w:tr>
        <w:trPr>
          <w:trHeight w:val="203"/>
        </w:trPr>
        <w:tc>
          <w:tcPr>
            <w:tcW w:w="5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Foreign</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5980" w:type="dxa"/>
            <w:vAlign w:val="bottom"/>
          </w:tcPr>
          <w:p>
            <w:pPr>
              <w:spacing w:after="0"/>
              <w:rPr>
                <w:sz w:val="17"/>
                <w:szCs w:val="17"/>
                <w:color w:val="auto"/>
              </w:rPr>
            </w:pPr>
          </w:p>
        </w:tc>
        <w:tc>
          <w:tcPr>
            <w:tcW w:w="13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Defined Benefit</w:t>
            </w:r>
          </w:p>
        </w:tc>
        <w:tc>
          <w:tcPr>
            <w:tcW w:w="160" w:type="dxa"/>
            <w:vAlign w:val="bottom"/>
          </w:tcPr>
          <w:p>
            <w:pPr>
              <w:spacing w:after="0"/>
              <w:rPr>
                <w:sz w:val="17"/>
                <w:szCs w:val="17"/>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Derivative</w:t>
            </w:r>
          </w:p>
        </w:tc>
        <w:tc>
          <w:tcPr>
            <w:tcW w:w="16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Currency</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0"/>
        </w:trPr>
        <w:tc>
          <w:tcPr>
            <w:tcW w:w="5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Plans</w:t>
            </w:r>
          </w:p>
        </w:tc>
        <w:tc>
          <w:tcPr>
            <w:tcW w:w="1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Instruments</w:t>
            </w:r>
          </w:p>
        </w:tc>
        <w:tc>
          <w:tcPr>
            <w:tcW w:w="1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Translation</w:t>
            </w:r>
          </w:p>
        </w:tc>
        <w:tc>
          <w:tcPr>
            <w:tcW w:w="280" w:type="dxa"/>
            <w:vAlign w:val="bottom"/>
          </w:tcPr>
          <w:p>
            <w:pPr>
              <w:spacing w:after="0"/>
              <w:rPr>
                <w:sz w:val="18"/>
                <w:szCs w:val="18"/>
                <w:color w:val="auto"/>
              </w:rPr>
            </w:pPr>
          </w:p>
        </w:tc>
        <w:tc>
          <w:tcPr>
            <w:tcW w:w="940" w:type="dxa"/>
            <w:vAlign w:val="bottom"/>
          </w:tcPr>
          <w:p>
            <w:pPr>
              <w:jc w:val="right"/>
              <w:ind w:right="351"/>
              <w:spacing w:after="0"/>
              <w:rPr>
                <w:sz w:val="20"/>
                <w:szCs w:val="20"/>
                <w:color w:val="auto"/>
              </w:rPr>
            </w:pPr>
            <w:r>
              <w:rPr>
                <w:rFonts w:ascii="Arial" w:cs="Arial" w:eastAsia="Arial" w:hAnsi="Arial"/>
                <w:sz w:val="16"/>
                <w:szCs w:val="16"/>
                <w:b w:val="1"/>
                <w:bCs w:val="1"/>
                <w:color w:val="auto"/>
              </w:rPr>
              <w:t>Total</w:t>
            </w:r>
          </w:p>
        </w:tc>
      </w:tr>
      <w:tr>
        <w:trPr>
          <w:trHeight w:val="33"/>
        </w:trPr>
        <w:tc>
          <w:tcPr>
            <w:tcW w:w="59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5"/>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5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20" w:type="dxa"/>
            <w:vAlign w:val="bottom"/>
            <w:gridSpan w:val="5"/>
          </w:tcPr>
          <w:p>
            <w:pPr>
              <w:ind w:left="380"/>
              <w:spacing w:after="0"/>
              <w:rPr>
                <w:sz w:val="20"/>
                <w:szCs w:val="20"/>
                <w:color w:val="auto"/>
              </w:rPr>
            </w:pPr>
            <w:r>
              <w:rPr>
                <w:rFonts w:ascii="Arial" w:cs="Arial" w:eastAsia="Arial" w:hAnsi="Arial"/>
                <w:sz w:val="16"/>
                <w:szCs w:val="16"/>
                <w:b w:val="1"/>
                <w:bCs w:val="1"/>
                <w:color w:val="auto"/>
              </w:rPr>
              <w:t>(dollars in thousands)</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33"/>
        </w:trPr>
        <w:tc>
          <w:tcPr>
            <w:tcW w:w="5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2014</w:t>
            </w:r>
          </w:p>
        </w:tc>
        <w:tc>
          <w:tcPr>
            <w:tcW w:w="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23,790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10,220</w:t>
            </w:r>
          </w:p>
        </w:tc>
      </w:tr>
      <w:tr>
        <w:trPr>
          <w:trHeight w:val="270"/>
        </w:trPr>
        <w:tc>
          <w:tcPr>
            <w:tcW w:w="5980" w:type="dxa"/>
            <w:vAlign w:val="bottom"/>
          </w:tcPr>
          <w:p>
            <w:pPr>
              <w:ind w:left="160"/>
              <w:spacing w:after="0" w:line="270" w:lineRule="exact"/>
              <w:rPr>
                <w:sz w:val="20"/>
                <w:szCs w:val="20"/>
                <w:color w:val="auto"/>
              </w:rPr>
            </w:pPr>
            <w:r>
              <w:rPr>
                <w:rFonts w:ascii="Arial" w:cs="Arial" w:eastAsia="Arial" w:hAnsi="Arial"/>
                <w:sz w:val="18"/>
                <w:szCs w:val="18"/>
                <w:color w:val="auto"/>
              </w:rPr>
              <w:t xml:space="preserve">Net unrealized losses arising during the period </w:t>
            </w:r>
            <w:r>
              <w:rPr>
                <w:rFonts w:ascii="Arial" w:cs="Arial" w:eastAsia="Arial" w:hAnsi="Arial"/>
                <w:sz w:val="25"/>
                <w:szCs w:val="25"/>
                <w:color w:val="auto"/>
                <w:vertAlign w:val="superscript"/>
              </w:rPr>
              <w:t>(a)</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(710)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(6,540)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(7,250)</w:t>
            </w:r>
          </w:p>
        </w:tc>
      </w:tr>
      <w:tr>
        <w:trPr>
          <w:trHeight w:val="270"/>
        </w:trPr>
        <w:tc>
          <w:tcPr>
            <w:tcW w:w="5980" w:type="dxa"/>
            <w:vAlign w:val="bottom"/>
            <w:shd w:val="clear" w:color="auto" w:fill="CCEEFF"/>
          </w:tcPr>
          <w:p>
            <w:pPr>
              <w:ind w:left="160"/>
              <w:spacing w:after="0" w:line="270" w:lineRule="exact"/>
              <w:rPr>
                <w:sz w:val="20"/>
                <w:szCs w:val="20"/>
                <w:color w:val="auto"/>
              </w:rPr>
            </w:pPr>
            <w:r>
              <w:rPr>
                <w:rFonts w:ascii="Arial" w:cs="Arial" w:eastAsia="Arial" w:hAnsi="Arial"/>
                <w:sz w:val="18"/>
                <w:szCs w:val="18"/>
                <w:color w:val="auto"/>
              </w:rPr>
              <w:t xml:space="preserve">Less: Net realized losses reclassified to net income </w:t>
            </w:r>
            <w:r>
              <w:rPr>
                <w:rFonts w:ascii="Arial" w:cs="Arial" w:eastAsia="Arial" w:hAnsi="Arial"/>
                <w:sz w:val="25"/>
                <w:szCs w:val="25"/>
                <w:color w:val="auto"/>
                <w:vertAlign w:val="superscript"/>
              </w:rPr>
              <w:t>(b)</w:t>
            </w: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w:t>
            </w:r>
          </w:p>
        </w:tc>
      </w:tr>
      <w:tr>
        <w:trPr>
          <w:trHeight w:val="237"/>
        </w:trPr>
        <w:tc>
          <w:tcPr>
            <w:tcW w:w="5980" w:type="dxa"/>
            <w:vAlign w:val="bottom"/>
          </w:tcPr>
          <w:p>
            <w:pPr>
              <w:ind w:left="160"/>
              <w:spacing w:after="0"/>
              <w:rPr>
                <w:sz w:val="20"/>
                <w:szCs w:val="20"/>
                <w:color w:val="auto"/>
              </w:rPr>
            </w:pPr>
            <w:r>
              <w:rPr>
                <w:rFonts w:ascii="Arial" w:cs="Arial" w:eastAsia="Arial" w:hAnsi="Arial"/>
                <w:sz w:val="18"/>
                <w:szCs w:val="18"/>
                <w:color w:val="auto"/>
              </w:rPr>
              <w:t>Net current-period other comprehensive income (loss)</w:t>
            </w: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(6,540)</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(6,680)</w:t>
            </w:r>
          </w:p>
        </w:tc>
      </w:tr>
      <w:tr>
        <w:trPr>
          <w:trHeight w:val="27"/>
        </w:trPr>
        <w:tc>
          <w:tcPr>
            <w:tcW w:w="5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5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March 31, 2015</w:t>
            </w:r>
          </w:p>
        </w:tc>
        <w:tc>
          <w:tcPr>
            <w:tcW w:w="2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(13,930)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17,250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3,540</w:t>
            </w:r>
          </w:p>
        </w:tc>
      </w:tr>
      <w:tr>
        <w:trPr>
          <w:trHeight w:val="20"/>
        </w:trPr>
        <w:tc>
          <w:tcPr>
            <w:tcW w:w="5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60"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w:t>
      </w:r>
    </w:p>
    <w:p>
      <w:pPr>
        <w:spacing w:after="0" w:line="256" w:lineRule="exact"/>
        <w:rPr>
          <w:sz w:val="20"/>
          <w:szCs w:val="20"/>
          <w:color w:val="auto"/>
        </w:rPr>
      </w:pPr>
    </w:p>
    <w:p>
      <w:pPr>
        <w:ind w:left="140" w:hanging="132"/>
        <w:spacing w:after="0"/>
        <w:tabs>
          <w:tab w:leader="none" w:pos="140" w:val="left"/>
        </w:tabs>
        <w:numPr>
          <w:ilvl w:val="0"/>
          <w:numId w:val="5"/>
        </w:numPr>
        <w:rPr>
          <w:rFonts w:ascii="Arial" w:cs="Arial" w:eastAsia="Arial" w:hAnsi="Arial"/>
          <w:sz w:val="9"/>
          <w:szCs w:val="9"/>
          <w:color w:val="auto"/>
        </w:rPr>
      </w:pPr>
      <w:r>
        <w:rPr>
          <w:rFonts w:ascii="Arial" w:cs="Arial" w:eastAsia="Arial" w:hAnsi="Arial"/>
          <w:sz w:val="14"/>
          <w:szCs w:val="14"/>
          <w:color w:val="auto"/>
        </w:rPr>
        <w:t>Derivative instruments, net of income tax of approximately $0.3 million. See Note 8, "</w:t>
      </w:r>
      <w:r>
        <w:rPr>
          <w:rFonts w:ascii="Arial" w:cs="Arial" w:eastAsia="Arial" w:hAnsi="Arial"/>
          <w:sz w:val="14"/>
          <w:szCs w:val="14"/>
          <w:i w:val="1"/>
          <w:iCs w:val="1"/>
          <w:color w:val="auto"/>
        </w:rPr>
        <w:t>Derivative Instruments</w:t>
      </w:r>
      <w:r>
        <w:rPr>
          <w:rFonts w:ascii="Arial" w:cs="Arial" w:eastAsia="Arial" w:hAnsi="Arial"/>
          <w:sz w:val="14"/>
          <w:szCs w:val="14"/>
          <w:color w:val="auto"/>
        </w:rPr>
        <w:t>," for further details.</w:t>
      </w:r>
    </w:p>
    <w:p>
      <w:pPr>
        <w:spacing w:after="0" w:line="271" w:lineRule="exact"/>
        <w:rPr>
          <w:rFonts w:ascii="Arial" w:cs="Arial" w:eastAsia="Arial" w:hAnsi="Arial"/>
          <w:sz w:val="9"/>
          <w:szCs w:val="9"/>
          <w:color w:val="auto"/>
        </w:rPr>
      </w:pPr>
    </w:p>
    <w:p>
      <w:pPr>
        <w:ind w:left="180" w:hanging="172"/>
        <w:spacing w:after="0" w:line="273" w:lineRule="auto"/>
        <w:tabs>
          <w:tab w:leader="none" w:pos="145" w:val="left"/>
        </w:tabs>
        <w:numPr>
          <w:ilvl w:val="0"/>
          <w:numId w:val="5"/>
        </w:numPr>
        <w:rPr>
          <w:rFonts w:ascii="Arial" w:cs="Arial" w:eastAsia="Arial" w:hAnsi="Arial"/>
          <w:sz w:val="9"/>
          <w:szCs w:val="9"/>
          <w:color w:val="auto"/>
        </w:rPr>
      </w:pPr>
      <w:r>
        <w:rPr>
          <w:rFonts w:ascii="Arial" w:cs="Arial" w:eastAsia="Arial" w:hAnsi="Arial"/>
          <w:sz w:val="14"/>
          <w:szCs w:val="14"/>
          <w:color w:val="auto"/>
        </w:rPr>
        <w:t>Defined benefit plans, net of income tax of approximately $0.1 million. See Note 13, "</w:t>
      </w:r>
      <w:r>
        <w:rPr>
          <w:rFonts w:ascii="Arial" w:cs="Arial" w:eastAsia="Arial" w:hAnsi="Arial"/>
          <w:sz w:val="14"/>
          <w:szCs w:val="14"/>
          <w:i w:val="1"/>
          <w:iCs w:val="1"/>
          <w:color w:val="auto"/>
        </w:rPr>
        <w:t>Defined Benefit Plans</w:t>
      </w:r>
      <w:r>
        <w:rPr>
          <w:rFonts w:ascii="Arial" w:cs="Arial" w:eastAsia="Arial" w:hAnsi="Arial"/>
          <w:sz w:val="14"/>
          <w:szCs w:val="14"/>
          <w:color w:val="auto"/>
        </w:rPr>
        <w:t>," for further details. Derivative instruments, net of income tax of approximately $0.1 million. See Note 8, "</w:t>
      </w:r>
      <w:r>
        <w:rPr>
          <w:rFonts w:ascii="Arial" w:cs="Arial" w:eastAsia="Arial" w:hAnsi="Arial"/>
          <w:sz w:val="14"/>
          <w:szCs w:val="14"/>
          <w:i w:val="1"/>
          <w:iCs w:val="1"/>
          <w:color w:val="auto"/>
        </w:rPr>
        <w:t>Derivative Instruments</w:t>
      </w:r>
      <w:r>
        <w:rPr>
          <w:rFonts w:ascii="Arial" w:cs="Arial" w:eastAsia="Arial" w:hAnsi="Arial"/>
          <w:sz w:val="14"/>
          <w:szCs w:val="14"/>
          <w:color w:val="auto"/>
        </w:rPr>
        <w:t>," for further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7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The following discussion and analysis of our financial condition contains forward-looking statements regarding industry outlook and our expectations regarding the performance of our business. These forward-looking statements are subject to numerous risks and uncertainties, including, but not limited to, the risks and uncertainties described under the heading "Forward-Looking Statements," at the beginning of this report. Our actual results may differ materially from those contained in or implied by any forward-looking statements. You should read the following discussion together with the Company's reports on file with the Securities and Exchange Commission, including its Annual Report on Form 10-K for the year ended December 31, 2015.</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a global manufacturer and distributor of products for commercial, industrial and consumer markets. We are principally engaged in four reportable segments: Packaging, Aerospace, Energy and Engineered Components.</w:t>
      </w:r>
    </w:p>
    <w:p>
      <w:pPr>
        <w:spacing w:after="0" w:line="2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30, 2015, we completed the spin-off of our Cequent businesses, creating a new independent publicly-traded company, Horizon Global Corporation ("Horizon"). On June 30, 2015, our stockholders received two shares of Horizon common stock for every five shares of TriMas common stock that they held as of the close of business on June 25, 2015. The financial position, results of operations and cash flows of Horizon are included as discontinued operations for all periods presented through the date of the spin-off.</w:t>
      </w:r>
    </w:p>
    <w:p>
      <w:pPr>
        <w:spacing w:after="0" w:line="24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 xml:space="preserve">Key Factors and Risks Affecting Our Reported Results. </w:t>
      </w:r>
      <w:r>
        <w:rPr>
          <w:rFonts w:ascii="Arial" w:cs="Arial" w:eastAsia="Arial" w:hAnsi="Arial"/>
          <w:sz w:val="16"/>
          <w:szCs w:val="16"/>
          <w:color w:val="auto"/>
        </w:rPr>
        <w:t>Our businesses and results of operations depend upon general economic conditions and we serve</w:t>
      </w:r>
      <w:r>
        <w:rPr>
          <w:rFonts w:ascii="Arial" w:cs="Arial" w:eastAsia="Arial" w:hAnsi="Arial"/>
          <w:sz w:val="16"/>
          <w:szCs w:val="16"/>
          <w:i w:val="1"/>
          <w:iCs w:val="1"/>
          <w:color w:val="auto"/>
        </w:rPr>
        <w:t xml:space="preserve"> </w:t>
      </w:r>
      <w:r>
        <w:rPr>
          <w:rFonts w:ascii="Arial" w:cs="Arial" w:eastAsia="Arial" w:hAnsi="Arial"/>
          <w:sz w:val="16"/>
          <w:szCs w:val="16"/>
          <w:color w:val="auto"/>
        </w:rPr>
        <w:t>some customers in cyclical industries that are highly competitive and themselves significantly impacted by changes in economic conditions. There has been little or no overall economic growth, particularly in the United States, although global economic conditions appear to have been relatively stable over the past couple of years. The most significant external factor impacting us recently was the impact of lower oil prices, which began to decline in the fourth quarter of 2014, declined throughout 2015 and remain at low levels at the end of the first quarter of 2016. This decline directly impacts our Arrow Engine business (which serves the upstream oil and natural gas market at the well site) and our Energy business, which primarily serves petrochemical and other refineries in the downstream oil and gas markets, as well as having a smaller portion of the business dedicated to upstream activity. Our Arrow Engine business' revenue declined more than 50% during 2015 as compared to 2014, and again in the first quarter of 2016 compared with first quarter 2015, and is expected to remain at a low level until the price of oil increases over a sustained period where its customers decide to increase their activity levels and related well-site investments. The Arrow Engine business reacted aggressively in cutting costs and structuring its business in response to the lower demand levels, and was able to remain at an approximately break-even profit level in 2015 and the first quarter of 2016 despite the significant top line reduction.</w:t>
      </w:r>
    </w:p>
    <w:p>
      <w:pPr>
        <w:spacing w:after="0" w:line="2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to the impact of lower oil prices, there were two other significant external factors that have impacted our recent results. First is the impact of a stronger U.S. dollar relative to other currencies, which has impacted our net sales in 2015 as compared to 2014 and continued in first quarter 2016 versus first quarter 2015. In addition, beginning in the second quarter of 2015, our largest two Aerospace distribution customers began reducing their investment in on-hand inventory levels of fastener products. While this has impacted our net sales, it has also had a significant impact on margin levels, as certain of these products historically command higher profit margins.</w:t>
      </w:r>
    </w:p>
    <w:p>
      <w:pPr>
        <w:spacing w:after="0" w:line="24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From a business perspective, there has been a shift over the past two to three years in our Energy reportable segment from historical demand and activity, both in the United States and abroad, where petrochemical plants and refinery customers deferred shutdown activity, plus we experienced decreases in engineering and construction ("E&amp;C") customer activity. While we were able to hold sales levels essentially flat on a sequential quarterly basis in 2014 and until fourth quarter of 2015 via market share gains and adding product content to our portfolio, primarily standard and highly-engineered bolts, our margins declined significantly due to the mix of product sales and inefficiencies that resulted from the shift in activity levels. More recently, the lower oil prices have placed further pressure on the top-line and predictability of customer order patterns. Given these factors, we have been restructuring the business and its fixed cost structure to align to the current business environment, closing and consolidating certain facilities during 2014 and 2015, and opening a new lower-cost facility in Mexico, which began production in the fourth quarter of 2015. We are nearing completion of the restructuring efforts, and expect to realize the cost savings and operational efficiencies associated with leveraging the new lower fixed cost structure and other initiatives as we move through 2016.</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During the third quarter of 2015, given the uncertain economic environment and the impact on net sales and profitability of lower oil prices, a stronger U.S. dollar and slowing industrial production, we announced a financial improvement plan ("FIP") to improve our profitability, cash flow conversion and operational efficiency. As part of the FIP, we targeted cost actions to yield $15 million of annual savings, accelerating an additional $5 million of savings initiatives in the Energy business, with the remaining $10 million of savings expected to be spread relatively evenly across the remainder of the Company. In February 2016, we added $7 million of cost savings actions, thereby expecting $22 million of annual run-rate cost savings. By implementing the FIP, we believe we have lowered the cost structure of our engine-related business, allowing it to achieve break-even operating profit despite the more than 50% decline in sales as a result of the impact of lower oil prices. The FIP consisted of headcount reductions, manufacturing and administrative cost reduction and facility closures or consolidations. We believe the FIP was necessary to help to mitigate the external factors pressuring our top-line, and position the Company for improved profitability and operating leverage across a lower fixed cost structure in the future. We continue to evaluate further actions as merited based on business performance, considering additional cost reductions or facility closures should sales and profitability levels continue below historical levels.</w:t>
      </w:r>
    </w:p>
    <w:p>
      <w:pPr>
        <w:spacing w:after="0" w:line="2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Critical factors affecting our ability to succeed include: our ability to create organic growth through product development, cross selling and extending product-line offerings, and our ability to quickly and cost-effectively introduce new products; our ability to acquire and integrate companies or products that supplement existing product lines, add new distribution channels, expand our geographic coverage or enable better absorption of overhead costs; our ability to manage our cost structure more efficiently via supply base management, internal sourcing and/or purchasing of materials, selective outsourcing and/or purchasing of support functions, working capital management, and greater leverage of our administrative functions. If we are unable to do any of the foregoing successfully, our financial condition and results of operations could be materially and adversely impacted.</w:t>
      </w:r>
    </w:p>
    <w:p>
      <w:pPr>
        <w:spacing w:after="0" w:line="23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businesses do not experience significant seasonal fluctuation, other than our fourth quarter has tended to be the lowest net sales quarter of the year given holiday shutdowns in certain customers or other customers deferring capital spending to the new year. We do not consider sales order backlog to be a material factor in our business. A growing portion of our sales is derived from international sources, which exposes us to certain risks, including currency risks.</w:t>
      </w:r>
    </w:p>
    <w:p>
      <w:pPr>
        <w:spacing w:after="0" w:line="20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are sensitive to price movements in our raw materials supply base. Our largest material purchases are for steel, aluminum, polyethylene and other resins and utility-related inputs. Historically, we have experienced volatility in costs of steel and resin and have worked with our suppliers to manage costs and disruptions in supply. We also utilize pricing programs to pass increased steel, aluminum and resin costs to customers. Although we may experience delays in our ability to implement price increases, we have been generally able to recover such increased costs. We may experience disruptions in supply in the future and may not be able to pass along higher costs associated with such disruptions to our customers in the form of price increases.</w:t>
      </w:r>
    </w:p>
    <w:p>
      <w:pPr>
        <w:spacing w:after="0" w:line="21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to the aforementioned price movements in significant raw materials, certain of our businesses are sensitive to oil price movements. As noted earlier, our Arrow Engine business is most directly impacted by significant volatility in oil prices. Arrow's pumpjack and other engine sales and related parts, which comprise a significant portion of the business, are impacted by oil drilling levels, rig counts and commodity pricing. In addition, a portion of our Energy reportable segment serves upstream customers at oil well sites that have been impacted by changes in oil prices, while the majority of the segment provides parts for refineries and chemical plants, which may or may not choose to defer capital expenditures or changeover production stock, both of which would require retooling with our gaskets and bolts, in times of fluctuations in oil prices. Our Packaging reportable segment may be impacted by oil prices, as it is a significant driver of resin pricing, although we generally are able to maintain profit levels when oil prices change due to escalator/de-escalator clauses in contracts with many of our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 and Supplemental Analysis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financial information for our reportable segments for the three months ended March 31, 2016 and 2015:</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8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2"/>
              </w:rPr>
              <w:t>Three months ended March 31,</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As a Percentage</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ind w:right="71"/>
              <w:spacing w:after="0"/>
              <w:rPr>
                <w:sz w:val="20"/>
                <w:szCs w:val="20"/>
                <w:color w:val="auto"/>
              </w:rPr>
            </w:pPr>
            <w:r>
              <w:rPr>
                <w:rFonts w:ascii="Arial" w:cs="Arial" w:eastAsia="Arial" w:hAnsi="Arial"/>
                <w:sz w:val="16"/>
                <w:szCs w:val="16"/>
                <w:b w:val="1"/>
                <w:bCs w:val="1"/>
                <w:color w:val="auto"/>
              </w:rPr>
              <w:t>As a Percentage</w:t>
            </w:r>
          </w:p>
        </w:tc>
        <w:tc>
          <w:tcPr>
            <w:tcW w:w="0" w:type="dxa"/>
            <w:vAlign w:val="bottom"/>
          </w:tcPr>
          <w:p>
            <w:pPr>
              <w:spacing w:after="0"/>
              <w:rPr>
                <w:sz w:val="1"/>
                <w:szCs w:val="1"/>
                <w:color w:val="auto"/>
              </w:rPr>
            </w:pPr>
          </w:p>
        </w:tc>
      </w:tr>
      <w:tr>
        <w:trPr>
          <w:trHeight w:val="210"/>
        </w:trPr>
        <w:tc>
          <w:tcPr>
            <w:tcW w:w="4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550"/>
              <w:spacing w:after="0"/>
              <w:rPr>
                <w:sz w:val="20"/>
                <w:szCs w:val="20"/>
                <w:color w:val="auto"/>
              </w:rPr>
            </w:pPr>
            <w:r>
              <w:rPr>
                <w:rFonts w:ascii="Arial" w:cs="Arial" w:eastAsia="Arial" w:hAnsi="Arial"/>
                <w:sz w:val="16"/>
                <w:szCs w:val="16"/>
                <w:b w:val="1"/>
                <w:bCs w:val="1"/>
                <w:color w:val="auto"/>
              </w:rPr>
              <w:t>2016</w:t>
            </w:r>
          </w:p>
        </w:tc>
        <w:tc>
          <w:tcPr>
            <w:tcW w:w="220" w:type="dxa"/>
            <w:vAlign w:val="bottom"/>
          </w:tcPr>
          <w:p>
            <w:pPr>
              <w:spacing w:after="0"/>
              <w:rPr>
                <w:sz w:val="18"/>
                <w:szCs w:val="18"/>
                <w:color w:val="auto"/>
              </w:rPr>
            </w:pPr>
          </w:p>
        </w:tc>
        <w:tc>
          <w:tcPr>
            <w:tcW w:w="17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of Net Sales</w:t>
            </w:r>
          </w:p>
        </w:tc>
        <w:tc>
          <w:tcPr>
            <w:tcW w:w="360" w:type="dxa"/>
            <w:vAlign w:val="bottom"/>
          </w:tcPr>
          <w:p>
            <w:pPr>
              <w:spacing w:after="0"/>
              <w:rPr>
                <w:sz w:val="18"/>
                <w:szCs w:val="18"/>
                <w:color w:val="auto"/>
              </w:rPr>
            </w:pPr>
          </w:p>
        </w:tc>
        <w:tc>
          <w:tcPr>
            <w:tcW w:w="1220" w:type="dxa"/>
            <w:vAlign w:val="bottom"/>
          </w:tcPr>
          <w:p>
            <w:pPr>
              <w:jc w:val="right"/>
              <w:ind w:right="550"/>
              <w:spacing w:after="0"/>
              <w:rPr>
                <w:sz w:val="20"/>
                <w:szCs w:val="20"/>
                <w:color w:val="auto"/>
              </w:rPr>
            </w:pPr>
            <w:r>
              <w:rPr>
                <w:rFonts w:ascii="Arial" w:cs="Arial" w:eastAsia="Arial" w:hAnsi="Arial"/>
                <w:sz w:val="16"/>
                <w:szCs w:val="16"/>
                <w:b w:val="1"/>
                <w:bCs w:val="1"/>
                <w:color w:val="auto"/>
              </w:rPr>
              <w:t>2015</w:t>
            </w:r>
          </w:p>
        </w:tc>
        <w:tc>
          <w:tcPr>
            <w:tcW w:w="200" w:type="dxa"/>
            <w:vAlign w:val="bottom"/>
          </w:tcPr>
          <w:p>
            <w:pPr>
              <w:spacing w:after="0"/>
              <w:rPr>
                <w:sz w:val="18"/>
                <w:szCs w:val="18"/>
                <w:color w:val="auto"/>
              </w:rPr>
            </w:pPr>
          </w:p>
        </w:tc>
        <w:tc>
          <w:tcPr>
            <w:tcW w:w="1440" w:type="dxa"/>
            <w:vAlign w:val="bottom"/>
          </w:tcPr>
          <w:p>
            <w:pPr>
              <w:jc w:val="right"/>
              <w:ind w:right="231"/>
              <w:spacing w:after="0"/>
              <w:rPr>
                <w:sz w:val="20"/>
                <w:szCs w:val="20"/>
                <w:color w:val="auto"/>
              </w:rPr>
            </w:pPr>
            <w:r>
              <w:rPr>
                <w:rFonts w:ascii="Arial" w:cs="Arial" w:eastAsia="Arial" w:hAnsi="Arial"/>
                <w:sz w:val="16"/>
                <w:szCs w:val="16"/>
                <w:b w:val="1"/>
                <w:bCs w:val="1"/>
                <w:color w:val="auto"/>
              </w:rPr>
              <w:t>of Net Sales</w:t>
            </w: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480" w:type="dxa"/>
            <w:vAlign w:val="bottom"/>
            <w:tcBorders>
              <w:bottom w:val="single" w:sz="8" w:color="auto"/>
            </w:tcBorders>
            <w:gridSpan w:val="5"/>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8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89"/>
              </w:rPr>
              <w:t>(dollars in thousands)</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Packaging</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80,110</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39.5 %</w:t>
            </w:r>
          </w:p>
        </w:tc>
        <w:tc>
          <w:tcPr>
            <w:tcW w:w="2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78,960</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Aerospace</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40,500</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19.9 %</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45,740</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Energy</w:t>
            </w: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44,750</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22.1 %</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51,160</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Engineered Components</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37,520</w:t>
            </w: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18.5 %</w:t>
            </w:r>
          </w:p>
        </w:tc>
        <w:tc>
          <w:tcPr>
            <w:tcW w:w="2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48,270</w:t>
            </w:r>
          </w:p>
        </w:tc>
        <w:tc>
          <w:tcPr>
            <w:tcW w:w="2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97"/>
        </w:trPr>
        <w:tc>
          <w:tcPr>
            <w:tcW w:w="47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202,880</w:t>
            </w:r>
          </w:p>
        </w:tc>
        <w:tc>
          <w:tcPr>
            <w:tcW w:w="220" w:type="dxa"/>
            <w:vAlign w:val="bottom"/>
            <w:tcBorders>
              <w:bottom w:val="single" w:sz="8" w:color="CCEEFF"/>
            </w:tcBorders>
          </w:tcPr>
          <w:p>
            <w:pPr>
              <w:spacing w:after="0"/>
              <w:rPr>
                <w:sz w:val="24"/>
                <w:szCs w:val="24"/>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2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224,130</w:t>
            </w:r>
          </w:p>
        </w:tc>
        <w:tc>
          <w:tcPr>
            <w:tcW w:w="200" w:type="dxa"/>
            <w:vAlign w:val="bottom"/>
            <w:tcBorders>
              <w:bottom w:val="single" w:sz="8" w:color="CCEEFF"/>
            </w:tcBorders>
          </w:tcPr>
          <w:p>
            <w:pPr>
              <w:spacing w:after="0"/>
              <w:rPr>
                <w:sz w:val="24"/>
                <w:szCs w:val="24"/>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Packaging</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28,870</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36.0 %</w:t>
            </w:r>
          </w:p>
        </w:tc>
        <w:tc>
          <w:tcPr>
            <w:tcW w:w="2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27,680</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Aerospace</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9,630</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23.8 %</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16,000</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Energy</w:t>
            </w: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9,400</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21.0 %</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9,700</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Engineered Components</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8,020</w:t>
            </w:r>
          </w:p>
        </w:tc>
        <w:tc>
          <w:tcPr>
            <w:tcW w:w="2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21.4 %</w:t>
            </w:r>
          </w:p>
        </w:tc>
        <w:tc>
          <w:tcPr>
            <w:tcW w:w="2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9,540</w:t>
            </w:r>
          </w:p>
        </w:tc>
        <w:tc>
          <w:tcPr>
            <w:tcW w:w="2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97"/>
        </w:trPr>
        <w:tc>
          <w:tcPr>
            <w:tcW w:w="47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55,920</w:t>
            </w:r>
          </w:p>
        </w:tc>
        <w:tc>
          <w:tcPr>
            <w:tcW w:w="220" w:type="dxa"/>
            <w:vAlign w:val="bottom"/>
            <w:tcBorders>
              <w:bottom w:val="single" w:sz="8" w:color="CCEEFF"/>
            </w:tcBorders>
          </w:tcPr>
          <w:p>
            <w:pPr>
              <w:spacing w:after="0"/>
              <w:rPr>
                <w:sz w:val="24"/>
                <w:szCs w:val="24"/>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27.6 %</w:t>
            </w:r>
          </w:p>
        </w:tc>
        <w:tc>
          <w:tcPr>
            <w:tcW w:w="2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62,920</w:t>
            </w:r>
          </w:p>
        </w:tc>
        <w:tc>
          <w:tcPr>
            <w:tcW w:w="200" w:type="dxa"/>
            <w:vAlign w:val="bottom"/>
            <w:tcBorders>
              <w:bottom w:val="single" w:sz="8" w:color="CCEEFF"/>
            </w:tcBorders>
          </w:tcPr>
          <w:p>
            <w:pPr>
              <w:spacing w:after="0"/>
              <w:rPr>
                <w:sz w:val="24"/>
                <w:szCs w:val="24"/>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Selling, General and Administrative Expenses</w:t>
            </w: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Packaging</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11,030</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13.8 %</w:t>
            </w:r>
          </w:p>
        </w:tc>
        <w:tc>
          <w:tcPr>
            <w:tcW w:w="2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10,170</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Aerospace</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6,170</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15.2 %</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7,920</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Energy</w:t>
            </w: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13,010</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29.1 %</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9,360</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Engineered Components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2,440</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6.5 %</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3,570</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Corporate expenses</w:t>
            </w: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6,820</w:t>
            </w:r>
          </w:p>
        </w:tc>
        <w:tc>
          <w:tcPr>
            <w:tcW w:w="220" w:type="dxa"/>
            <w:vAlign w:val="bottom"/>
          </w:tcPr>
          <w:p>
            <w:pPr>
              <w:spacing w:after="0"/>
              <w:rPr>
                <w:sz w:val="21"/>
                <w:szCs w:val="21"/>
                <w:color w:val="auto"/>
              </w:rPr>
            </w:pPr>
          </w:p>
        </w:tc>
        <w:tc>
          <w:tcPr>
            <w:tcW w:w="1700" w:type="dxa"/>
            <w:vAlign w:val="bottom"/>
            <w:gridSpan w:val="2"/>
          </w:tcPr>
          <w:p>
            <w:pPr>
              <w:ind w:left="920"/>
              <w:spacing w:after="0"/>
              <w:rPr>
                <w:sz w:val="20"/>
                <w:szCs w:val="20"/>
                <w:color w:val="auto"/>
              </w:rPr>
            </w:pPr>
            <w:r>
              <w:rPr>
                <w:rFonts w:ascii="Arial" w:cs="Arial" w:eastAsia="Arial" w:hAnsi="Arial"/>
                <w:sz w:val="18"/>
                <w:szCs w:val="18"/>
                <w:color w:val="auto"/>
              </w:rPr>
              <w:t>N/A</w:t>
            </w: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8,880</w:t>
            </w:r>
          </w:p>
        </w:tc>
        <w:tc>
          <w:tcPr>
            <w:tcW w:w="200" w:type="dxa"/>
            <w:vAlign w:val="bottom"/>
          </w:tcPr>
          <w:p>
            <w:pPr>
              <w:spacing w:after="0"/>
              <w:rPr>
                <w:sz w:val="21"/>
                <w:szCs w:val="21"/>
                <w:color w:val="auto"/>
              </w:rPr>
            </w:pPr>
          </w:p>
        </w:tc>
        <w:tc>
          <w:tcPr>
            <w:tcW w:w="1440" w:type="dxa"/>
            <w:vAlign w:val="bottom"/>
          </w:tcPr>
          <w:p>
            <w:pPr>
              <w:jc w:val="right"/>
              <w:ind w:right="9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39,470</w:t>
            </w:r>
          </w:p>
        </w:tc>
        <w:tc>
          <w:tcPr>
            <w:tcW w:w="2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19.5 %</w:t>
            </w:r>
          </w:p>
        </w:tc>
        <w:tc>
          <w:tcPr>
            <w:tcW w:w="2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39,900</w:t>
            </w:r>
          </w:p>
        </w:tc>
        <w:tc>
          <w:tcPr>
            <w:tcW w:w="2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0"/>
        </w:trPr>
        <w:tc>
          <w:tcPr>
            <w:tcW w:w="47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Operating Profit (Loss)</w:t>
            </w: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0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Packaging</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17,840</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22.3 %</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17,510</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Aerospace</w:t>
            </w: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3,460</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8.5 %</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8,080</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Energy</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(3,610)</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340</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Engineered Components</w:t>
            </w: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5,580</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14.9 %</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5,970</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expenses</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(6,820)</w:t>
            </w:r>
          </w:p>
        </w:tc>
        <w:tc>
          <w:tcPr>
            <w:tcW w:w="2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N/A</w:t>
            </w: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(8,880)</w:t>
            </w:r>
          </w:p>
        </w:tc>
        <w:tc>
          <w:tcPr>
            <w:tcW w:w="2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97"/>
        </w:trPr>
        <w:tc>
          <w:tcPr>
            <w:tcW w:w="470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16,450</w:t>
            </w:r>
          </w:p>
        </w:tc>
        <w:tc>
          <w:tcPr>
            <w:tcW w:w="220" w:type="dxa"/>
            <w:vAlign w:val="bottom"/>
            <w:tcBorders>
              <w:bottom w:val="single" w:sz="8" w:color="CCEEFF"/>
            </w:tcBorders>
          </w:tcPr>
          <w:p>
            <w:pPr>
              <w:spacing w:after="0"/>
              <w:rPr>
                <w:sz w:val="24"/>
                <w:szCs w:val="24"/>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8.1 %</w:t>
            </w:r>
          </w:p>
        </w:tc>
        <w:tc>
          <w:tcPr>
            <w:tcW w:w="2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23,020</w:t>
            </w:r>
          </w:p>
        </w:tc>
        <w:tc>
          <w:tcPr>
            <w:tcW w:w="200" w:type="dxa"/>
            <w:vAlign w:val="bottom"/>
            <w:tcBorders>
              <w:bottom w:val="single" w:sz="8" w:color="CCEEFF"/>
            </w:tcBorders>
          </w:tcPr>
          <w:p>
            <w:pPr>
              <w:spacing w:after="0"/>
              <w:rPr>
                <w:sz w:val="24"/>
                <w:szCs w:val="24"/>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3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Depreciation and Amortization</w:t>
            </w: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Packaging</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5,300</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6.6 %</w:t>
            </w:r>
          </w:p>
        </w:tc>
        <w:tc>
          <w:tcPr>
            <w:tcW w:w="2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5,210</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Aerospace</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3,450</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8.5 %</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3,010</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Energy</w:t>
            </w: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1,180</w:t>
            </w:r>
          </w:p>
        </w:tc>
        <w:tc>
          <w:tcPr>
            <w:tcW w:w="2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2.6 %</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1,030</w:t>
            </w:r>
          </w:p>
        </w:tc>
        <w:tc>
          <w:tcPr>
            <w:tcW w:w="2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Engineered Components</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1,020</w:t>
            </w: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1,090</w:t>
            </w: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Corporate expenses</w:t>
            </w: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90</w:t>
            </w:r>
          </w:p>
        </w:tc>
        <w:tc>
          <w:tcPr>
            <w:tcW w:w="220" w:type="dxa"/>
            <w:vAlign w:val="bottom"/>
          </w:tcPr>
          <w:p>
            <w:pPr>
              <w:spacing w:after="0"/>
              <w:rPr>
                <w:sz w:val="21"/>
                <w:szCs w:val="21"/>
                <w:color w:val="auto"/>
              </w:rPr>
            </w:pPr>
          </w:p>
        </w:tc>
        <w:tc>
          <w:tcPr>
            <w:tcW w:w="1700" w:type="dxa"/>
            <w:vAlign w:val="bottom"/>
            <w:gridSpan w:val="2"/>
          </w:tcPr>
          <w:p>
            <w:pPr>
              <w:ind w:left="920"/>
              <w:spacing w:after="0"/>
              <w:rPr>
                <w:sz w:val="20"/>
                <w:szCs w:val="20"/>
                <w:color w:val="auto"/>
              </w:rPr>
            </w:pPr>
            <w:r>
              <w:rPr>
                <w:rFonts w:ascii="Arial" w:cs="Arial" w:eastAsia="Arial" w:hAnsi="Arial"/>
                <w:sz w:val="18"/>
                <w:szCs w:val="18"/>
                <w:color w:val="auto"/>
              </w:rPr>
              <w:t>N/A</w:t>
            </w:r>
          </w:p>
        </w:tc>
        <w:tc>
          <w:tcPr>
            <w:tcW w:w="3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21"/>
                <w:szCs w:val="21"/>
                <w:color w:val="auto"/>
              </w:rPr>
            </w:pPr>
          </w:p>
        </w:tc>
        <w:tc>
          <w:tcPr>
            <w:tcW w:w="1440" w:type="dxa"/>
            <w:vAlign w:val="bottom"/>
          </w:tcPr>
          <w:p>
            <w:pPr>
              <w:jc w:val="right"/>
              <w:ind w:right="9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11,040</w:t>
            </w:r>
          </w:p>
        </w:tc>
        <w:tc>
          <w:tcPr>
            <w:tcW w:w="2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5.4 %</w:t>
            </w:r>
          </w:p>
        </w:tc>
        <w:tc>
          <w:tcPr>
            <w:tcW w:w="2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10,440</w:t>
            </w:r>
          </w:p>
        </w:tc>
        <w:tc>
          <w:tcPr>
            <w:tcW w:w="2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4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jc w:val="right"/>
              <w:ind w:right="390"/>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 of Operations</w:t>
      </w:r>
    </w:p>
    <w:p>
      <w:pPr>
        <w:spacing w:after="0" w:line="306" w:lineRule="exact"/>
        <w:rPr>
          <w:sz w:val="20"/>
          <w:szCs w:val="20"/>
          <w:color w:val="auto"/>
        </w:rPr>
      </w:pPr>
    </w:p>
    <w:p>
      <w:pPr>
        <w:spacing w:after="0"/>
        <w:rPr>
          <w:sz w:val="20"/>
          <w:szCs w:val="20"/>
          <w:color w:val="auto"/>
        </w:rPr>
      </w:pPr>
      <w:r>
        <w:rPr>
          <w:rFonts w:ascii="Arial" w:cs="Arial" w:eastAsia="Arial" w:hAnsi="Arial"/>
          <w:sz w:val="17"/>
          <w:szCs w:val="17"/>
          <w:color w:val="auto"/>
        </w:rPr>
        <w:t>The principal factors impacting us during the three months ended March 31, 2016, compared with the three months ended March 31, 2015, were:</w:t>
      </w:r>
    </w:p>
    <w:p>
      <w:pPr>
        <w:spacing w:after="0" w:line="304" w:lineRule="exact"/>
        <w:rPr>
          <w:sz w:val="20"/>
          <w:szCs w:val="20"/>
          <w:color w:val="auto"/>
        </w:rPr>
      </w:pPr>
    </w:p>
    <w:p>
      <w:pPr>
        <w:ind w:left="1140" w:hanging="484"/>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lower oil prices, primarily in our Engineered Components and Energy reportable segments;</w:t>
      </w:r>
    </w:p>
    <w:p>
      <w:pPr>
        <w:spacing w:after="0" w:line="279" w:lineRule="exact"/>
        <w:rPr>
          <w:rFonts w:ascii="Arial" w:cs="Arial" w:eastAsia="Arial" w:hAnsi="Arial"/>
          <w:sz w:val="18"/>
          <w:szCs w:val="18"/>
          <w:color w:val="auto"/>
        </w:rPr>
      </w:pPr>
    </w:p>
    <w:p>
      <w:pPr>
        <w:ind w:left="1140" w:hanging="484"/>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acquisitions (see below for impact by segment);</w:t>
      </w:r>
    </w:p>
    <w:p>
      <w:pPr>
        <w:spacing w:after="0" w:line="279" w:lineRule="exact"/>
        <w:rPr>
          <w:rFonts w:ascii="Arial" w:cs="Arial" w:eastAsia="Arial" w:hAnsi="Arial"/>
          <w:sz w:val="18"/>
          <w:szCs w:val="18"/>
          <w:color w:val="auto"/>
        </w:rPr>
      </w:pPr>
    </w:p>
    <w:p>
      <w:pPr>
        <w:ind w:left="1140" w:hanging="484"/>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costs incurred related to restructuring activities, primarily within our Energy reportable segment;</w:t>
      </w:r>
    </w:p>
    <w:p>
      <w:pPr>
        <w:spacing w:after="0" w:line="279" w:lineRule="exact"/>
        <w:rPr>
          <w:rFonts w:ascii="Arial" w:cs="Arial" w:eastAsia="Arial" w:hAnsi="Arial"/>
          <w:sz w:val="18"/>
          <w:szCs w:val="18"/>
          <w:color w:val="auto"/>
        </w:rPr>
      </w:pPr>
    </w:p>
    <w:p>
      <w:pPr>
        <w:ind w:left="1140" w:hanging="484"/>
        <w:spacing w:after="0" w:line="277" w:lineRule="auto"/>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production, scheduling and integration costs and inefficiencies incurred in the first quarter of 2016 in our Aerospace reportable segment; and</w:t>
      </w:r>
    </w:p>
    <w:p>
      <w:pPr>
        <w:spacing w:after="0" w:line="224" w:lineRule="exact"/>
        <w:rPr>
          <w:rFonts w:ascii="Arial" w:cs="Arial" w:eastAsia="Arial" w:hAnsi="Arial"/>
          <w:sz w:val="18"/>
          <w:szCs w:val="18"/>
          <w:color w:val="auto"/>
        </w:rPr>
      </w:pPr>
    </w:p>
    <w:p>
      <w:pPr>
        <w:ind w:left="1140" w:hanging="484"/>
        <w:spacing w:after="0"/>
        <w:tabs>
          <w:tab w:leader="none" w:pos="11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a stronger U.S. dollar, primarily in our Packaging and Energy reportable segments.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2016 Compared with Three Months Ended March 31, 2015</w:t>
      </w:r>
    </w:p>
    <w:p>
      <w:pPr>
        <w:spacing w:after="0" w:line="28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Overall, net sales decreased approximately $21.2 million, or 9.5%, to $202.9 million for the three months ended March 31, 2016, as compared with $224.1 million in the three months ended March 31, 2015. The primary drivers of the year-over-year sales decline were an approximate $14.4 million reduction within our Energy and Engineered Components reportable segments, primarily as a result of lower oil prices and weakness in the energy-facing end markets, and an approximate $8.2 million organic sales decline within our Aerospace reportable segment as a result of lower demand from our large distribution customers and decreased OEM sales due to manufacturing constraints. Foreign currency exchange resulted in an approximate $1.9 million reduction in sales due to net unfavorable currency exchange, as our reported results in U.S. dollars were negatively impacted as a result of the stronger U.S. dollar relative to foreign currencies, and we benefited from approximately $3.0 million in sales related to the November 2015 acquisition of Parker-Hannifin Corporation's Tolleson, Arizona machined components facility within our Aerospace reportable segment.</w:t>
      </w:r>
    </w:p>
    <w:p>
      <w:pPr>
        <w:spacing w:after="0" w:line="23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Gross profit margin (gross profit as a percentage of sales) approximated 27.6% and 28.1% for the three months ended March 31, 2016 and 2015, respectively. The primary drivers of the decline in gross profit margin were both in our Aerospace reportable segment: lower fixed cost absorption associated with lower organic sales levels, and production, scheduling and integration costs and inefficiencies. The impact of lower sales and related fixed cost leverage in our Energy and Engineered Components segments was essentially offset by cost savings associated with the execution of cost savings actions in our engine and compressors business to allow it to maintain approximately breakeven profit levels, and the execution of our FIP across all of our businesses. Gross profit was also negatively impacted by approximately $0.6 million of unfavorable currency exchange, as our reported results in U.S. dollars were negatively impacted as a result of the stronger U.S. dollar relative to foreign currencies.</w:t>
      </w:r>
    </w:p>
    <w:p>
      <w:pPr>
        <w:spacing w:after="0" w:line="23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Operating profit margin (operating profit as a percentage of sales) approximated 8.1% and 10.3% for the three months ended March 31, 2016 and 2015, respectively. Operating profit decreased approximately $6.5 million, or 28.5%, to $16.5 million for the three months ended March 31, 2016, from $23.0 million for the three months ended March 31, 2015. Operating profit decreased primarily due to the lower sales and incremental cost of sales due to production, scheduling and integration costs and inefficiencies in our Aerospace segment. In addition, selling, general and administrative expenses increased in our Energy segment as we restructured certain back office functions to conform with the general business restructuring. The impact of lower sales and related fixed cost leverage in our Energy and Engineered Components segments was essentially offset by cost savings associated with the execution of cost savings actions in our engine and compressors business to allow it to maintain approximately breakeven profit levels, and the execution of our FIP across all of our businesses.</w:t>
      </w:r>
    </w:p>
    <w:p>
      <w:pPr>
        <w:spacing w:after="0" w:line="24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Interest expense remained flat at approximately $3.4 million for the three months ended March 31, 2016 and 2015. Our weighted-average variable rate borrowings decreased to approximately $474.8 million in the three months ended March 31, 2016, from approximately $743.9 million in the three months ended March 31, 2015, primarily due to the distribution received from the Cequent spin-off in June 2015. The effective weighted average interest rate on our outstanding variable rate borrowings, including our credit agreement ("Credit Agreement") and accounts receivable facilities, increased to approximately 2.1% for three months ended March 31, 2016, from approximately 1.8% for the three months ended March 31, 2015. In addition, a portion of our 2015 interest expense was allocated to the Cequent businesses as part of the spin-off and was reclassified as discontinued operations.</w:t>
      </w: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expense, net decreased approximately $1.2 million, to $0.1 million for the three months ended March 31, 2016, as compared to $1.3 million for the three months ended March 31, 2015, primarily due to a decrease in losses on transactions denominated in foreign currencies.</w:t>
      </w:r>
    </w:p>
    <w:p>
      <w:pPr>
        <w:sectPr>
          <w:pgSz w:w="11900" w:h="16838" w:orient="portrait"/>
          <w:cols w:equalWidth="0" w:num="1">
            <w:col w:w="11420"/>
          </w:cols>
          <w:pgMar w:left="240" w:top="125"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25" w:right="23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effective income tax rates for the three months ended March 31, 2016 and 2015 were 35.9% and 34.6%, respectively. The increase in the rate was a result of losses at certain foreign subsidiaries where no tax benefit could be recorded, and non-deductible expenses, partially offset by earnings in foreign jurisdictions where the effective tax rate was less than 35%, changes in uncertain tax benefits during the quarter due to the expiration of statute of limitations, and the U.S. manufacturing deduction.</w:t>
      </w:r>
    </w:p>
    <w:p>
      <w:pPr>
        <w:spacing w:after="0" w:line="2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income from continuing operations decreased by approximately $3.6 million, to $8.3 million for the three months ended March 31, 2016, compared to $11.9 million for the three months ended March 31, 2015. The decrease was primarily the result of a $6.5 million decrease in operating profit, partially offset by a $1.7 million decrease in income tax expense and a $1.2 million decrease in other expenses, net.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See below for a discussion of operating results by segment.</w:t>
      </w:r>
    </w:p>
    <w:p>
      <w:pPr>
        <w:spacing w:after="0" w:line="2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Packaging. </w:t>
      </w:r>
      <w:r>
        <w:rPr>
          <w:rFonts w:ascii="Arial" w:cs="Arial" w:eastAsia="Arial" w:hAnsi="Arial"/>
          <w:sz w:val="18"/>
          <w:szCs w:val="18"/>
          <w:color w:val="auto"/>
        </w:rPr>
        <w:t>Net sales increased approximately $1.1 million, or 1.5%, to $80.1 million in the three months ended March 31, 2016, as compared to $79.0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in the three months ended March 31, 2015. Sales of our health, beauty and home care end market products increased approximately $1.3 million primarily due to higher demand in Europe and Asia. Additionally, sales of our industrial closures increased approximately $0.9 million and sales of our food and beverage end market products increased approximately $0.4 million, both primarily due to increased demand in the United States. These increases were partially offset by approximately $1.4 million of unfavorable currency exchange, as our reported results in U.S. dollars were negatively impacted as a result of the stronger U.S. dollar relative to foreign currencies.</w:t>
      </w:r>
    </w:p>
    <w:p>
      <w:pPr>
        <w:spacing w:after="0" w:line="2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Packaging's gross profit increased approximately $1.2 million to $28.9 million, or 36.0% of sales, in the three months ended March 31, 2016, as compared to $27.7 million, or 35.1% of sales, in the three months ended March 31, 2015. The increase in gross profit was primarily due to approximately $0.9 million as a result of the higher sales level, with various other factors also contributing to the increase, the largest of which was as a result of continued productivity and automation initiatives, which helped increase both profit dollars and related margins. These increases were partially offset by approximately $0.6 million of unfavorable foreign currency as a result of the stronger U.S. dollar.</w:t>
      </w:r>
    </w:p>
    <w:p>
      <w:pPr>
        <w:spacing w:after="0" w:line="2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Packaging's selling, general and administrative expenses increased approximately $0.8 million to $11.0 million, or 13.8% of sales, in the three months ended March 31, 2016, as compared to $10.2 million, or 12.9% of sales, in the three months ended March 31, 2015, primarily due to an approximate $0.5 million increase in professional fees as well as costs incurred associated with the front end reorganization of the business to operate based on product categories on a global basis versus only regionally.</w:t>
      </w:r>
    </w:p>
    <w:p>
      <w:pPr>
        <w:spacing w:after="0" w:line="2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Packaging's operating profit increased approximately $0.3 million to $17.8 million, or 22.3% of sales, in the three months ended March 31, 2016, as compared to $17.5 million, or 22.2% of sales, in the three months ended March 31, 2015, primarily due to the higher sales levels and continued productivity and automation initiatives, which were partially offset by higher selling, general and administrative costs.</w:t>
      </w:r>
    </w:p>
    <w:p>
      <w:pPr>
        <w:spacing w:after="0" w:line="23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b w:val="1"/>
          <w:bCs w:val="1"/>
          <w:i w:val="1"/>
          <w:iCs w:val="1"/>
          <w:color w:val="auto"/>
        </w:rPr>
        <w:t xml:space="preserve">Aerospace. </w:t>
      </w:r>
      <w:r>
        <w:rPr>
          <w:rFonts w:ascii="Arial" w:cs="Arial" w:eastAsia="Arial" w:hAnsi="Arial"/>
          <w:sz w:val="16"/>
          <w:szCs w:val="16"/>
          <w:color w:val="auto"/>
        </w:rPr>
        <w:t>Net sales for the three months ended March 31, 2016 decreased approximately $5.2 million, or 11.5%, to $40.5 million, as compared to $45.7</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in the three months ended March 31, 2015. Sales to distribution customers declined approximately $4.6 million, primarily as a result of our two largest distribution customers continuing planned reductions of their investment in on-hand inventory levels of certain fastener products which began in the second quarter of 2015. Sales to OEM customers decreased approximately $3.6 million, while demand continued at expected levels, we experienced scheduling and production constraints which impacted our ability to meet current demand. These decreases were partially offset by approximately $3.0 million of sales related to the November 2015 acquisition of Parker-Hannifin Corporation's Tolleson, Arizona machined components facility.</w:t>
      </w:r>
    </w:p>
    <w:p>
      <w:pPr>
        <w:spacing w:after="0" w:line="21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Gross profit within Aerospace decreased approximately $6.4 million to $9.6 million, or 23.8% of sales, in the three months ended March 31, 2016, from $16.0 million, or 35.0% of sales, in the three months ended March 31, 2015. Of this decrease in gross profit, approximately $2.9 million was due to the lower organic sales levels. In addition, gross profit declined approximately $1.7 million due to additional costs incurred and lower fixed cost absorption associated with the manufacturing and production scheduling inefficiencies. Gross profit also decreased by approximately $1.0 million due to incremental costs and inefficiencies associated with the integration of the Tolleson, Arizona facility. The remainder of the decline was primarily due to a less favorable product sales mix.</w:t>
      </w:r>
    </w:p>
    <w:p>
      <w:pPr>
        <w:spacing w:after="0" w:line="24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Selling, general and administrative expenses decreased approximately $1.7 million to $6.2 million, or 15.2% of sales, in the three months ended March 31, 2016, as compared to $7.9 million, or 17.3% of sales, in the three months ended March 31, 2015, primarily due to cost savings associated with the FIP, as well as charges related to operational and leadership changes incurred in the three months ended March 31, 2015 that did not repeat.</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profit within Aerospace decreased approximately $4.6 million to $3.5 million, or 8.5% of sales, in the three months ended March 31, 2016, as compared to $8.1 million, or 17.7% of sales, in the three months ended March 31, 2015. The decline in operating profit and operating profit margin was mainly attributable to manufacturing and production scheduling inefficiencies, lower sales volumes, integration costs and a less favorable product sales mix, which were partially offset by lower selling, general and administrative expenses.</w:t>
      </w:r>
    </w:p>
    <w:p>
      <w:pPr>
        <w:spacing w:after="0" w:line="24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Energy. </w:t>
      </w:r>
      <w:r>
        <w:rPr>
          <w:rFonts w:ascii="Arial" w:cs="Arial" w:eastAsia="Arial" w:hAnsi="Arial"/>
          <w:sz w:val="18"/>
          <w:szCs w:val="18"/>
          <w:color w:val="auto"/>
        </w:rPr>
        <w:t>Net sales for the three months ended March 31, 2016 decreased approximately $6.4 million, or 12.5%, to $44.8 million, as compared to $51.2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in the three months ended March 31, 2015. Sales decreased by approximately $3.3 million in North America and by approximately $1.6 million in our international branches primarily due to weaker upstream sales at well sites as a result of lower oil prices. Sales further declined by approximately $1.0 million due to lower sales resulting from branch closures in Brazil, China and the Netherlands. Sales were also impacted by approximately $0.5 million of net unfavorable currency exchange, as our reported results in U.S. dollars were negatively impacted as a result of the stronger U.S. dollar relative to foreign currencies.</w:t>
      </w:r>
    </w:p>
    <w:p>
      <w:pPr>
        <w:spacing w:after="0" w:line="24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Gross profit within Energy decreased approximately $0.3 million to $9.4 million, or 21.0% of sales, in the three months ended March 31, 2016, as compared to $9.7 million, or 19.0% of sales, in the three months ended March 31, 2015. Gross profit decreased approximately $1.2 million due to the lower sales levels. However, this segment mostly offset the decline in profit resulting from the change in sales volume, and increased gross profit margin, as a result of the cost savings associated with the business restructuring and the execution of the FIP actions, primarily as a result of the leveraging the lower fixed cost structure, and as a result of selling through the lower cost inventory sourced from Asia that built-up in mid 2015 as a result of U.S. port delays.</w:t>
      </w: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Selling, general and administrative expenses within Energy increased approximately $3.6 million to $13.0 million, or 29.1% of sales, in the three months ended March 31, 2016, as compared to $9.4 million, or 18.3% of sales, in the three months ended March 31, 2015. The increase was primarily due to approximately $3.0 million of incremental costs resulting from our restructuring efforts, as we reconfigured certain back office functions to conform with the overall business restructuring, as well as an increase in reserves for past due account balances of approximately $1.0 million, partially due to a customer who filed for bankruptcy protection.</w:t>
      </w:r>
    </w:p>
    <w:p>
      <w:pPr>
        <w:spacing w:after="0" w:line="2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Overall, operating profit within Energy decreased approximately $3.9 million to an approximate $3.6 million loss, or 8.1% of sales, in the three months ended March 31, 2016, as compared to profit of $0.3 million, or 0.7% of sales, in the three months ended March 31, 2015. Operating profit and the related margin decreased as a result of lower sales levels and incremental restructuring costs incurred, which more than offset lower material sourcing costs and fixed cost leverage achieved from our restructuring initiatives.</w:t>
      </w:r>
    </w:p>
    <w:p>
      <w:pPr>
        <w:spacing w:after="0" w:line="24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b w:val="1"/>
          <w:bCs w:val="1"/>
          <w:i w:val="1"/>
          <w:iCs w:val="1"/>
          <w:color w:val="auto"/>
        </w:rPr>
        <w:t xml:space="preserve">Engineered Components. </w:t>
      </w:r>
      <w:r>
        <w:rPr>
          <w:rFonts w:ascii="Arial" w:cs="Arial" w:eastAsia="Arial" w:hAnsi="Arial"/>
          <w:sz w:val="17"/>
          <w:szCs w:val="17"/>
          <w:color w:val="auto"/>
        </w:rPr>
        <w:t>Net sales for the three months ended March 31, 2016 decreased approximately $10.8 million, or 22.3%, to $37.5 million,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compared to $48.3 million in the three months ended March 31, 2015. Sales of our gas compression products declined approximately $6.0 million and sales of our slow speed and compressor engine and related products decreased approximately $2.5 million, both primarily as a result of reduced levels of oil and gas drilling and well completions in the U.S. and Canada in response to lower oil prices. In addition, sales of our industrial cylinders decreased by approximately $2.3 million, primarily due to lower demand for gas cylinders in industrial applications.</w:t>
      </w:r>
    </w:p>
    <w:p>
      <w:pPr>
        <w:spacing w:after="0" w:line="2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Gross profit within Engineered Components decreased approximately $1.5 million to $8.0 million, or 21.4% of sales, in the three months ended March 31, 2016, from $9.5 million, or 19.8% of sales, in the three months ended March 31, 2015, primarily as a result of the decreased sales of engine and compression-related products. Gross profit margin in our engine and compression-related products decreased as a result of lower fixed cost absorption despite cost reductions to better align our cost structure with current demand levels. This was partially offset by increased gross profit margin from sales of our industrial cylinders, as a result of lower input costs and ongoing productivity initiatives.</w:t>
      </w:r>
    </w:p>
    <w:p>
      <w:pPr>
        <w:spacing w:after="0" w:line="242"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Selling, general and administrative expenses decreased approximately $1.2 million to $2.4 million, or 6.5% of sales, in the three months ended March 31, 2016, as compared to $3.6 million, or 7.4% of sales, in the three months ended March 31, 2015. The decrease in selling, general and administrative expenses was largely a result of our cost savings initiatives in our engine and compression-related products business, as we reduced costs given the low oil-related activity to better align our cost structure with current demand levels.</w:t>
      </w:r>
    </w:p>
    <w:p>
      <w:pPr>
        <w:spacing w:after="0" w:line="24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Operating profit within Engineered Components decreased approximately $0.4 million to $5.6 million, or 14.9% of sales, in the three months ended March 31, 2016, as compared to $6.0 million, or 12.4% of sales, in the three months ended March 31, 2015. Operating profit declined primarily due to lower sales; however, the operating profit margin increased due to achievement of our cost savings initiatives in our engine business to remain at approximately break-even levels despite the significant reduction in net sales combined with higher margin from our cylinder products due to lower input costs and productivity improvements.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tabs>
          <w:tab w:leader="none" w:pos="1700" w:val="left"/>
        </w:tabs>
        <w:rPr>
          <w:sz w:val="20"/>
          <w:szCs w:val="20"/>
          <w:color w:val="auto"/>
        </w:rPr>
      </w:pPr>
      <w:r>
        <w:rPr>
          <w:rFonts w:ascii="Arial" w:cs="Arial" w:eastAsia="Arial" w:hAnsi="Arial"/>
          <w:sz w:val="18"/>
          <w:szCs w:val="18"/>
          <w:b w:val="1"/>
          <w:bCs w:val="1"/>
          <w:i w:val="1"/>
          <w:iCs w:val="1"/>
          <w:color w:val="auto"/>
        </w:rPr>
        <w:t>Corporate Expenses.</w:t>
      </w:r>
      <w:r>
        <w:rPr>
          <w:sz w:val="20"/>
          <w:szCs w:val="20"/>
          <w:color w:val="auto"/>
        </w:rPr>
        <w:tab/>
      </w:r>
      <w:r>
        <w:rPr>
          <w:rFonts w:ascii="Arial" w:cs="Arial" w:eastAsia="Arial" w:hAnsi="Arial"/>
          <w:sz w:val="16"/>
          <w:szCs w:val="16"/>
          <w:color w:val="auto"/>
        </w:rPr>
        <w:t>Corporate expenses consist of the following:</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20" w:type="dxa"/>
            <w:vAlign w:val="bottom"/>
          </w:tcPr>
          <w:p>
            <w:pPr>
              <w:spacing w:after="0"/>
              <w:rPr>
                <w:sz w:val="18"/>
                <w:szCs w:val="18"/>
                <w:color w:val="auto"/>
              </w:rPr>
            </w:pPr>
          </w:p>
        </w:tc>
        <w:tc>
          <w:tcPr>
            <w:tcW w:w="2860" w:type="dxa"/>
            <w:vAlign w:val="bottom"/>
            <w:gridSpan w:val="4"/>
          </w:tcPr>
          <w:p>
            <w:pPr>
              <w:jc w:val="right"/>
              <w:ind w:right="13"/>
              <w:spacing w:after="0"/>
              <w:rPr>
                <w:sz w:val="20"/>
                <w:szCs w:val="20"/>
                <w:color w:val="auto"/>
              </w:rPr>
            </w:pPr>
            <w:r>
              <w:rPr>
                <w:rFonts w:ascii="Arial" w:cs="Arial" w:eastAsia="Arial" w:hAnsi="Arial"/>
                <w:sz w:val="16"/>
                <w:szCs w:val="16"/>
                <w:b w:val="1"/>
                <w:bCs w:val="1"/>
                <w:color w:val="auto"/>
              </w:rPr>
              <w:t>Three months ended March 31,</w:t>
            </w:r>
          </w:p>
        </w:tc>
        <w:tc>
          <w:tcPr>
            <w:tcW w:w="440" w:type="dxa"/>
            <w:vAlign w:val="bottom"/>
          </w:tcPr>
          <w:p>
            <w:pPr>
              <w:spacing w:after="0"/>
              <w:rPr>
                <w:sz w:val="18"/>
                <w:szCs w:val="18"/>
                <w:color w:val="auto"/>
              </w:rPr>
            </w:pPr>
          </w:p>
        </w:tc>
      </w:tr>
      <w:tr>
        <w:trPr>
          <w:trHeight w:val="33"/>
        </w:trPr>
        <w:tc>
          <w:tcPr>
            <w:tcW w:w="8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31"/>
        </w:trPr>
        <w:tc>
          <w:tcPr>
            <w:tcW w:w="8120" w:type="dxa"/>
            <w:vAlign w:val="bottom"/>
          </w:tcPr>
          <w:p>
            <w:pPr>
              <w:spacing w:after="0"/>
              <w:rPr>
                <w:sz w:val="20"/>
                <w:szCs w:val="20"/>
                <w:color w:val="auto"/>
              </w:rPr>
            </w:pPr>
          </w:p>
        </w:tc>
        <w:tc>
          <w:tcPr>
            <w:tcW w:w="1100" w:type="dxa"/>
            <w:vAlign w:val="bottom"/>
          </w:tcPr>
          <w:p>
            <w:pPr>
              <w:jc w:val="right"/>
              <w:ind w:right="54"/>
              <w:spacing w:after="0"/>
              <w:rPr>
                <w:sz w:val="20"/>
                <w:szCs w:val="20"/>
                <w:color w:val="auto"/>
              </w:rPr>
            </w:pPr>
            <w:r>
              <w:rPr>
                <w:rFonts w:ascii="Arial" w:cs="Arial" w:eastAsia="Arial" w:hAnsi="Arial"/>
                <w:sz w:val="16"/>
                <w:szCs w:val="16"/>
                <w:b w:val="1"/>
                <w:bCs w:val="1"/>
                <w:color w:val="auto"/>
              </w:rPr>
              <w:t>2016</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ind w:right="113"/>
              <w:spacing w:after="0"/>
              <w:rPr>
                <w:sz w:val="20"/>
                <w:szCs w:val="20"/>
                <w:color w:val="auto"/>
              </w:rPr>
            </w:pPr>
            <w:r>
              <w:rPr>
                <w:rFonts w:ascii="Arial" w:cs="Arial" w:eastAsia="Arial" w:hAnsi="Arial"/>
                <w:sz w:val="16"/>
                <w:szCs w:val="16"/>
                <w:b w:val="1"/>
                <w:bCs w:val="1"/>
                <w:color w:val="auto"/>
              </w:rPr>
              <w:t>2015</w:t>
            </w:r>
          </w:p>
        </w:tc>
        <w:tc>
          <w:tcPr>
            <w:tcW w:w="440" w:type="dxa"/>
            <w:vAlign w:val="bottom"/>
          </w:tcPr>
          <w:p>
            <w:pPr>
              <w:spacing w:after="0"/>
              <w:rPr>
                <w:sz w:val="20"/>
                <w:szCs w:val="20"/>
                <w:color w:val="auto"/>
              </w:rPr>
            </w:pPr>
          </w:p>
        </w:tc>
      </w:tr>
      <w:tr>
        <w:trPr>
          <w:trHeight w:val="33"/>
        </w:trPr>
        <w:tc>
          <w:tcPr>
            <w:tcW w:w="8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3"/>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17"/>
        </w:trPr>
        <w:tc>
          <w:tcPr>
            <w:tcW w:w="8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760" w:type="dxa"/>
            <w:vAlign w:val="bottom"/>
            <w:gridSpan w:val="3"/>
          </w:tcPr>
          <w:p>
            <w:pPr>
              <w:ind w:left="140"/>
              <w:spacing w:after="0"/>
              <w:rPr>
                <w:sz w:val="20"/>
                <w:szCs w:val="20"/>
                <w:color w:val="auto"/>
              </w:rPr>
            </w:pPr>
            <w:r>
              <w:rPr>
                <w:rFonts w:ascii="Arial" w:cs="Arial" w:eastAsia="Arial" w:hAnsi="Arial"/>
                <w:sz w:val="16"/>
                <w:szCs w:val="16"/>
                <w:b w:val="1"/>
                <w:bCs w:val="1"/>
                <w:color w:val="auto"/>
              </w:rPr>
              <w:t>(in millions)</w:t>
            </w:r>
          </w:p>
        </w:tc>
        <w:tc>
          <w:tcPr>
            <w:tcW w:w="440" w:type="dxa"/>
            <w:vAlign w:val="bottom"/>
          </w:tcPr>
          <w:p>
            <w:pPr>
              <w:spacing w:after="0"/>
              <w:rPr>
                <w:sz w:val="18"/>
                <w:szCs w:val="18"/>
                <w:color w:val="auto"/>
              </w:rPr>
            </w:pPr>
          </w:p>
        </w:tc>
      </w:tr>
      <w:tr>
        <w:trPr>
          <w:trHeight w:val="33"/>
        </w:trPr>
        <w:tc>
          <w:tcPr>
            <w:tcW w:w="8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operating expenses</w:t>
            </w:r>
          </w:p>
        </w:tc>
        <w:tc>
          <w:tcPr>
            <w:tcW w:w="1100" w:type="dxa"/>
            <w:vAlign w:val="bottom"/>
            <w:tcBorders>
              <w:bottom w:val="single" w:sz="8" w:color="CCEEFF"/>
            </w:tcBorders>
            <w:shd w:val="clear" w:color="auto" w:fill="CCEEFF"/>
          </w:tcPr>
          <w:p>
            <w:pPr>
              <w:jc w:val="right"/>
              <w:ind w:right="894"/>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53"/>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Employee costs and related benefits</w:t>
            </w:r>
          </w:p>
        </w:tc>
        <w:tc>
          <w:tcPr>
            <w:tcW w:w="1100" w:type="dxa"/>
            <w:vAlign w:val="bottom"/>
          </w:tcPr>
          <w:p>
            <w:pPr>
              <w:spacing w:after="0"/>
              <w:rPr>
                <w:sz w:val="21"/>
                <w:szCs w:val="21"/>
                <w:color w:val="auto"/>
              </w:rPr>
            </w:pPr>
          </w:p>
        </w:tc>
        <w:tc>
          <w:tcPr>
            <w:tcW w:w="500" w:type="dxa"/>
            <w:vAlign w:val="bottom"/>
          </w:tcPr>
          <w:p>
            <w:pPr>
              <w:ind w:left="16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5.8</w:t>
            </w:r>
          </w:p>
        </w:tc>
      </w:tr>
      <w:tr>
        <w:trPr>
          <w:trHeight w:val="27"/>
        </w:trPr>
        <w:tc>
          <w:tcPr>
            <w:tcW w:w="8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Corporate expenses</w:t>
            </w:r>
          </w:p>
        </w:tc>
        <w:tc>
          <w:tcPr>
            <w:tcW w:w="1100" w:type="dxa"/>
            <w:vAlign w:val="bottom"/>
            <w:tcBorders>
              <w:bottom w:val="single" w:sz="8" w:color="CCEEFF"/>
            </w:tcBorders>
            <w:shd w:val="clear" w:color="auto" w:fill="CCEEFF"/>
          </w:tcPr>
          <w:p>
            <w:pPr>
              <w:jc w:val="right"/>
              <w:ind w:right="894"/>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53"/>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w:t>
            </w:r>
          </w:p>
        </w:tc>
      </w:tr>
      <w:tr>
        <w:trPr>
          <w:trHeight w:val="20"/>
        </w:trPr>
        <w:tc>
          <w:tcPr>
            <w:tcW w:w="81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r>
    </w:tbl>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Corporate expenses decreased approximately $2.1 million to $6.8 million for the three months ended March 31, 2016, from $8.9 million for the three months ended March 31, 2015. The decrease between years is primarily attributed to approximately $0.9 million lower employee costs due to lower headcount following the Cequent spin-off as well as headcount reductions as part of the FIP, a favorable property tax assessment settlement of approximately $0.4 million for a former business unit during the three months ended March 31, 2016, and a decrease in costs associated with third party professional fees due to a reduction in spending levels.</w:t>
      </w:r>
    </w:p>
    <w:p>
      <w:pPr>
        <w:spacing w:after="0" w:line="24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 xml:space="preserve">Discontinued Operations. </w:t>
      </w:r>
      <w:r>
        <w:rPr>
          <w:rFonts w:ascii="Arial" w:cs="Arial" w:eastAsia="Arial" w:hAnsi="Arial"/>
          <w:sz w:val="17"/>
          <w:szCs w:val="17"/>
          <w:color w:val="auto"/>
        </w:rPr>
        <w:t>The results of discontinued operations consist of our former Cequent businesses, which were spun-off on June 30, 2015. During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three months ended March 31, 2015, income from discontinued operations, net of income tax benefit, was approximately $2.0 million. See Note 3, "</w:t>
      </w:r>
      <w:r>
        <w:rPr>
          <w:rFonts w:ascii="Arial" w:cs="Arial" w:eastAsia="Arial" w:hAnsi="Arial"/>
          <w:sz w:val="17"/>
          <w:szCs w:val="17"/>
          <w:i w:val="1"/>
          <w:iCs w:val="1"/>
          <w:color w:val="auto"/>
        </w:rPr>
        <w:t>Discontinued Operations,</w:t>
      </w:r>
      <w:r>
        <w:rPr>
          <w:rFonts w:ascii="Arial" w:cs="Arial" w:eastAsia="Arial" w:hAnsi="Arial"/>
          <w:sz w:val="17"/>
          <w:szCs w:val="17"/>
          <w:color w:val="auto"/>
        </w:rPr>
        <w:t>" to our consolidated financial statements included in Part I, Item 1 of this quarterly report on Form 10-Q.</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27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Cash flows used for operating activities of continuing operations were approximately $3.3 million for the three months ended March 31, 2016, as compared to cash flows provided by operating activities of continuing operations of approximately $3.9 million for the three months ended March 31, 2015. Significant changes in cash flows used for and provided by operating activities of continuing operations and the reasons for such changes are as follows:</w:t>
      </w:r>
    </w:p>
    <w:p>
      <w:pPr>
        <w:spacing w:after="0" w:line="201" w:lineRule="exact"/>
        <w:rPr>
          <w:sz w:val="20"/>
          <w:szCs w:val="20"/>
          <w:color w:val="auto"/>
        </w:rPr>
      </w:pPr>
    </w:p>
    <w:p>
      <w:pPr>
        <w:jc w:val="both"/>
        <w:ind w:left="980" w:hanging="324"/>
        <w:spacing w:after="0" w:line="276" w:lineRule="auto"/>
        <w:tabs>
          <w:tab w:leader="none" w:pos="980" w:val="left"/>
        </w:tabs>
        <w:numPr>
          <w:ilvl w:val="0"/>
          <w:numId w:val="7"/>
        </w:numPr>
        <w:rPr>
          <w:rFonts w:ascii="Arial" w:cs="Arial" w:eastAsia="Arial" w:hAnsi="Arial"/>
          <w:sz w:val="17"/>
          <w:szCs w:val="17"/>
          <w:color w:val="auto"/>
        </w:rPr>
      </w:pPr>
      <w:r>
        <w:rPr>
          <w:rFonts w:ascii="Arial" w:cs="Arial" w:eastAsia="Arial" w:hAnsi="Arial"/>
          <w:sz w:val="17"/>
          <w:szCs w:val="17"/>
          <w:color w:val="auto"/>
        </w:rPr>
        <w:t>For the three months ended March 31, 2016, the Company generated approximately $23.5 million of cash, based on the reported net income of approximately $8.3 million and after considering the effects of non-cash items related to losses on dispositions of property and equipment, depreciation, amortization, changes in deferred income taxes, stock-based compensation and related tax effect and other, net. For the three months ended March 31, 2015, the Company generated approximately $23.4 million in cash flows based on the reported income from continuing operations of approximately $11.9 million and after considering the effects of similar non-cash items.</w:t>
      </w:r>
    </w:p>
    <w:p>
      <w:pPr>
        <w:spacing w:after="0" w:line="226" w:lineRule="exact"/>
        <w:rPr>
          <w:rFonts w:ascii="Arial" w:cs="Arial" w:eastAsia="Arial" w:hAnsi="Arial"/>
          <w:sz w:val="17"/>
          <w:szCs w:val="17"/>
          <w:color w:val="auto"/>
        </w:rPr>
      </w:pPr>
    </w:p>
    <w:p>
      <w:pPr>
        <w:jc w:val="both"/>
        <w:ind w:left="980" w:hanging="324"/>
        <w:spacing w:after="0" w:line="302" w:lineRule="auto"/>
        <w:tabs>
          <w:tab w:leader="none" w:pos="98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Increases in accounts receivable resulted in a use of cash of approximately $11.2 million and $7.3 million for the three months ended March 31, 2016 and 2015, respectively. The increased use of cash for each of the three month periods is due primarily to the timing of sales and collection of cash within the periods, as our first quarter net sales are typically greater than those in the fourth quarter. Days sales outstanding of receivables increased to approximately 59 days as of March 31, 2016, as compared to approximately 56 days as of March 31, 2015.</w:t>
      </w:r>
    </w:p>
    <w:p>
      <w:pPr>
        <w:spacing w:after="0" w:line="208" w:lineRule="exact"/>
        <w:rPr>
          <w:rFonts w:ascii="Arial" w:cs="Arial" w:eastAsia="Arial" w:hAnsi="Arial"/>
          <w:sz w:val="16"/>
          <w:szCs w:val="16"/>
          <w:color w:val="auto"/>
        </w:rPr>
      </w:pPr>
    </w:p>
    <w:p>
      <w:pPr>
        <w:jc w:val="both"/>
        <w:ind w:left="980" w:hanging="324"/>
        <w:spacing w:after="0" w:line="286" w:lineRule="auto"/>
        <w:tabs>
          <w:tab w:leader="none" w:pos="980" w:val="left"/>
        </w:tabs>
        <w:numPr>
          <w:ilvl w:val="0"/>
          <w:numId w:val="7"/>
        </w:numPr>
        <w:rPr>
          <w:rFonts w:ascii="Arial" w:cs="Arial" w:eastAsia="Arial" w:hAnsi="Arial"/>
          <w:sz w:val="17"/>
          <w:szCs w:val="17"/>
          <w:color w:val="auto"/>
        </w:rPr>
      </w:pPr>
      <w:r>
        <w:rPr>
          <w:rFonts w:ascii="Arial" w:cs="Arial" w:eastAsia="Arial" w:hAnsi="Arial"/>
          <w:sz w:val="17"/>
          <w:szCs w:val="17"/>
          <w:color w:val="auto"/>
        </w:rPr>
        <w:t>For the three months ended March 31, 2016, we reduced our investment in inventory by approximately $0.3 million. For the three months ended March 31, 2015, we used approximately $1.9 million of cash for investment in our inventories, primarily due to higher material sourcing costs and increased purchases related to U.S. West Coast port delays, mainly in our Energy reportable segment.</w:t>
      </w:r>
    </w:p>
    <w:p>
      <w:pPr>
        <w:spacing w:after="0" w:line="219" w:lineRule="exact"/>
        <w:rPr>
          <w:rFonts w:ascii="Arial" w:cs="Arial" w:eastAsia="Arial" w:hAnsi="Arial"/>
          <w:sz w:val="17"/>
          <w:szCs w:val="17"/>
          <w:color w:val="auto"/>
        </w:rPr>
      </w:pPr>
    </w:p>
    <w:p>
      <w:pPr>
        <w:jc w:val="both"/>
        <w:ind w:left="980" w:hanging="324"/>
        <w:spacing w:after="0" w:line="259"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Decreases in accounts payable and accrued liabilities resulted in a cash use of approximately $23.7 million and $8.0 million for the three months ended March 31, 2016 and 2015, respectively. The change in cash used for accounts payable and accrued liabilities is primarily a result of the timing of payments made to suppliers and mix of vendors and related terms. The use of cash was greater in 2016, as our days accounts payable on hand decreased from approximately 53 days in 2015 to approximately 45 days in 2016.</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cash used for investing activities of continuing operations for the three months ended March 31, 2016 and 2015 was approximately $5.9 million and $5.2 million, respectively. During the first three months of 2016, we incurred approximately $6.0 million in capital expenditures, as we have continued our investment in growth, capacity and productivity-related capital projects. Cash received from the disposition of property and equipment was approximately $0.1 million. During the first three months of 2015, we incurred approximately $5.7 million in capital expenditures and received cash from the disposition of property and equipment of approximately $0.5 million.</w:t>
      </w:r>
    </w:p>
    <w:p>
      <w:pPr>
        <w:spacing w:after="0" w:line="24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cash provided by financing activities of continuing operations in 2016 was approximately $15.2 million, as compared to $30.4 million in 2015. During the first three months of 2016, we incurred net borrowings of $19.9 million on our receivables and revolving credit facilities, primarily to fund our working capital needs, and repaid approximately $3.5 million on our term loan. We also used a net cash amount of approximately $1.3 million related to our stock compensation arrangements. During the first three months of 2015, we incurred net borrowings of approximately $43.6 million on our receivables and revolving credit facilities, primarily to fund our working capital needs, and repayments of approximately $5.9 million on our term loan facilities. We also made deferred purchase price payments related to our previous acquisitions of approximately $5.4 million and we used a net cash amount of approximately $1.9 million related to our stock compensation arrangements.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Debt and Other Commitments</w:t>
      </w:r>
    </w:p>
    <w:p>
      <w:pPr>
        <w:spacing w:after="0" w:line="2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party to a Credit Agreement, consisting of a $500.0 million senior secured revolving credit facility, which permits borrowings denominated in specific foreign currencies ("Foreign Currency Loans"), subject to a $75.0 million sub limit, and a $275.0 million senior secured term loan A facility ("Term Loan A Facility"). The Credit Agreement matures on June 30, 2020 and is subject to interest at London Interbank Offered Rates ("LIBOR") plus 1.75%. The interest rate spread is based upon the leverage ratio, as defined, as of the most recent determination date.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March 31, 2016, approximately $268.1 million was outstanding on the Term Loan A Facility and approximately $121.2 million was outstanding on the revolving credit facility. The Credit Agreement allows issuance of letters of credit, not to exceed $40.0 million in aggregate, against revolving credit facility commitments, of which approximately $18.1 million was outstanding at March 31, 2016.</w:t>
      </w:r>
    </w:p>
    <w:p>
      <w:pPr>
        <w:spacing w:after="0" w:line="23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Credit Agreement also provides for incremental term loan facility and/or revolving credit commitments, not to exceed the greater of $300.0 million and an amount such that, after giving effect to the making of such commitments and the incurrence of any other indebtedness substantially simultaneously with the making of such commitments, the senior secured net leverage ratio, as defined in the Credit Agreement, is no greater than 2.50 to 1.00. The terms and conditions of any incremental term loan and/or revolving credit facility commitments must be no more favorable than the existing credit facility.</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may be required to prepay a portion of our Term Loan A Facility in an amount equal to a percentage of our excess cash flow, as defined, which such percentage will be based on our leverage ratio, as defined. As of March 31, 2016, no amounts are due under this provision.</w:t>
      </w:r>
    </w:p>
    <w:p>
      <w:pPr>
        <w:spacing w:after="0" w:line="22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Amounts drawn under our revolving credit facility fluctuate daily based upon our working capital and other ordinary course needs. Availability under our revolving credit facility depends upon, among other things, compliance with our Credit Agreement's financial covenants. Our Credit Agreement contains various negative and affirmative covenants and other requirements affecting us and our subsidiaries, including restrictions on incurrence of debt, liens, mergers, investments, loans, advances, guarantee obligations, acquisitions, asset dispositions, sale-leaseback transactions, hedging agreements, dividends and other restricted payments, transactions with affiliates, restrictive agreements and amendments to charters, bylaws, and other material documents. The terms of our Credit Agreement require us and our subsidiaries to meet certain restrictive financial covenants and ratios computed quarterly, including a maximum leverage ratio (total consolidated indebtedness plus outstanding amounts under the accounts receivable securitization facility over consolidated EBITDA, as defined) and a minimum interest expense coverage ratio (consolidated EBITDA, as defined, over cash interest expense, as defined). Our permitted leverage ratio under the Credit Agreement is 3.50 to 1.00 as of March 31, 2016. If we were to complete an acquisition which qualifies for a Covenant Holiday Period, as defined in our Credit Agreement, then our permitted leverage ratio cannot exceed 4.00 to 1.00 during that period. Our actual leverage ratio was 3.05 to 1.00 at March 31, 2016. Our permitted interest expense coverage ratio under the Credit Agreement is 3.00 to 1.00 as of March 31, 2016. Our actual interest expense coverage ratio was 12.16 to 1.00 at March 31, 2016. At March 31, 2016, we were in compliance with our financial covenants.</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is a reconciliation of net income, as reported, which is a GAAP measure of our operating results, to Consolidated Bank EBITDA, as defined in our Credit Agreement, for the twelve months ended March 31, 2016. We present Consolidated Bank EBITDA to show our performance under our financial covenants.</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1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center"/>
              <w:ind w:right="112"/>
              <w:spacing w:after="0"/>
              <w:rPr>
                <w:sz w:val="20"/>
                <w:szCs w:val="20"/>
                <w:color w:val="auto"/>
              </w:rPr>
            </w:pPr>
            <w:r>
              <w:rPr>
                <w:rFonts w:ascii="Arial" w:cs="Arial" w:eastAsia="Arial" w:hAnsi="Arial"/>
                <w:sz w:val="16"/>
                <w:szCs w:val="16"/>
                <w:b w:val="1"/>
                <w:bCs w:val="1"/>
                <w:color w:val="auto"/>
                <w:w w:val="86"/>
              </w:rPr>
              <w:t>Less:</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center"/>
              <w:ind w:right="92"/>
              <w:spacing w:after="0"/>
              <w:rPr>
                <w:sz w:val="20"/>
                <w:szCs w:val="20"/>
                <w:color w:val="auto"/>
              </w:rPr>
            </w:pPr>
            <w:r>
              <w:rPr>
                <w:rFonts w:ascii="Arial" w:cs="Arial" w:eastAsia="Arial" w:hAnsi="Arial"/>
                <w:sz w:val="16"/>
                <w:szCs w:val="16"/>
                <w:b w:val="1"/>
                <w:bCs w:val="1"/>
                <w:color w:val="auto"/>
                <w:w w:val="98"/>
              </w:rPr>
              <w:t>Add:</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49"/>
        </w:trPr>
        <w:tc>
          <w:tcPr>
            <w:tcW w:w="114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2"/>
              </w:rPr>
              <w:t>Twelve Months</w:t>
            </w:r>
          </w:p>
        </w:tc>
      </w:tr>
      <w:tr>
        <w:trPr>
          <w:trHeight w:val="203"/>
        </w:trPr>
        <w:tc>
          <w:tcPr>
            <w:tcW w:w="114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Year Ended</w:t>
            </w:r>
          </w:p>
        </w:tc>
        <w:tc>
          <w:tcPr>
            <w:tcW w:w="16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Three Months Ended</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Three Months Ended</w:t>
            </w:r>
          </w:p>
        </w:tc>
        <w:tc>
          <w:tcPr>
            <w:tcW w:w="100" w:type="dxa"/>
            <w:vAlign w:val="bottom"/>
          </w:tcPr>
          <w:p>
            <w:pPr>
              <w:spacing w:after="0"/>
              <w:rPr>
                <w:sz w:val="17"/>
                <w:szCs w:val="17"/>
                <w:color w:val="auto"/>
              </w:rPr>
            </w:pPr>
          </w:p>
        </w:tc>
        <w:tc>
          <w:tcPr>
            <w:tcW w:w="1600" w:type="dxa"/>
            <w:vAlign w:val="bottom"/>
            <w:gridSpan w:val="4"/>
          </w:tcPr>
          <w:p>
            <w:pPr>
              <w:jc w:val="center"/>
              <w:spacing w:after="0"/>
              <w:rPr>
                <w:sz w:val="20"/>
                <w:szCs w:val="20"/>
                <w:color w:val="auto"/>
              </w:rPr>
            </w:pPr>
            <w:r>
              <w:rPr>
                <w:rFonts w:ascii="Arial" w:cs="Arial" w:eastAsia="Arial" w:hAnsi="Arial"/>
                <w:sz w:val="16"/>
                <w:szCs w:val="16"/>
                <w:b w:val="1"/>
                <w:bCs w:val="1"/>
                <w:color w:val="auto"/>
                <w:w w:val="94"/>
              </w:rPr>
              <w:t>Ended March 31,</w:t>
            </w:r>
          </w:p>
        </w:tc>
      </w:tr>
      <w:tr>
        <w:trPr>
          <w:trHeight w:val="210"/>
        </w:trPr>
        <w:tc>
          <w:tcPr>
            <w:tcW w:w="11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6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December 31, 2015</w:t>
            </w:r>
          </w:p>
        </w:tc>
        <w:tc>
          <w:tcPr>
            <w:tcW w:w="200" w:type="dxa"/>
            <w:vAlign w:val="bottom"/>
          </w:tcPr>
          <w:p>
            <w:pPr>
              <w:spacing w:after="0"/>
              <w:rPr>
                <w:sz w:val="18"/>
                <w:szCs w:val="18"/>
                <w:color w:val="auto"/>
              </w:rPr>
            </w:pPr>
          </w:p>
        </w:tc>
        <w:tc>
          <w:tcPr>
            <w:tcW w:w="1400" w:type="dxa"/>
            <w:vAlign w:val="bottom"/>
          </w:tcPr>
          <w:p>
            <w:pPr>
              <w:jc w:val="center"/>
              <w:ind w:right="112"/>
              <w:spacing w:after="0"/>
              <w:rPr>
                <w:sz w:val="20"/>
                <w:szCs w:val="20"/>
                <w:color w:val="auto"/>
              </w:rPr>
            </w:pPr>
            <w:r>
              <w:rPr>
                <w:rFonts w:ascii="Arial" w:cs="Arial" w:eastAsia="Arial" w:hAnsi="Arial"/>
                <w:sz w:val="16"/>
                <w:szCs w:val="16"/>
                <w:b w:val="1"/>
                <w:bCs w:val="1"/>
                <w:color w:val="auto"/>
                <w:w w:val="94"/>
              </w:rPr>
              <w:t>March 31, 2015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center"/>
              <w:ind w:right="92"/>
              <w:spacing w:after="0"/>
              <w:rPr>
                <w:sz w:val="20"/>
                <w:szCs w:val="20"/>
                <w:color w:val="auto"/>
              </w:rPr>
            </w:pPr>
            <w:r>
              <w:rPr>
                <w:rFonts w:ascii="Arial" w:cs="Arial" w:eastAsia="Arial" w:hAnsi="Arial"/>
                <w:sz w:val="16"/>
                <w:szCs w:val="16"/>
                <w:b w:val="1"/>
                <w:bCs w:val="1"/>
                <w:color w:val="auto"/>
                <w:w w:val="94"/>
              </w:rPr>
              <w:t>March 31, 2016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89"/>
              </w:rPr>
              <w:t>2016</w:t>
            </w:r>
          </w:p>
        </w:tc>
      </w:tr>
      <w:tr>
        <w:trPr>
          <w:trHeight w:val="33"/>
        </w:trPr>
        <w:tc>
          <w:tcPr>
            <w:tcW w:w="114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11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00" w:type="dxa"/>
            <w:vAlign w:val="bottom"/>
            <w:gridSpan w:val="5"/>
          </w:tcPr>
          <w:p>
            <w:pPr>
              <w:jc w:val="right"/>
              <w:ind w:right="752"/>
              <w:spacing w:after="0"/>
              <w:rPr>
                <w:sz w:val="20"/>
                <w:szCs w:val="20"/>
                <w:color w:val="auto"/>
              </w:rPr>
            </w:pPr>
            <w:r>
              <w:rPr>
                <w:rFonts w:ascii="Arial" w:cs="Arial" w:eastAsia="Arial" w:hAnsi="Arial"/>
                <w:sz w:val="16"/>
                <w:szCs w:val="16"/>
                <w:b w:val="1"/>
                <w:bCs w:val="1"/>
                <w:color w:val="auto"/>
              </w:rPr>
              <w:t>(dollars in thousands)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3"/>
        </w:trPr>
        <w:tc>
          <w:tcPr>
            <w:tcW w:w="114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13,980</w:t>
            </w:r>
          </w:p>
        </w:tc>
        <w:tc>
          <w:tcPr>
            <w:tcW w:w="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8,300</w:t>
            </w:r>
          </w:p>
        </w:tc>
        <w:tc>
          <w:tcPr>
            <w:tcW w:w="340" w:type="dxa"/>
            <w:vAlign w:val="bottom"/>
            <w:tcBorders>
              <w:bottom w:val="single" w:sz="8" w:color="CCEEFF"/>
            </w:tcBorders>
            <w:gridSpan w:val="2"/>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(39,080)</w:t>
            </w:r>
          </w:p>
        </w:tc>
      </w:tr>
      <w:tr>
        <w:trPr>
          <w:trHeight w:val="243"/>
        </w:trPr>
        <w:tc>
          <w:tcPr>
            <w:tcW w:w="4820" w:type="dxa"/>
            <w:vAlign w:val="bottom"/>
            <w:gridSpan w:val="2"/>
          </w:tcPr>
          <w:p>
            <w:pPr>
              <w:ind w:left="40"/>
              <w:spacing w:after="0"/>
              <w:rPr>
                <w:sz w:val="20"/>
                <w:szCs w:val="20"/>
                <w:color w:val="auto"/>
              </w:rPr>
            </w:pPr>
            <w:r>
              <w:rPr>
                <w:rFonts w:ascii="Arial" w:cs="Arial" w:eastAsia="Arial" w:hAnsi="Arial"/>
                <w:sz w:val="18"/>
                <w:szCs w:val="18"/>
                <w:color w:val="auto"/>
              </w:rPr>
              <w:t>Bank stipulated adjustments:</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114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8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14,060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3,450</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14,050</w:t>
            </w:r>
          </w:p>
        </w:tc>
      </w:tr>
      <w:tr>
        <w:trPr>
          <w:trHeight w:val="243"/>
        </w:trPr>
        <w:tc>
          <w:tcPr>
            <w:tcW w:w="4820" w:type="dxa"/>
            <w:vAlign w:val="bottom"/>
            <w:gridSpan w:val="2"/>
          </w:tcPr>
          <w:p>
            <w:pPr>
              <w:ind w:left="280"/>
              <w:spacing w:after="0"/>
              <w:rPr>
                <w:sz w:val="20"/>
                <w:szCs w:val="20"/>
                <w:color w:val="auto"/>
              </w:rPr>
            </w:pPr>
            <w:r>
              <w:rPr>
                <w:rFonts w:ascii="Arial" w:cs="Arial" w:eastAsia="Arial" w:hAnsi="Arial"/>
                <w:sz w:val="18"/>
                <w:szCs w:val="18"/>
                <w:color w:val="auto"/>
              </w:rPr>
              <w:t>Income tax expense</w:t>
            </w:r>
          </w:p>
        </w:tc>
        <w:tc>
          <w:tcPr>
            <w:tcW w:w="22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6,540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6,310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4,650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4,880</w:t>
            </w:r>
          </w:p>
        </w:tc>
      </w:tr>
      <w:tr>
        <w:trPr>
          <w:trHeight w:val="27"/>
        </w:trPr>
        <w:tc>
          <w:tcPr>
            <w:tcW w:w="114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8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43,540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10,440</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44,140</w:t>
            </w:r>
          </w:p>
        </w:tc>
      </w:tr>
      <w:tr>
        <w:trPr>
          <w:trHeight w:val="243"/>
        </w:trPr>
        <w:tc>
          <w:tcPr>
            <w:tcW w:w="4820" w:type="dxa"/>
            <w:vAlign w:val="bottom"/>
            <w:gridSpan w:val="2"/>
          </w:tcPr>
          <w:p>
            <w:pPr>
              <w:ind w:left="280"/>
              <w:spacing w:after="0"/>
              <w:rPr>
                <w:sz w:val="20"/>
                <w:szCs w:val="20"/>
                <w:color w:val="auto"/>
              </w:rPr>
            </w:pPr>
            <w:r>
              <w:rPr>
                <w:rFonts w:ascii="Arial" w:cs="Arial" w:eastAsia="Arial" w:hAnsi="Arial"/>
                <w:sz w:val="18"/>
                <w:szCs w:val="18"/>
                <w:color w:val="auto"/>
              </w:rPr>
              <w:t>Extraordinary non-cash charges</w:t>
            </w:r>
          </w:p>
        </w:tc>
        <w:tc>
          <w:tcPr>
            <w:tcW w:w="22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75,680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75,680</w:t>
            </w:r>
          </w:p>
        </w:tc>
      </w:tr>
      <w:tr>
        <w:trPr>
          <w:trHeight w:val="27"/>
        </w:trPr>
        <w:tc>
          <w:tcPr>
            <w:tcW w:w="114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820" w:type="dxa"/>
            <w:vAlign w:val="bottom"/>
            <w:gridSpan w:val="2"/>
            <w:shd w:val="clear" w:color="auto" w:fill="CCEEFF"/>
          </w:tcPr>
          <w:p>
            <w:pPr>
              <w:ind w:left="280"/>
              <w:spacing w:after="0" w:line="270" w:lineRule="exact"/>
              <w:rPr>
                <w:sz w:val="20"/>
                <w:szCs w:val="20"/>
                <w:color w:val="auto"/>
              </w:rPr>
            </w:pPr>
            <w:r>
              <w:rPr>
                <w:rFonts w:ascii="Arial" w:cs="Arial" w:eastAsia="Arial" w:hAnsi="Arial"/>
                <w:sz w:val="18"/>
                <w:szCs w:val="18"/>
                <w:color w:val="auto"/>
              </w:rPr>
              <w:t>Non-cash compensation expense</w:t>
            </w:r>
            <w:r>
              <w:rPr>
                <w:rFonts w:ascii="Arial" w:cs="Arial" w:eastAsia="Arial" w:hAnsi="Arial"/>
                <w:sz w:val="25"/>
                <w:szCs w:val="25"/>
                <w:color w:val="auto"/>
                <w:vertAlign w:val="superscript"/>
              </w:rPr>
              <w:t>(1)</w:t>
            </w:r>
          </w:p>
        </w:tc>
        <w:tc>
          <w:tcPr>
            <w:tcW w:w="2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6,340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1,980</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1,970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6,330</w:t>
            </w:r>
          </w:p>
        </w:tc>
      </w:tr>
      <w:tr>
        <w:trPr>
          <w:trHeight w:val="243"/>
        </w:trPr>
        <w:tc>
          <w:tcPr>
            <w:tcW w:w="4820" w:type="dxa"/>
            <w:vAlign w:val="bottom"/>
            <w:gridSpan w:val="2"/>
          </w:tcPr>
          <w:p>
            <w:pPr>
              <w:ind w:left="280"/>
              <w:spacing w:after="0"/>
              <w:rPr>
                <w:sz w:val="20"/>
                <w:szCs w:val="20"/>
                <w:color w:val="auto"/>
              </w:rPr>
            </w:pPr>
            <w:r>
              <w:rPr>
                <w:rFonts w:ascii="Arial" w:cs="Arial" w:eastAsia="Arial" w:hAnsi="Arial"/>
                <w:sz w:val="18"/>
                <w:szCs w:val="18"/>
                <w:color w:val="auto"/>
              </w:rPr>
              <w:t>Other non-cash expenses or losses</w:t>
            </w:r>
          </w:p>
        </w:tc>
        <w:tc>
          <w:tcPr>
            <w:tcW w:w="220" w:type="dxa"/>
            <w:vAlign w:val="bottom"/>
          </w:tcPr>
          <w:p>
            <w:pPr>
              <w:spacing w:after="0"/>
              <w:rPr>
                <w:sz w:val="21"/>
                <w:szCs w:val="21"/>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17,830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2,950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1,130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16,010</w:t>
            </w:r>
          </w:p>
        </w:tc>
      </w:tr>
      <w:tr>
        <w:trPr>
          <w:trHeight w:val="27"/>
        </w:trPr>
        <w:tc>
          <w:tcPr>
            <w:tcW w:w="114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48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Non-recurring expenses or costs relating to cost saving</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57"/>
        </w:trPr>
        <w:tc>
          <w:tcPr>
            <w:tcW w:w="4820" w:type="dxa"/>
            <w:vAlign w:val="bottom"/>
            <w:gridSpan w:val="2"/>
            <w:shd w:val="clear" w:color="auto" w:fill="CCEEFF"/>
          </w:tcPr>
          <w:p>
            <w:pPr>
              <w:ind w:left="280"/>
              <w:spacing w:after="0" w:line="257" w:lineRule="exact"/>
              <w:rPr>
                <w:sz w:val="20"/>
                <w:szCs w:val="20"/>
                <w:color w:val="auto"/>
              </w:rPr>
            </w:pPr>
            <w:r>
              <w:rPr>
                <w:rFonts w:ascii="Arial" w:cs="Arial" w:eastAsia="Arial" w:hAnsi="Arial"/>
                <w:sz w:val="18"/>
                <w:szCs w:val="18"/>
                <w:color w:val="auto"/>
              </w:rPr>
              <w:t>projects</w:t>
            </w:r>
            <w:r>
              <w:rPr>
                <w:rFonts w:ascii="Arial" w:cs="Arial" w:eastAsia="Arial" w:hAnsi="Arial"/>
                <w:sz w:val="25"/>
                <w:szCs w:val="25"/>
                <w:color w:val="auto"/>
                <w:vertAlign w:val="superscript"/>
              </w:rPr>
              <w:t>(2)</w:t>
            </w: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15,000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1,520</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1,520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15,000</w:t>
            </w:r>
          </w:p>
        </w:tc>
      </w:tr>
      <w:tr>
        <w:trPr>
          <w:trHeight w:val="270"/>
        </w:trPr>
        <w:tc>
          <w:tcPr>
            <w:tcW w:w="4820" w:type="dxa"/>
            <w:vAlign w:val="bottom"/>
            <w:gridSpan w:val="2"/>
          </w:tcPr>
          <w:p>
            <w:pPr>
              <w:ind w:left="280"/>
              <w:spacing w:after="0" w:line="270" w:lineRule="exact"/>
              <w:rPr>
                <w:sz w:val="20"/>
                <w:szCs w:val="20"/>
                <w:color w:val="auto"/>
              </w:rPr>
            </w:pPr>
            <w:r>
              <w:rPr>
                <w:rFonts w:ascii="Arial" w:cs="Arial" w:eastAsia="Arial" w:hAnsi="Arial"/>
                <w:sz w:val="18"/>
                <w:szCs w:val="18"/>
                <w:color w:val="auto"/>
              </w:rPr>
              <w:t>Acquisition integration costs</w:t>
            </w:r>
            <w:r>
              <w:rPr>
                <w:rFonts w:ascii="Arial" w:cs="Arial" w:eastAsia="Arial" w:hAnsi="Arial"/>
                <w:sz w:val="25"/>
                <w:szCs w:val="25"/>
                <w:color w:val="auto"/>
                <w:vertAlign w:val="superscript"/>
              </w:rPr>
              <w:t>(3)</w:t>
            </w:r>
          </w:p>
        </w:tc>
        <w:tc>
          <w:tcPr>
            <w:tcW w:w="220" w:type="dxa"/>
            <w:vAlign w:val="bottom"/>
          </w:tcPr>
          <w:p>
            <w:pPr>
              <w:spacing w:after="0"/>
              <w:rPr>
                <w:sz w:val="23"/>
                <w:szCs w:val="23"/>
                <w:color w:val="auto"/>
              </w:rPr>
            </w:pP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1,880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jc w:val="right"/>
              <w:ind w:right="32"/>
              <w:spacing w:after="0"/>
              <w:rPr>
                <w:sz w:val="20"/>
                <w:szCs w:val="20"/>
                <w:color w:val="auto"/>
              </w:rPr>
            </w:pPr>
            <w:r>
              <w:rPr>
                <w:rFonts w:ascii="Arial" w:cs="Arial" w:eastAsia="Arial" w:hAnsi="Arial"/>
                <w:sz w:val="18"/>
                <w:szCs w:val="18"/>
                <w:color w:val="auto"/>
              </w:rPr>
              <w:t>800</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820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1,900</w:t>
            </w:r>
          </w:p>
        </w:tc>
      </w:tr>
      <w:tr>
        <w:trPr>
          <w:trHeight w:val="270"/>
        </w:trPr>
        <w:tc>
          <w:tcPr>
            <w:tcW w:w="4820" w:type="dxa"/>
            <w:vAlign w:val="bottom"/>
            <w:gridSpan w:val="2"/>
            <w:shd w:val="clear" w:color="auto" w:fill="CCEEFF"/>
          </w:tcPr>
          <w:p>
            <w:pPr>
              <w:ind w:left="280"/>
              <w:spacing w:after="0" w:line="270" w:lineRule="exact"/>
              <w:rPr>
                <w:sz w:val="20"/>
                <w:szCs w:val="20"/>
                <w:color w:val="auto"/>
              </w:rPr>
            </w:pPr>
            <w:r>
              <w:rPr>
                <w:rFonts w:ascii="Arial" w:cs="Arial" w:eastAsia="Arial" w:hAnsi="Arial"/>
                <w:sz w:val="18"/>
                <w:szCs w:val="18"/>
                <w:color w:val="auto"/>
              </w:rPr>
              <w:t>Debt financing and extinguishment costs</w:t>
            </w:r>
            <w:r>
              <w:rPr>
                <w:rFonts w:ascii="Arial" w:cs="Arial" w:eastAsia="Arial" w:hAnsi="Arial"/>
                <w:sz w:val="25"/>
                <w:szCs w:val="25"/>
                <w:color w:val="auto"/>
                <w:vertAlign w:val="superscript"/>
              </w:rPr>
              <w:t>(4)</w:t>
            </w:r>
          </w:p>
        </w:tc>
        <w:tc>
          <w:tcPr>
            <w:tcW w:w="22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1,970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1,970</w:t>
            </w:r>
          </w:p>
        </w:tc>
      </w:tr>
      <w:tr>
        <w:trPr>
          <w:trHeight w:val="270"/>
        </w:trPr>
        <w:tc>
          <w:tcPr>
            <w:tcW w:w="4820" w:type="dxa"/>
            <w:vAlign w:val="bottom"/>
            <w:tcBorders>
              <w:bottom w:val="single" w:sz="8" w:color="CCEEFF"/>
            </w:tcBorders>
            <w:gridSpan w:val="2"/>
          </w:tcPr>
          <w:p>
            <w:pPr>
              <w:ind w:left="280"/>
              <w:spacing w:after="0" w:line="270" w:lineRule="exact"/>
              <w:rPr>
                <w:sz w:val="20"/>
                <w:szCs w:val="20"/>
                <w:color w:val="auto"/>
              </w:rPr>
            </w:pPr>
            <w:r>
              <w:rPr>
                <w:rFonts w:ascii="Arial" w:cs="Arial" w:eastAsia="Arial" w:hAnsi="Arial"/>
                <w:sz w:val="18"/>
                <w:szCs w:val="18"/>
                <w:color w:val="auto"/>
              </w:rPr>
              <w:t>Permitted dispositions</w:t>
            </w:r>
            <w:r>
              <w:rPr>
                <w:rFonts w:ascii="Arial" w:cs="Arial" w:eastAsia="Arial" w:hAnsi="Arial"/>
                <w:sz w:val="25"/>
                <w:szCs w:val="25"/>
                <w:color w:val="auto"/>
                <w:vertAlign w:val="superscript"/>
              </w:rPr>
              <w:t>(5)</w:t>
            </w:r>
          </w:p>
        </w:tc>
        <w:tc>
          <w:tcPr>
            <w:tcW w:w="22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4,740</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(2,040)</w:t>
            </w:r>
          </w:p>
        </w:tc>
        <w:tc>
          <w:tcPr>
            <w:tcW w:w="8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6,780</w:t>
            </w:r>
          </w:p>
        </w:tc>
      </w:tr>
      <w:tr>
        <w:trPr>
          <w:trHeight w:val="257"/>
        </w:trPr>
        <w:tc>
          <w:tcPr>
            <w:tcW w:w="48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Consolidated Bank EBITDA, as defined</w:t>
            </w:r>
          </w:p>
        </w:tc>
        <w:tc>
          <w:tcPr>
            <w:tcW w:w="2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154,180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39,390</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32,870</w:t>
            </w:r>
          </w:p>
        </w:tc>
        <w:tc>
          <w:tcPr>
            <w:tcW w:w="340" w:type="dxa"/>
            <w:vAlign w:val="bottom"/>
            <w:gridSpan w:val="2"/>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147,660</w:t>
            </w:r>
          </w:p>
        </w:tc>
      </w:tr>
      <w:tr>
        <w:trPr>
          <w:trHeight w:val="20"/>
        </w:trPr>
        <w:tc>
          <w:tcPr>
            <w:tcW w:w="1140" w:type="dxa"/>
            <w:vAlign w:val="bottom"/>
            <w:tcBorders>
              <w:top w:val="single" w:sz="8" w:color="CCEEFF"/>
            </w:tcBorders>
          </w:tcPr>
          <w:p>
            <w:pPr>
              <w:spacing w:after="0" w:line="20" w:lineRule="exact"/>
              <w:rPr>
                <w:sz w:val="1"/>
                <w:szCs w:val="1"/>
                <w:color w:val="auto"/>
              </w:rPr>
            </w:pPr>
          </w:p>
        </w:tc>
        <w:tc>
          <w:tcPr>
            <w:tcW w:w="3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832"/>
        </w:trPr>
        <w:tc>
          <w:tcPr>
            <w:tcW w:w="11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March 31, 2016</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3"/>
        </w:trPr>
        <w:tc>
          <w:tcPr>
            <w:tcW w:w="114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17"/>
        </w:trPr>
        <w:tc>
          <w:tcPr>
            <w:tcW w:w="11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3"/>
          </w:tcPr>
          <w:p>
            <w:pPr>
              <w:jc w:val="right"/>
              <w:ind w:right="116"/>
              <w:spacing w:after="0"/>
              <w:rPr>
                <w:sz w:val="20"/>
                <w:szCs w:val="20"/>
                <w:color w:val="auto"/>
              </w:rPr>
            </w:pPr>
            <w:r>
              <w:rPr>
                <w:rFonts w:ascii="Arial" w:cs="Arial" w:eastAsia="Arial" w:hAnsi="Arial"/>
                <w:sz w:val="16"/>
                <w:szCs w:val="16"/>
                <w:b w:val="1"/>
                <w:bCs w:val="1"/>
                <w:color w:val="auto"/>
                <w:w w:val="92"/>
              </w:rPr>
              <w:t>(dollars in thousands)</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3"/>
        </w:trPr>
        <w:tc>
          <w:tcPr>
            <w:tcW w:w="1140" w:type="dxa"/>
            <w:vAlign w:val="bottom"/>
          </w:tcPr>
          <w:p>
            <w:pPr>
              <w:spacing w:after="0"/>
              <w:rPr>
                <w:sz w:val="2"/>
                <w:szCs w:val="2"/>
                <w:color w:val="auto"/>
              </w:rPr>
            </w:pPr>
          </w:p>
        </w:tc>
        <w:tc>
          <w:tcPr>
            <w:tcW w:w="36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176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120" w:type="dxa"/>
            <w:vAlign w:val="bottom"/>
          </w:tcPr>
          <w:p>
            <w:pPr>
              <w:spacing w:after="0"/>
              <w:rPr>
                <w:sz w:val="2"/>
                <w:szCs w:val="2"/>
                <w:color w:val="auto"/>
              </w:rPr>
            </w:pPr>
          </w:p>
        </w:tc>
      </w:tr>
      <w:tr>
        <w:trPr>
          <w:trHeight w:val="264"/>
        </w:trPr>
        <w:tc>
          <w:tcPr>
            <w:tcW w:w="1140" w:type="dxa"/>
            <w:vAlign w:val="bottom"/>
          </w:tcPr>
          <w:p>
            <w:pPr>
              <w:spacing w:after="0"/>
              <w:rPr>
                <w:sz w:val="22"/>
                <w:szCs w:val="22"/>
                <w:color w:val="auto"/>
              </w:rPr>
            </w:pPr>
          </w:p>
        </w:tc>
        <w:tc>
          <w:tcPr>
            <w:tcW w:w="3680" w:type="dxa"/>
            <w:vAlign w:val="bottom"/>
            <w:shd w:val="clear" w:color="auto" w:fill="CCEEFF"/>
          </w:tcPr>
          <w:p>
            <w:pPr>
              <w:ind w:left="20"/>
              <w:spacing w:after="0" w:line="264" w:lineRule="exact"/>
              <w:rPr>
                <w:sz w:val="20"/>
                <w:szCs w:val="20"/>
                <w:color w:val="auto"/>
              </w:rPr>
            </w:pPr>
            <w:r>
              <w:rPr>
                <w:rFonts w:ascii="Arial" w:cs="Arial" w:eastAsia="Arial" w:hAnsi="Arial"/>
                <w:sz w:val="18"/>
                <w:szCs w:val="18"/>
                <w:color w:val="auto"/>
                <w:w w:val="96"/>
              </w:rPr>
              <w:t>Total Consolidated Indebtedness, as defined</w:t>
            </w:r>
            <w:r>
              <w:rPr>
                <w:rFonts w:ascii="Arial" w:cs="Arial" w:eastAsia="Arial" w:hAnsi="Arial"/>
                <w:sz w:val="25"/>
                <w:szCs w:val="25"/>
                <w:color w:val="auto"/>
                <w:w w:val="96"/>
                <w:vertAlign w:val="superscript"/>
              </w:rPr>
              <w:t>(6)</w:t>
            </w: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280" w:type="dxa"/>
            <w:vAlign w:val="bottom"/>
            <w:gridSpan w:val="3"/>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450,050</w:t>
            </w:r>
          </w:p>
        </w:tc>
        <w:tc>
          <w:tcPr>
            <w:tcW w:w="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20" w:type="dxa"/>
            <w:vAlign w:val="bottom"/>
          </w:tcPr>
          <w:p>
            <w:pPr>
              <w:spacing w:after="0"/>
              <w:rPr>
                <w:sz w:val="22"/>
                <w:szCs w:val="22"/>
                <w:color w:val="auto"/>
              </w:rPr>
            </w:pPr>
          </w:p>
        </w:tc>
      </w:tr>
      <w:tr>
        <w:trPr>
          <w:trHeight w:val="243"/>
        </w:trPr>
        <w:tc>
          <w:tcPr>
            <w:tcW w:w="1140" w:type="dxa"/>
            <w:vAlign w:val="bottom"/>
          </w:tcPr>
          <w:p>
            <w:pPr>
              <w:spacing w:after="0"/>
              <w:rPr>
                <w:sz w:val="21"/>
                <w:szCs w:val="21"/>
                <w:color w:val="auto"/>
              </w:rPr>
            </w:pPr>
          </w:p>
        </w:tc>
        <w:tc>
          <w:tcPr>
            <w:tcW w:w="3680" w:type="dxa"/>
            <w:vAlign w:val="bottom"/>
          </w:tcPr>
          <w:p>
            <w:pPr>
              <w:ind w:left="20"/>
              <w:spacing w:after="0"/>
              <w:rPr>
                <w:sz w:val="20"/>
                <w:szCs w:val="20"/>
                <w:color w:val="auto"/>
              </w:rPr>
            </w:pPr>
            <w:r>
              <w:rPr>
                <w:rFonts w:ascii="Arial" w:cs="Arial" w:eastAsia="Arial" w:hAnsi="Arial"/>
                <w:sz w:val="18"/>
                <w:szCs w:val="18"/>
                <w:color w:val="auto"/>
              </w:rPr>
              <w:t>Consolidated Bank EBITDA, as defined</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gridSpan w:val="3"/>
          </w:tcPr>
          <w:p>
            <w:pPr>
              <w:jc w:val="right"/>
              <w:spacing w:after="0"/>
              <w:rPr>
                <w:sz w:val="20"/>
                <w:szCs w:val="20"/>
                <w:color w:val="auto"/>
              </w:rPr>
            </w:pPr>
            <w:r>
              <w:rPr>
                <w:rFonts w:ascii="Arial" w:cs="Arial" w:eastAsia="Arial" w:hAnsi="Arial"/>
                <w:sz w:val="18"/>
                <w:szCs w:val="18"/>
                <w:color w:val="auto"/>
              </w:rPr>
              <w:t>147,660</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114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r>
      <w:tr>
        <w:trPr>
          <w:trHeight w:val="264"/>
        </w:trPr>
        <w:tc>
          <w:tcPr>
            <w:tcW w:w="1140" w:type="dxa"/>
            <w:vAlign w:val="bottom"/>
          </w:tcPr>
          <w:p>
            <w:pPr>
              <w:spacing w:after="0"/>
              <w:rPr>
                <w:sz w:val="22"/>
                <w:szCs w:val="22"/>
                <w:color w:val="auto"/>
              </w:rPr>
            </w:pPr>
          </w:p>
        </w:tc>
        <w:tc>
          <w:tcPr>
            <w:tcW w:w="3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Actual leverage ratio</w:t>
            </w: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1280" w:type="dxa"/>
            <w:vAlign w:val="bottom"/>
            <w:tcBorders>
              <w:top w:val="single" w:sz="8" w:color="CCEEFF"/>
              <w:bottom w:val="single" w:sz="8" w:color="CCEEFF"/>
            </w:tcBorders>
            <w:shd w:val="clear" w:color="auto" w:fill="CCEEFF"/>
          </w:tcPr>
          <w:p>
            <w:pPr>
              <w:spacing w:after="0"/>
              <w:rPr>
                <w:sz w:val="22"/>
                <w:szCs w:val="22"/>
                <w:color w:val="auto"/>
              </w:rPr>
            </w:pP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CCEEFF"/>
              <w:bottom w:val="single" w:sz="8" w:color="CCEEFF"/>
            </w:tcBorders>
            <w:shd w:val="clear" w:color="auto" w:fill="CCEEFF"/>
          </w:tcPr>
          <w:p>
            <w:pPr>
              <w:spacing w:after="0"/>
              <w:rPr>
                <w:sz w:val="22"/>
                <w:szCs w:val="22"/>
                <w:color w:val="auto"/>
              </w:rPr>
            </w:pPr>
          </w:p>
        </w:tc>
        <w:tc>
          <w:tcPr>
            <w:tcW w:w="1400" w:type="dxa"/>
            <w:vAlign w:val="bottom"/>
            <w:tcBorders>
              <w:top w:val="single" w:sz="8" w:color="CCEEFF"/>
              <w:bottom w:val="single" w:sz="8" w:color="CCEEFF"/>
            </w:tcBorders>
            <w:shd w:val="clear" w:color="auto" w:fill="CCEEFF"/>
          </w:tcPr>
          <w:p>
            <w:pPr>
              <w:spacing w:after="0"/>
              <w:rPr>
                <w:sz w:val="22"/>
                <w:szCs w:val="22"/>
                <w:color w:val="auto"/>
              </w:rPr>
            </w:pP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CCEEFF"/>
            </w:tcBorders>
            <w:shd w:val="clear" w:color="auto" w:fill="CCEEFF"/>
          </w:tcPr>
          <w:p>
            <w:pPr>
              <w:spacing w:after="0"/>
              <w:rPr>
                <w:sz w:val="22"/>
                <w:szCs w:val="22"/>
                <w:color w:val="auto"/>
              </w:rPr>
            </w:pPr>
          </w:p>
        </w:tc>
        <w:tc>
          <w:tcPr>
            <w:tcW w:w="1420" w:type="dxa"/>
            <w:vAlign w:val="bottom"/>
            <w:tcBorders>
              <w:top w:val="single" w:sz="8" w:color="auto"/>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5"/>
              </w:rPr>
              <w:t>3.05</w:t>
            </w:r>
          </w:p>
        </w:tc>
        <w:tc>
          <w:tcPr>
            <w:tcW w:w="60" w:type="dxa"/>
            <w:vAlign w:val="bottom"/>
            <w:tcBorders>
              <w:top w:val="single" w:sz="8" w:color="auto"/>
              <w:bottom w:val="single" w:sz="8" w:color="CCEEFF"/>
            </w:tcBorders>
            <w:shd w:val="clear" w:color="auto" w:fill="CCEEFF"/>
          </w:tcPr>
          <w:p>
            <w:pPr>
              <w:spacing w:after="0"/>
              <w:rPr>
                <w:sz w:val="22"/>
                <w:szCs w:val="22"/>
                <w:color w:val="auto"/>
              </w:rPr>
            </w:pPr>
          </w:p>
        </w:tc>
        <w:tc>
          <w:tcPr>
            <w:tcW w:w="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x</w:t>
            </w:r>
          </w:p>
        </w:tc>
        <w:tc>
          <w:tcPr>
            <w:tcW w:w="1120" w:type="dxa"/>
            <w:vAlign w:val="bottom"/>
          </w:tcPr>
          <w:p>
            <w:pPr>
              <w:spacing w:after="0"/>
              <w:rPr>
                <w:sz w:val="22"/>
                <w:szCs w:val="22"/>
                <w:color w:val="auto"/>
              </w:rPr>
            </w:pPr>
          </w:p>
        </w:tc>
      </w:tr>
      <w:tr>
        <w:trPr>
          <w:trHeight w:val="257"/>
        </w:trPr>
        <w:tc>
          <w:tcPr>
            <w:tcW w:w="1140" w:type="dxa"/>
            <w:vAlign w:val="bottom"/>
          </w:tcPr>
          <w:p>
            <w:pPr>
              <w:spacing w:after="0"/>
              <w:rPr>
                <w:sz w:val="22"/>
                <w:szCs w:val="22"/>
                <w:color w:val="auto"/>
              </w:rPr>
            </w:pPr>
          </w:p>
        </w:tc>
        <w:tc>
          <w:tcPr>
            <w:tcW w:w="3680" w:type="dxa"/>
            <w:vAlign w:val="bottom"/>
          </w:tcPr>
          <w:p>
            <w:pPr>
              <w:ind w:left="20"/>
              <w:spacing w:after="0"/>
              <w:rPr>
                <w:sz w:val="20"/>
                <w:szCs w:val="20"/>
                <w:color w:val="auto"/>
              </w:rPr>
            </w:pPr>
            <w:r>
              <w:rPr>
                <w:rFonts w:ascii="Arial" w:cs="Arial" w:eastAsia="Arial" w:hAnsi="Arial"/>
                <w:sz w:val="18"/>
                <w:szCs w:val="18"/>
                <w:color w:val="auto"/>
              </w:rPr>
              <w:t>Covenant requirement</w:t>
            </w: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42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5"/>
              </w:rPr>
              <w:t>3.50</w:t>
            </w:r>
          </w:p>
        </w:tc>
        <w:tc>
          <w:tcPr>
            <w:tcW w:w="60" w:type="dxa"/>
            <w:vAlign w:val="bottom"/>
            <w:tcBorders>
              <w:top w:val="single" w:sz="8" w:color="auto"/>
              <w:bottom w:val="single" w:sz="8" w:color="auto"/>
            </w:tcBorders>
          </w:tcPr>
          <w:p>
            <w:pPr>
              <w:spacing w:after="0"/>
              <w:rPr>
                <w:sz w:val="22"/>
                <w:szCs w:val="22"/>
                <w:color w:val="auto"/>
              </w:rPr>
            </w:pPr>
          </w:p>
        </w:tc>
        <w:tc>
          <w:tcPr>
            <w:tcW w:w="1300" w:type="dxa"/>
            <w:vAlign w:val="bottom"/>
            <w:gridSpan w:val="2"/>
          </w:tcPr>
          <w:p>
            <w:pPr>
              <w:ind w:left="20"/>
              <w:spacing w:after="0"/>
              <w:rPr>
                <w:sz w:val="20"/>
                <w:szCs w:val="20"/>
                <w:color w:val="auto"/>
              </w:rPr>
            </w:pPr>
            <w:r>
              <w:rPr>
                <w:rFonts w:ascii="Arial" w:cs="Arial" w:eastAsia="Arial" w:hAnsi="Arial"/>
                <w:sz w:val="18"/>
                <w:szCs w:val="18"/>
                <w:color w:val="auto"/>
              </w:rPr>
              <w:t>x</w:t>
            </w:r>
          </w:p>
        </w:tc>
      </w:tr>
      <w:tr>
        <w:trPr>
          <w:trHeight w:val="20"/>
        </w:trPr>
        <w:tc>
          <w:tcPr>
            <w:tcW w:w="11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629"/>
        </w:trPr>
        <w:tc>
          <w:tcPr>
            <w:tcW w:w="11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jc w:val="center"/>
              <w:ind w:right="112"/>
              <w:spacing w:after="0"/>
              <w:rPr>
                <w:sz w:val="20"/>
                <w:szCs w:val="20"/>
                <w:color w:val="auto"/>
              </w:rPr>
            </w:pPr>
            <w:r>
              <w:rPr>
                <w:rFonts w:ascii="Arial" w:cs="Arial" w:eastAsia="Arial" w:hAnsi="Arial"/>
                <w:sz w:val="16"/>
                <w:szCs w:val="16"/>
                <w:b w:val="1"/>
                <w:bCs w:val="1"/>
                <w:color w:val="auto"/>
                <w:w w:val="86"/>
              </w:rPr>
              <w:t>Less: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jc w:val="center"/>
              <w:ind w:right="92"/>
              <w:spacing w:after="0"/>
              <w:rPr>
                <w:sz w:val="20"/>
                <w:szCs w:val="20"/>
                <w:color w:val="auto"/>
              </w:rPr>
            </w:pPr>
            <w:r>
              <w:rPr>
                <w:rFonts w:ascii="Arial" w:cs="Arial" w:eastAsia="Arial" w:hAnsi="Arial"/>
                <w:sz w:val="16"/>
                <w:szCs w:val="16"/>
                <w:b w:val="1"/>
                <w:bCs w:val="1"/>
                <w:color w:val="auto"/>
                <w:w w:val="98"/>
              </w:rPr>
              <w:t>Add:</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49"/>
        </w:trPr>
        <w:tc>
          <w:tcPr>
            <w:tcW w:w="114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2"/>
              </w:rPr>
              <w:t>Twelve Months</w:t>
            </w:r>
          </w:p>
        </w:tc>
      </w:tr>
      <w:tr>
        <w:trPr>
          <w:trHeight w:val="203"/>
        </w:trPr>
        <w:tc>
          <w:tcPr>
            <w:tcW w:w="114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Year Ended</w:t>
            </w:r>
          </w:p>
        </w:tc>
        <w:tc>
          <w:tcPr>
            <w:tcW w:w="16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Three Months Ended</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Three Months Ended</w:t>
            </w:r>
          </w:p>
        </w:tc>
        <w:tc>
          <w:tcPr>
            <w:tcW w:w="100" w:type="dxa"/>
            <w:vAlign w:val="bottom"/>
          </w:tcPr>
          <w:p>
            <w:pPr>
              <w:spacing w:after="0"/>
              <w:rPr>
                <w:sz w:val="17"/>
                <w:szCs w:val="17"/>
                <w:color w:val="auto"/>
              </w:rPr>
            </w:pPr>
          </w:p>
        </w:tc>
        <w:tc>
          <w:tcPr>
            <w:tcW w:w="1600" w:type="dxa"/>
            <w:vAlign w:val="bottom"/>
            <w:gridSpan w:val="4"/>
          </w:tcPr>
          <w:p>
            <w:pPr>
              <w:jc w:val="center"/>
              <w:spacing w:after="0"/>
              <w:rPr>
                <w:sz w:val="20"/>
                <w:szCs w:val="20"/>
                <w:color w:val="auto"/>
              </w:rPr>
            </w:pPr>
            <w:r>
              <w:rPr>
                <w:rFonts w:ascii="Arial" w:cs="Arial" w:eastAsia="Arial" w:hAnsi="Arial"/>
                <w:sz w:val="16"/>
                <w:szCs w:val="16"/>
                <w:b w:val="1"/>
                <w:bCs w:val="1"/>
                <w:color w:val="auto"/>
                <w:w w:val="94"/>
              </w:rPr>
              <w:t>Ended March 31,</w:t>
            </w:r>
          </w:p>
        </w:tc>
      </w:tr>
      <w:tr>
        <w:trPr>
          <w:trHeight w:val="210"/>
        </w:trPr>
        <w:tc>
          <w:tcPr>
            <w:tcW w:w="11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6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December 31, 2015</w:t>
            </w:r>
          </w:p>
        </w:tc>
        <w:tc>
          <w:tcPr>
            <w:tcW w:w="200" w:type="dxa"/>
            <w:vAlign w:val="bottom"/>
          </w:tcPr>
          <w:p>
            <w:pPr>
              <w:spacing w:after="0"/>
              <w:rPr>
                <w:sz w:val="18"/>
                <w:szCs w:val="18"/>
                <w:color w:val="auto"/>
              </w:rPr>
            </w:pPr>
          </w:p>
        </w:tc>
        <w:tc>
          <w:tcPr>
            <w:tcW w:w="1400" w:type="dxa"/>
            <w:vAlign w:val="bottom"/>
          </w:tcPr>
          <w:p>
            <w:pPr>
              <w:jc w:val="center"/>
              <w:ind w:right="112"/>
              <w:spacing w:after="0"/>
              <w:rPr>
                <w:sz w:val="20"/>
                <w:szCs w:val="20"/>
                <w:color w:val="auto"/>
              </w:rPr>
            </w:pPr>
            <w:r>
              <w:rPr>
                <w:rFonts w:ascii="Arial" w:cs="Arial" w:eastAsia="Arial" w:hAnsi="Arial"/>
                <w:sz w:val="16"/>
                <w:szCs w:val="16"/>
                <w:b w:val="1"/>
                <w:bCs w:val="1"/>
                <w:color w:val="auto"/>
                <w:w w:val="94"/>
              </w:rPr>
              <w:t>March 31, 2015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center"/>
              <w:ind w:right="92"/>
              <w:spacing w:after="0"/>
              <w:rPr>
                <w:sz w:val="20"/>
                <w:szCs w:val="20"/>
                <w:color w:val="auto"/>
              </w:rPr>
            </w:pPr>
            <w:r>
              <w:rPr>
                <w:rFonts w:ascii="Arial" w:cs="Arial" w:eastAsia="Arial" w:hAnsi="Arial"/>
                <w:sz w:val="16"/>
                <w:szCs w:val="16"/>
                <w:b w:val="1"/>
                <w:bCs w:val="1"/>
                <w:color w:val="auto"/>
                <w:w w:val="94"/>
              </w:rPr>
              <w:t>March 31, 2016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89"/>
              </w:rPr>
              <w:t>2016</w:t>
            </w:r>
          </w:p>
        </w:tc>
      </w:tr>
      <w:tr>
        <w:trPr>
          <w:trHeight w:val="33"/>
        </w:trPr>
        <w:tc>
          <w:tcPr>
            <w:tcW w:w="114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gridSpan w:val="5"/>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11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00" w:type="dxa"/>
            <w:vAlign w:val="bottom"/>
            <w:gridSpan w:val="5"/>
          </w:tcPr>
          <w:p>
            <w:pPr>
              <w:jc w:val="right"/>
              <w:ind w:right="752"/>
              <w:spacing w:after="0"/>
              <w:rPr>
                <w:sz w:val="20"/>
                <w:szCs w:val="20"/>
                <w:color w:val="auto"/>
              </w:rPr>
            </w:pPr>
            <w:r>
              <w:rPr>
                <w:rFonts w:ascii="Arial" w:cs="Arial" w:eastAsia="Arial" w:hAnsi="Arial"/>
                <w:sz w:val="16"/>
                <w:szCs w:val="16"/>
                <w:b w:val="1"/>
                <w:bCs w:val="1"/>
                <w:color w:val="auto"/>
              </w:rPr>
              <w:t>(dollars in thousands)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3"/>
        </w:trPr>
        <w:tc>
          <w:tcPr>
            <w:tcW w:w="48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80" w:type="dxa"/>
            <w:vAlign w:val="bottom"/>
            <w:gridSpan w:val="3"/>
          </w:tcPr>
          <w:p>
            <w:pPr>
              <w:spacing w:after="0"/>
              <w:rPr>
                <w:sz w:val="2"/>
                <w:szCs w:val="2"/>
                <w:color w:val="auto"/>
              </w:rPr>
            </w:pPr>
          </w:p>
        </w:tc>
        <w:tc>
          <w:tcPr>
            <w:tcW w:w="142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1360" w:type="dxa"/>
            <w:vAlign w:val="bottom"/>
            <w:gridSpan w:val="3"/>
          </w:tcPr>
          <w:p>
            <w:pPr>
              <w:spacing w:after="0"/>
              <w:rPr>
                <w:sz w:val="2"/>
                <w:szCs w:val="2"/>
                <w:color w:val="auto"/>
              </w:rPr>
            </w:pPr>
          </w:p>
        </w:tc>
      </w:tr>
      <w:tr>
        <w:trPr>
          <w:trHeight w:val="25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14,060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3,450</w:t>
            </w:r>
          </w:p>
        </w:tc>
        <w:tc>
          <w:tcPr>
            <w:tcW w:w="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3,440</w:t>
            </w:r>
          </w:p>
        </w:tc>
        <w:tc>
          <w:tcPr>
            <w:tcW w:w="340" w:type="dxa"/>
            <w:vAlign w:val="bottom"/>
            <w:tcBorders>
              <w:bottom w:val="single" w:sz="8" w:color="CCEEFF"/>
            </w:tcBorders>
            <w:gridSpan w:val="2"/>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14,050</w:t>
            </w:r>
          </w:p>
        </w:tc>
      </w:tr>
      <w:tr>
        <w:trPr>
          <w:trHeight w:val="243"/>
        </w:trPr>
        <w:tc>
          <w:tcPr>
            <w:tcW w:w="4820" w:type="dxa"/>
            <w:vAlign w:val="bottom"/>
            <w:gridSpan w:val="2"/>
          </w:tcPr>
          <w:p>
            <w:pPr>
              <w:ind w:left="40"/>
              <w:spacing w:after="0"/>
              <w:rPr>
                <w:sz w:val="20"/>
                <w:szCs w:val="20"/>
                <w:color w:val="auto"/>
              </w:rPr>
            </w:pPr>
            <w:r>
              <w:rPr>
                <w:rFonts w:ascii="Arial" w:cs="Arial" w:eastAsia="Arial" w:hAnsi="Arial"/>
                <w:sz w:val="18"/>
                <w:szCs w:val="18"/>
                <w:color w:val="auto"/>
              </w:rPr>
              <w:t>Bank stipulated adjustments:</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48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gridSpan w:val="3"/>
          </w:tcPr>
          <w:p>
            <w:pPr>
              <w:spacing w:after="0"/>
              <w:rPr>
                <w:sz w:val="2"/>
                <w:szCs w:val="2"/>
                <w:color w:val="auto"/>
              </w:rPr>
            </w:pPr>
          </w:p>
        </w:tc>
      </w:tr>
      <w:tr>
        <w:trPr>
          <w:trHeight w:val="250"/>
        </w:trPr>
        <w:tc>
          <w:tcPr>
            <w:tcW w:w="48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Interest income</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(470)</w:t>
            </w:r>
          </w:p>
        </w:tc>
      </w:tr>
      <w:tr>
        <w:trPr>
          <w:trHeight w:val="229"/>
        </w:trPr>
        <w:tc>
          <w:tcPr>
            <w:tcW w:w="4820" w:type="dxa"/>
            <w:vAlign w:val="bottom"/>
            <w:gridSpan w:val="2"/>
          </w:tcPr>
          <w:p>
            <w:pPr>
              <w:ind w:left="280"/>
              <w:spacing w:after="0"/>
              <w:rPr>
                <w:sz w:val="20"/>
                <w:szCs w:val="20"/>
                <w:color w:val="auto"/>
              </w:rPr>
            </w:pPr>
            <w:r>
              <w:rPr>
                <w:rFonts w:ascii="Arial" w:cs="Arial" w:eastAsia="Arial" w:hAnsi="Arial"/>
                <w:sz w:val="18"/>
                <w:szCs w:val="18"/>
                <w:color w:val="auto"/>
                <w:w w:val="97"/>
              </w:rPr>
              <w:t>Non-cash amounts attributable to amortization of financing</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4820" w:type="dxa"/>
            <w:vAlign w:val="bottom"/>
            <w:gridSpan w:val="2"/>
          </w:tcPr>
          <w:p>
            <w:pPr>
              <w:ind w:left="280"/>
              <w:spacing w:after="0"/>
              <w:rPr>
                <w:sz w:val="20"/>
                <w:szCs w:val="20"/>
                <w:color w:val="auto"/>
              </w:rPr>
            </w:pPr>
            <w:r>
              <w:rPr>
                <w:rFonts w:ascii="Arial" w:cs="Arial" w:eastAsia="Arial" w:hAnsi="Arial"/>
                <w:sz w:val="18"/>
                <w:szCs w:val="18"/>
                <w:color w:val="auto"/>
              </w:rPr>
              <w:t>costs</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(1,700)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(510)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gridSpan w:val="3"/>
          </w:tcPr>
          <w:p>
            <w:pPr>
              <w:jc w:val="right"/>
              <w:ind w:right="40"/>
              <w:spacing w:after="0"/>
              <w:rPr>
                <w:sz w:val="20"/>
                <w:szCs w:val="20"/>
                <w:color w:val="auto"/>
              </w:rPr>
            </w:pPr>
            <w:r>
              <w:rPr>
                <w:rFonts w:ascii="Arial" w:cs="Arial" w:eastAsia="Arial" w:hAnsi="Arial"/>
                <w:sz w:val="18"/>
                <w:szCs w:val="18"/>
                <w:color w:val="auto"/>
              </w:rPr>
              <w:t>(1,530)</w:t>
            </w:r>
          </w:p>
        </w:tc>
      </w:tr>
      <w:tr>
        <w:trPr>
          <w:trHeight w:val="27"/>
        </w:trPr>
        <w:tc>
          <w:tcPr>
            <w:tcW w:w="48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gridSpan w:val="3"/>
          </w:tcPr>
          <w:p>
            <w:pPr>
              <w:spacing w:after="0"/>
              <w:rPr>
                <w:sz w:val="2"/>
                <w:szCs w:val="2"/>
                <w:color w:val="auto"/>
              </w:rPr>
            </w:pPr>
          </w:p>
        </w:tc>
      </w:tr>
      <w:tr>
        <w:trPr>
          <w:trHeight w:val="270"/>
        </w:trPr>
        <w:tc>
          <w:tcPr>
            <w:tcW w:w="48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Pro forma adjustment for acquisitions and dispositions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90</w:t>
            </w:r>
          </w:p>
        </w:tc>
      </w:tr>
      <w:tr>
        <w:trPr>
          <w:trHeight w:val="257"/>
        </w:trPr>
        <w:tc>
          <w:tcPr>
            <w:tcW w:w="4820" w:type="dxa"/>
            <w:vAlign w:val="bottom"/>
            <w:gridSpan w:val="2"/>
          </w:tcPr>
          <w:p>
            <w:pPr>
              <w:ind w:left="40"/>
              <w:spacing w:after="0"/>
              <w:rPr>
                <w:sz w:val="20"/>
                <w:szCs w:val="20"/>
                <w:color w:val="auto"/>
              </w:rPr>
            </w:pPr>
            <w:r>
              <w:rPr>
                <w:rFonts w:ascii="Arial" w:cs="Arial" w:eastAsia="Arial" w:hAnsi="Arial"/>
                <w:sz w:val="18"/>
                <w:szCs w:val="18"/>
                <w:color w:val="auto"/>
              </w:rPr>
              <w:t>Total Consolidated Cash Interest Expense, as defined</w:t>
            </w:r>
          </w:p>
        </w:tc>
        <w:tc>
          <w:tcPr>
            <w:tcW w:w="2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12,070</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2,930</w:t>
            </w:r>
          </w:p>
        </w:tc>
        <w:tc>
          <w:tcPr>
            <w:tcW w:w="100" w:type="dxa"/>
            <w:vAlign w:val="bottom"/>
            <w:gridSpan w:val="2"/>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12,140</w:t>
            </w:r>
          </w:p>
        </w:tc>
      </w:tr>
      <w:tr>
        <w:trPr>
          <w:trHeight w:val="20"/>
        </w:trPr>
        <w:tc>
          <w:tcPr>
            <w:tcW w:w="11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581"/>
        </w:trPr>
        <w:tc>
          <w:tcPr>
            <w:tcW w:w="11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jc w:val="right"/>
              <w:ind w:right="431"/>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0" w:lineRule="exact"/>
        <w:rPr>
          <w:sz w:val="20"/>
          <w:szCs w:val="20"/>
          <w:color w:val="auto"/>
        </w:rPr>
      </w:pPr>
    </w:p>
    <w:tbl>
      <w:tblPr>
        <w:tblLayout w:type="fixed"/>
        <w:tblInd w:w="1140" w:type="dxa"/>
        <w:tblCellMar>
          <w:top w:w="0" w:type="dxa"/>
          <w:left w:w="0" w:type="dxa"/>
          <w:bottom w:w="0" w:type="dxa"/>
          <w:right w:w="0" w:type="dxa"/>
        </w:tblCellMar>
      </w:tblPr>
      <w:tr>
        <w:trPr>
          <w:trHeight w:val="210"/>
        </w:trPr>
        <w:tc>
          <w:tcPr>
            <w:tcW w:w="6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tcPr>
          <w:p>
            <w:pPr>
              <w:jc w:val="right"/>
              <w:ind w:right="393"/>
              <w:spacing w:after="0"/>
              <w:rPr>
                <w:sz w:val="20"/>
                <w:szCs w:val="20"/>
                <w:color w:val="auto"/>
              </w:rPr>
            </w:pPr>
            <w:r>
              <w:rPr>
                <w:rFonts w:ascii="Arial" w:cs="Arial" w:eastAsia="Arial" w:hAnsi="Arial"/>
                <w:sz w:val="16"/>
                <w:szCs w:val="16"/>
                <w:b w:val="1"/>
                <w:bCs w:val="1"/>
                <w:color w:val="auto"/>
              </w:rPr>
              <w:t>March 31, 2016</w:t>
            </w:r>
          </w:p>
        </w:tc>
        <w:tc>
          <w:tcPr>
            <w:tcW w:w="180" w:type="dxa"/>
            <w:vAlign w:val="bottom"/>
          </w:tcPr>
          <w:p>
            <w:pPr>
              <w:spacing w:after="0"/>
              <w:rPr>
                <w:sz w:val="18"/>
                <w:szCs w:val="18"/>
                <w:color w:val="auto"/>
              </w:rPr>
            </w:pPr>
          </w:p>
        </w:tc>
      </w:tr>
      <w:tr>
        <w:trPr>
          <w:trHeight w:val="33"/>
        </w:trPr>
        <w:tc>
          <w:tcPr>
            <w:tcW w:w="69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r>
      <w:tr>
        <w:trPr>
          <w:trHeight w:val="217"/>
        </w:trPr>
        <w:tc>
          <w:tcPr>
            <w:tcW w:w="6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tcPr>
          <w:p>
            <w:pPr>
              <w:jc w:val="right"/>
              <w:ind w:right="173"/>
              <w:spacing w:after="0"/>
              <w:rPr>
                <w:sz w:val="20"/>
                <w:szCs w:val="20"/>
                <w:color w:val="auto"/>
              </w:rPr>
            </w:pPr>
            <w:r>
              <w:rPr>
                <w:rFonts w:ascii="Arial" w:cs="Arial" w:eastAsia="Arial" w:hAnsi="Arial"/>
                <w:sz w:val="16"/>
                <w:szCs w:val="16"/>
                <w:b w:val="1"/>
                <w:bCs w:val="1"/>
                <w:color w:val="auto"/>
                <w:w w:val="93"/>
              </w:rPr>
              <w:t>(dollars in thousands)</w:t>
            </w:r>
          </w:p>
        </w:tc>
        <w:tc>
          <w:tcPr>
            <w:tcW w:w="180" w:type="dxa"/>
            <w:vAlign w:val="bottom"/>
          </w:tcPr>
          <w:p>
            <w:pPr>
              <w:spacing w:after="0"/>
              <w:rPr>
                <w:sz w:val="18"/>
                <w:szCs w:val="18"/>
                <w:color w:val="auto"/>
              </w:rPr>
            </w:pPr>
          </w:p>
        </w:tc>
      </w:tr>
      <w:tr>
        <w:trPr>
          <w:trHeight w:val="33"/>
        </w:trPr>
        <w:tc>
          <w:tcPr>
            <w:tcW w:w="6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Consolidated Bank EBITDA, as defined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147,660</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6960" w:type="dxa"/>
            <w:vAlign w:val="bottom"/>
          </w:tcPr>
          <w:p>
            <w:pPr>
              <w:ind w:left="20"/>
              <w:spacing w:after="0"/>
              <w:rPr>
                <w:sz w:val="20"/>
                <w:szCs w:val="20"/>
                <w:color w:val="auto"/>
              </w:rPr>
            </w:pPr>
            <w:r>
              <w:rPr>
                <w:rFonts w:ascii="Arial" w:cs="Arial" w:eastAsia="Arial" w:hAnsi="Arial"/>
                <w:sz w:val="18"/>
                <w:szCs w:val="18"/>
                <w:color w:val="auto"/>
              </w:rPr>
              <w:t>Total Consolidated Cash Interest Expense, as defined</w:t>
            </w:r>
          </w:p>
        </w:tc>
        <w:tc>
          <w:tcPr>
            <w:tcW w:w="18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12,140</w:t>
            </w:r>
          </w:p>
        </w:tc>
        <w:tc>
          <w:tcPr>
            <w:tcW w:w="180" w:type="dxa"/>
            <w:vAlign w:val="bottom"/>
          </w:tcPr>
          <w:p>
            <w:pPr>
              <w:spacing w:after="0"/>
              <w:rPr>
                <w:sz w:val="21"/>
                <w:szCs w:val="21"/>
                <w:color w:val="auto"/>
              </w:rPr>
            </w:pPr>
          </w:p>
        </w:tc>
      </w:tr>
      <w:tr>
        <w:trPr>
          <w:trHeight w:val="27"/>
        </w:trPr>
        <w:tc>
          <w:tcPr>
            <w:tcW w:w="69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r>
      <w:tr>
        <w:trPr>
          <w:trHeight w:val="264"/>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Actual interest expense coverage ratio</w:t>
            </w:r>
          </w:p>
        </w:tc>
        <w:tc>
          <w:tcPr>
            <w:tcW w:w="18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12.16</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x</w:t>
            </w:r>
          </w:p>
        </w:tc>
      </w:tr>
      <w:tr>
        <w:trPr>
          <w:trHeight w:val="257"/>
        </w:trPr>
        <w:tc>
          <w:tcPr>
            <w:tcW w:w="6960" w:type="dxa"/>
            <w:vAlign w:val="bottom"/>
          </w:tcPr>
          <w:p>
            <w:pPr>
              <w:ind w:left="20"/>
              <w:spacing w:after="0"/>
              <w:rPr>
                <w:sz w:val="20"/>
                <w:szCs w:val="20"/>
                <w:color w:val="auto"/>
              </w:rPr>
            </w:pPr>
            <w:r>
              <w:rPr>
                <w:rFonts w:ascii="Arial" w:cs="Arial" w:eastAsia="Arial" w:hAnsi="Arial"/>
                <w:sz w:val="18"/>
                <w:szCs w:val="18"/>
                <w:color w:val="auto"/>
              </w:rPr>
              <w:t>Covenant requirement</w:t>
            </w:r>
          </w:p>
        </w:tc>
        <w:tc>
          <w:tcPr>
            <w:tcW w:w="180" w:type="dxa"/>
            <w:vAlign w:val="bottom"/>
            <w:tcBorders>
              <w:top w:val="single" w:sz="8" w:color="auto"/>
              <w:bottom w:val="single" w:sz="8" w:color="auto"/>
            </w:tcBorders>
          </w:tcPr>
          <w:p>
            <w:pPr>
              <w:spacing w:after="0"/>
              <w:rPr>
                <w:sz w:val="22"/>
                <w:szCs w:val="22"/>
                <w:color w:val="auto"/>
              </w:rPr>
            </w:pP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180" w:type="dxa"/>
            <w:vAlign w:val="bottom"/>
          </w:tcPr>
          <w:p>
            <w:pPr>
              <w:ind w:left="20"/>
              <w:spacing w:after="0"/>
              <w:rPr>
                <w:sz w:val="20"/>
                <w:szCs w:val="20"/>
                <w:color w:val="auto"/>
              </w:rPr>
            </w:pPr>
            <w:r>
              <w:rPr>
                <w:rFonts w:ascii="Arial" w:cs="Arial" w:eastAsia="Arial" w:hAnsi="Arial"/>
                <w:sz w:val="18"/>
                <w:szCs w:val="18"/>
                <w:color w:val="auto"/>
              </w:rPr>
              <w:t>x</w:t>
            </w:r>
          </w:p>
        </w:tc>
      </w:tr>
      <w:tr>
        <w:trPr>
          <w:trHeight w:val="20"/>
        </w:trPr>
        <w:tc>
          <w:tcPr>
            <w:tcW w:w="6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275" w:lineRule="exact"/>
        <w:rPr>
          <w:sz w:val="20"/>
          <w:szCs w:val="20"/>
          <w:color w:val="auto"/>
        </w:rPr>
      </w:pPr>
    </w:p>
    <w:p>
      <w:pPr>
        <w:ind w:left="180" w:hanging="172"/>
        <w:spacing w:after="0"/>
        <w:tabs>
          <w:tab w:leader="none" w:pos="180" w:val="left"/>
        </w:tabs>
        <w:numPr>
          <w:ilvl w:val="0"/>
          <w:numId w:val="8"/>
        </w:numPr>
        <w:rPr>
          <w:rFonts w:ascii="Arial" w:cs="Arial" w:eastAsia="Arial" w:hAnsi="Arial"/>
          <w:sz w:val="9"/>
          <w:szCs w:val="9"/>
          <w:color w:val="auto"/>
        </w:rPr>
      </w:pPr>
      <w:r>
        <w:rPr>
          <w:rFonts w:ascii="Arial" w:cs="Arial" w:eastAsia="Arial" w:hAnsi="Arial"/>
          <w:sz w:val="14"/>
          <w:szCs w:val="14"/>
          <w:color w:val="auto"/>
        </w:rPr>
        <w:t>Non-cash compensation expenses resulting from the grant of restricted shares and units of common stock and common stock options.</w:t>
      </w:r>
    </w:p>
    <w:p>
      <w:pPr>
        <w:spacing w:after="0" w:line="271" w:lineRule="exact"/>
        <w:rPr>
          <w:rFonts w:ascii="Arial" w:cs="Arial" w:eastAsia="Arial" w:hAnsi="Arial"/>
          <w:sz w:val="9"/>
          <w:szCs w:val="9"/>
          <w:color w:val="auto"/>
        </w:rPr>
      </w:pPr>
    </w:p>
    <w:p>
      <w:pPr>
        <w:ind w:left="180" w:hanging="172"/>
        <w:spacing w:after="0" w:line="273" w:lineRule="auto"/>
        <w:tabs>
          <w:tab w:leader="none" w:pos="180" w:val="left"/>
        </w:tabs>
        <w:numPr>
          <w:ilvl w:val="0"/>
          <w:numId w:val="8"/>
        </w:numPr>
        <w:rPr>
          <w:rFonts w:ascii="Arial" w:cs="Arial" w:eastAsia="Arial" w:hAnsi="Arial"/>
          <w:sz w:val="9"/>
          <w:szCs w:val="9"/>
          <w:color w:val="auto"/>
        </w:rPr>
      </w:pPr>
      <w:r>
        <w:rPr>
          <w:rFonts w:ascii="Arial" w:cs="Arial" w:eastAsia="Arial" w:hAnsi="Arial"/>
          <w:sz w:val="14"/>
          <w:szCs w:val="14"/>
          <w:color w:val="auto"/>
        </w:rPr>
        <w:t>Non-recurring costs and expenses relating to cost savings projects, including restructuring and severance expenses, not to exceed $15.0 million in any fiscal year and $40.0 million in aggregate, subsequent to June 30, 2015.</w:t>
      </w:r>
    </w:p>
    <w:p>
      <w:pPr>
        <w:spacing w:after="0" w:line="227" w:lineRule="exact"/>
        <w:rPr>
          <w:rFonts w:ascii="Arial" w:cs="Arial" w:eastAsia="Arial" w:hAnsi="Arial"/>
          <w:sz w:val="9"/>
          <w:szCs w:val="9"/>
          <w:color w:val="auto"/>
        </w:rPr>
      </w:pPr>
    </w:p>
    <w:p>
      <w:pPr>
        <w:ind w:left="180" w:hanging="172"/>
        <w:spacing w:after="0"/>
        <w:tabs>
          <w:tab w:leader="none" w:pos="180" w:val="left"/>
        </w:tabs>
        <w:numPr>
          <w:ilvl w:val="0"/>
          <w:numId w:val="8"/>
        </w:numPr>
        <w:rPr>
          <w:rFonts w:ascii="Arial" w:cs="Arial" w:eastAsia="Arial" w:hAnsi="Arial"/>
          <w:sz w:val="9"/>
          <w:szCs w:val="9"/>
          <w:color w:val="auto"/>
        </w:rPr>
      </w:pPr>
      <w:r>
        <w:rPr>
          <w:rFonts w:ascii="Arial" w:cs="Arial" w:eastAsia="Arial" w:hAnsi="Arial"/>
          <w:sz w:val="14"/>
          <w:szCs w:val="14"/>
          <w:color w:val="auto"/>
        </w:rPr>
        <w:t>Costs and expenses arising from the integration of any business acquired not to exceed $15.0 million in any fiscal year and $40.0 million in the aggregate.</w:t>
      </w:r>
    </w:p>
    <w:p>
      <w:pPr>
        <w:spacing w:after="0" w:line="271" w:lineRule="exact"/>
        <w:rPr>
          <w:rFonts w:ascii="Arial" w:cs="Arial" w:eastAsia="Arial" w:hAnsi="Arial"/>
          <w:sz w:val="9"/>
          <w:szCs w:val="9"/>
          <w:color w:val="auto"/>
        </w:rPr>
      </w:pPr>
    </w:p>
    <w:p>
      <w:pPr>
        <w:ind w:left="180" w:hanging="172"/>
        <w:spacing w:after="0"/>
        <w:tabs>
          <w:tab w:leader="none" w:pos="180" w:val="left"/>
        </w:tabs>
        <w:numPr>
          <w:ilvl w:val="0"/>
          <w:numId w:val="8"/>
        </w:numPr>
        <w:rPr>
          <w:rFonts w:ascii="Arial" w:cs="Arial" w:eastAsia="Arial" w:hAnsi="Arial"/>
          <w:sz w:val="9"/>
          <w:szCs w:val="9"/>
          <w:color w:val="auto"/>
        </w:rPr>
      </w:pPr>
      <w:r>
        <w:rPr>
          <w:rFonts w:ascii="Arial" w:cs="Arial" w:eastAsia="Arial" w:hAnsi="Arial"/>
          <w:sz w:val="14"/>
          <w:szCs w:val="14"/>
          <w:color w:val="auto"/>
        </w:rPr>
        <w:t>Costs incurred with refinancing our credit facilities.</w:t>
      </w:r>
    </w:p>
    <w:p>
      <w:pPr>
        <w:spacing w:after="0" w:line="271" w:lineRule="exact"/>
        <w:rPr>
          <w:rFonts w:ascii="Arial" w:cs="Arial" w:eastAsia="Arial" w:hAnsi="Arial"/>
          <w:sz w:val="9"/>
          <w:szCs w:val="9"/>
          <w:color w:val="auto"/>
        </w:rPr>
      </w:pPr>
    </w:p>
    <w:p>
      <w:pPr>
        <w:ind w:left="180" w:hanging="172"/>
        <w:spacing w:after="0"/>
        <w:tabs>
          <w:tab w:leader="none" w:pos="180" w:val="left"/>
        </w:tabs>
        <w:numPr>
          <w:ilvl w:val="0"/>
          <w:numId w:val="8"/>
        </w:numPr>
        <w:rPr>
          <w:rFonts w:ascii="Arial" w:cs="Arial" w:eastAsia="Arial" w:hAnsi="Arial"/>
          <w:sz w:val="9"/>
          <w:szCs w:val="9"/>
          <w:color w:val="auto"/>
        </w:rPr>
      </w:pPr>
      <w:r>
        <w:rPr>
          <w:rFonts w:ascii="Arial" w:cs="Arial" w:eastAsia="Arial" w:hAnsi="Arial"/>
          <w:sz w:val="14"/>
          <w:szCs w:val="14"/>
          <w:color w:val="auto"/>
        </w:rPr>
        <w:t>EBITDA from permitted dispositions, as defined.</w:t>
      </w:r>
    </w:p>
    <w:p>
      <w:pPr>
        <w:spacing w:after="0" w:line="271" w:lineRule="exact"/>
        <w:rPr>
          <w:rFonts w:ascii="Arial" w:cs="Arial" w:eastAsia="Arial" w:hAnsi="Arial"/>
          <w:sz w:val="9"/>
          <w:szCs w:val="9"/>
          <w:color w:val="auto"/>
        </w:rPr>
      </w:pPr>
    </w:p>
    <w:p>
      <w:pPr>
        <w:ind w:left="180" w:hanging="172"/>
        <w:spacing w:after="0"/>
        <w:tabs>
          <w:tab w:leader="none" w:pos="180" w:val="left"/>
        </w:tabs>
        <w:numPr>
          <w:ilvl w:val="0"/>
          <w:numId w:val="8"/>
        </w:numPr>
        <w:rPr>
          <w:rFonts w:ascii="Arial" w:cs="Arial" w:eastAsia="Arial" w:hAnsi="Arial"/>
          <w:sz w:val="9"/>
          <w:szCs w:val="9"/>
          <w:color w:val="auto"/>
        </w:rPr>
      </w:pPr>
      <w:r>
        <w:rPr>
          <w:rFonts w:ascii="Arial" w:cs="Arial" w:eastAsia="Arial" w:hAnsi="Arial"/>
          <w:sz w:val="14"/>
          <w:szCs w:val="14"/>
          <w:color w:val="auto"/>
        </w:rPr>
        <w:t>Includes $6.5 million of acquisition deferred purchase price.</w:t>
      </w:r>
    </w:p>
    <w:p>
      <w:pPr>
        <w:spacing w:after="0" w:line="27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Another important source of liquidity is our $75.0 million accounts receivable facility, under which we have the ability to sell eligible accounts receivable to a third-party multi-seller receivables funding company. Our available liquidity under our accounts receivable facility has ranged from $54 million to $69 million over the nine months following the Cequent spin-off, depending on the level of our receivables outstanding at a given point in time during that period. We had approximately $54.0 million and $53.6 million outstanding under the facility as of March 31, 2016 and December 31, 2015. No amounts were available but not utilized as of March 31, 2016, and $7.1 million was available but not utilized as of December 31, 2015. At March 31, 2016, we had approximately $121.2 million outstanding under our revolving credit facility and had approximately $360.7 million potentially available after giving effect to approximately $18.1 million of letters of credit issued and outstanding. At December 31, 2015, we had approximately $100.3 million outstanding under our revolving credit facility and had approximately $378.1 million potentially available after giving effect to approximately $21.6 million of letters of credit issued and outstanding. The letters of credit are used for a variety of purposes, including support of certain operating lease agreements, vendor payment terms and other subsidiary operating activities, and to meet various states' requirements to self-insure workers' compensation claims, including incurred but not reported claims. Including availability under our accounts receivable facility and after consideration of leverage restrictions contained in the Credit Agreement, as of March 31, 2016 and December 31, 2015, we had approximately $66.8 million and $107.4 million, respectively, of borrowing capacity available for general corporate purposes.</w:t>
      </w:r>
    </w:p>
    <w:p>
      <w:pPr>
        <w:spacing w:after="0" w:line="24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rely upon our cash flow from operations and available liquidity under our revolving credit and accounts receivable facilities to fund our debt service obligations and other contractual commitments, working capital and capital expenditure requirements. At the end of each quarter, we use cash on hand from our domestic and foreign subsidiaries to pay down amounts outstanding under our revolving credit and accounts receivable facilities.</w:t>
      </w:r>
    </w:p>
    <w:p>
      <w:pPr>
        <w:spacing w:after="0" w:line="22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combined weighted average monthly amounts outstanding on our Credit Agreement and our accounts receivable facility during the first three months of 2016 approximated $474.8 million, compared to the weighted average monthly amounts outstanding during the first three months of 2015 of approximately $743.9 million. The overall decrease is due primarily to the distribution received from the Cequent spin-off in June 2015.</w:t>
      </w:r>
    </w:p>
    <w:p>
      <w:pPr>
        <w:spacing w:after="0" w:line="22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Cash management related to our revolving credit and accounts receivable facilities is centralized. We monitor our cash position and available liquidity on a daily basis and forecast our cash needs on a weekly basis within the current quarter and on a monthly basis outside the current quarter over the remainder of the year. Our business and related cash forecasts are updated monthly. While the majority of our cash on hand as of March 31, 2016 is located in jurisdictions outside the U.S., given aggregate available funding under our revolving credit and accounts receivable facilities of $66.8 million at March 31, 2016, after consideration of the aforementioned leverage restrictions, and based on forecasted cash sources and requirements inherent in our business plans, we believe that our liquidity and capital resources, including anticipated cash flows from operations, will be sufficient to meet our debt service, capital expenditure and other short-term and long-term obligation needs for the foreseeable future.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exposure to interest rate risk results from the variable rates under our Credit Agreement. Borrowings under the Credit Agreement bear interest, at various rates, as more fully described in Note 7, "</w:t>
      </w:r>
      <w:r>
        <w:rPr>
          <w:rFonts w:ascii="Arial" w:cs="Arial" w:eastAsia="Arial" w:hAnsi="Arial"/>
          <w:sz w:val="16"/>
          <w:szCs w:val="16"/>
          <w:i w:val="1"/>
          <w:iCs w:val="1"/>
          <w:color w:val="auto"/>
        </w:rPr>
        <w:t>Long-term Debt</w:t>
      </w:r>
      <w:r>
        <w:rPr>
          <w:rFonts w:ascii="Arial" w:cs="Arial" w:eastAsia="Arial" w:hAnsi="Arial"/>
          <w:sz w:val="16"/>
          <w:szCs w:val="16"/>
          <w:color w:val="auto"/>
        </w:rPr>
        <w:t>," to our consolidated financial statements included in Part I, Item 1 of this quarterly report on Form 10-Q. We use interest rate swap agreements to fix the LIBOR-based variable portion of the interest rates on our term loan facility. As of March 31, 2016, we had interest rate swap agreements in place that hedge a notional amount of debt ranging from approximately $251.5 million to approximately $192.7 million, with established fixed interest rates in a range of 0.74% to 2.68%, with various expiration terms extending to June 30, 2020.</w:t>
      </w:r>
    </w:p>
    <w:p>
      <w:pPr>
        <w:spacing w:after="0" w:line="21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are subject to variable interest rates on our term loan and revolving credit facility. At March 31, 2016, 1-Month LIBOR approximated 0.43%. Based on our variable rate-based borrowings outstanding at March 31, 2016, and after consideration of the interest rate swap agreement associated with our term loan A, a 1% increase in the per annum interest rate would increase our interest expense by approximately $3.0 million annually.</w:t>
      </w:r>
    </w:p>
    <w:p>
      <w:pPr>
        <w:spacing w:after="0" w:line="22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Principal payments required under the Credit Agreement for the Term Loan A Facility are $3.4 million due each fiscal quarter from December 2015 through September 2018 and approximately $5.2 million due each fiscal quarter from December 2018 through March 2020, with final payment of $202.8 million due on June 30, 2020.</w:t>
      </w:r>
    </w:p>
    <w:p>
      <w:pPr>
        <w:spacing w:after="0" w:line="2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our long-term debt, we have other cash commitments related to leases. We account for these lease transactions as operating leases and annual rent expense for continuing operations related thereto approximated $17.2 million in 2015. We expect to continue to utilize leasing as a financing strategy in the future to meet capital expenditure needs and to reduce debt levels.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conduct business in various locations throughout the world and are subject to market risk due to changes in the value of foreign currencies. The functional currencies of our foreign subsidiaries are primarily the local currency in the country of domicile. We manage these operating activities at the local level and revenues and costs are generally denominated in local currencies; however, results of operations and assets and liabilities reported in U.S. dollars will fluctuate with changes in exchange rates between such local currencies and the U.S. dollar. We may use derivative financial instruments to manage currency risks associated with our procurement activities denominated in currencies other than the functional currency of our subsidiaries and the impact of currency rate volatility on our earnings.</w:t>
      </w:r>
    </w:p>
    <w:p>
      <w:pPr>
        <w:spacing w:after="0" w:line="2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also subject to interest risk as it relates to our long-term debt. We use interest rate swap agreements to fix a portion of our variable rate debt to manage this risk. See Note 8, "</w:t>
      </w:r>
      <w:r>
        <w:rPr>
          <w:rFonts w:ascii="Arial" w:cs="Arial" w:eastAsia="Arial" w:hAnsi="Arial"/>
          <w:sz w:val="18"/>
          <w:szCs w:val="18"/>
          <w:i w:val="1"/>
          <w:iCs w:val="1"/>
          <w:color w:val="auto"/>
        </w:rPr>
        <w:t>Derivative Instruments</w:t>
      </w:r>
      <w:r>
        <w:rPr>
          <w:rFonts w:ascii="Arial" w:cs="Arial" w:eastAsia="Arial" w:hAnsi="Arial"/>
          <w:sz w:val="18"/>
          <w:szCs w:val="18"/>
          <w:color w:val="auto"/>
        </w:rPr>
        <w:t>," included in Part 1, Item 1, "</w:t>
      </w:r>
      <w:r>
        <w:rPr>
          <w:rFonts w:ascii="Arial" w:cs="Arial" w:eastAsia="Arial" w:hAnsi="Arial"/>
          <w:sz w:val="18"/>
          <w:szCs w:val="18"/>
          <w:i w:val="1"/>
          <w:iCs w:val="1"/>
          <w:color w:val="auto"/>
        </w:rPr>
        <w:t>Notes to Unaudited Consolidated Financial Statements</w:t>
      </w:r>
      <w:r>
        <w:rPr>
          <w:rFonts w:ascii="Arial" w:cs="Arial" w:eastAsia="Arial" w:hAnsi="Arial"/>
          <w:sz w:val="18"/>
          <w:szCs w:val="18"/>
          <w:color w:val="auto"/>
        </w:rPr>
        <w:t>," within this quarterly report on Form 10-Q.</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TriMas is listed in the NASDAQ Global Select Market</w:t>
      </w:r>
      <w:r>
        <w:rPr>
          <w:rFonts w:ascii="Arial" w:cs="Arial" w:eastAsia="Arial" w:hAnsi="Arial"/>
          <w:sz w:val="18"/>
          <w:szCs w:val="18"/>
          <w:color w:val="auto"/>
          <w:vertAlign w:val="superscript"/>
        </w:rPr>
        <w:t>SM</w:t>
      </w:r>
      <w:r>
        <w:rPr>
          <w:rFonts w:ascii="Arial" w:cs="Arial" w:eastAsia="Arial" w:hAnsi="Arial"/>
          <w:sz w:val="18"/>
          <w:szCs w:val="18"/>
          <w:color w:val="auto"/>
        </w:rPr>
        <w:t>. Our stock trades under the symbol "TRS."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Rating</w:t>
      </w:r>
    </w:p>
    <w:p>
      <w:pPr>
        <w:spacing w:after="0" w:line="28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We and certain of our outstanding debt obligations are rated by Standard &amp; Poor's and Moody's. On June 3, 2015, Moody's assigned a rating of Ba3 to our new senior secured credit facilities, as presented in Note 7, </w:t>
      </w:r>
      <w:r>
        <w:rPr>
          <w:rFonts w:ascii="Arial" w:cs="Arial" w:eastAsia="Arial" w:hAnsi="Arial"/>
          <w:sz w:val="17"/>
          <w:szCs w:val="17"/>
          <w:i w:val="1"/>
          <w:iCs w:val="1"/>
          <w:color w:val="auto"/>
        </w:rPr>
        <w:t>"Long-term Debt"</w:t>
      </w:r>
      <w:r>
        <w:rPr>
          <w:rFonts w:ascii="Arial" w:cs="Arial" w:eastAsia="Arial" w:hAnsi="Arial"/>
          <w:sz w:val="17"/>
          <w:szCs w:val="17"/>
          <w:color w:val="auto"/>
        </w:rPr>
        <w:t xml:space="preserve"> included in Item 1, </w:t>
      </w:r>
      <w:r>
        <w:rPr>
          <w:rFonts w:ascii="Arial" w:cs="Arial" w:eastAsia="Arial" w:hAnsi="Arial"/>
          <w:sz w:val="17"/>
          <w:szCs w:val="17"/>
          <w:i w:val="1"/>
          <w:iCs w:val="1"/>
          <w:color w:val="auto"/>
        </w:rPr>
        <w:t>"Consolidated Financial Statements"</w:t>
      </w:r>
      <w:r>
        <w:rPr>
          <w:rFonts w:ascii="Arial" w:cs="Arial" w:eastAsia="Arial" w:hAnsi="Arial"/>
          <w:sz w:val="17"/>
          <w:szCs w:val="17"/>
          <w:color w:val="auto"/>
        </w:rPr>
        <w:t xml:space="preserve"> within this Form 10-Q. Moody's downgraded our Corporate Family Rating to Ba3 from Ba2 and maintained our outlook as stable. On June 1, 2015, Standard &amp; Poor's affirmed a BB- corporate credit rating to our amended credit facilities and maintained our outlook as stable. If our credit ratings were to decline, our ability to access certain financial markets may become limited, our cost of borrowings may increase, the perception of us in the view of our customers, suppliers and security holders may worsen and as a result, we may be adversely affected.</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the current uncertain macroeconomic environment will persist in 2016, with continued significant external headwinds for many of our businesses, most notably due to lower oil prices, strengthening of the U.S. dollar relative to foreign currencies and weakness in industrial markets, all in a period with limited general economic growth expected. Our sales in the first quarter of 2016 were lower than sales in the first quarter of 2015, primarily due to these external headwinds.</w:t>
      </w:r>
    </w:p>
    <w:p>
      <w:pPr>
        <w:spacing w:after="0" w:line="24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While we attempt to mitigate the challenging external factors, we also continue to execute on internal projects and restructuring efforts across most of our businesses which we believe will drive future margin expansion, whether optimizing our footprint to move more production to our lower-cost facilities or pruning our product portfolios to deemphasize or no longer sell certain lower-margin products. We are also finalizing the implementation of our Financial Improvement Plan, from which we expect $22 million of annual run-rate cost savings across our businesses and our corporate office. We plan to execute on internal initiatives which we believe will enable us to navigate through the current challenging environment until demand levels and activity increase, and position us for improved profitability and ability to leverage our lower fixed cost structure with higher sales levels.</w:t>
      </w:r>
    </w:p>
    <w:p>
      <w:pPr>
        <w:sectPr>
          <w:pgSz w:w="11900" w:h="16838" w:orient="portrait"/>
          <w:cols w:equalWidth="0" w:num="1">
            <w:col w:w="11420"/>
          </w:cols>
          <w:pgMar w:left="240" w:top="125" w:right="239" w:bottom="1440" w:gutter="0" w:footer="0" w:header="0"/>
        </w:sect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125" w:right="239" w:bottom="1440" w:gutter="0" w:footer="0" w:header="0"/>
          <w:type w:val="continuous"/>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While the tactics we employ may differ between years, our strategic priorities remain consistent: drive profitable growth, enhance margins, optimize resource and capital allocations and be a workplace of choice for great people.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New Accounting Standards</w:t>
      </w:r>
    </w:p>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2, "</w:t>
      </w:r>
      <w:r>
        <w:rPr>
          <w:rFonts w:ascii="Arial" w:cs="Arial" w:eastAsia="Arial" w:hAnsi="Arial"/>
          <w:sz w:val="18"/>
          <w:szCs w:val="18"/>
          <w:i w:val="1"/>
          <w:iCs w:val="1"/>
          <w:color w:val="auto"/>
        </w:rPr>
        <w:t>New Accounting Pronouncements</w:t>
      </w:r>
      <w:r>
        <w:rPr>
          <w:rFonts w:ascii="Arial" w:cs="Arial" w:eastAsia="Arial" w:hAnsi="Arial"/>
          <w:sz w:val="18"/>
          <w:szCs w:val="18"/>
          <w:color w:val="auto"/>
        </w:rPr>
        <w:t>," included in Part 1, Item 1, "</w:t>
      </w:r>
      <w:r>
        <w:rPr>
          <w:rFonts w:ascii="Arial" w:cs="Arial" w:eastAsia="Arial" w:hAnsi="Arial"/>
          <w:sz w:val="18"/>
          <w:szCs w:val="18"/>
          <w:i w:val="1"/>
          <w:iCs w:val="1"/>
          <w:color w:val="auto"/>
        </w:rPr>
        <w:t>Notes to Unaudited Consolidated Financial Statements</w:t>
      </w:r>
      <w:r>
        <w:rPr>
          <w:rFonts w:ascii="Arial" w:cs="Arial" w:eastAsia="Arial" w:hAnsi="Arial"/>
          <w:sz w:val="18"/>
          <w:szCs w:val="18"/>
          <w:color w:val="auto"/>
        </w:rPr>
        <w:t>," within this quarterly report on Form 10-Q.</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8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Certain of our accounting policies require the application of significant judgment by management in selecting the appropriate assumptions for calculating financial estimates. By their nature, these judgments are subject to an inherent degree of uncertainty. These judgments are based on our historical experience, our evaluation of business and macroeconomic trends, and information from other outside sources, as appropriate.</w:t>
      </w:r>
    </w:p>
    <w:p>
      <w:pPr>
        <w:spacing w:after="0" w:line="22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quarter ended March 31, 2016, there were no material changes to the items that we disclosed as our critical accounting policies in Part II, Item 7,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in the Annual Report on Form 10-K for the year ended December 31, 2015.</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normal course of business, we are exposed to market risk associated with fluctuations in foreign currency exchange rates. We are also subject to interest risk as it relates to long-term debt. See Part I, Item 2,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for details about our primary market risks, and the objectives and strategies used to manage these risks. Also see Note 7, "</w:t>
      </w:r>
      <w:r>
        <w:rPr>
          <w:rFonts w:ascii="Arial" w:cs="Arial" w:eastAsia="Arial" w:hAnsi="Arial"/>
          <w:sz w:val="18"/>
          <w:szCs w:val="18"/>
          <w:i w:val="1"/>
          <w:iCs w:val="1"/>
          <w:color w:val="auto"/>
        </w:rPr>
        <w:t>Long-term Debt</w:t>
      </w:r>
      <w:r>
        <w:rPr>
          <w:rFonts w:ascii="Arial" w:cs="Arial" w:eastAsia="Arial" w:hAnsi="Arial"/>
          <w:sz w:val="18"/>
          <w:szCs w:val="18"/>
          <w:color w:val="auto"/>
        </w:rPr>
        <w:t>," and Note 8, "</w:t>
      </w:r>
      <w:r>
        <w:rPr>
          <w:rFonts w:ascii="Arial" w:cs="Arial" w:eastAsia="Arial" w:hAnsi="Arial"/>
          <w:sz w:val="18"/>
          <w:szCs w:val="18"/>
          <w:i w:val="1"/>
          <w:iCs w:val="1"/>
          <w:color w:val="auto"/>
        </w:rPr>
        <w:t>Derivative</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w:t>
      </w:r>
      <w:r>
        <w:rPr>
          <w:rFonts w:ascii="Arial" w:cs="Arial" w:eastAsia="Arial" w:hAnsi="Arial"/>
          <w:sz w:val="18"/>
          <w:szCs w:val="18"/>
          <w:color w:val="auto"/>
        </w:rPr>
        <w:t>," in Part I, Item 1, "</w:t>
      </w:r>
      <w:r>
        <w:rPr>
          <w:rFonts w:ascii="Arial" w:cs="Arial" w:eastAsia="Arial" w:hAnsi="Arial"/>
          <w:sz w:val="18"/>
          <w:szCs w:val="18"/>
          <w:i w:val="1"/>
          <w:iCs w:val="1"/>
          <w:color w:val="auto"/>
        </w:rPr>
        <w:t>Notes to Unaudited Consolidated Financial Statements</w:t>
      </w:r>
      <w:r>
        <w:rPr>
          <w:rFonts w:ascii="Arial" w:cs="Arial" w:eastAsia="Arial" w:hAnsi="Arial"/>
          <w:sz w:val="18"/>
          <w:szCs w:val="18"/>
          <w:color w:val="auto"/>
        </w:rPr>
        <w:t>," included within this quarterly report on Form 10-Q for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w:t>
      </w:r>
    </w:p>
    <w:p>
      <w:pPr>
        <w:spacing w:after="0" w:line="23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8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maintains disclosure controls and procedures that are designed to ensure that information required to be disclosed in the reports that the Company files or submits under the Securities Exchange Act of 1934, as amended (the "Exchange Act")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7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of March 31, 2016, an evaluation was carried out by management, with the participation of the Chief Executive Officer and Chief Financial Officer, of the effectiveness of the Company's disclosure controls and procedures (as such term is defined in Rule 13a-15(e) and Rule 15d-15(e) of the Exchange Act) pursuant to Rule 13a-15 of the Exchange Act. The Company's disclosure controls and procedures are designed only to provide reasonable assurance that they will meet their objectives. Based upon that evaluation, the Chief Executive Officer and Chief Financial Officer concluded that as of March 31, 2016, the Company's disclosure controls and procedures are effective to provide reasonable assurance that they would meet their objectives.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changes in the Company's internal control over financial reporting during the quarter ended March 31, 2016 that have materially affected, or are reasonably likely to materially affect, the Company's internal control over financial reporting.</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TRIMAS CORPORATION</w:t>
      </w:r>
    </w:p>
    <w:p>
      <w:pPr>
        <w:spacing w:after="0" w:line="27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9,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included in Part I, Item 1, "</w:t>
      </w:r>
      <w:r>
        <w:rPr>
          <w:rFonts w:ascii="Arial" w:cs="Arial" w:eastAsia="Arial" w:hAnsi="Arial"/>
          <w:sz w:val="18"/>
          <w:szCs w:val="18"/>
          <w:i w:val="1"/>
          <w:iCs w:val="1"/>
          <w:color w:val="auto"/>
        </w:rPr>
        <w:t>Notes to Unaudited Consolidated Financial Statements</w:t>
      </w:r>
      <w:r>
        <w:rPr>
          <w:rFonts w:ascii="Arial" w:cs="Arial" w:eastAsia="Arial" w:hAnsi="Arial"/>
          <w:sz w:val="18"/>
          <w:szCs w:val="18"/>
          <w:color w:val="auto"/>
        </w:rPr>
        <w:t>," within this quarterly report on Form 10-Q.</w:t>
      </w:r>
    </w:p>
    <w:p>
      <w:pPr>
        <w:spacing w:after="0" w:line="22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Part 1, Item 1A., "</w:t>
      </w:r>
      <w:r>
        <w:rPr>
          <w:rFonts w:ascii="Arial" w:cs="Arial" w:eastAsia="Arial" w:hAnsi="Arial"/>
          <w:sz w:val="18"/>
          <w:szCs w:val="18"/>
          <w:i w:val="1"/>
          <w:iCs w:val="1"/>
          <w:color w:val="auto"/>
        </w:rPr>
        <w:t>Risk Factors</w:t>
      </w:r>
      <w:r>
        <w:rPr>
          <w:rFonts w:ascii="Arial" w:cs="Arial" w:eastAsia="Arial" w:hAnsi="Arial"/>
          <w:sz w:val="18"/>
          <w:szCs w:val="18"/>
          <w:color w:val="auto"/>
        </w:rPr>
        <w:t>," in our Annual Report on Form 10-K for the year ended December 31, 2015, which could materially affect our business, financial condition or future results. There have been no significant changes in our risk factors as disclosed in our 2015 Form 10-K.</w:t>
      </w:r>
    </w:p>
    <w:p>
      <w:pPr>
        <w:spacing w:after="0" w:line="23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420" w:type="dxa"/>
            <w:vAlign w:val="bottom"/>
          </w:tcPr>
          <w:p>
            <w:pPr>
              <w:spacing w:after="0"/>
              <w:rPr>
                <w:sz w:val="20"/>
                <w:szCs w:val="20"/>
                <w:color w:val="auto"/>
              </w:rPr>
            </w:pPr>
            <w:r>
              <w:rPr>
                <w:rFonts w:ascii="Arial" w:cs="Arial" w:eastAsia="Arial" w:hAnsi="Arial"/>
                <w:sz w:val="18"/>
                <w:szCs w:val="18"/>
                <w:b w:val="1"/>
                <w:bCs w:val="1"/>
                <w:color w:val="auto"/>
              </w:rPr>
              <w:t>Exhibits.</w:t>
            </w:r>
          </w:p>
        </w:tc>
      </w:tr>
      <w:tr>
        <w:trPr>
          <w:trHeight w:val="351"/>
        </w:trPr>
        <w:tc>
          <w:tcPr>
            <w:tcW w:w="11140" w:type="dxa"/>
            <w:vAlign w:val="bottom"/>
            <w:gridSpan w:val="2"/>
          </w:tcPr>
          <w:p>
            <w:pPr>
              <w:spacing w:after="0"/>
              <w:rPr>
                <w:sz w:val="20"/>
                <w:szCs w:val="20"/>
                <w:color w:val="auto"/>
              </w:rPr>
            </w:pPr>
            <w:r>
              <w:rPr>
                <w:rFonts w:ascii="Arial" w:cs="Arial" w:eastAsia="Arial" w:hAnsi="Arial"/>
                <w:sz w:val="18"/>
                <w:szCs w:val="18"/>
                <w:b w:val="1"/>
                <w:bCs w:val="1"/>
                <w:color w:val="auto"/>
              </w:rPr>
              <w:t>Exhibits Index:</w:t>
            </w:r>
          </w:p>
        </w:tc>
      </w:tr>
      <w:tr>
        <w:trPr>
          <w:trHeight w:val="594"/>
        </w:trPr>
        <w:tc>
          <w:tcPr>
            <w:tcW w:w="720" w:type="dxa"/>
            <w:vAlign w:val="bottom"/>
          </w:tcPr>
          <w:p>
            <w:pPr>
              <w:ind w:left="40"/>
              <w:spacing w:after="0"/>
              <w:rPr>
                <w:sz w:val="20"/>
                <w:szCs w:val="20"/>
                <w:color w:val="auto"/>
              </w:rPr>
            </w:pPr>
            <w:r>
              <w:rPr>
                <w:rFonts w:ascii="Arial" w:cs="Arial" w:eastAsia="Arial" w:hAnsi="Arial"/>
                <w:sz w:val="18"/>
                <w:szCs w:val="18"/>
                <w:color w:val="auto"/>
              </w:rPr>
              <w:t>3.1(a)</w:t>
            </w:r>
          </w:p>
        </w:tc>
        <w:tc>
          <w:tcPr>
            <w:tcW w:w="10420" w:type="dxa"/>
            <w:vAlign w:val="bottom"/>
          </w:tcPr>
          <w:p>
            <w:pPr>
              <w:ind w:left="1040"/>
              <w:spacing w:after="0"/>
              <w:rPr>
                <w:sz w:val="20"/>
                <w:szCs w:val="20"/>
                <w:color w:val="auto"/>
              </w:rPr>
            </w:pPr>
            <w:r>
              <w:rPr>
                <w:rFonts w:ascii="Arial" w:cs="Arial" w:eastAsia="Arial" w:hAnsi="Arial"/>
                <w:sz w:val="18"/>
                <w:szCs w:val="18"/>
                <w:color w:val="auto"/>
              </w:rPr>
              <w:t>Fourth Amended and Restated Certificate of Incorporation of TriMas Corporation.</w:t>
            </w:r>
          </w:p>
        </w:tc>
      </w:tr>
      <w:tr>
        <w:trPr>
          <w:trHeight w:val="270"/>
        </w:trPr>
        <w:tc>
          <w:tcPr>
            <w:tcW w:w="720" w:type="dxa"/>
            <w:vAlign w:val="bottom"/>
          </w:tcPr>
          <w:p>
            <w:pPr>
              <w:ind w:left="40"/>
              <w:spacing w:after="0"/>
              <w:rPr>
                <w:sz w:val="20"/>
                <w:szCs w:val="20"/>
                <w:color w:val="auto"/>
              </w:rPr>
            </w:pPr>
            <w:r>
              <w:rPr>
                <w:rFonts w:ascii="Arial" w:cs="Arial" w:eastAsia="Arial" w:hAnsi="Arial"/>
                <w:sz w:val="18"/>
                <w:szCs w:val="18"/>
                <w:color w:val="auto"/>
              </w:rPr>
              <w:t>3.2(b)</w:t>
            </w:r>
          </w:p>
        </w:tc>
        <w:tc>
          <w:tcPr>
            <w:tcW w:w="10420" w:type="dxa"/>
            <w:vAlign w:val="bottom"/>
          </w:tcPr>
          <w:p>
            <w:pPr>
              <w:ind w:left="1040"/>
              <w:spacing w:after="0"/>
              <w:rPr>
                <w:sz w:val="20"/>
                <w:szCs w:val="20"/>
                <w:color w:val="auto"/>
              </w:rPr>
            </w:pPr>
            <w:r>
              <w:rPr>
                <w:rFonts w:ascii="Arial" w:cs="Arial" w:eastAsia="Arial" w:hAnsi="Arial"/>
                <w:sz w:val="18"/>
                <w:szCs w:val="18"/>
                <w:color w:val="auto"/>
              </w:rPr>
              <w:t>Third Amended and Restated By-laws of TriMas Corporation.</w:t>
            </w:r>
          </w:p>
        </w:tc>
      </w:tr>
      <w:tr>
        <w:trPr>
          <w:trHeight w:val="270"/>
        </w:trPr>
        <w:tc>
          <w:tcPr>
            <w:tcW w:w="720" w:type="dxa"/>
            <w:vAlign w:val="bottom"/>
          </w:tcPr>
          <w:p>
            <w:pPr>
              <w:ind w:left="40"/>
              <w:spacing w:after="0"/>
              <w:rPr>
                <w:sz w:val="20"/>
                <w:szCs w:val="20"/>
                <w:color w:val="auto"/>
              </w:rPr>
            </w:pPr>
            <w:r>
              <w:rPr>
                <w:rFonts w:ascii="Arial" w:cs="Arial" w:eastAsia="Arial" w:hAnsi="Arial"/>
                <w:sz w:val="18"/>
                <w:szCs w:val="18"/>
                <w:color w:val="auto"/>
              </w:rPr>
              <w:t>10.1</w:t>
            </w:r>
          </w:p>
        </w:tc>
        <w:tc>
          <w:tcPr>
            <w:tcW w:w="10420" w:type="dxa"/>
            <w:vAlign w:val="bottom"/>
          </w:tcPr>
          <w:p>
            <w:pPr>
              <w:ind w:left="1040"/>
              <w:spacing w:after="0"/>
              <w:rPr>
                <w:sz w:val="20"/>
                <w:szCs w:val="20"/>
                <w:color w:val="auto"/>
              </w:rPr>
            </w:pPr>
            <w:r>
              <w:rPr>
                <w:rFonts w:ascii="Arial" w:cs="Arial" w:eastAsia="Arial" w:hAnsi="Arial"/>
                <w:sz w:val="18"/>
                <w:szCs w:val="18"/>
                <w:color w:val="auto"/>
              </w:rPr>
              <w:t>Form of Performance Stock Unit Agreement- 2016 LTI - under the 2006 Long Term Equity Incentive Plan.</w:t>
            </w:r>
          </w:p>
        </w:tc>
      </w:tr>
      <w:tr>
        <w:trPr>
          <w:trHeight w:val="270"/>
        </w:trPr>
        <w:tc>
          <w:tcPr>
            <w:tcW w:w="720" w:type="dxa"/>
            <w:vAlign w:val="bottom"/>
          </w:tcPr>
          <w:p>
            <w:pPr>
              <w:ind w:left="40"/>
              <w:spacing w:after="0"/>
              <w:rPr>
                <w:sz w:val="20"/>
                <w:szCs w:val="20"/>
                <w:color w:val="auto"/>
              </w:rPr>
            </w:pPr>
            <w:r>
              <w:rPr>
                <w:rFonts w:ascii="Arial" w:cs="Arial" w:eastAsia="Arial" w:hAnsi="Arial"/>
                <w:sz w:val="18"/>
                <w:szCs w:val="18"/>
                <w:color w:val="auto"/>
              </w:rPr>
              <w:t>10.2</w:t>
            </w:r>
          </w:p>
        </w:tc>
        <w:tc>
          <w:tcPr>
            <w:tcW w:w="10420" w:type="dxa"/>
            <w:vAlign w:val="bottom"/>
          </w:tcPr>
          <w:p>
            <w:pPr>
              <w:ind w:left="1040"/>
              <w:spacing w:after="0"/>
              <w:rPr>
                <w:sz w:val="20"/>
                <w:szCs w:val="20"/>
                <w:color w:val="auto"/>
              </w:rPr>
            </w:pPr>
            <w:r>
              <w:rPr>
                <w:rFonts w:ascii="Arial" w:cs="Arial" w:eastAsia="Arial" w:hAnsi="Arial"/>
                <w:sz w:val="18"/>
                <w:szCs w:val="18"/>
                <w:color w:val="auto"/>
              </w:rPr>
              <w:t>Form of Performance Stock Units Agreement - 2016 LTI - under the 2011 Omnibus Incentive Compensation Plan.</w:t>
            </w:r>
          </w:p>
        </w:tc>
      </w:tr>
      <w:tr>
        <w:trPr>
          <w:trHeight w:val="270"/>
        </w:trPr>
        <w:tc>
          <w:tcPr>
            <w:tcW w:w="720" w:type="dxa"/>
            <w:vAlign w:val="bottom"/>
          </w:tcPr>
          <w:p>
            <w:pPr>
              <w:ind w:left="40"/>
              <w:spacing w:after="0"/>
              <w:rPr>
                <w:sz w:val="20"/>
                <w:szCs w:val="20"/>
                <w:color w:val="auto"/>
              </w:rPr>
            </w:pPr>
            <w:r>
              <w:rPr>
                <w:rFonts w:ascii="Arial" w:cs="Arial" w:eastAsia="Arial" w:hAnsi="Arial"/>
                <w:sz w:val="18"/>
                <w:szCs w:val="18"/>
                <w:color w:val="auto"/>
              </w:rPr>
              <w:t>10.3</w:t>
            </w:r>
          </w:p>
        </w:tc>
        <w:tc>
          <w:tcPr>
            <w:tcW w:w="10420" w:type="dxa"/>
            <w:vAlign w:val="bottom"/>
          </w:tcPr>
          <w:p>
            <w:pPr>
              <w:ind w:left="1040"/>
              <w:spacing w:after="0"/>
              <w:rPr>
                <w:sz w:val="20"/>
                <w:szCs w:val="20"/>
                <w:color w:val="auto"/>
              </w:rPr>
            </w:pPr>
            <w:r>
              <w:rPr>
                <w:rFonts w:ascii="Arial" w:cs="Arial" w:eastAsia="Arial" w:hAnsi="Arial"/>
                <w:sz w:val="18"/>
                <w:szCs w:val="18"/>
                <w:color w:val="auto"/>
                <w:w w:val="95"/>
              </w:rPr>
              <w:t>Form of Restricted Stock Units Agreement (Three-Year Vest) - 2016 LTI - under the 2006 Long Term Equity Incentive Plan.</w:t>
            </w:r>
          </w:p>
        </w:tc>
      </w:tr>
      <w:tr>
        <w:trPr>
          <w:trHeight w:val="270"/>
        </w:trPr>
        <w:tc>
          <w:tcPr>
            <w:tcW w:w="720" w:type="dxa"/>
            <w:vAlign w:val="bottom"/>
          </w:tcPr>
          <w:p>
            <w:pPr>
              <w:ind w:left="40"/>
              <w:spacing w:after="0"/>
              <w:rPr>
                <w:sz w:val="20"/>
                <w:szCs w:val="20"/>
                <w:color w:val="auto"/>
              </w:rPr>
            </w:pPr>
            <w:r>
              <w:rPr>
                <w:rFonts w:ascii="Arial" w:cs="Arial" w:eastAsia="Arial" w:hAnsi="Arial"/>
                <w:sz w:val="18"/>
                <w:szCs w:val="18"/>
                <w:color w:val="auto"/>
              </w:rPr>
              <w:t>10.4</w:t>
            </w:r>
          </w:p>
        </w:tc>
        <w:tc>
          <w:tcPr>
            <w:tcW w:w="10420" w:type="dxa"/>
            <w:vAlign w:val="bottom"/>
          </w:tcPr>
          <w:p>
            <w:pPr>
              <w:ind w:left="1040"/>
              <w:spacing w:after="0"/>
              <w:rPr>
                <w:sz w:val="20"/>
                <w:szCs w:val="20"/>
                <w:color w:val="auto"/>
              </w:rPr>
            </w:pPr>
            <w:r>
              <w:rPr>
                <w:rFonts w:ascii="Arial" w:cs="Arial" w:eastAsia="Arial" w:hAnsi="Arial"/>
                <w:sz w:val="18"/>
                <w:szCs w:val="18"/>
                <w:color w:val="auto"/>
                <w:w w:val="90"/>
              </w:rPr>
              <w:t>Form of Restricted Stock Units Agreement (Three-Year Vest) - 2016 LTI - under the 2011 Omnibus Incentive Compensation Plan.</w:t>
            </w:r>
          </w:p>
        </w:tc>
      </w:tr>
      <w:tr>
        <w:trPr>
          <w:trHeight w:val="256"/>
        </w:trPr>
        <w:tc>
          <w:tcPr>
            <w:tcW w:w="720" w:type="dxa"/>
            <w:vAlign w:val="bottom"/>
          </w:tcPr>
          <w:p>
            <w:pPr>
              <w:ind w:left="40"/>
              <w:spacing w:after="0"/>
              <w:rPr>
                <w:sz w:val="20"/>
                <w:szCs w:val="20"/>
                <w:color w:val="auto"/>
              </w:rPr>
            </w:pPr>
            <w:r>
              <w:rPr>
                <w:rFonts w:ascii="Arial" w:cs="Arial" w:eastAsia="Arial" w:hAnsi="Arial"/>
                <w:sz w:val="18"/>
                <w:szCs w:val="18"/>
                <w:color w:val="auto"/>
              </w:rPr>
              <w:t>10.5</w:t>
            </w:r>
          </w:p>
        </w:tc>
        <w:tc>
          <w:tcPr>
            <w:tcW w:w="10420" w:type="dxa"/>
            <w:vAlign w:val="bottom"/>
          </w:tcPr>
          <w:p>
            <w:pPr>
              <w:ind w:left="1040"/>
              <w:spacing w:after="0"/>
              <w:rPr>
                <w:sz w:val="20"/>
                <w:szCs w:val="20"/>
                <w:color w:val="auto"/>
              </w:rPr>
            </w:pPr>
            <w:r>
              <w:rPr>
                <w:rFonts w:ascii="Arial" w:cs="Arial" w:eastAsia="Arial" w:hAnsi="Arial"/>
                <w:sz w:val="18"/>
                <w:szCs w:val="18"/>
                <w:color w:val="auto"/>
                <w:w w:val="91"/>
              </w:rPr>
              <w:t>Form of Restricted Stock Units Agreement (Board Of Directors) (One-Year Vest) - 2016 LTI - under the 2011 Omnibus Incentive</w:t>
            </w:r>
          </w:p>
        </w:tc>
      </w:tr>
      <w:tr>
        <w:trPr>
          <w:trHeight w:val="230"/>
        </w:trPr>
        <w:tc>
          <w:tcPr>
            <w:tcW w:w="720" w:type="dxa"/>
            <w:vAlign w:val="bottom"/>
          </w:tcPr>
          <w:p>
            <w:pPr>
              <w:spacing w:after="0"/>
              <w:rPr>
                <w:sz w:val="20"/>
                <w:szCs w:val="20"/>
                <w:color w:val="auto"/>
              </w:rPr>
            </w:pPr>
          </w:p>
        </w:tc>
        <w:tc>
          <w:tcPr>
            <w:tcW w:w="10420" w:type="dxa"/>
            <w:vAlign w:val="bottom"/>
          </w:tcPr>
          <w:p>
            <w:pPr>
              <w:ind w:left="1040"/>
              <w:spacing w:after="0"/>
              <w:rPr>
                <w:sz w:val="20"/>
                <w:szCs w:val="20"/>
                <w:color w:val="auto"/>
              </w:rPr>
            </w:pPr>
            <w:r>
              <w:rPr>
                <w:rFonts w:ascii="Arial" w:cs="Arial" w:eastAsia="Arial" w:hAnsi="Arial"/>
                <w:sz w:val="18"/>
                <w:szCs w:val="18"/>
                <w:color w:val="auto"/>
              </w:rPr>
              <w:t>Compensation Plan.</w:t>
            </w:r>
          </w:p>
        </w:tc>
      </w:tr>
      <w:tr>
        <w:trPr>
          <w:trHeight w:val="256"/>
        </w:trPr>
        <w:tc>
          <w:tcPr>
            <w:tcW w:w="720" w:type="dxa"/>
            <w:vAlign w:val="bottom"/>
          </w:tcPr>
          <w:p>
            <w:pPr>
              <w:ind w:left="40"/>
              <w:spacing w:after="0"/>
              <w:rPr>
                <w:sz w:val="20"/>
                <w:szCs w:val="20"/>
                <w:color w:val="auto"/>
              </w:rPr>
            </w:pPr>
            <w:r>
              <w:rPr>
                <w:rFonts w:ascii="Arial" w:cs="Arial" w:eastAsia="Arial" w:hAnsi="Arial"/>
                <w:sz w:val="18"/>
                <w:szCs w:val="18"/>
                <w:color w:val="auto"/>
              </w:rPr>
              <w:t>10.6</w:t>
            </w:r>
          </w:p>
        </w:tc>
        <w:tc>
          <w:tcPr>
            <w:tcW w:w="10420" w:type="dxa"/>
            <w:vAlign w:val="bottom"/>
          </w:tcPr>
          <w:p>
            <w:pPr>
              <w:ind w:left="1040"/>
              <w:spacing w:after="0"/>
              <w:rPr>
                <w:sz w:val="20"/>
                <w:szCs w:val="20"/>
                <w:color w:val="auto"/>
              </w:rPr>
            </w:pPr>
            <w:r>
              <w:rPr>
                <w:rFonts w:ascii="Arial" w:cs="Arial" w:eastAsia="Arial" w:hAnsi="Arial"/>
                <w:sz w:val="18"/>
                <w:szCs w:val="18"/>
                <w:color w:val="auto"/>
                <w:w w:val="94"/>
              </w:rPr>
              <w:t>Form of Restricted Stock Units Agreement (Key Personnel) (Three-Year Vest) - 2016 LTI - under the 2006 Long Term Equity</w:t>
            </w:r>
          </w:p>
        </w:tc>
      </w:tr>
      <w:tr>
        <w:trPr>
          <w:trHeight w:val="230"/>
        </w:trPr>
        <w:tc>
          <w:tcPr>
            <w:tcW w:w="720" w:type="dxa"/>
            <w:vAlign w:val="bottom"/>
          </w:tcPr>
          <w:p>
            <w:pPr>
              <w:spacing w:after="0"/>
              <w:rPr>
                <w:sz w:val="20"/>
                <w:szCs w:val="20"/>
                <w:color w:val="auto"/>
              </w:rPr>
            </w:pPr>
          </w:p>
        </w:tc>
        <w:tc>
          <w:tcPr>
            <w:tcW w:w="10420" w:type="dxa"/>
            <w:vAlign w:val="bottom"/>
          </w:tcPr>
          <w:p>
            <w:pPr>
              <w:ind w:left="1040"/>
              <w:spacing w:after="0"/>
              <w:rPr>
                <w:sz w:val="20"/>
                <w:szCs w:val="20"/>
                <w:color w:val="auto"/>
              </w:rPr>
            </w:pPr>
            <w:r>
              <w:rPr>
                <w:rFonts w:ascii="Arial" w:cs="Arial" w:eastAsia="Arial" w:hAnsi="Arial"/>
                <w:sz w:val="18"/>
                <w:szCs w:val="18"/>
                <w:color w:val="auto"/>
              </w:rPr>
              <w:t>Incentive Plan.</w:t>
            </w:r>
          </w:p>
        </w:tc>
      </w:tr>
      <w:tr>
        <w:trPr>
          <w:trHeight w:val="256"/>
        </w:trPr>
        <w:tc>
          <w:tcPr>
            <w:tcW w:w="720" w:type="dxa"/>
            <w:vAlign w:val="bottom"/>
          </w:tcPr>
          <w:p>
            <w:pPr>
              <w:ind w:left="40"/>
              <w:spacing w:after="0"/>
              <w:rPr>
                <w:sz w:val="20"/>
                <w:szCs w:val="20"/>
                <w:color w:val="auto"/>
              </w:rPr>
            </w:pPr>
            <w:r>
              <w:rPr>
                <w:rFonts w:ascii="Arial" w:cs="Arial" w:eastAsia="Arial" w:hAnsi="Arial"/>
                <w:sz w:val="18"/>
                <w:szCs w:val="18"/>
                <w:color w:val="auto"/>
              </w:rPr>
              <w:t>10.7</w:t>
            </w:r>
          </w:p>
        </w:tc>
        <w:tc>
          <w:tcPr>
            <w:tcW w:w="10420" w:type="dxa"/>
            <w:vAlign w:val="bottom"/>
          </w:tcPr>
          <w:p>
            <w:pPr>
              <w:ind w:left="1040"/>
              <w:spacing w:after="0"/>
              <w:rPr>
                <w:sz w:val="20"/>
                <w:szCs w:val="20"/>
                <w:color w:val="auto"/>
              </w:rPr>
            </w:pPr>
            <w:r>
              <w:rPr>
                <w:rFonts w:ascii="Arial" w:cs="Arial" w:eastAsia="Arial" w:hAnsi="Arial"/>
                <w:sz w:val="18"/>
                <w:szCs w:val="18"/>
                <w:color w:val="auto"/>
                <w:w w:val="94"/>
              </w:rPr>
              <w:t>Form of Restricted Stock Unit Agreement (Key Personnel) (Three-Year Vest) - 2016 LTI - under the 2011 Omnibus Incentive</w:t>
            </w:r>
          </w:p>
        </w:tc>
      </w:tr>
      <w:tr>
        <w:trPr>
          <w:trHeight w:val="230"/>
        </w:trPr>
        <w:tc>
          <w:tcPr>
            <w:tcW w:w="720" w:type="dxa"/>
            <w:vAlign w:val="bottom"/>
          </w:tcPr>
          <w:p>
            <w:pPr>
              <w:spacing w:after="0"/>
              <w:rPr>
                <w:sz w:val="20"/>
                <w:szCs w:val="20"/>
                <w:color w:val="auto"/>
              </w:rPr>
            </w:pPr>
          </w:p>
        </w:tc>
        <w:tc>
          <w:tcPr>
            <w:tcW w:w="10420" w:type="dxa"/>
            <w:vAlign w:val="bottom"/>
          </w:tcPr>
          <w:p>
            <w:pPr>
              <w:ind w:left="1040"/>
              <w:spacing w:after="0"/>
              <w:rPr>
                <w:sz w:val="20"/>
                <w:szCs w:val="20"/>
                <w:color w:val="auto"/>
              </w:rPr>
            </w:pPr>
            <w:r>
              <w:rPr>
                <w:rFonts w:ascii="Arial" w:cs="Arial" w:eastAsia="Arial" w:hAnsi="Arial"/>
                <w:sz w:val="18"/>
                <w:szCs w:val="18"/>
                <w:color w:val="auto"/>
              </w:rPr>
              <w:t>Compensation Plan.</w:t>
            </w:r>
          </w:p>
        </w:tc>
      </w:tr>
      <w:tr>
        <w:trPr>
          <w:trHeight w:val="270"/>
        </w:trPr>
        <w:tc>
          <w:tcPr>
            <w:tcW w:w="720" w:type="dxa"/>
            <w:vAlign w:val="bottom"/>
          </w:tcPr>
          <w:p>
            <w:pPr>
              <w:ind w:left="40"/>
              <w:spacing w:after="0"/>
              <w:rPr>
                <w:sz w:val="20"/>
                <w:szCs w:val="20"/>
                <w:color w:val="auto"/>
              </w:rPr>
            </w:pPr>
            <w:r>
              <w:rPr>
                <w:rFonts w:ascii="Arial" w:cs="Arial" w:eastAsia="Arial" w:hAnsi="Arial"/>
                <w:sz w:val="18"/>
                <w:szCs w:val="18"/>
                <w:color w:val="auto"/>
              </w:rPr>
              <w:t>10.8</w:t>
            </w:r>
          </w:p>
        </w:tc>
        <w:tc>
          <w:tcPr>
            <w:tcW w:w="10420" w:type="dxa"/>
            <w:vAlign w:val="bottom"/>
          </w:tcPr>
          <w:p>
            <w:pPr>
              <w:ind w:left="1040"/>
              <w:spacing w:after="0"/>
              <w:rPr>
                <w:sz w:val="20"/>
                <w:szCs w:val="20"/>
                <w:color w:val="auto"/>
              </w:rPr>
            </w:pPr>
            <w:r>
              <w:rPr>
                <w:rFonts w:ascii="Arial" w:cs="Arial" w:eastAsia="Arial" w:hAnsi="Arial"/>
                <w:sz w:val="18"/>
                <w:szCs w:val="18"/>
                <w:color w:val="auto"/>
                <w:w w:val="92"/>
              </w:rPr>
              <w:t>Form of Restricted Stock Unit Agreement (One-Year Vest) - 2016 LTI - under the 2011 Omnibus Incentive Compensation Plan.</w:t>
            </w:r>
          </w:p>
        </w:tc>
      </w:tr>
      <w:tr>
        <w:trPr>
          <w:trHeight w:val="270"/>
        </w:trPr>
        <w:tc>
          <w:tcPr>
            <w:tcW w:w="720" w:type="dxa"/>
            <w:vAlign w:val="bottom"/>
          </w:tcPr>
          <w:p>
            <w:pPr>
              <w:ind w:left="40"/>
              <w:spacing w:after="0"/>
              <w:rPr>
                <w:sz w:val="20"/>
                <w:szCs w:val="20"/>
                <w:color w:val="auto"/>
              </w:rPr>
            </w:pPr>
            <w:r>
              <w:rPr>
                <w:rFonts w:ascii="Arial" w:cs="Arial" w:eastAsia="Arial" w:hAnsi="Arial"/>
                <w:sz w:val="18"/>
                <w:szCs w:val="18"/>
                <w:color w:val="auto"/>
              </w:rPr>
              <w:t>10.9</w:t>
            </w:r>
          </w:p>
        </w:tc>
        <w:tc>
          <w:tcPr>
            <w:tcW w:w="10420" w:type="dxa"/>
            <w:vAlign w:val="bottom"/>
          </w:tcPr>
          <w:p>
            <w:pPr>
              <w:ind w:left="1040"/>
              <w:spacing w:after="0"/>
              <w:rPr>
                <w:sz w:val="20"/>
                <w:szCs w:val="20"/>
                <w:color w:val="auto"/>
              </w:rPr>
            </w:pPr>
            <w:r>
              <w:rPr>
                <w:rFonts w:ascii="Arial" w:cs="Arial" w:eastAsia="Arial" w:hAnsi="Arial"/>
                <w:sz w:val="18"/>
                <w:szCs w:val="18"/>
                <w:color w:val="auto"/>
                <w:w w:val="97"/>
              </w:rPr>
              <w:t>Form of Restricted Stock Unit Agreement (One-Year Vest) - 2016 LTI - under the 2006 Long Term Equity Incentive Plan.</w:t>
            </w:r>
          </w:p>
        </w:tc>
      </w:tr>
      <w:tr>
        <w:trPr>
          <w:trHeight w:val="270"/>
        </w:trPr>
        <w:tc>
          <w:tcPr>
            <w:tcW w:w="720" w:type="dxa"/>
            <w:vAlign w:val="bottom"/>
          </w:tcPr>
          <w:p>
            <w:pPr>
              <w:ind w:left="40"/>
              <w:spacing w:after="0"/>
              <w:rPr>
                <w:sz w:val="20"/>
                <w:szCs w:val="20"/>
                <w:color w:val="auto"/>
              </w:rPr>
            </w:pPr>
            <w:r>
              <w:rPr>
                <w:rFonts w:ascii="Arial" w:cs="Arial" w:eastAsia="Arial" w:hAnsi="Arial"/>
                <w:sz w:val="18"/>
                <w:szCs w:val="18"/>
                <w:color w:val="auto"/>
              </w:rPr>
              <w:t>31.1</w:t>
            </w:r>
          </w:p>
        </w:tc>
        <w:tc>
          <w:tcPr>
            <w:tcW w:w="10420" w:type="dxa"/>
            <w:vAlign w:val="bottom"/>
          </w:tcPr>
          <w:p>
            <w:pPr>
              <w:ind w:left="1040"/>
              <w:spacing w:after="0" w:line="207" w:lineRule="exact"/>
              <w:rPr>
                <w:sz w:val="20"/>
                <w:szCs w:val="20"/>
                <w:color w:val="auto"/>
              </w:rPr>
            </w:pPr>
            <w:r>
              <w:rPr>
                <w:rFonts w:ascii="Arial" w:cs="Arial" w:eastAsia="Arial" w:hAnsi="Arial"/>
                <w:sz w:val="18"/>
                <w:szCs w:val="18"/>
                <w:color w:val="auto"/>
                <w:w w:val="97"/>
              </w:rPr>
              <w:t>Certification pursuant to 18 U.S.C. Section 1350, as adopted pursuant to Section 302 of the Sarbanes</w:t>
            </w:r>
            <w:r>
              <w:rPr>
                <w:rFonts w:ascii="MS PGothic" w:cs="MS PGothic" w:eastAsia="MS PGothic" w:hAnsi="MS PGothic"/>
                <w:sz w:val="18"/>
                <w:szCs w:val="18"/>
                <w:color w:val="auto"/>
                <w:w w:val="97"/>
              </w:rPr>
              <w:t>‑</w:t>
            </w:r>
            <w:r>
              <w:rPr>
                <w:rFonts w:ascii="Arial" w:cs="Arial" w:eastAsia="Arial" w:hAnsi="Arial"/>
                <w:sz w:val="18"/>
                <w:szCs w:val="18"/>
                <w:color w:val="auto"/>
                <w:w w:val="97"/>
              </w:rPr>
              <w:t>Oxley Act of 2002.</w:t>
            </w:r>
          </w:p>
        </w:tc>
      </w:tr>
      <w:tr>
        <w:trPr>
          <w:trHeight w:val="270"/>
        </w:trPr>
        <w:tc>
          <w:tcPr>
            <w:tcW w:w="720" w:type="dxa"/>
            <w:vAlign w:val="bottom"/>
          </w:tcPr>
          <w:p>
            <w:pPr>
              <w:ind w:left="40"/>
              <w:spacing w:after="0"/>
              <w:rPr>
                <w:sz w:val="20"/>
                <w:szCs w:val="20"/>
                <w:color w:val="auto"/>
              </w:rPr>
            </w:pPr>
            <w:r>
              <w:rPr>
                <w:rFonts w:ascii="Arial" w:cs="Arial" w:eastAsia="Arial" w:hAnsi="Arial"/>
                <w:sz w:val="18"/>
                <w:szCs w:val="18"/>
                <w:color w:val="auto"/>
              </w:rPr>
              <w:t>31.2</w:t>
            </w:r>
          </w:p>
        </w:tc>
        <w:tc>
          <w:tcPr>
            <w:tcW w:w="10420" w:type="dxa"/>
            <w:vAlign w:val="bottom"/>
          </w:tcPr>
          <w:p>
            <w:pPr>
              <w:ind w:left="1040"/>
              <w:spacing w:after="0" w:line="207" w:lineRule="exact"/>
              <w:rPr>
                <w:sz w:val="20"/>
                <w:szCs w:val="20"/>
                <w:color w:val="auto"/>
              </w:rPr>
            </w:pPr>
            <w:r>
              <w:rPr>
                <w:rFonts w:ascii="Arial" w:cs="Arial" w:eastAsia="Arial" w:hAnsi="Arial"/>
                <w:sz w:val="18"/>
                <w:szCs w:val="18"/>
                <w:color w:val="auto"/>
                <w:w w:val="97"/>
              </w:rPr>
              <w:t>Certification pursuant to 18 U.S.C. Section 1350, as adopted pursuant to Section 302 of the Sarbanes</w:t>
            </w:r>
            <w:r>
              <w:rPr>
                <w:rFonts w:ascii="MS PGothic" w:cs="MS PGothic" w:eastAsia="MS PGothic" w:hAnsi="MS PGothic"/>
                <w:sz w:val="18"/>
                <w:szCs w:val="18"/>
                <w:color w:val="auto"/>
                <w:w w:val="97"/>
              </w:rPr>
              <w:t>‑</w:t>
            </w:r>
            <w:r>
              <w:rPr>
                <w:rFonts w:ascii="Arial" w:cs="Arial" w:eastAsia="Arial" w:hAnsi="Arial"/>
                <w:sz w:val="18"/>
                <w:szCs w:val="18"/>
                <w:color w:val="auto"/>
                <w:w w:val="97"/>
              </w:rPr>
              <w:t>Oxley Act of 2002.</w:t>
            </w:r>
          </w:p>
        </w:tc>
      </w:tr>
      <w:tr>
        <w:trPr>
          <w:trHeight w:val="270"/>
        </w:trPr>
        <w:tc>
          <w:tcPr>
            <w:tcW w:w="720" w:type="dxa"/>
            <w:vAlign w:val="bottom"/>
          </w:tcPr>
          <w:p>
            <w:pPr>
              <w:ind w:left="40"/>
              <w:spacing w:after="0"/>
              <w:rPr>
                <w:sz w:val="20"/>
                <w:szCs w:val="20"/>
                <w:color w:val="auto"/>
              </w:rPr>
            </w:pPr>
            <w:r>
              <w:rPr>
                <w:rFonts w:ascii="Arial" w:cs="Arial" w:eastAsia="Arial" w:hAnsi="Arial"/>
                <w:sz w:val="18"/>
                <w:szCs w:val="18"/>
                <w:color w:val="auto"/>
              </w:rPr>
              <w:t>32.1</w:t>
            </w:r>
          </w:p>
        </w:tc>
        <w:tc>
          <w:tcPr>
            <w:tcW w:w="10420" w:type="dxa"/>
            <w:vAlign w:val="bottom"/>
          </w:tcPr>
          <w:p>
            <w:pPr>
              <w:ind w:left="1040"/>
              <w:spacing w:after="0" w:line="207" w:lineRule="exact"/>
              <w:rPr>
                <w:sz w:val="20"/>
                <w:szCs w:val="20"/>
                <w:color w:val="auto"/>
              </w:rPr>
            </w:pPr>
            <w:r>
              <w:rPr>
                <w:rFonts w:ascii="Arial" w:cs="Arial" w:eastAsia="Arial" w:hAnsi="Arial"/>
                <w:sz w:val="18"/>
                <w:szCs w:val="18"/>
                <w:color w:val="auto"/>
                <w:w w:val="97"/>
              </w:rPr>
              <w:t>Certification pursuant to 18 U.S.C. Section 1350, as adopted pursuant to Section 906 of the Sarbanes</w:t>
            </w:r>
            <w:r>
              <w:rPr>
                <w:rFonts w:ascii="MS PGothic" w:cs="MS PGothic" w:eastAsia="MS PGothic" w:hAnsi="MS PGothic"/>
                <w:sz w:val="18"/>
                <w:szCs w:val="18"/>
                <w:color w:val="auto"/>
                <w:w w:val="97"/>
              </w:rPr>
              <w:t>‑</w:t>
            </w:r>
            <w:r>
              <w:rPr>
                <w:rFonts w:ascii="Arial" w:cs="Arial" w:eastAsia="Arial" w:hAnsi="Arial"/>
                <w:sz w:val="18"/>
                <w:szCs w:val="18"/>
                <w:color w:val="auto"/>
                <w:w w:val="97"/>
              </w:rPr>
              <w:t>Oxley Act of 2002.</w:t>
            </w:r>
          </w:p>
        </w:tc>
      </w:tr>
      <w:tr>
        <w:trPr>
          <w:trHeight w:val="270"/>
        </w:trPr>
        <w:tc>
          <w:tcPr>
            <w:tcW w:w="720" w:type="dxa"/>
            <w:vAlign w:val="bottom"/>
          </w:tcPr>
          <w:p>
            <w:pPr>
              <w:ind w:left="40"/>
              <w:spacing w:after="0"/>
              <w:rPr>
                <w:sz w:val="20"/>
                <w:szCs w:val="20"/>
                <w:color w:val="auto"/>
              </w:rPr>
            </w:pPr>
            <w:r>
              <w:rPr>
                <w:rFonts w:ascii="Arial" w:cs="Arial" w:eastAsia="Arial" w:hAnsi="Arial"/>
                <w:sz w:val="18"/>
                <w:szCs w:val="18"/>
                <w:color w:val="auto"/>
              </w:rPr>
              <w:t>32.2</w:t>
            </w:r>
          </w:p>
        </w:tc>
        <w:tc>
          <w:tcPr>
            <w:tcW w:w="10420" w:type="dxa"/>
            <w:vAlign w:val="bottom"/>
          </w:tcPr>
          <w:p>
            <w:pPr>
              <w:ind w:left="1040"/>
              <w:spacing w:after="0" w:line="207" w:lineRule="exact"/>
              <w:rPr>
                <w:sz w:val="20"/>
                <w:szCs w:val="20"/>
                <w:color w:val="auto"/>
              </w:rPr>
            </w:pPr>
            <w:r>
              <w:rPr>
                <w:rFonts w:ascii="Arial" w:cs="Arial" w:eastAsia="Arial" w:hAnsi="Arial"/>
                <w:sz w:val="18"/>
                <w:szCs w:val="18"/>
                <w:color w:val="auto"/>
                <w:w w:val="97"/>
              </w:rPr>
              <w:t>Certification pursuant to 18 U.S.C. Section 1350, as adopted pursuant to Section 906 of the Sarbanes</w:t>
            </w:r>
            <w:r>
              <w:rPr>
                <w:rFonts w:ascii="MS PGothic" w:cs="MS PGothic" w:eastAsia="MS PGothic" w:hAnsi="MS PGothic"/>
                <w:sz w:val="18"/>
                <w:szCs w:val="18"/>
                <w:color w:val="auto"/>
                <w:w w:val="97"/>
              </w:rPr>
              <w:t>‑</w:t>
            </w:r>
            <w:r>
              <w:rPr>
                <w:rFonts w:ascii="Arial" w:cs="Arial" w:eastAsia="Arial" w:hAnsi="Arial"/>
                <w:sz w:val="18"/>
                <w:szCs w:val="18"/>
                <w:color w:val="auto"/>
                <w:w w:val="97"/>
              </w:rPr>
              <w:t>Oxley Act of 2002.</w:t>
            </w:r>
          </w:p>
        </w:tc>
      </w:tr>
      <w:tr>
        <w:trPr>
          <w:trHeight w:val="270"/>
        </w:trPr>
        <w:tc>
          <w:tcPr>
            <w:tcW w:w="720" w:type="dxa"/>
            <w:vAlign w:val="bottom"/>
          </w:tcPr>
          <w:p>
            <w:pPr>
              <w:ind w:left="40"/>
              <w:spacing w:after="0"/>
              <w:rPr>
                <w:sz w:val="20"/>
                <w:szCs w:val="20"/>
                <w:color w:val="auto"/>
              </w:rPr>
            </w:pPr>
            <w:r>
              <w:rPr>
                <w:rFonts w:ascii="Arial" w:cs="Arial" w:eastAsia="Arial" w:hAnsi="Arial"/>
                <w:sz w:val="18"/>
                <w:szCs w:val="18"/>
                <w:color w:val="auto"/>
              </w:rPr>
              <w:t>101.INS</w:t>
            </w:r>
          </w:p>
        </w:tc>
        <w:tc>
          <w:tcPr>
            <w:tcW w:w="10420" w:type="dxa"/>
            <w:vAlign w:val="bottom"/>
          </w:tcPr>
          <w:p>
            <w:pPr>
              <w:ind w:left="1040"/>
              <w:spacing w:after="0"/>
              <w:rPr>
                <w:sz w:val="20"/>
                <w:szCs w:val="20"/>
                <w:color w:val="auto"/>
              </w:rPr>
            </w:pPr>
            <w:r>
              <w:rPr>
                <w:rFonts w:ascii="Arial" w:cs="Arial" w:eastAsia="Arial" w:hAnsi="Arial"/>
                <w:sz w:val="18"/>
                <w:szCs w:val="18"/>
                <w:color w:val="auto"/>
              </w:rPr>
              <w:t>XBRL Instance Document.</w:t>
            </w:r>
          </w:p>
        </w:tc>
      </w:tr>
      <w:tr>
        <w:trPr>
          <w:trHeight w:val="270"/>
        </w:trPr>
        <w:tc>
          <w:tcPr>
            <w:tcW w:w="720" w:type="dxa"/>
            <w:vAlign w:val="bottom"/>
          </w:tcPr>
          <w:p>
            <w:pPr>
              <w:ind w:left="40"/>
              <w:spacing w:after="0"/>
              <w:rPr>
                <w:sz w:val="20"/>
                <w:szCs w:val="20"/>
                <w:color w:val="auto"/>
              </w:rPr>
            </w:pPr>
            <w:r>
              <w:rPr>
                <w:rFonts w:ascii="Arial" w:cs="Arial" w:eastAsia="Arial" w:hAnsi="Arial"/>
                <w:sz w:val="18"/>
                <w:szCs w:val="18"/>
                <w:color w:val="auto"/>
                <w:w w:val="90"/>
              </w:rPr>
              <w:t>101.SCH</w:t>
            </w:r>
          </w:p>
        </w:tc>
        <w:tc>
          <w:tcPr>
            <w:tcW w:w="10420" w:type="dxa"/>
            <w:vAlign w:val="bottom"/>
          </w:tcPr>
          <w:p>
            <w:pPr>
              <w:ind w:left="1040"/>
              <w:spacing w:after="0"/>
              <w:rPr>
                <w:sz w:val="20"/>
                <w:szCs w:val="20"/>
                <w:color w:val="auto"/>
              </w:rPr>
            </w:pPr>
            <w:r>
              <w:rPr>
                <w:rFonts w:ascii="Arial" w:cs="Arial" w:eastAsia="Arial" w:hAnsi="Arial"/>
                <w:sz w:val="18"/>
                <w:szCs w:val="18"/>
                <w:color w:val="auto"/>
              </w:rPr>
              <w:t>XBRL Taxonomy Extension Schema Document.</w:t>
            </w:r>
          </w:p>
        </w:tc>
      </w:tr>
      <w:tr>
        <w:trPr>
          <w:trHeight w:val="270"/>
        </w:trPr>
        <w:tc>
          <w:tcPr>
            <w:tcW w:w="720" w:type="dxa"/>
            <w:vAlign w:val="bottom"/>
          </w:tcPr>
          <w:p>
            <w:pPr>
              <w:ind w:left="40"/>
              <w:spacing w:after="0"/>
              <w:rPr>
                <w:sz w:val="20"/>
                <w:szCs w:val="20"/>
                <w:color w:val="auto"/>
              </w:rPr>
            </w:pPr>
            <w:r>
              <w:rPr>
                <w:rFonts w:ascii="Arial" w:cs="Arial" w:eastAsia="Arial" w:hAnsi="Arial"/>
                <w:sz w:val="18"/>
                <w:szCs w:val="18"/>
                <w:color w:val="auto"/>
                <w:w w:val="94"/>
              </w:rPr>
              <w:t>101.CAL</w:t>
            </w:r>
          </w:p>
        </w:tc>
        <w:tc>
          <w:tcPr>
            <w:tcW w:w="10420" w:type="dxa"/>
            <w:vAlign w:val="bottom"/>
          </w:tcPr>
          <w:p>
            <w:pPr>
              <w:ind w:left="10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70"/>
        </w:trPr>
        <w:tc>
          <w:tcPr>
            <w:tcW w:w="720" w:type="dxa"/>
            <w:vAlign w:val="bottom"/>
          </w:tcPr>
          <w:p>
            <w:pPr>
              <w:ind w:left="40"/>
              <w:spacing w:after="0"/>
              <w:rPr>
                <w:sz w:val="20"/>
                <w:szCs w:val="20"/>
                <w:color w:val="auto"/>
              </w:rPr>
            </w:pPr>
            <w:r>
              <w:rPr>
                <w:rFonts w:ascii="Arial" w:cs="Arial" w:eastAsia="Arial" w:hAnsi="Arial"/>
                <w:sz w:val="18"/>
                <w:szCs w:val="18"/>
                <w:color w:val="auto"/>
                <w:w w:val="92"/>
              </w:rPr>
              <w:t>101.DEF</w:t>
            </w:r>
          </w:p>
        </w:tc>
        <w:tc>
          <w:tcPr>
            <w:tcW w:w="10420" w:type="dxa"/>
            <w:vAlign w:val="bottom"/>
          </w:tcPr>
          <w:p>
            <w:pPr>
              <w:ind w:left="1040"/>
              <w:spacing w:after="0"/>
              <w:rPr>
                <w:sz w:val="20"/>
                <w:szCs w:val="20"/>
                <w:color w:val="auto"/>
              </w:rPr>
            </w:pPr>
            <w:r>
              <w:rPr>
                <w:rFonts w:ascii="Arial" w:cs="Arial" w:eastAsia="Arial" w:hAnsi="Arial"/>
                <w:sz w:val="18"/>
                <w:szCs w:val="18"/>
                <w:color w:val="auto"/>
              </w:rPr>
              <w:t>XBRL Taxonomy Extension Definition Linkbase Document.</w:t>
            </w:r>
          </w:p>
        </w:tc>
      </w:tr>
      <w:tr>
        <w:trPr>
          <w:trHeight w:val="270"/>
        </w:trPr>
        <w:tc>
          <w:tcPr>
            <w:tcW w:w="720" w:type="dxa"/>
            <w:vAlign w:val="bottom"/>
          </w:tcPr>
          <w:p>
            <w:pPr>
              <w:ind w:left="40"/>
              <w:spacing w:after="0"/>
              <w:rPr>
                <w:sz w:val="20"/>
                <w:szCs w:val="20"/>
                <w:color w:val="auto"/>
              </w:rPr>
            </w:pPr>
            <w:r>
              <w:rPr>
                <w:rFonts w:ascii="Arial" w:cs="Arial" w:eastAsia="Arial" w:hAnsi="Arial"/>
                <w:sz w:val="18"/>
                <w:szCs w:val="18"/>
                <w:color w:val="auto"/>
                <w:w w:val="95"/>
              </w:rPr>
              <w:t>101.LAB</w:t>
            </w:r>
          </w:p>
        </w:tc>
        <w:tc>
          <w:tcPr>
            <w:tcW w:w="10420" w:type="dxa"/>
            <w:vAlign w:val="bottom"/>
          </w:tcPr>
          <w:p>
            <w:pPr>
              <w:ind w:left="1040"/>
              <w:spacing w:after="0"/>
              <w:rPr>
                <w:sz w:val="20"/>
                <w:szCs w:val="20"/>
                <w:color w:val="auto"/>
              </w:rPr>
            </w:pPr>
            <w:r>
              <w:rPr>
                <w:rFonts w:ascii="Arial" w:cs="Arial" w:eastAsia="Arial" w:hAnsi="Arial"/>
                <w:sz w:val="18"/>
                <w:szCs w:val="18"/>
                <w:color w:val="auto"/>
              </w:rPr>
              <w:t>XBRL Taxonomy Extension Label Linkbase Document.</w:t>
            </w:r>
          </w:p>
        </w:tc>
      </w:tr>
      <w:tr>
        <w:trPr>
          <w:trHeight w:val="270"/>
        </w:trPr>
        <w:tc>
          <w:tcPr>
            <w:tcW w:w="720" w:type="dxa"/>
            <w:vAlign w:val="bottom"/>
          </w:tcPr>
          <w:p>
            <w:pPr>
              <w:ind w:left="40"/>
              <w:spacing w:after="0"/>
              <w:rPr>
                <w:sz w:val="20"/>
                <w:szCs w:val="20"/>
                <w:color w:val="auto"/>
              </w:rPr>
            </w:pPr>
            <w:r>
              <w:rPr>
                <w:rFonts w:ascii="Arial" w:cs="Arial" w:eastAsia="Arial" w:hAnsi="Arial"/>
                <w:sz w:val="18"/>
                <w:szCs w:val="18"/>
                <w:color w:val="auto"/>
                <w:w w:val="91"/>
              </w:rPr>
              <w:t>101.PRE</w:t>
            </w:r>
          </w:p>
        </w:tc>
        <w:tc>
          <w:tcPr>
            <w:tcW w:w="10420" w:type="dxa"/>
            <w:vAlign w:val="bottom"/>
          </w:tcPr>
          <w:p>
            <w:pPr>
              <w:ind w:left="104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391" w:lineRule="exact"/>
        <w:rPr>
          <w:sz w:val="20"/>
          <w:szCs w:val="20"/>
          <w:color w:val="auto"/>
        </w:rPr>
      </w:pPr>
    </w:p>
    <w:p>
      <w:pPr>
        <w:ind w:left="1360" w:right="240" w:hanging="832"/>
        <w:spacing w:after="0" w:line="277" w:lineRule="auto"/>
        <w:tabs>
          <w:tab w:leader="none" w:pos="1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Incorporated by reference to the Exhibits filed with our Quarterly Report on Form 10-Q filed on August 3, 2007 (File No. 001-10716).</w:t>
      </w:r>
    </w:p>
    <w:p>
      <w:pPr>
        <w:spacing w:after="0" w:line="8" w:lineRule="exact"/>
        <w:rPr>
          <w:rFonts w:ascii="Arial" w:cs="Arial" w:eastAsia="Arial" w:hAnsi="Arial"/>
          <w:sz w:val="18"/>
          <w:szCs w:val="18"/>
          <w:color w:val="auto"/>
        </w:rPr>
      </w:pPr>
    </w:p>
    <w:p>
      <w:pPr>
        <w:ind w:left="1360" w:right="240" w:hanging="832"/>
        <w:spacing w:after="0" w:line="277" w:lineRule="auto"/>
        <w:tabs>
          <w:tab w:leader="none" w:pos="13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Incorporated by reference to the Exhibits filed with our Current Report on Form 8-K filed on December 18, 2015 (File No. 001-10716).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40"/>
          </w:cols>
          <w:pgMar w:left="240" w:top="125" w:right="51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640" w:type="dxa"/>
            <w:vAlign w:val="bottom"/>
          </w:tcPr>
          <w:p>
            <w:pPr>
              <w:spacing w:after="0"/>
              <w:rPr>
                <w:sz w:val="20"/>
                <w:szCs w:val="20"/>
                <w:color w:val="auto"/>
              </w:rPr>
            </w:pPr>
          </w:p>
        </w:tc>
        <w:tc>
          <w:tcPr>
            <w:tcW w:w="4140" w:type="dxa"/>
            <w:vAlign w:val="bottom"/>
            <w:gridSpan w:val="2"/>
          </w:tcPr>
          <w:p>
            <w:pPr>
              <w:ind w:left="1020"/>
              <w:spacing w:after="0"/>
              <w:rPr>
                <w:sz w:val="20"/>
                <w:szCs w:val="20"/>
                <w:color w:val="auto"/>
              </w:rPr>
            </w:pPr>
            <w:r>
              <w:rPr>
                <w:rFonts w:ascii="Arial" w:cs="Arial" w:eastAsia="Arial" w:hAnsi="Arial"/>
                <w:sz w:val="18"/>
                <w:szCs w:val="18"/>
                <w:b w:val="1"/>
                <w:bCs w:val="1"/>
                <w:color w:val="auto"/>
                <w:w w:val="98"/>
              </w:rPr>
              <w:t>TRIMAS CORPORATION (Registrant)</w:t>
            </w:r>
          </w:p>
        </w:tc>
        <w:tc>
          <w:tcPr>
            <w:tcW w:w="4600" w:type="dxa"/>
            <w:vAlign w:val="bottom"/>
          </w:tcPr>
          <w:p>
            <w:pPr>
              <w:spacing w:after="0"/>
              <w:rPr>
                <w:sz w:val="20"/>
                <w:szCs w:val="20"/>
                <w:color w:val="auto"/>
              </w:rPr>
            </w:pPr>
          </w:p>
        </w:tc>
      </w:tr>
      <w:tr>
        <w:trPr>
          <w:trHeight w:val="567"/>
        </w:trPr>
        <w:tc>
          <w:tcPr>
            <w:tcW w:w="26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4600" w:type="dxa"/>
            <w:vAlign w:val="bottom"/>
          </w:tcPr>
          <w:p>
            <w:pPr>
              <w:jc w:val="center"/>
              <w:ind w:right="2490"/>
              <w:spacing w:after="0"/>
              <w:rPr>
                <w:sz w:val="20"/>
                <w:szCs w:val="20"/>
                <w:color w:val="auto"/>
              </w:rPr>
            </w:pPr>
            <w:r>
              <w:rPr>
                <w:rFonts w:ascii="Arial" w:cs="Arial" w:eastAsia="Arial" w:hAnsi="Arial"/>
                <w:sz w:val="18"/>
                <w:szCs w:val="18"/>
                <w:color w:val="auto"/>
                <w:w w:val="94"/>
              </w:rPr>
              <w:t>/s/ ROBERT J. ZALUPSKI</w:t>
            </w:r>
          </w:p>
        </w:tc>
      </w:tr>
      <w:tr>
        <w:trPr>
          <w:trHeight w:val="149"/>
        </w:trPr>
        <w:tc>
          <w:tcPr>
            <w:tcW w:w="26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580" w:type="dxa"/>
            <w:vAlign w:val="bottom"/>
            <w:tcBorders>
              <w:bottom w:val="single" w:sz="8" w:color="auto"/>
            </w:tcBorders>
          </w:tcPr>
          <w:p>
            <w:pPr>
              <w:spacing w:after="0"/>
              <w:rPr>
                <w:sz w:val="12"/>
                <w:szCs w:val="12"/>
                <w:color w:val="auto"/>
              </w:rPr>
            </w:pPr>
          </w:p>
        </w:tc>
        <w:tc>
          <w:tcPr>
            <w:tcW w:w="4600" w:type="dxa"/>
            <w:vAlign w:val="bottom"/>
            <w:tcBorders>
              <w:bottom w:val="single" w:sz="8" w:color="auto"/>
            </w:tcBorders>
          </w:tcPr>
          <w:p>
            <w:pPr>
              <w:spacing w:after="0"/>
              <w:rPr>
                <w:sz w:val="12"/>
                <w:szCs w:val="12"/>
                <w:color w:val="auto"/>
              </w:rPr>
            </w:pPr>
          </w:p>
        </w:tc>
      </w:tr>
      <w:tr>
        <w:trPr>
          <w:trHeight w:val="222"/>
        </w:trPr>
        <w:tc>
          <w:tcPr>
            <w:tcW w:w="26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4600" w:type="dxa"/>
            <w:vAlign w:val="bottom"/>
          </w:tcPr>
          <w:p>
            <w:pPr>
              <w:jc w:val="center"/>
              <w:ind w:right="2490"/>
              <w:spacing w:after="0"/>
              <w:rPr>
                <w:sz w:val="20"/>
                <w:szCs w:val="20"/>
                <w:color w:val="auto"/>
              </w:rPr>
            </w:pPr>
            <w:r>
              <w:rPr>
                <w:rFonts w:ascii="Arial" w:cs="Arial" w:eastAsia="Arial" w:hAnsi="Arial"/>
                <w:sz w:val="18"/>
                <w:szCs w:val="18"/>
                <w:color w:val="auto"/>
                <w:w w:val="92"/>
              </w:rPr>
              <w:t>Robert J. Zalupski</w:t>
            </w:r>
          </w:p>
        </w:tc>
      </w:tr>
      <w:tr>
        <w:trPr>
          <w:trHeight w:val="230"/>
        </w:trPr>
        <w:tc>
          <w:tcPr>
            <w:tcW w:w="2640" w:type="dxa"/>
            <w:vAlign w:val="bottom"/>
          </w:tcPr>
          <w:p>
            <w:pPr>
              <w:spacing w:after="0"/>
              <w:rPr>
                <w:sz w:val="20"/>
                <w:szCs w:val="20"/>
                <w:color w:val="auto"/>
              </w:rPr>
            </w:pPr>
            <w:r>
              <w:rPr>
                <w:rFonts w:ascii="Arial" w:cs="Arial" w:eastAsia="Arial" w:hAnsi="Arial"/>
                <w:sz w:val="18"/>
                <w:szCs w:val="18"/>
                <w:color w:val="auto"/>
              </w:rPr>
              <w:t>Date:  April 28, 2016</w:t>
            </w:r>
          </w:p>
        </w:tc>
        <w:tc>
          <w:tcPr>
            <w:tcW w:w="4140" w:type="dxa"/>
            <w:vAlign w:val="bottom"/>
            <w:gridSpan w:val="2"/>
          </w:tcPr>
          <w:p>
            <w:pPr>
              <w:ind w:left="1020"/>
              <w:spacing w:after="0"/>
              <w:rPr>
                <w:sz w:val="20"/>
                <w:szCs w:val="20"/>
                <w:color w:val="auto"/>
              </w:rPr>
            </w:pPr>
            <w:r>
              <w:rPr>
                <w:rFonts w:ascii="Arial" w:cs="Arial" w:eastAsia="Arial" w:hAnsi="Arial"/>
                <w:sz w:val="18"/>
                <w:szCs w:val="18"/>
                <w:color w:val="auto"/>
              </w:rPr>
              <w:t>By:</w:t>
            </w:r>
          </w:p>
        </w:tc>
        <w:tc>
          <w:tcPr>
            <w:tcW w:w="4600" w:type="dxa"/>
            <w:vAlign w:val="bottom"/>
          </w:tcPr>
          <w:p>
            <w:pPr>
              <w:jc w:val="center"/>
              <w:ind w:right="2490"/>
              <w:spacing w:after="0"/>
              <w:rPr>
                <w:sz w:val="20"/>
                <w:szCs w:val="20"/>
                <w:color w:val="auto"/>
              </w:rPr>
            </w:pPr>
            <w:r>
              <w:rPr>
                <w:rFonts w:ascii="Arial" w:cs="Arial" w:eastAsia="Arial" w:hAnsi="Arial"/>
                <w:sz w:val="18"/>
                <w:szCs w:val="18"/>
                <w:i w:val="1"/>
                <w:iCs w:val="1"/>
                <w:color w:val="auto"/>
                <w:w w:val="95"/>
              </w:rPr>
              <w:t>Chief Financial Officer</w:t>
            </w:r>
          </w:p>
        </w:tc>
      </w:tr>
      <w:tr>
        <w:trPr>
          <w:trHeight w:val="702"/>
        </w:trPr>
        <w:tc>
          <w:tcPr>
            <w:tcW w:w="2640" w:type="dxa"/>
            <w:vAlign w:val="bottom"/>
          </w:tcPr>
          <w:p>
            <w:pPr>
              <w:spacing w:after="0"/>
              <w:rPr>
                <w:sz w:val="24"/>
                <w:szCs w:val="24"/>
                <w:color w:val="auto"/>
              </w:rPr>
            </w:pPr>
          </w:p>
        </w:tc>
        <w:tc>
          <w:tcPr>
            <w:tcW w:w="4140" w:type="dxa"/>
            <w:vAlign w:val="bottom"/>
            <w:gridSpan w:val="2"/>
          </w:tcPr>
          <w:p>
            <w:pPr>
              <w:jc w:val="right"/>
              <w:ind w:right="1020"/>
              <w:spacing w:after="0"/>
              <w:rPr>
                <w:sz w:val="20"/>
                <w:szCs w:val="20"/>
                <w:color w:val="auto"/>
              </w:rPr>
            </w:pPr>
            <w:r>
              <w:rPr>
                <w:rFonts w:ascii="Arial" w:cs="Arial" w:eastAsia="Arial" w:hAnsi="Arial"/>
                <w:sz w:val="18"/>
                <w:szCs w:val="18"/>
                <w:color w:val="auto"/>
              </w:rPr>
              <w:t>36</w:t>
            </w:r>
          </w:p>
        </w:tc>
        <w:tc>
          <w:tcPr>
            <w:tcW w:w="46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22"/>
          <w:szCs w:val="22"/>
          <w:b w:val="1"/>
          <w:bCs w:val="1"/>
          <w:color w:val="auto"/>
        </w:rPr>
        <w:t>Exhibit 10.1</w:t>
      </w:r>
    </w:p>
    <w:p>
      <w:pPr>
        <w:spacing w:after="0" w:line="26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1/1/16 - 12/31/18 Award</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Performance Units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TRIMAS CORPORATION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2006 LONG TERM EQUITY INCENTIVE PLAN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PERFORMANCE UNIT AGREEMENT</w:t>
      </w:r>
    </w:p>
    <w:p>
      <w:pPr>
        <w:spacing w:after="0" w:line="26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TriMas Corporation (the “Corporation”), as permitted by the TriMas Corporation 2006 Long Term Equity Incentive Plan, as amended (“Plan”), and as approved by the Administrator, has granted to the individual listed below (“Grantee”), the opportunity to earn Performance Units (“Performance Units”) in the amount designated in this Performance Unit Agreement (“Agreement”), subject to the terms and conditions of the Plan and this Agreement.</w:t>
      </w:r>
    </w:p>
    <w:p>
      <w:pPr>
        <w:spacing w:after="0" w:line="1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Unless otherwise defined in this Agreement or in Appendices A or B to this Agreement, the terms used in this Agreement have the same meaning as defined in the Plan. The term “Service Provider” as used in this Agreement means an individual actively providing services to the Corporation or a Subsidiary of the Corporation.</w:t>
      </w:r>
    </w:p>
    <w:p>
      <w:pPr>
        <w:sectPr>
          <w:pgSz w:w="11900" w:h="16838" w:orient="portrait"/>
          <w:cols w:equalWidth="0" w:num="1">
            <w:col w:w="11420"/>
          </w:cols>
          <w:pgMar w:left="240" w:top="585" w:right="239" w:bottom="1440" w:gutter="0" w:footer="0" w:header="0"/>
        </w:sectPr>
      </w:pPr>
    </w:p>
    <w:p>
      <w:pPr>
        <w:spacing w:after="0" w:line="180" w:lineRule="exact"/>
        <w:rPr>
          <w:sz w:val="20"/>
          <w:szCs w:val="20"/>
          <w:color w:val="auto"/>
        </w:rPr>
      </w:pPr>
    </w:p>
    <w:p>
      <w:pPr>
        <w:ind w:left="360" w:hanging="352"/>
        <w:spacing w:after="0"/>
        <w:tabs>
          <w:tab w:leader="none" w:pos="360" w:val="left"/>
        </w:tabs>
        <w:numPr>
          <w:ilvl w:val="0"/>
          <w:numId w:val="10"/>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NOTICE OF PERFORMANCE UNIT AWARD</w:t>
      </w:r>
    </w:p>
    <w:p>
      <w:pPr>
        <w:spacing w:after="0" w:line="380" w:lineRule="exact"/>
        <w:rPr>
          <w:sz w:val="20"/>
          <w:szCs w:val="20"/>
          <w:color w:val="auto"/>
        </w:rPr>
      </w:pPr>
    </w:p>
    <w:p>
      <w:pPr>
        <w:ind w:left="420"/>
        <w:spacing w:after="0"/>
        <w:rPr>
          <w:sz w:val="20"/>
          <w:szCs w:val="20"/>
          <w:color w:val="auto"/>
        </w:rPr>
      </w:pPr>
      <w:r>
        <w:rPr>
          <w:rFonts w:ascii="Arial" w:cs="Arial" w:eastAsia="Arial" w:hAnsi="Arial"/>
          <w:sz w:val="22"/>
          <w:szCs w:val="22"/>
          <w:b w:val="1"/>
          <w:bCs w:val="1"/>
          <w:color w:val="auto"/>
        </w:rPr>
        <w:t>Grantee:</w:t>
      </w:r>
    </w:p>
    <w:p>
      <w:pPr>
        <w:spacing w:after="0" w:line="44" w:lineRule="exact"/>
        <w:rPr>
          <w:sz w:val="20"/>
          <w:szCs w:val="20"/>
          <w:color w:val="auto"/>
        </w:rPr>
      </w:pPr>
    </w:p>
    <w:p>
      <w:pPr>
        <w:ind w:left="420"/>
        <w:spacing w:after="0"/>
        <w:rPr>
          <w:sz w:val="20"/>
          <w:szCs w:val="20"/>
          <w:color w:val="auto"/>
        </w:rPr>
      </w:pPr>
      <w:r>
        <w:rPr>
          <w:rFonts w:ascii="Arial" w:cs="Arial" w:eastAsia="Arial" w:hAnsi="Arial"/>
          <w:sz w:val="22"/>
          <w:szCs w:val="22"/>
          <w:b w:val="1"/>
          <w:bCs w:val="1"/>
          <w:color w:val="auto"/>
        </w:rPr>
        <w:t>Date of Agreement:</w:t>
      </w:r>
    </w:p>
    <w:p>
      <w:pPr>
        <w:spacing w:after="0" w:line="152" w:lineRule="exact"/>
        <w:rPr>
          <w:sz w:val="20"/>
          <w:szCs w:val="20"/>
          <w:color w:val="auto"/>
        </w:rPr>
      </w:pPr>
    </w:p>
    <w:p>
      <w:pPr>
        <w:ind w:left="420"/>
        <w:spacing w:after="0"/>
        <w:rPr>
          <w:sz w:val="20"/>
          <w:szCs w:val="20"/>
          <w:color w:val="auto"/>
        </w:rPr>
      </w:pPr>
      <w:r>
        <w:rPr>
          <w:rFonts w:ascii="Arial" w:cs="Arial" w:eastAsia="Arial" w:hAnsi="Arial"/>
          <w:sz w:val="22"/>
          <w:szCs w:val="22"/>
          <w:b w:val="1"/>
          <w:bCs w:val="1"/>
          <w:color w:val="auto"/>
        </w:rPr>
        <w:t>Grant Date:</w:t>
      </w:r>
    </w:p>
    <w:p>
      <w:pPr>
        <w:spacing w:after="0" w:line="44" w:lineRule="exact"/>
        <w:rPr>
          <w:sz w:val="20"/>
          <w:szCs w:val="20"/>
          <w:color w:val="auto"/>
        </w:rPr>
      </w:pPr>
    </w:p>
    <w:p>
      <w:pPr>
        <w:ind w:left="420"/>
        <w:spacing w:after="0"/>
        <w:rPr>
          <w:sz w:val="20"/>
          <w:szCs w:val="20"/>
          <w:color w:val="auto"/>
        </w:rPr>
      </w:pPr>
      <w:r>
        <w:rPr>
          <w:rFonts w:ascii="Arial" w:cs="Arial" w:eastAsia="Arial" w:hAnsi="Arial"/>
          <w:sz w:val="22"/>
          <w:szCs w:val="22"/>
          <w:b w:val="1"/>
          <w:bCs w:val="1"/>
          <w:color w:val="auto"/>
        </w:rPr>
        <w:t>Number of Performance Units in Award: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[specify Grantee’s name]</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[grant date]</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color w:val="auto"/>
        </w:rPr>
        <w:t>March 1, 2016</w:t>
      </w:r>
    </w:p>
    <w:p>
      <w:pPr>
        <w:spacing w:after="0" w:line="98" w:lineRule="exact"/>
        <w:rPr>
          <w:sz w:val="20"/>
          <w:szCs w:val="20"/>
          <w:color w:val="auto"/>
        </w:rPr>
      </w:pPr>
    </w:p>
    <w:p>
      <w:pPr>
        <w:jc w:val="both"/>
        <w:ind w:right="480"/>
        <w:spacing w:after="0"/>
        <w:rPr>
          <w:sz w:val="20"/>
          <w:szCs w:val="20"/>
          <w:color w:val="auto"/>
        </w:rPr>
      </w:pPr>
      <w:r>
        <w:rPr>
          <w:rFonts w:ascii="Arial" w:cs="Arial" w:eastAsia="Arial" w:hAnsi="Arial"/>
          <w:sz w:val="22"/>
          <w:szCs w:val="22"/>
          <w:b w:val="1"/>
          <w:bCs w:val="1"/>
          <w:i w:val="1"/>
          <w:iCs w:val="1"/>
          <w:color w:val="auto"/>
        </w:rPr>
        <w:t xml:space="preserve">[number of Performance Units] </w:t>
      </w:r>
      <w:r>
        <w:rPr>
          <w:rFonts w:ascii="Arial" w:cs="Arial" w:eastAsia="Arial" w:hAnsi="Arial"/>
          <w:sz w:val="22"/>
          <w:szCs w:val="22"/>
          <w:color w:val="auto"/>
        </w:rPr>
        <w:t>(“Target”), subject to addition or</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subtraction as set forth on Appendix A depending on achievement of performance goal</w:t>
      </w:r>
    </w:p>
    <w:p>
      <w:pPr>
        <w:spacing w:after="0" w:line="72" w:lineRule="exact"/>
        <w:rPr>
          <w:sz w:val="20"/>
          <w:szCs w:val="20"/>
          <w:color w:val="auto"/>
        </w:rPr>
      </w:pPr>
    </w:p>
    <w:p>
      <w:pPr>
        <w:sectPr>
          <w:pgSz w:w="11900" w:h="16838" w:orient="portrait"/>
          <w:cols w:equalWidth="0" w:num="2">
            <w:col w:w="4760" w:space="460"/>
            <w:col w:w="6200"/>
          </w:cols>
          <w:pgMar w:left="240" w:top="585" w:right="239" w:bottom="1440" w:gutter="0" w:footer="0" w:header="0"/>
          <w:type w:val="continuous"/>
        </w:sectPr>
      </w:pPr>
    </w:p>
    <w:p>
      <w:pPr>
        <w:ind w:left="420"/>
        <w:spacing w:after="0"/>
        <w:tabs>
          <w:tab w:leader="none" w:pos="5200" w:val="left"/>
        </w:tabs>
        <w:rPr>
          <w:sz w:val="20"/>
          <w:szCs w:val="20"/>
          <w:color w:val="auto"/>
        </w:rPr>
      </w:pPr>
      <w:r>
        <w:rPr>
          <w:rFonts w:ascii="Arial" w:cs="Arial" w:eastAsia="Arial" w:hAnsi="Arial"/>
          <w:sz w:val="22"/>
          <w:szCs w:val="22"/>
          <w:b w:val="1"/>
          <w:bCs w:val="1"/>
          <w:color w:val="auto"/>
        </w:rPr>
        <w:t>Performance Period:</w:t>
      </w:r>
      <w:r>
        <w:rPr>
          <w:sz w:val="20"/>
          <w:szCs w:val="20"/>
          <w:color w:val="auto"/>
        </w:rPr>
        <w:tab/>
      </w:r>
      <w:r>
        <w:rPr>
          <w:rFonts w:ascii="Arial" w:cs="Arial" w:eastAsia="Arial" w:hAnsi="Arial"/>
          <w:sz w:val="19"/>
          <w:szCs w:val="19"/>
          <w:color w:val="auto"/>
        </w:rPr>
        <w:t>Beginning on January 1, 2016, and continuing through December</w:t>
      </w:r>
    </w:p>
    <w:p>
      <w:pPr>
        <w:spacing w:after="0" w:line="14" w:lineRule="exact"/>
        <w:rPr>
          <w:sz w:val="20"/>
          <w:szCs w:val="20"/>
          <w:color w:val="auto"/>
        </w:rPr>
      </w:pPr>
    </w:p>
    <w:p>
      <w:pPr>
        <w:jc w:val="center"/>
        <w:ind w:right="220"/>
        <w:spacing w:after="0"/>
        <w:rPr>
          <w:sz w:val="20"/>
          <w:szCs w:val="20"/>
          <w:color w:val="auto"/>
        </w:rPr>
      </w:pPr>
      <w:r>
        <w:rPr>
          <w:rFonts w:ascii="Arial" w:cs="Arial" w:eastAsia="Arial" w:hAnsi="Arial"/>
          <w:sz w:val="22"/>
          <w:szCs w:val="22"/>
          <w:color w:val="auto"/>
        </w:rPr>
        <w:t>31, 2018</w:t>
      </w:r>
    </w:p>
    <w:p>
      <w:pPr>
        <w:spacing w:after="0" w:line="20" w:lineRule="exact"/>
        <w:rPr>
          <w:sz w:val="20"/>
          <w:szCs w:val="20"/>
          <w:color w:val="auto"/>
        </w:rPr>
      </w:pPr>
    </w:p>
    <w:p>
      <w:pPr>
        <w:ind w:left="420"/>
        <w:spacing w:after="0"/>
        <w:tabs>
          <w:tab w:leader="none" w:pos="5200" w:val="left"/>
        </w:tabs>
        <w:rPr>
          <w:sz w:val="20"/>
          <w:szCs w:val="20"/>
          <w:color w:val="auto"/>
        </w:rPr>
      </w:pPr>
      <w:r>
        <w:rPr>
          <w:rFonts w:ascii="Arial" w:cs="Arial" w:eastAsia="Arial" w:hAnsi="Arial"/>
          <w:sz w:val="22"/>
          <w:szCs w:val="22"/>
          <w:b w:val="1"/>
          <w:bCs w:val="1"/>
          <w:color w:val="auto"/>
        </w:rPr>
        <w:t>Settlement Date</w:t>
      </w:r>
      <w:r>
        <w:rPr>
          <w:sz w:val="20"/>
          <w:szCs w:val="20"/>
          <w:color w:val="auto"/>
        </w:rPr>
        <w:tab/>
      </w:r>
      <w:r>
        <w:rPr>
          <w:rFonts w:ascii="Arial" w:cs="Arial" w:eastAsia="Arial" w:hAnsi="Arial"/>
          <w:sz w:val="19"/>
          <w:szCs w:val="19"/>
          <w:color w:val="auto"/>
        </w:rPr>
        <w:t>March 1, 2019</w:t>
      </w:r>
    </w:p>
    <w:p>
      <w:pPr>
        <w:spacing w:after="0" w:line="44" w:lineRule="exact"/>
        <w:rPr>
          <w:sz w:val="20"/>
          <w:szCs w:val="20"/>
          <w:color w:val="auto"/>
        </w:rPr>
      </w:pPr>
    </w:p>
    <w:p>
      <w:pPr>
        <w:ind w:left="420"/>
        <w:spacing w:after="0"/>
        <w:tabs>
          <w:tab w:leader="none" w:pos="5200" w:val="left"/>
        </w:tabs>
        <w:rPr>
          <w:sz w:val="20"/>
          <w:szCs w:val="20"/>
          <w:color w:val="auto"/>
        </w:rPr>
      </w:pPr>
      <w:r>
        <w:rPr>
          <w:rFonts w:ascii="Arial" w:cs="Arial" w:eastAsia="Arial" w:hAnsi="Arial"/>
          <w:sz w:val="22"/>
          <w:szCs w:val="22"/>
          <w:b w:val="1"/>
          <w:bCs w:val="1"/>
          <w:color w:val="auto"/>
        </w:rPr>
        <w:t>Settlement Method:</w:t>
      </w:r>
      <w:r>
        <w:rPr>
          <w:sz w:val="20"/>
          <w:szCs w:val="20"/>
          <w:color w:val="auto"/>
        </w:rPr>
        <w:tab/>
      </w:r>
      <w:r>
        <w:rPr>
          <w:rFonts w:ascii="Arial" w:cs="Arial" w:eastAsia="Arial" w:hAnsi="Arial"/>
          <w:sz w:val="19"/>
          <w:szCs w:val="19"/>
          <w:color w:val="auto"/>
        </w:rPr>
        <w:t>Earned and vested Performance Units will be settled by delivery</w:t>
      </w:r>
    </w:p>
    <w:p>
      <w:pPr>
        <w:spacing w:after="0" w:line="14" w:lineRule="exact"/>
        <w:rPr>
          <w:sz w:val="20"/>
          <w:szCs w:val="20"/>
          <w:color w:val="auto"/>
        </w:rPr>
      </w:pPr>
    </w:p>
    <w:p>
      <w:pPr>
        <w:ind w:left="5220"/>
        <w:spacing w:after="0"/>
        <w:rPr>
          <w:sz w:val="20"/>
          <w:szCs w:val="20"/>
          <w:color w:val="auto"/>
        </w:rPr>
      </w:pPr>
      <w:r>
        <w:rPr>
          <w:rFonts w:ascii="Arial" w:cs="Arial" w:eastAsia="Arial" w:hAnsi="Arial"/>
          <w:sz w:val="19"/>
          <w:szCs w:val="19"/>
          <w:color w:val="auto"/>
        </w:rPr>
        <w:t>of one share of Common Stock for each Performance Unit being</w:t>
      </w:r>
    </w:p>
    <w:p>
      <w:pPr>
        <w:spacing w:after="0" w:line="25" w:lineRule="exact"/>
        <w:rPr>
          <w:sz w:val="20"/>
          <w:szCs w:val="20"/>
          <w:color w:val="auto"/>
        </w:rPr>
      </w:pPr>
    </w:p>
    <w:p>
      <w:pPr>
        <w:ind w:left="5220"/>
        <w:spacing w:after="0"/>
        <w:rPr>
          <w:sz w:val="20"/>
          <w:szCs w:val="20"/>
          <w:color w:val="auto"/>
        </w:rPr>
      </w:pPr>
      <w:r>
        <w:rPr>
          <w:rFonts w:ascii="Arial" w:cs="Arial" w:eastAsia="Arial" w:hAnsi="Arial"/>
          <w:sz w:val="22"/>
          <w:szCs w:val="22"/>
          <w:color w:val="auto"/>
        </w:rPr>
        <w:t>settled</w:t>
      </w:r>
    </w:p>
    <w:p>
      <w:pPr>
        <w:spacing w:after="0" w:line="263" w:lineRule="exact"/>
        <w:rPr>
          <w:sz w:val="20"/>
          <w:szCs w:val="20"/>
          <w:color w:val="auto"/>
        </w:rPr>
      </w:pPr>
    </w:p>
    <w:p>
      <w:pPr>
        <w:ind w:left="440" w:hanging="432"/>
        <w:spacing w:after="0"/>
        <w:tabs>
          <w:tab w:leader="none" w:pos="440" w:val="left"/>
        </w:tabs>
        <w:numPr>
          <w:ilvl w:val="0"/>
          <w:numId w:val="1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AGREEMENT</w:t>
      </w:r>
    </w:p>
    <w:p>
      <w:pPr>
        <w:spacing w:after="0" w:line="219" w:lineRule="exact"/>
        <w:rPr>
          <w:rFonts w:ascii="Arial" w:cs="Arial" w:eastAsia="Arial" w:hAnsi="Arial"/>
          <w:sz w:val="22"/>
          <w:szCs w:val="22"/>
          <w:b w:val="1"/>
          <w:bCs w:val="1"/>
          <w:color w:val="auto"/>
        </w:rPr>
      </w:pPr>
    </w:p>
    <w:p>
      <w:pPr>
        <w:ind w:left="66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  </w:t>
      </w:r>
      <w:r>
        <w:rPr>
          <w:rFonts w:ascii="Arial" w:cs="Arial" w:eastAsia="Arial" w:hAnsi="Arial"/>
          <w:sz w:val="22"/>
          <w:szCs w:val="22"/>
          <w:b w:val="1"/>
          <w:bCs w:val="1"/>
          <w:u w:val="single" w:color="auto"/>
          <w:color w:val="auto"/>
        </w:rPr>
        <w:t>Grant of Performance Units.</w:t>
      </w:r>
      <w:r>
        <w:rPr>
          <w:rFonts w:ascii="Arial" w:cs="Arial" w:eastAsia="Arial" w:hAnsi="Arial"/>
          <w:sz w:val="22"/>
          <w:szCs w:val="22"/>
          <w:b w:val="1"/>
          <w:bCs w:val="1"/>
          <w:color w:val="auto"/>
        </w:rPr>
        <w:t xml:space="preserve"> </w:t>
      </w:r>
      <w:r>
        <w:rPr>
          <w:rFonts w:ascii="Arial" w:cs="Arial" w:eastAsia="Arial" w:hAnsi="Arial"/>
          <w:sz w:val="22"/>
          <w:szCs w:val="22"/>
          <w:color w:val="auto"/>
        </w:rPr>
        <w:t>The Corporation grants to Grantee (who, pursuant</w:t>
      </w:r>
    </w:p>
    <w:p>
      <w:pPr>
        <w:sectPr>
          <w:pgSz w:w="11900" w:h="16838" w:orient="portrait"/>
          <w:cols w:equalWidth="0" w:num="1">
            <w:col w:w="11420"/>
          </w:cols>
          <w:pgMar w:left="240" w:top="585" w:right="239" w:bottom="1440" w:gutter="0" w:footer="0" w:header="0"/>
          <w:type w:val="continuous"/>
        </w:sectPr>
      </w:pPr>
    </w:p>
    <w:bookmarkStart w:id="38" w:name="page39"/>
    <w:bookmarkEnd w:id="38"/>
    <w:p>
      <w:pPr>
        <w:jc w:val="both"/>
        <w:spacing w:after="0" w:line="302" w:lineRule="auto"/>
        <w:rPr>
          <w:sz w:val="20"/>
          <w:szCs w:val="20"/>
          <w:color w:val="auto"/>
        </w:rPr>
      </w:pPr>
      <w:r>
        <w:rPr>
          <w:rFonts w:ascii="Arial" w:cs="Arial" w:eastAsia="Arial" w:hAnsi="Arial"/>
          <w:sz w:val="19"/>
          <w:szCs w:val="19"/>
          <w:color w:val="auto"/>
        </w:rPr>
        <w:t>to this Award is a Participant in the Plan) the number of Performance Units set forth above, subject to adjustment as provided otherwise in this Agreement (this “Award”). The Performance Units granted under this Agreement are payable only in shares of Common Stock. Notwithstanding anything to the contrary anywhere else in this Agreement, the Performance Units in this Award are subject to the terms and provisions of the Plan, which are incorporated by reference into this Agreement.</w:t>
      </w:r>
    </w:p>
    <w:p>
      <w:pPr>
        <w:spacing w:after="0" w:line="137" w:lineRule="exact"/>
        <w:rPr>
          <w:sz w:val="20"/>
          <w:szCs w:val="20"/>
          <w:color w:val="auto"/>
        </w:rPr>
      </w:pPr>
    </w:p>
    <w:p>
      <w:pPr>
        <w:jc w:val="both"/>
        <w:ind w:firstLine="1305"/>
        <w:spacing w:after="0" w:line="249" w:lineRule="auto"/>
        <w:tabs>
          <w:tab w:leader="none" w:pos="1850" w:val="left"/>
        </w:tabs>
        <w:numPr>
          <w:ilvl w:val="0"/>
          <w:numId w:val="1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Vesting</w:t>
      </w:r>
      <w:r>
        <w:rPr>
          <w:rFonts w:ascii="Arial" w:cs="Arial" w:eastAsia="Arial" w:hAnsi="Arial"/>
          <w:sz w:val="22"/>
          <w:szCs w:val="22"/>
          <w:color w:val="auto"/>
        </w:rPr>
        <w:t>. Except as otherwise designated in this Agreement, Grantee must be a Service Provider on the</w:t>
      </w:r>
      <w:r>
        <w:rPr>
          <w:rFonts w:ascii="Arial" w:cs="Arial" w:eastAsia="Arial" w:hAnsi="Arial"/>
          <w:sz w:val="22"/>
          <w:szCs w:val="22"/>
          <w:b w:val="1"/>
          <w:bCs w:val="1"/>
          <w:color w:val="auto"/>
        </w:rPr>
        <w:t xml:space="preserve"> </w:t>
      </w:r>
      <w:r>
        <w:rPr>
          <w:rFonts w:ascii="Arial" w:cs="Arial" w:eastAsia="Arial" w:hAnsi="Arial"/>
          <w:sz w:val="22"/>
          <w:szCs w:val="22"/>
          <w:color w:val="auto"/>
        </w:rPr>
        <w:t>Settlement Date (as such term is defined in Section II.A.7 below) to be eligible to vest in, and earn, any Performance Units, and any unvested Performance Units subject to this Award will be canceled and forfeited if Grantee terminates as a Service Provider prior to the Settlement Date. Any Performance Units that remain unearned after the “Determination Date” (as such term is defined in Appendix A) will be cancelled and forfeited.</w:t>
      </w:r>
    </w:p>
    <w:p>
      <w:pPr>
        <w:spacing w:after="0" w:line="186" w:lineRule="exact"/>
        <w:rPr>
          <w:rFonts w:ascii="Arial" w:cs="Arial" w:eastAsia="Arial" w:hAnsi="Arial"/>
          <w:sz w:val="22"/>
          <w:szCs w:val="22"/>
          <w:b w:val="1"/>
          <w:bCs w:val="1"/>
          <w:color w:val="auto"/>
        </w:rPr>
      </w:pPr>
    </w:p>
    <w:p>
      <w:pPr>
        <w:ind w:right="20" w:firstLine="1305"/>
        <w:spacing w:after="0" w:line="350" w:lineRule="auto"/>
        <w:tabs>
          <w:tab w:leader="none" w:pos="1715" w:val="left"/>
        </w:tabs>
        <w:numPr>
          <w:ilvl w:val="0"/>
          <w:numId w:val="12"/>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Performance Goals to Earn Performance Units</w:t>
      </w:r>
      <w:r>
        <w:rPr>
          <w:rFonts w:ascii="Arial" w:cs="Arial" w:eastAsia="Arial" w:hAnsi="Arial"/>
          <w:sz w:val="19"/>
          <w:szCs w:val="19"/>
          <w:color w:val="auto"/>
        </w:rPr>
        <w:t>. Grantee will only receive shares of Common Stock related</w:t>
      </w:r>
      <w:r>
        <w:rPr>
          <w:rFonts w:ascii="Arial" w:cs="Arial" w:eastAsia="Arial" w:hAnsi="Arial"/>
          <w:sz w:val="19"/>
          <w:szCs w:val="19"/>
          <w:b w:val="1"/>
          <w:bCs w:val="1"/>
          <w:color w:val="auto"/>
        </w:rPr>
        <w:t xml:space="preserve"> </w:t>
      </w:r>
      <w:r>
        <w:rPr>
          <w:rFonts w:ascii="Arial" w:cs="Arial" w:eastAsia="Arial" w:hAnsi="Arial"/>
          <w:sz w:val="19"/>
          <w:szCs w:val="19"/>
          <w:color w:val="auto"/>
        </w:rPr>
        <w:t>to, and to the extent that such shares are earned pursuant to, the “Performance Goal” specified in Appendix A to this Agreement.</w:t>
      </w:r>
    </w:p>
    <w:p>
      <w:pPr>
        <w:spacing w:after="0" w:line="92" w:lineRule="exact"/>
        <w:rPr>
          <w:rFonts w:ascii="Arial" w:cs="Arial" w:eastAsia="Arial" w:hAnsi="Arial"/>
          <w:sz w:val="19"/>
          <w:szCs w:val="19"/>
          <w:b w:val="1"/>
          <w:bCs w:val="1"/>
          <w:color w:val="auto"/>
        </w:rPr>
      </w:pPr>
    </w:p>
    <w:p>
      <w:pPr>
        <w:jc w:val="both"/>
        <w:ind w:firstLine="1305"/>
        <w:spacing w:after="0" w:line="290" w:lineRule="auto"/>
        <w:tabs>
          <w:tab w:leader="none" w:pos="1783" w:val="left"/>
        </w:tabs>
        <w:numPr>
          <w:ilvl w:val="0"/>
          <w:numId w:val="12"/>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Dividend Equivalent Rights</w:t>
      </w:r>
      <w:r>
        <w:rPr>
          <w:rFonts w:ascii="Arial" w:cs="Arial" w:eastAsia="Arial" w:hAnsi="Arial"/>
          <w:sz w:val="19"/>
          <w:szCs w:val="19"/>
          <w:color w:val="auto"/>
        </w:rPr>
        <w:t>. From and after the Grant Date and until the earlier of (a) the time when the</w:t>
      </w:r>
      <w:r>
        <w:rPr>
          <w:rFonts w:ascii="Arial" w:cs="Arial" w:eastAsia="Arial" w:hAnsi="Arial"/>
          <w:sz w:val="19"/>
          <w:szCs w:val="19"/>
          <w:b w:val="1"/>
          <w:bCs w:val="1"/>
          <w:color w:val="auto"/>
        </w:rPr>
        <w:t xml:space="preserve"> </w:t>
      </w:r>
      <w:r>
        <w:rPr>
          <w:rFonts w:ascii="Arial" w:cs="Arial" w:eastAsia="Arial" w:hAnsi="Arial"/>
          <w:sz w:val="19"/>
          <w:szCs w:val="19"/>
          <w:color w:val="auto"/>
        </w:rPr>
        <w:t>Performance Units are earned and/or vest and are settled in accordance with Section II.A.7 hereof or (b) the time when Grantee’s rights to the Performance Units are forfeited in accordance with Section II.A.6 or II.A.7 hereof, on the date that the Corporation pays a cash dividend (if any) to holders of Common Stock generally, Grantee shall be credited with an additional number of whole Performance Units, determined (rounding down to the nearest whole number) by dividing (x) the product of (I) the full number of Performance Units covered by this Award, multiplied by (II) the amount of cash dividend paid on such date with respect to each share of Common Stock, by (y) the Fair Market Value per share of Common Stock on that date. Such additional Performance Units shall be subject to the same applicable terms and conditions (including earning, vesting, payment and forfeitability) as apply to the Performance Units based on which the dividend equivalents were credited.</w:t>
      </w:r>
    </w:p>
    <w:p>
      <w:pPr>
        <w:spacing w:after="0" w:line="149" w:lineRule="exact"/>
        <w:rPr>
          <w:rFonts w:ascii="Arial" w:cs="Arial" w:eastAsia="Arial" w:hAnsi="Arial"/>
          <w:sz w:val="19"/>
          <w:szCs w:val="19"/>
          <w:b w:val="1"/>
          <w:bCs w:val="1"/>
          <w:color w:val="auto"/>
        </w:rPr>
      </w:pPr>
    </w:p>
    <w:p>
      <w:pPr>
        <w:jc w:val="both"/>
        <w:ind w:firstLine="1305"/>
        <w:spacing w:after="0" w:line="293" w:lineRule="auto"/>
        <w:tabs>
          <w:tab w:leader="none" w:pos="1796" w:val="left"/>
        </w:tabs>
        <w:numPr>
          <w:ilvl w:val="0"/>
          <w:numId w:val="12"/>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Rights of Grantee</w:t>
      </w:r>
      <w:r>
        <w:rPr>
          <w:rFonts w:ascii="Arial" w:cs="Arial" w:eastAsia="Arial" w:hAnsi="Arial"/>
          <w:sz w:val="19"/>
          <w:szCs w:val="19"/>
          <w:color w:val="auto"/>
        </w:rPr>
        <w:t>. This Award does not entitle Grantee to any ownership interest in any actual shares of</w:t>
      </w:r>
      <w:r>
        <w:rPr>
          <w:rFonts w:ascii="Arial" w:cs="Arial" w:eastAsia="Arial" w:hAnsi="Arial"/>
          <w:sz w:val="19"/>
          <w:szCs w:val="19"/>
          <w:b w:val="1"/>
          <w:bCs w:val="1"/>
          <w:color w:val="auto"/>
        </w:rPr>
        <w:t xml:space="preserve"> </w:t>
      </w:r>
      <w:r>
        <w:rPr>
          <w:rFonts w:ascii="Arial" w:cs="Arial" w:eastAsia="Arial" w:hAnsi="Arial"/>
          <w:sz w:val="19"/>
          <w:szCs w:val="19"/>
          <w:color w:val="auto"/>
        </w:rPr>
        <w:t>Common Stock unless and until such shares of Common Stock are issued to Grantee pursuant to the terms of the Plan. Except as otherwise provided in Section II.A.3 hereof, until shares of Common Stock are issued to Grantee in settlement of earned and vested Performance Units under this Award, Grantee will have none of the rights of a stockholder of the Corporation with respect to the shares of Common Stock issuable in settlement of the Performance Units, including the right to vote the shares of Common Stock. Shares of Common Stock issuable in settlement of Performance Units will be delivered to Grantee on the Settlement Date in book entry form or in such other manner as the Administrator may determine.</w:t>
      </w:r>
    </w:p>
    <w:p>
      <w:pPr>
        <w:spacing w:after="0" w:line="145" w:lineRule="exact"/>
        <w:rPr>
          <w:rFonts w:ascii="Arial" w:cs="Arial" w:eastAsia="Arial" w:hAnsi="Arial"/>
          <w:sz w:val="19"/>
          <w:szCs w:val="19"/>
          <w:b w:val="1"/>
          <w:bCs w:val="1"/>
          <w:color w:val="auto"/>
        </w:rPr>
      </w:pPr>
    </w:p>
    <w:p>
      <w:pPr>
        <w:ind w:right="20" w:firstLine="1305"/>
        <w:spacing w:after="0" w:line="269" w:lineRule="auto"/>
        <w:tabs>
          <w:tab w:leader="none" w:pos="1675" w:val="left"/>
        </w:tabs>
        <w:numPr>
          <w:ilvl w:val="0"/>
          <w:numId w:val="1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Adjustments</w:t>
      </w:r>
      <w:r>
        <w:rPr>
          <w:rFonts w:ascii="Arial" w:cs="Arial" w:eastAsia="Arial" w:hAnsi="Arial"/>
          <w:sz w:val="22"/>
          <w:szCs w:val="22"/>
          <w:b w:val="1"/>
          <w:bCs w:val="1"/>
          <w:color w:val="auto"/>
        </w:rPr>
        <w:t xml:space="preserve">. </w:t>
      </w:r>
      <w:r>
        <w:rPr>
          <w:rFonts w:ascii="Arial" w:cs="Arial" w:eastAsia="Arial" w:hAnsi="Arial"/>
          <w:sz w:val="22"/>
          <w:szCs w:val="22"/>
          <w:color w:val="auto"/>
        </w:rPr>
        <w:t>The Common Stock to which the Performance Units covered by this Award relate will be subject</w:t>
      </w:r>
      <w:r>
        <w:rPr>
          <w:rFonts w:ascii="Arial" w:cs="Arial" w:eastAsia="Arial" w:hAnsi="Arial"/>
          <w:sz w:val="22"/>
          <w:szCs w:val="22"/>
          <w:b w:val="1"/>
          <w:bCs w:val="1"/>
          <w:color w:val="auto"/>
        </w:rPr>
        <w:t xml:space="preserve"> </w:t>
      </w:r>
      <w:r>
        <w:rPr>
          <w:rFonts w:ascii="Arial" w:cs="Arial" w:eastAsia="Arial" w:hAnsi="Arial"/>
          <w:sz w:val="22"/>
          <w:szCs w:val="22"/>
          <w:color w:val="auto"/>
        </w:rPr>
        <w:t>to adjustment as provided in Article X of the Plan.</w:t>
      </w:r>
    </w:p>
    <w:p>
      <w:pPr>
        <w:spacing w:after="0" w:line="162" w:lineRule="exact"/>
        <w:rPr>
          <w:rFonts w:ascii="Arial" w:cs="Arial" w:eastAsia="Arial" w:hAnsi="Arial"/>
          <w:sz w:val="22"/>
          <w:szCs w:val="22"/>
          <w:b w:val="1"/>
          <w:bCs w:val="1"/>
          <w:color w:val="auto"/>
        </w:rPr>
      </w:pPr>
    </w:p>
    <w:p>
      <w:pPr>
        <w:ind w:left="1680" w:hanging="375"/>
        <w:spacing w:after="0"/>
        <w:tabs>
          <w:tab w:leader="none" w:pos="1680" w:val="left"/>
        </w:tabs>
        <w:numPr>
          <w:ilvl w:val="0"/>
          <w:numId w:val="1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Termination of Service; Forfeiture</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591" w:right="239" w:bottom="1440" w:gutter="0" w:footer="0" w:header="0"/>
        </w:sectPr>
      </w:pPr>
    </w:p>
    <w:bookmarkStart w:id="39" w:name="page40"/>
    <w:bookmarkEnd w:id="39"/>
    <w:p>
      <w:pPr>
        <w:jc w:val="both"/>
        <w:ind w:left="-540" w:firstLine="645"/>
        <w:spacing w:after="0" w:line="304" w:lineRule="auto"/>
        <w:tabs>
          <w:tab w:leader="none" w:pos="699" w:val="left"/>
        </w:tabs>
        <w:numPr>
          <w:ilvl w:val="0"/>
          <w:numId w:val="13"/>
        </w:numPr>
        <w:rPr>
          <w:rFonts w:ascii="Arial" w:cs="Arial" w:eastAsia="Arial" w:hAnsi="Arial"/>
          <w:sz w:val="19"/>
          <w:szCs w:val="19"/>
          <w:color w:val="auto"/>
        </w:rPr>
      </w:pPr>
      <w:r>
        <w:rPr>
          <w:rFonts w:ascii="Arial" w:cs="Arial" w:eastAsia="Arial" w:hAnsi="Arial"/>
          <w:sz w:val="19"/>
          <w:szCs w:val="19"/>
          <w:b w:val="1"/>
          <w:bCs w:val="1"/>
          <w:color w:val="auto"/>
        </w:rPr>
        <w:t>Voluntary Termination; Termination by Corporation</w:t>
      </w:r>
      <w:r>
        <w:rPr>
          <w:rFonts w:ascii="Arial" w:cs="Arial" w:eastAsia="Arial" w:hAnsi="Arial"/>
          <w:sz w:val="19"/>
          <w:szCs w:val="19"/>
          <w:color w:val="auto"/>
        </w:rPr>
        <w:t>. Any unvested Performance Units subject to this</w:t>
      </w:r>
      <w:r>
        <w:rPr>
          <w:rFonts w:ascii="Arial" w:cs="Arial" w:eastAsia="Arial" w:hAnsi="Arial"/>
          <w:sz w:val="19"/>
          <w:szCs w:val="19"/>
          <w:b w:val="1"/>
          <w:bCs w:val="1"/>
          <w:color w:val="auto"/>
        </w:rPr>
        <w:t xml:space="preserve"> </w:t>
      </w:r>
      <w:r>
        <w:rPr>
          <w:rFonts w:ascii="Arial" w:cs="Arial" w:eastAsia="Arial" w:hAnsi="Arial"/>
          <w:sz w:val="19"/>
          <w:szCs w:val="19"/>
          <w:color w:val="auto"/>
        </w:rPr>
        <w:t>Award will be forfeited if, prior to the Settlement Date, Grantee voluntarily terminates as a Service Provider (other than for Good Reason as provided below), or if Grantee’s status as a Service Provider is terminated by the Corporation or a Subsidiary for any reason (other than death, Disability, or Retirement, as such term is defined in Appendix B).</w:t>
      </w:r>
    </w:p>
    <w:p>
      <w:pPr>
        <w:spacing w:after="0" w:line="135" w:lineRule="exact"/>
        <w:rPr>
          <w:rFonts w:ascii="Arial" w:cs="Arial" w:eastAsia="Arial" w:hAnsi="Arial"/>
          <w:sz w:val="19"/>
          <w:szCs w:val="19"/>
          <w:color w:val="auto"/>
        </w:rPr>
      </w:pPr>
    </w:p>
    <w:p>
      <w:pPr>
        <w:jc w:val="both"/>
        <w:ind w:left="-540" w:firstLine="645"/>
        <w:spacing w:after="0" w:line="246" w:lineRule="auto"/>
        <w:tabs>
          <w:tab w:leader="none" w:pos="671" w:val="left"/>
        </w:tabs>
        <w:numPr>
          <w:ilvl w:val="0"/>
          <w:numId w:val="13"/>
        </w:numPr>
        <w:rPr>
          <w:rFonts w:ascii="Arial" w:cs="Arial" w:eastAsia="Arial" w:hAnsi="Arial"/>
          <w:sz w:val="22"/>
          <w:szCs w:val="22"/>
          <w:color w:val="auto"/>
        </w:rPr>
      </w:pPr>
      <w:r>
        <w:rPr>
          <w:rFonts w:ascii="Arial" w:cs="Arial" w:eastAsia="Arial" w:hAnsi="Arial"/>
          <w:sz w:val="22"/>
          <w:szCs w:val="22"/>
          <w:b w:val="1"/>
          <w:bCs w:val="1"/>
          <w:color w:val="auto"/>
        </w:rPr>
        <w:t>Qualifying Termination Prior to a Change of Control</w:t>
      </w:r>
      <w:r>
        <w:rPr>
          <w:rFonts w:ascii="Arial" w:cs="Arial" w:eastAsia="Arial" w:hAnsi="Arial"/>
          <w:sz w:val="22"/>
          <w:szCs w:val="22"/>
          <w:color w:val="auto"/>
        </w:rPr>
        <w:t>. Notwithstanding the foregoing, and except as set</w:t>
      </w:r>
      <w:r>
        <w:rPr>
          <w:rFonts w:ascii="Arial" w:cs="Arial" w:eastAsia="Arial" w:hAnsi="Arial"/>
          <w:sz w:val="22"/>
          <w:szCs w:val="22"/>
          <w:b w:val="1"/>
          <w:bCs w:val="1"/>
          <w:color w:val="auto"/>
        </w:rPr>
        <w:t xml:space="preserve"> </w:t>
      </w:r>
      <w:r>
        <w:rPr>
          <w:rFonts w:ascii="Arial" w:cs="Arial" w:eastAsia="Arial" w:hAnsi="Arial"/>
          <w:sz w:val="22"/>
          <w:szCs w:val="22"/>
          <w:color w:val="auto"/>
        </w:rPr>
        <w:t>forth in subsection (f) of this Section II.A.6, if Grantee ceases to be a Service Provider during the performance period specified in the table above (the “Performance Period”) as a result of Grantee’s Qualifying Termination, Grantee shall receive a pro-rata portion of the number of Performance Units, if any, that are earned under Section II.A.2 due to the achievement of one or more performance measures specified in Appendix A, during the Performance Period. The pro-rata percentage of the number of Performance Units to be earned and settled under Section II.A.7 shall be equal to (x) the amount determined under Section II.A.2 above at the end of the Performance Period, multiplied by (y) a fraction (not greater than 1), the numerator of which is the number of full calendar months Grantee was employed or rendering services from the beginning of the Performance Period through the date of Grantee’s termination, and the denominator of which is 36.</w:t>
      </w:r>
    </w:p>
    <w:p>
      <w:pPr>
        <w:spacing w:after="0" w:line="189" w:lineRule="exact"/>
        <w:rPr>
          <w:rFonts w:ascii="Arial" w:cs="Arial" w:eastAsia="Arial" w:hAnsi="Arial"/>
          <w:sz w:val="22"/>
          <w:szCs w:val="22"/>
          <w:color w:val="auto"/>
        </w:rPr>
      </w:pPr>
    </w:p>
    <w:p>
      <w:pPr>
        <w:jc w:val="both"/>
        <w:ind w:left="-540" w:firstLine="645"/>
        <w:spacing w:after="0" w:line="249" w:lineRule="auto"/>
        <w:tabs>
          <w:tab w:leader="none" w:pos="605" w:val="left"/>
        </w:tabs>
        <w:numPr>
          <w:ilvl w:val="0"/>
          <w:numId w:val="13"/>
        </w:numPr>
        <w:rPr>
          <w:rFonts w:ascii="Arial" w:cs="Arial" w:eastAsia="Arial" w:hAnsi="Arial"/>
          <w:sz w:val="22"/>
          <w:szCs w:val="22"/>
          <w:color w:val="auto"/>
        </w:rPr>
      </w:pPr>
      <w:r>
        <w:rPr>
          <w:rFonts w:ascii="Arial" w:cs="Arial" w:eastAsia="Arial" w:hAnsi="Arial"/>
          <w:sz w:val="22"/>
          <w:szCs w:val="22"/>
          <w:b w:val="1"/>
          <w:bCs w:val="1"/>
          <w:color w:val="auto"/>
        </w:rPr>
        <w:t>Disability</w:t>
      </w:r>
      <w:r>
        <w:rPr>
          <w:rFonts w:ascii="Arial" w:cs="Arial" w:eastAsia="Arial" w:hAnsi="Arial"/>
          <w:sz w:val="22"/>
          <w:szCs w:val="22"/>
          <w:color w:val="auto"/>
        </w:rPr>
        <w:t>. Notwithstanding the foregoing, if Grantee ceases to be a Service Provider during the Performance</w:t>
      </w:r>
      <w:r>
        <w:rPr>
          <w:rFonts w:ascii="Arial" w:cs="Arial" w:eastAsia="Arial" w:hAnsi="Arial"/>
          <w:sz w:val="22"/>
          <w:szCs w:val="22"/>
          <w:b w:val="1"/>
          <w:bCs w:val="1"/>
          <w:color w:val="auto"/>
        </w:rPr>
        <w:t xml:space="preserve"> </w:t>
      </w:r>
      <w:r>
        <w:rPr>
          <w:rFonts w:ascii="Arial" w:cs="Arial" w:eastAsia="Arial" w:hAnsi="Arial"/>
          <w:sz w:val="22"/>
          <w:szCs w:val="22"/>
          <w:color w:val="auto"/>
        </w:rPr>
        <w:t>Period as a result of Grantee’s Disability, Grantee’s Performance Units shall become fully vested at the end of the Performance Period based on the number of Performance Units that would have been actually earned due to the achievement of one or more performance measures specified in Appendix A, assuming Grantee had continued to be a Service Provider through the end of the Performance Period.</w:t>
      </w:r>
    </w:p>
    <w:p>
      <w:pPr>
        <w:spacing w:after="0" w:line="186" w:lineRule="exact"/>
        <w:rPr>
          <w:rFonts w:ascii="Arial" w:cs="Arial" w:eastAsia="Arial" w:hAnsi="Arial"/>
          <w:sz w:val="22"/>
          <w:szCs w:val="22"/>
          <w:color w:val="auto"/>
        </w:rPr>
      </w:pPr>
    </w:p>
    <w:p>
      <w:pPr>
        <w:jc w:val="both"/>
        <w:ind w:left="-540" w:firstLine="645"/>
        <w:spacing w:after="0" w:line="256" w:lineRule="auto"/>
        <w:tabs>
          <w:tab w:leader="none" w:pos="684" w:val="left"/>
        </w:tabs>
        <w:numPr>
          <w:ilvl w:val="0"/>
          <w:numId w:val="13"/>
        </w:numPr>
        <w:rPr>
          <w:rFonts w:ascii="Arial" w:cs="Arial" w:eastAsia="Arial" w:hAnsi="Arial"/>
          <w:sz w:val="22"/>
          <w:szCs w:val="22"/>
          <w:color w:val="auto"/>
        </w:rPr>
      </w:pPr>
      <w:r>
        <w:rPr>
          <w:rFonts w:ascii="Arial" w:cs="Arial" w:eastAsia="Arial" w:hAnsi="Arial"/>
          <w:sz w:val="22"/>
          <w:szCs w:val="22"/>
          <w:b w:val="1"/>
          <w:bCs w:val="1"/>
          <w:color w:val="auto"/>
        </w:rPr>
        <w:t>Death</w:t>
      </w:r>
      <w:r>
        <w:rPr>
          <w:rFonts w:ascii="Arial" w:cs="Arial" w:eastAsia="Arial" w:hAnsi="Arial"/>
          <w:sz w:val="22"/>
          <w:szCs w:val="22"/>
          <w:color w:val="auto"/>
        </w:rPr>
        <w:t>. Notwithstanding the foregoing, if Grantee ceases to be a Service Provider during the Performance</w:t>
      </w:r>
      <w:r>
        <w:rPr>
          <w:rFonts w:ascii="Arial" w:cs="Arial" w:eastAsia="Arial" w:hAnsi="Arial"/>
          <w:sz w:val="22"/>
          <w:szCs w:val="22"/>
          <w:b w:val="1"/>
          <w:bCs w:val="1"/>
          <w:color w:val="auto"/>
        </w:rPr>
        <w:t xml:space="preserve"> </w:t>
      </w:r>
      <w:r>
        <w:rPr>
          <w:rFonts w:ascii="Arial" w:cs="Arial" w:eastAsia="Arial" w:hAnsi="Arial"/>
          <w:sz w:val="22"/>
          <w:szCs w:val="22"/>
          <w:color w:val="auto"/>
        </w:rPr>
        <w:t>Period as a result of Grantee’s death, Grantee’s Performance Units shall immediately become fully vested based on the Target number set forth in “Number of Performance Units in Award” in Section I.</w:t>
      </w:r>
    </w:p>
    <w:p>
      <w:pPr>
        <w:spacing w:after="0" w:line="176" w:lineRule="exact"/>
        <w:rPr>
          <w:rFonts w:ascii="Arial" w:cs="Arial" w:eastAsia="Arial" w:hAnsi="Arial"/>
          <w:sz w:val="22"/>
          <w:szCs w:val="22"/>
          <w:color w:val="auto"/>
        </w:rPr>
      </w:pPr>
    </w:p>
    <w:p>
      <w:pPr>
        <w:jc w:val="both"/>
        <w:ind w:left="-540" w:firstLine="645"/>
        <w:spacing w:after="0" w:line="252" w:lineRule="auto"/>
        <w:tabs>
          <w:tab w:leader="none" w:pos="605" w:val="left"/>
        </w:tabs>
        <w:numPr>
          <w:ilvl w:val="0"/>
          <w:numId w:val="13"/>
        </w:numPr>
        <w:rPr>
          <w:rFonts w:ascii="Arial" w:cs="Arial" w:eastAsia="Arial" w:hAnsi="Arial"/>
          <w:sz w:val="22"/>
          <w:szCs w:val="22"/>
          <w:color w:val="auto"/>
        </w:rPr>
      </w:pPr>
      <w:r>
        <w:rPr>
          <w:rFonts w:ascii="Arial" w:cs="Arial" w:eastAsia="Arial" w:hAnsi="Arial"/>
          <w:sz w:val="22"/>
          <w:szCs w:val="22"/>
          <w:b w:val="1"/>
          <w:bCs w:val="1"/>
          <w:color w:val="auto"/>
        </w:rPr>
        <w:t>Retirement</w:t>
      </w:r>
      <w:r>
        <w:rPr>
          <w:rFonts w:ascii="Arial" w:cs="Arial" w:eastAsia="Arial" w:hAnsi="Arial"/>
          <w:sz w:val="22"/>
          <w:szCs w:val="22"/>
          <w:color w:val="auto"/>
        </w:rPr>
        <w:t>. If Grantee ceases to be a Service Provider as a result of Grantee’s Retirement, the Administrator</w:t>
      </w:r>
      <w:r>
        <w:rPr>
          <w:rFonts w:ascii="Arial" w:cs="Arial" w:eastAsia="Arial" w:hAnsi="Arial"/>
          <w:sz w:val="22"/>
          <w:szCs w:val="22"/>
          <w:b w:val="1"/>
          <w:bCs w:val="1"/>
          <w:color w:val="auto"/>
        </w:rPr>
        <w:t xml:space="preserve"> </w:t>
      </w:r>
      <w:r>
        <w:rPr>
          <w:rFonts w:ascii="Arial" w:cs="Arial" w:eastAsia="Arial" w:hAnsi="Arial"/>
          <w:sz w:val="22"/>
          <w:szCs w:val="22"/>
          <w:color w:val="auto"/>
        </w:rPr>
        <w:t>may, in its discretion, permit Grantee to receive a pro-rata portion of the number of Performance Units specified in Section I above, with the pro-rata percentage of the number of Performance Units to be vested to be determined in accordance with subsection (b) of this Section II.A.6.</w:t>
      </w:r>
    </w:p>
    <w:p>
      <w:pPr>
        <w:spacing w:after="0" w:line="180" w:lineRule="exact"/>
        <w:rPr>
          <w:rFonts w:ascii="Arial" w:cs="Arial" w:eastAsia="Arial" w:hAnsi="Arial"/>
          <w:sz w:val="22"/>
          <w:szCs w:val="22"/>
          <w:color w:val="auto"/>
        </w:rPr>
      </w:pPr>
    </w:p>
    <w:p>
      <w:pPr>
        <w:jc w:val="both"/>
        <w:ind w:left="-540" w:firstLine="645"/>
        <w:spacing w:after="0" w:line="248" w:lineRule="auto"/>
        <w:tabs>
          <w:tab w:leader="none" w:pos="608" w:val="left"/>
        </w:tabs>
        <w:numPr>
          <w:ilvl w:val="0"/>
          <w:numId w:val="13"/>
        </w:numPr>
        <w:rPr>
          <w:rFonts w:ascii="Arial" w:cs="Arial" w:eastAsia="Arial" w:hAnsi="Arial"/>
          <w:sz w:val="22"/>
          <w:szCs w:val="22"/>
          <w:color w:val="auto"/>
        </w:rPr>
      </w:pPr>
      <w:r>
        <w:rPr>
          <w:rFonts w:ascii="Arial" w:cs="Arial" w:eastAsia="Arial" w:hAnsi="Arial"/>
          <w:sz w:val="22"/>
          <w:szCs w:val="22"/>
          <w:b w:val="1"/>
          <w:bCs w:val="1"/>
          <w:color w:val="auto"/>
        </w:rPr>
        <w:t>Qualifying Termination Following a Change of Control</w:t>
      </w:r>
      <w:r>
        <w:rPr>
          <w:rFonts w:ascii="Arial" w:cs="Arial" w:eastAsia="Arial" w:hAnsi="Arial"/>
          <w:sz w:val="22"/>
          <w:szCs w:val="22"/>
          <w:color w:val="auto"/>
        </w:rPr>
        <w:t>. Notwithstanding anything set forth herein to the</w:t>
      </w:r>
      <w:r>
        <w:rPr>
          <w:rFonts w:ascii="Arial" w:cs="Arial" w:eastAsia="Arial" w:hAnsi="Arial"/>
          <w:sz w:val="22"/>
          <w:szCs w:val="22"/>
          <w:b w:val="1"/>
          <w:bCs w:val="1"/>
          <w:color w:val="auto"/>
        </w:rPr>
        <w:t xml:space="preserve"> </w:t>
      </w:r>
      <w:r>
        <w:rPr>
          <w:rFonts w:ascii="Arial" w:cs="Arial" w:eastAsia="Arial" w:hAnsi="Arial"/>
          <w:sz w:val="22"/>
          <w:szCs w:val="22"/>
          <w:color w:val="auto"/>
        </w:rPr>
        <w:t>contrary, if Grantee ceases to be a Service Provider due to Grantee’s Qualifying Termination within two years after a “Change of Control” (as defined in Appendix B) and during the Performance Period, the number of Performance Units subject to the Award that shall become vested and non-forfeitable shall equal (x) the Target number set forth in “Number of Performance Units in Award” in Section I, less (y) the number of Performance Units that had already become vested as of the date of such termination, but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0220"/>
          </w:cols>
          <w:pgMar w:left="1440" w:top="585" w:right="239" w:bottom="1440" w:gutter="0" w:footer="0" w:header="0"/>
        </w:sectPr>
      </w:pPr>
    </w:p>
    <w:bookmarkStart w:id="40" w:name="page41"/>
    <w:bookmarkEnd w:id="40"/>
    <w:p>
      <w:pPr>
        <w:jc w:val="both"/>
        <w:ind w:left="660"/>
        <w:spacing w:after="0" w:line="253" w:lineRule="auto"/>
        <w:rPr>
          <w:sz w:val="20"/>
          <w:szCs w:val="20"/>
          <w:color w:val="auto"/>
        </w:rPr>
      </w:pPr>
      <w:r>
        <w:rPr>
          <w:rFonts w:ascii="Arial" w:cs="Arial" w:eastAsia="Arial" w:hAnsi="Arial"/>
          <w:sz w:val="22"/>
          <w:szCs w:val="22"/>
          <w:color w:val="auto"/>
        </w:rPr>
        <w:t>in no event may negative discretion be exercised with respect to the number of Performance Units awarded. Any Performance Units that are not earned and do not vest in accordance with the foregoing sentence shall terminate and be forfeited.</w:t>
      </w:r>
    </w:p>
    <w:p>
      <w:pPr>
        <w:spacing w:after="0" w:line="18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Any Performance Units that are not earned and do not vest in accordance with this Section II.A.6 shall terminate and be forfeited as of the date of Grantee’s termination. Further, the Corporation retains the right to accelerate the vesting (but not the time of payment) of all or a portion of the Performance Units subject to this Award, in which event a similar pro-ration determination as provided in this Section II.A.6 will be applied.</w:t>
      </w:r>
    </w:p>
    <w:p>
      <w:pPr>
        <w:spacing w:after="0" w:line="182" w:lineRule="exact"/>
        <w:rPr>
          <w:sz w:val="20"/>
          <w:szCs w:val="20"/>
          <w:color w:val="auto"/>
        </w:rPr>
      </w:pPr>
    </w:p>
    <w:p>
      <w:pPr>
        <w:ind w:left="1680" w:hanging="375"/>
        <w:spacing w:after="0"/>
        <w:tabs>
          <w:tab w:leader="none" w:pos="1680" w:val="left"/>
        </w:tabs>
        <w:numPr>
          <w:ilvl w:val="0"/>
          <w:numId w:val="1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Determination of Performance Units Earned and Vested; Settlement</w:t>
      </w:r>
      <w:r>
        <w:rPr>
          <w:rFonts w:ascii="Arial" w:cs="Arial" w:eastAsia="Arial" w:hAnsi="Arial"/>
          <w:sz w:val="22"/>
          <w:szCs w:val="22"/>
          <w:color w:val="auto"/>
        </w:rPr>
        <w:t>.</w:t>
      </w:r>
    </w:p>
    <w:p>
      <w:pPr>
        <w:spacing w:after="0" w:line="226" w:lineRule="exact"/>
        <w:rPr>
          <w:sz w:val="20"/>
          <w:szCs w:val="20"/>
          <w:color w:val="auto"/>
        </w:rPr>
      </w:pPr>
    </w:p>
    <w:p>
      <w:pPr>
        <w:jc w:val="both"/>
        <w:ind w:left="660" w:firstLine="645"/>
        <w:spacing w:after="0" w:line="297" w:lineRule="auto"/>
        <w:tabs>
          <w:tab w:leader="none" w:pos="1841" w:val="left"/>
        </w:tabs>
        <w:numPr>
          <w:ilvl w:val="0"/>
          <w:numId w:val="15"/>
        </w:numPr>
        <w:rPr>
          <w:rFonts w:ascii="Arial" w:cs="Arial" w:eastAsia="Arial" w:hAnsi="Arial"/>
          <w:sz w:val="19"/>
          <w:szCs w:val="19"/>
          <w:color w:val="auto"/>
        </w:rPr>
      </w:pPr>
      <w:r>
        <w:rPr>
          <w:rFonts w:ascii="Arial" w:cs="Arial" w:eastAsia="Arial" w:hAnsi="Arial"/>
          <w:sz w:val="19"/>
          <w:szCs w:val="19"/>
          <w:color w:val="auto"/>
        </w:rPr>
        <w:t>Subject to Section II.A.7(b), upon the Administrator’s certification of achievement of the Performance Goal described in Appendix A, and Grantee’s satisfaction of the vesting requirements in Section II.A.1 and Section II.A.6 above, as applicable, this Award shall be settled by issuing to Grantee the number of shares of Common Stock determined pursuant to Appendix A, and Grantee’s name shall be entered as the shareholder of record on the books of the Corporation with respect to such shares. This settlement shall occur on March 1, 2019 (the “Settlement Date”).</w:t>
      </w:r>
    </w:p>
    <w:p>
      <w:pPr>
        <w:spacing w:after="0" w:line="147" w:lineRule="exact"/>
        <w:rPr>
          <w:rFonts w:ascii="Arial" w:cs="Arial" w:eastAsia="Arial" w:hAnsi="Arial"/>
          <w:sz w:val="19"/>
          <w:szCs w:val="19"/>
          <w:color w:val="auto"/>
        </w:rPr>
      </w:pPr>
    </w:p>
    <w:p>
      <w:pPr>
        <w:jc w:val="both"/>
        <w:ind w:left="660" w:firstLine="645"/>
        <w:spacing w:after="0" w:line="292" w:lineRule="auto"/>
        <w:tabs>
          <w:tab w:leader="none" w:pos="1806" w:val="left"/>
        </w:tabs>
        <w:numPr>
          <w:ilvl w:val="0"/>
          <w:numId w:val="15"/>
        </w:numPr>
        <w:rPr>
          <w:rFonts w:ascii="Arial" w:cs="Arial" w:eastAsia="Arial" w:hAnsi="Arial"/>
          <w:sz w:val="19"/>
          <w:szCs w:val="19"/>
          <w:color w:val="auto"/>
        </w:rPr>
      </w:pPr>
      <w:r>
        <w:rPr>
          <w:rFonts w:ascii="Arial" w:cs="Arial" w:eastAsia="Arial" w:hAnsi="Arial"/>
          <w:sz w:val="19"/>
          <w:szCs w:val="19"/>
          <w:color w:val="auto"/>
        </w:rPr>
        <w:t>The Performance Units that become vested as a result of Grantee’s death pursuant to Section II.A.6(d) will be settled by issuing to Grantee one share of Common Stock for each Performance Unit that is vested within 30 days of Grantee’s death, and Grantee’s name shall be entered as the shareholder of record on the books of the Corporation with respect to such shares. The Performance Units that become vested as a result of Grantee’s Qualifying Termination within two years after a Change of Control pursuant to Section II.A.6(f) will be settled by issuing to Grantee one share of Common Stock for each Performance Unit that is vested within 30 days of such Qualifying Termination, and Grantee’s name shall be entered as the shareholder of record on the books of the Corporation with respect to such shares.</w:t>
      </w:r>
    </w:p>
    <w:p>
      <w:pPr>
        <w:spacing w:after="0" w:line="151" w:lineRule="exact"/>
        <w:rPr>
          <w:rFonts w:ascii="Arial" w:cs="Arial" w:eastAsia="Arial" w:hAnsi="Arial"/>
          <w:sz w:val="19"/>
          <w:szCs w:val="19"/>
          <w:color w:val="auto"/>
        </w:rPr>
      </w:pPr>
    </w:p>
    <w:p>
      <w:pPr>
        <w:jc w:val="both"/>
        <w:ind w:left="660" w:firstLine="645"/>
        <w:spacing w:after="0" w:line="271" w:lineRule="auto"/>
        <w:tabs>
          <w:tab w:leader="none" w:pos="1760" w:val="left"/>
        </w:tabs>
        <w:numPr>
          <w:ilvl w:val="0"/>
          <w:numId w:val="15"/>
        </w:numPr>
        <w:rPr>
          <w:rFonts w:ascii="Arial" w:cs="Arial" w:eastAsia="Arial" w:hAnsi="Arial"/>
          <w:sz w:val="21"/>
          <w:szCs w:val="21"/>
          <w:color w:val="auto"/>
        </w:rPr>
      </w:pPr>
      <w:r>
        <w:rPr>
          <w:rFonts w:ascii="Arial" w:cs="Arial" w:eastAsia="Arial" w:hAnsi="Arial"/>
          <w:sz w:val="21"/>
          <w:szCs w:val="21"/>
          <w:color w:val="auto"/>
        </w:rPr>
        <w:t>Any unearned Performance Units at the end of the Performance Period, or if earlier, the time of settlement, will be canceled and forfeited. In all circumstances, the number of Performance Units earned or vested will be rounded down to the nearest whole Performance Unit, unless otherwise determined by the Administrator.</w:t>
      </w:r>
    </w:p>
    <w:p>
      <w:pPr>
        <w:spacing w:after="0" w:line="162" w:lineRule="exact"/>
        <w:rPr>
          <w:sz w:val="20"/>
          <w:szCs w:val="20"/>
          <w:color w:val="auto"/>
        </w:rPr>
      </w:pPr>
    </w:p>
    <w:p>
      <w:pPr>
        <w:ind w:left="1080" w:hanging="424"/>
        <w:spacing w:after="0"/>
        <w:tabs>
          <w:tab w:leader="none" w:pos="1080" w:val="left"/>
        </w:tabs>
        <w:numPr>
          <w:ilvl w:val="0"/>
          <w:numId w:val="1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Other Terms and Conditions</w:t>
      </w:r>
      <w:r>
        <w:rPr>
          <w:rFonts w:ascii="Arial" w:cs="Arial" w:eastAsia="Arial" w:hAnsi="Arial"/>
          <w:sz w:val="22"/>
          <w:szCs w:val="22"/>
          <w:b w:val="1"/>
          <w:bCs w:val="1"/>
          <w:color w:val="auto"/>
        </w:rPr>
        <w:t>.</w:t>
      </w:r>
    </w:p>
    <w:p>
      <w:pPr>
        <w:spacing w:after="0" w:line="219" w:lineRule="exact"/>
        <w:rPr>
          <w:rFonts w:ascii="Arial" w:cs="Arial" w:eastAsia="Arial" w:hAnsi="Arial"/>
          <w:sz w:val="22"/>
          <w:szCs w:val="22"/>
          <w:b w:val="1"/>
          <w:bCs w:val="1"/>
          <w:color w:val="auto"/>
        </w:rPr>
      </w:pPr>
    </w:p>
    <w:p>
      <w:pPr>
        <w:jc w:val="both"/>
        <w:ind w:firstLine="1305"/>
        <w:spacing w:after="0" w:line="252" w:lineRule="auto"/>
        <w:tabs>
          <w:tab w:leader="none" w:pos="1729" w:val="left"/>
        </w:tabs>
        <w:numPr>
          <w:ilvl w:val="1"/>
          <w:numId w:val="1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Non-Transferability of Award</w:t>
      </w:r>
      <w:r>
        <w:rPr>
          <w:rFonts w:ascii="Arial" w:cs="Arial" w:eastAsia="Arial" w:hAnsi="Arial"/>
          <w:sz w:val="22"/>
          <w:szCs w:val="22"/>
          <w:color w:val="auto"/>
        </w:rPr>
        <w:t>. Except as described below, this Award and the Performance Units subject to</w:t>
      </w:r>
      <w:r>
        <w:rPr>
          <w:rFonts w:ascii="Arial" w:cs="Arial" w:eastAsia="Arial" w:hAnsi="Arial"/>
          <w:sz w:val="22"/>
          <w:szCs w:val="22"/>
          <w:b w:val="1"/>
          <w:bCs w:val="1"/>
          <w:color w:val="auto"/>
        </w:rPr>
        <w:t xml:space="preserve"> </w:t>
      </w:r>
      <w:r>
        <w:rPr>
          <w:rFonts w:ascii="Arial" w:cs="Arial" w:eastAsia="Arial" w:hAnsi="Arial"/>
          <w:sz w:val="22"/>
          <w:szCs w:val="22"/>
          <w:color w:val="auto"/>
        </w:rPr>
        <w:t>this Award may not be sold, pledged, assigned, hypothecated, transferred, or disposed of in any manner other than by will or by the laws of descent or distribution. The terms of this Award are binding on the executors, administrators, heirs, successors and assigns of Grantee.</w:t>
      </w:r>
    </w:p>
    <w:p>
      <w:pPr>
        <w:spacing w:after="0" w:line="180" w:lineRule="exact"/>
        <w:rPr>
          <w:rFonts w:ascii="Arial" w:cs="Arial" w:eastAsia="Arial" w:hAnsi="Arial"/>
          <w:sz w:val="22"/>
          <w:szCs w:val="22"/>
          <w:b w:val="1"/>
          <w:bCs w:val="1"/>
          <w:color w:val="auto"/>
        </w:rPr>
      </w:pPr>
    </w:p>
    <w:p>
      <w:pPr>
        <w:ind w:firstLine="1305"/>
        <w:spacing w:after="0" w:line="269" w:lineRule="auto"/>
        <w:tabs>
          <w:tab w:leader="none" w:pos="1675" w:val="left"/>
        </w:tabs>
        <w:numPr>
          <w:ilvl w:val="1"/>
          <w:numId w:val="1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Withholding</w:t>
      </w:r>
      <w:r>
        <w:rPr>
          <w:rFonts w:ascii="Arial" w:cs="Arial" w:eastAsia="Arial" w:hAnsi="Arial"/>
          <w:sz w:val="22"/>
          <w:szCs w:val="22"/>
          <w:b w:val="1"/>
          <w:bCs w:val="1"/>
          <w:color w:val="auto"/>
        </w:rPr>
        <w:t xml:space="preserve">. </w:t>
      </w:r>
      <w:r>
        <w:rPr>
          <w:rFonts w:ascii="Arial" w:cs="Arial" w:eastAsia="Arial" w:hAnsi="Arial"/>
          <w:sz w:val="22"/>
          <w:szCs w:val="22"/>
          <w:color w:val="auto"/>
        </w:rPr>
        <w:t>Grantee authorizes the Corporation to withhold from the shares of Common Stock to be delivered</w:t>
      </w:r>
      <w:r>
        <w:rPr>
          <w:rFonts w:ascii="Arial" w:cs="Arial" w:eastAsia="Arial" w:hAnsi="Arial"/>
          <w:sz w:val="22"/>
          <w:szCs w:val="22"/>
          <w:b w:val="1"/>
          <w:bCs w:val="1"/>
          <w:color w:val="auto"/>
        </w:rPr>
        <w:t xml:space="preserve"> </w:t>
      </w:r>
      <w:r>
        <w:rPr>
          <w:rFonts w:ascii="Arial" w:cs="Arial" w:eastAsia="Arial" w:hAnsi="Arial"/>
          <w:sz w:val="22"/>
          <w:szCs w:val="22"/>
          <w:color w:val="auto"/>
        </w:rPr>
        <w:t>in respect of the Performance Units as payment the amount</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591" w:right="239" w:bottom="1440" w:gutter="0" w:footer="0" w:header="0"/>
        </w:sectPr>
      </w:pPr>
    </w:p>
    <w:bookmarkStart w:id="41" w:name="page42"/>
    <w:bookmarkEnd w:id="41"/>
    <w:p>
      <w:pPr>
        <w:jc w:val="both"/>
        <w:spacing w:after="0" w:line="253" w:lineRule="auto"/>
        <w:rPr>
          <w:sz w:val="20"/>
          <w:szCs w:val="20"/>
          <w:color w:val="auto"/>
        </w:rPr>
      </w:pPr>
      <w:r>
        <w:rPr>
          <w:rFonts w:ascii="Arial" w:cs="Arial" w:eastAsia="Arial" w:hAnsi="Arial"/>
          <w:sz w:val="22"/>
          <w:szCs w:val="22"/>
          <w:color w:val="auto"/>
        </w:rPr>
        <w:t>needed to satisfy any applicable minimum income and employment tax withholding obligations, or Grantee agrees to tender sufficient funds to satisfy any applicable income and employment tax withholding obligations in connection with the vesting of the Performance Units and the resulting delivery of shares of Common Stock under the Award.</w:t>
      </w:r>
    </w:p>
    <w:p>
      <w:pPr>
        <w:spacing w:after="0" w:line="180" w:lineRule="exact"/>
        <w:rPr>
          <w:sz w:val="20"/>
          <w:szCs w:val="20"/>
          <w:color w:val="auto"/>
        </w:rPr>
      </w:pPr>
    </w:p>
    <w:p>
      <w:pPr>
        <w:jc w:val="both"/>
        <w:ind w:firstLine="1305"/>
        <w:spacing w:after="0" w:line="267" w:lineRule="auto"/>
        <w:tabs>
          <w:tab w:leader="none" w:pos="1729" w:val="left"/>
        </w:tabs>
        <w:numPr>
          <w:ilvl w:val="0"/>
          <w:numId w:val="17"/>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Dispute Resolution</w:t>
      </w:r>
      <w:r>
        <w:rPr>
          <w:rFonts w:ascii="Arial" w:cs="Arial" w:eastAsia="Arial" w:hAnsi="Arial"/>
          <w:sz w:val="21"/>
          <w:szCs w:val="21"/>
          <w:color w:val="auto"/>
        </w:rPr>
        <w:t>. Grantee and the Corporation agree that any disagreement, dispute, controversy, or claim</w:t>
      </w:r>
      <w:r>
        <w:rPr>
          <w:rFonts w:ascii="Arial" w:cs="Arial" w:eastAsia="Arial" w:hAnsi="Arial"/>
          <w:sz w:val="21"/>
          <w:szCs w:val="21"/>
          <w:b w:val="1"/>
          <w:bCs w:val="1"/>
          <w:color w:val="auto"/>
        </w:rPr>
        <w:t xml:space="preserve"> </w:t>
      </w:r>
      <w:r>
        <w:rPr>
          <w:rFonts w:ascii="Arial" w:cs="Arial" w:eastAsia="Arial" w:hAnsi="Arial"/>
          <w:sz w:val="21"/>
          <w:szCs w:val="21"/>
          <w:color w:val="auto"/>
        </w:rPr>
        <w:t>arising out of or relating to this Agreement, its interpretation, validity, or the alleged breach of this Agreement, will be settled exclusively and, consistent with the procedures specified in this Section II.B.3., irrespective of its magnitude, the amount in controversy, or the nature of the relief sought, in accordance with the following:</w:t>
      </w:r>
    </w:p>
    <w:p>
      <w:pPr>
        <w:spacing w:after="0" w:line="168" w:lineRule="exact"/>
        <w:rPr>
          <w:sz w:val="20"/>
          <w:szCs w:val="20"/>
          <w:color w:val="auto"/>
        </w:rPr>
      </w:pPr>
    </w:p>
    <w:p>
      <w:pPr>
        <w:jc w:val="both"/>
        <w:ind w:left="660" w:firstLine="645"/>
        <w:spacing w:after="0" w:line="256" w:lineRule="auto"/>
        <w:tabs>
          <w:tab w:leader="none" w:pos="1845" w:val="left"/>
        </w:tabs>
        <w:numPr>
          <w:ilvl w:val="0"/>
          <w:numId w:val="18"/>
        </w:numPr>
        <w:rPr>
          <w:rFonts w:ascii="Arial" w:cs="Arial" w:eastAsia="Arial" w:hAnsi="Arial"/>
          <w:sz w:val="22"/>
          <w:szCs w:val="22"/>
          <w:color w:val="auto"/>
        </w:rPr>
      </w:pPr>
      <w:r>
        <w:rPr>
          <w:rFonts w:ascii="Arial" w:cs="Arial" w:eastAsia="Arial" w:hAnsi="Arial"/>
          <w:sz w:val="22"/>
          <w:szCs w:val="22"/>
          <w:b w:val="1"/>
          <w:bCs w:val="1"/>
          <w:color w:val="auto"/>
        </w:rPr>
        <w:t>Negotiation</w:t>
      </w:r>
      <w:r>
        <w:rPr>
          <w:rFonts w:ascii="Arial" w:cs="Arial" w:eastAsia="Arial" w:hAnsi="Arial"/>
          <w:sz w:val="22"/>
          <w:szCs w:val="22"/>
          <w:color w:val="auto"/>
        </w:rPr>
        <w:t>. Grantee and the Corporation will use their best efforts to settle the dispute, claim, question or</w:t>
      </w:r>
      <w:r>
        <w:rPr>
          <w:rFonts w:ascii="Arial" w:cs="Arial" w:eastAsia="Arial" w:hAnsi="Arial"/>
          <w:sz w:val="22"/>
          <w:szCs w:val="22"/>
          <w:b w:val="1"/>
          <w:bCs w:val="1"/>
          <w:color w:val="auto"/>
        </w:rPr>
        <w:t xml:space="preserve"> </w:t>
      </w:r>
      <w:r>
        <w:rPr>
          <w:rFonts w:ascii="Arial" w:cs="Arial" w:eastAsia="Arial" w:hAnsi="Arial"/>
          <w:sz w:val="22"/>
          <w:szCs w:val="22"/>
          <w:color w:val="auto"/>
        </w:rPr>
        <w:t>disagreement. To this effect, they will consult and negotiate with each other in good faith and, recognizing their mutual interests, attempt to reach a just and equitable solution satisfactory to both parties.</w:t>
      </w:r>
    </w:p>
    <w:p>
      <w:pPr>
        <w:spacing w:after="0" w:line="176" w:lineRule="exact"/>
        <w:rPr>
          <w:rFonts w:ascii="Arial" w:cs="Arial" w:eastAsia="Arial" w:hAnsi="Arial"/>
          <w:sz w:val="22"/>
          <w:szCs w:val="22"/>
          <w:color w:val="auto"/>
        </w:rPr>
      </w:pPr>
    </w:p>
    <w:p>
      <w:pPr>
        <w:jc w:val="both"/>
        <w:ind w:left="660" w:firstLine="645"/>
        <w:spacing w:after="0" w:line="249" w:lineRule="auto"/>
        <w:tabs>
          <w:tab w:leader="none" w:pos="1817" w:val="left"/>
        </w:tabs>
        <w:numPr>
          <w:ilvl w:val="0"/>
          <w:numId w:val="18"/>
        </w:numPr>
        <w:rPr>
          <w:rFonts w:ascii="Arial" w:cs="Arial" w:eastAsia="Arial" w:hAnsi="Arial"/>
          <w:sz w:val="22"/>
          <w:szCs w:val="22"/>
          <w:color w:val="auto"/>
        </w:rPr>
      </w:pPr>
      <w:r>
        <w:rPr>
          <w:rFonts w:ascii="Arial" w:cs="Arial" w:eastAsia="Arial" w:hAnsi="Arial"/>
          <w:sz w:val="22"/>
          <w:szCs w:val="22"/>
          <w:b w:val="1"/>
          <w:bCs w:val="1"/>
          <w:color w:val="auto"/>
        </w:rPr>
        <w:t>Arbitration</w:t>
      </w:r>
      <w:r>
        <w:rPr>
          <w:rFonts w:ascii="Arial" w:cs="Arial" w:eastAsia="Arial" w:hAnsi="Arial"/>
          <w:sz w:val="22"/>
          <w:szCs w:val="22"/>
          <w:color w:val="auto"/>
        </w:rPr>
        <w:t>. If Grantee and the Corporation do not reach a solution within a period of 30 days from the date</w:t>
      </w:r>
      <w:r>
        <w:rPr>
          <w:rFonts w:ascii="Arial" w:cs="Arial" w:eastAsia="Arial" w:hAnsi="Arial"/>
          <w:sz w:val="22"/>
          <w:szCs w:val="22"/>
          <w:b w:val="1"/>
          <w:bCs w:val="1"/>
          <w:color w:val="auto"/>
        </w:rPr>
        <w:t xml:space="preserve"> </w:t>
      </w:r>
      <w:r>
        <w:rPr>
          <w:rFonts w:ascii="Arial" w:cs="Arial" w:eastAsia="Arial" w:hAnsi="Arial"/>
          <w:sz w:val="22"/>
          <w:szCs w:val="22"/>
          <w:color w:val="auto"/>
        </w:rPr>
        <w:t>on which the dispute, claim, disagreement, or controversy arises, then, upon written notice by Grantee to the Corporation or the Corporation to Grantee, all disputes, claims, questions, controversies, or differences will be submitted to arbitration administered by the American Arbitration Association (the “AAA”) in accordance with the provisions of its Employment Arbitration Rules (the “Arbitration Rules”).</w:t>
      </w:r>
    </w:p>
    <w:p>
      <w:pPr>
        <w:spacing w:after="0" w:line="186" w:lineRule="exact"/>
        <w:rPr>
          <w:rFonts w:ascii="Arial" w:cs="Arial" w:eastAsia="Arial" w:hAnsi="Arial"/>
          <w:sz w:val="22"/>
          <w:szCs w:val="22"/>
          <w:color w:val="auto"/>
        </w:rPr>
      </w:pPr>
    </w:p>
    <w:p>
      <w:pPr>
        <w:jc w:val="both"/>
        <w:ind w:left="1300" w:firstLine="653"/>
        <w:spacing w:after="0" w:line="247" w:lineRule="auto"/>
        <w:tabs>
          <w:tab w:leader="none" w:pos="2470" w:val="left"/>
        </w:tabs>
        <w:numPr>
          <w:ilvl w:val="1"/>
          <w:numId w:val="18"/>
        </w:numPr>
        <w:rPr>
          <w:rFonts w:ascii="Arial" w:cs="Arial" w:eastAsia="Arial" w:hAnsi="Arial"/>
          <w:sz w:val="22"/>
          <w:szCs w:val="22"/>
          <w:color w:val="auto"/>
        </w:rPr>
      </w:pPr>
      <w:r>
        <w:rPr>
          <w:rFonts w:ascii="Arial" w:cs="Arial" w:eastAsia="Arial" w:hAnsi="Arial"/>
          <w:sz w:val="22"/>
          <w:szCs w:val="22"/>
          <w:b w:val="1"/>
          <w:bCs w:val="1"/>
          <w:color w:val="auto"/>
        </w:rPr>
        <w:t>Arbitrator</w:t>
      </w:r>
      <w:r>
        <w:rPr>
          <w:rFonts w:ascii="Arial" w:cs="Arial" w:eastAsia="Arial" w:hAnsi="Arial"/>
          <w:sz w:val="22"/>
          <w:szCs w:val="22"/>
          <w:color w:val="auto"/>
        </w:rPr>
        <w:t>. The arbitration will be conducted by one arbitrator skilled in the arbitration of executive</w:t>
      </w:r>
      <w:r>
        <w:rPr>
          <w:rFonts w:ascii="Arial" w:cs="Arial" w:eastAsia="Arial" w:hAnsi="Arial"/>
          <w:sz w:val="22"/>
          <w:szCs w:val="22"/>
          <w:b w:val="1"/>
          <w:bCs w:val="1"/>
          <w:color w:val="auto"/>
        </w:rPr>
        <w:t xml:space="preserve"> </w:t>
      </w:r>
      <w:r>
        <w:rPr>
          <w:rFonts w:ascii="Arial" w:cs="Arial" w:eastAsia="Arial" w:hAnsi="Arial"/>
          <w:sz w:val="22"/>
          <w:szCs w:val="22"/>
          <w:color w:val="auto"/>
        </w:rPr>
        <w:t>employment matters. The parties to the arbitration will jointly appoint the arbitrator within 30 days after initiation of the arbitration. If the parties fail to appoint an arbitrator as provided above, an arbitrator with substantial experience in executive employment matters will be appointed by the AAA as provided in the Arbitration Rules. The Corporation will pay all of the fees, if any, and expenses of the arbitrator and the arbitration, unless otherwise determined by the arbitrator. Each party to the arbitration will be responsible for his/its respective attorneys’ fees or other costs of representation.</w:t>
      </w:r>
    </w:p>
    <w:p>
      <w:pPr>
        <w:spacing w:after="0" w:line="189" w:lineRule="exact"/>
        <w:rPr>
          <w:rFonts w:ascii="Arial" w:cs="Arial" w:eastAsia="Arial" w:hAnsi="Arial"/>
          <w:sz w:val="22"/>
          <w:szCs w:val="22"/>
          <w:color w:val="auto"/>
        </w:rPr>
      </w:pPr>
    </w:p>
    <w:p>
      <w:pPr>
        <w:ind w:left="2420" w:hanging="467"/>
        <w:spacing w:after="0"/>
        <w:tabs>
          <w:tab w:leader="none" w:pos="2420" w:val="left"/>
        </w:tabs>
        <w:numPr>
          <w:ilvl w:val="1"/>
          <w:numId w:val="18"/>
        </w:numPr>
        <w:rPr>
          <w:rFonts w:ascii="Arial" w:cs="Arial" w:eastAsia="Arial" w:hAnsi="Arial"/>
          <w:sz w:val="22"/>
          <w:szCs w:val="22"/>
          <w:color w:val="auto"/>
        </w:rPr>
      </w:pPr>
      <w:r>
        <w:rPr>
          <w:rFonts w:ascii="Arial" w:cs="Arial" w:eastAsia="Arial" w:hAnsi="Arial"/>
          <w:sz w:val="22"/>
          <w:szCs w:val="22"/>
          <w:b w:val="1"/>
          <w:bCs w:val="1"/>
          <w:color w:val="auto"/>
        </w:rPr>
        <w:t>Location</w:t>
      </w:r>
      <w:r>
        <w:rPr>
          <w:rFonts w:ascii="Arial" w:cs="Arial" w:eastAsia="Arial" w:hAnsi="Arial"/>
          <w:sz w:val="22"/>
          <w:szCs w:val="22"/>
          <w:color w:val="auto"/>
        </w:rPr>
        <w:t>. The arbitration will be conducted in Oakland County, Michigan.</w:t>
      </w:r>
    </w:p>
    <w:p>
      <w:pPr>
        <w:spacing w:after="0" w:line="219" w:lineRule="exact"/>
        <w:rPr>
          <w:rFonts w:ascii="Arial" w:cs="Arial" w:eastAsia="Arial" w:hAnsi="Arial"/>
          <w:sz w:val="22"/>
          <w:szCs w:val="22"/>
          <w:color w:val="auto"/>
        </w:rPr>
      </w:pPr>
    </w:p>
    <w:p>
      <w:pPr>
        <w:jc w:val="both"/>
        <w:ind w:left="1300" w:firstLine="653"/>
        <w:spacing w:after="0" w:line="249" w:lineRule="auto"/>
        <w:tabs>
          <w:tab w:leader="none" w:pos="2470" w:val="left"/>
        </w:tabs>
        <w:numPr>
          <w:ilvl w:val="1"/>
          <w:numId w:val="18"/>
        </w:numPr>
        <w:rPr>
          <w:rFonts w:ascii="Arial" w:cs="Arial" w:eastAsia="Arial" w:hAnsi="Arial"/>
          <w:sz w:val="22"/>
          <w:szCs w:val="22"/>
          <w:color w:val="auto"/>
        </w:rPr>
      </w:pPr>
      <w:r>
        <w:rPr>
          <w:rFonts w:ascii="Arial" w:cs="Arial" w:eastAsia="Arial" w:hAnsi="Arial"/>
          <w:sz w:val="22"/>
          <w:szCs w:val="22"/>
          <w:b w:val="1"/>
          <w:bCs w:val="1"/>
          <w:color w:val="auto"/>
        </w:rPr>
        <w:t>Procedure</w:t>
      </w:r>
      <w:r>
        <w:rPr>
          <w:rFonts w:ascii="Arial" w:cs="Arial" w:eastAsia="Arial" w:hAnsi="Arial"/>
          <w:sz w:val="22"/>
          <w:szCs w:val="22"/>
          <w:color w:val="auto"/>
        </w:rPr>
        <w:t>. At any oral hearing of evidence in connection with the arbitration, each party or its legal</w:t>
      </w:r>
      <w:r>
        <w:rPr>
          <w:rFonts w:ascii="Arial" w:cs="Arial" w:eastAsia="Arial" w:hAnsi="Arial"/>
          <w:sz w:val="22"/>
          <w:szCs w:val="22"/>
          <w:b w:val="1"/>
          <w:bCs w:val="1"/>
          <w:color w:val="auto"/>
        </w:rPr>
        <w:t xml:space="preserve"> </w:t>
      </w:r>
      <w:r>
        <w:rPr>
          <w:rFonts w:ascii="Arial" w:cs="Arial" w:eastAsia="Arial" w:hAnsi="Arial"/>
          <w:sz w:val="22"/>
          <w:szCs w:val="22"/>
          <w:color w:val="auto"/>
        </w:rPr>
        <w:t>counsel will have the right to examine its witnesses and cross-examine the witnesses of any opposing party. No evidence of any witness may be presented in any form unless the opposing party or parties has the opportunity to cross-examine the witness, except under extraordinary circumstances in which the arbitrator determines that the interests of justice require a different procedure.</w:t>
      </w:r>
    </w:p>
    <w:p>
      <w:pPr>
        <w:spacing w:after="0" w:line="186" w:lineRule="exact"/>
        <w:rPr>
          <w:rFonts w:ascii="Arial" w:cs="Arial" w:eastAsia="Arial" w:hAnsi="Arial"/>
          <w:sz w:val="22"/>
          <w:szCs w:val="22"/>
          <w:color w:val="auto"/>
        </w:rPr>
      </w:pPr>
    </w:p>
    <w:p>
      <w:pPr>
        <w:jc w:val="both"/>
        <w:ind w:left="1300" w:firstLine="653"/>
        <w:spacing w:after="0" w:line="256" w:lineRule="auto"/>
        <w:tabs>
          <w:tab w:leader="none" w:pos="2470" w:val="left"/>
        </w:tabs>
        <w:numPr>
          <w:ilvl w:val="1"/>
          <w:numId w:val="18"/>
        </w:numPr>
        <w:rPr>
          <w:rFonts w:ascii="Arial" w:cs="Arial" w:eastAsia="Arial" w:hAnsi="Arial"/>
          <w:sz w:val="22"/>
          <w:szCs w:val="22"/>
          <w:color w:val="auto"/>
        </w:rPr>
      </w:pPr>
      <w:r>
        <w:rPr>
          <w:rFonts w:ascii="Arial" w:cs="Arial" w:eastAsia="Arial" w:hAnsi="Arial"/>
          <w:sz w:val="22"/>
          <w:szCs w:val="22"/>
          <w:b w:val="1"/>
          <w:bCs w:val="1"/>
          <w:color w:val="auto"/>
        </w:rPr>
        <w:t>Decision</w:t>
      </w:r>
      <w:r>
        <w:rPr>
          <w:rFonts w:ascii="Arial" w:cs="Arial" w:eastAsia="Arial" w:hAnsi="Arial"/>
          <w:sz w:val="22"/>
          <w:szCs w:val="22"/>
          <w:color w:val="auto"/>
        </w:rPr>
        <w:t>. Any decision or award of the arbitrator is final and binding on the parties to the arbitration</w:t>
      </w:r>
      <w:r>
        <w:rPr>
          <w:rFonts w:ascii="Arial" w:cs="Arial" w:eastAsia="Arial" w:hAnsi="Arial"/>
          <w:sz w:val="22"/>
          <w:szCs w:val="22"/>
          <w:b w:val="1"/>
          <w:bCs w:val="1"/>
          <w:color w:val="auto"/>
        </w:rPr>
        <w:t xml:space="preserve"> </w:t>
      </w:r>
      <w:r>
        <w:rPr>
          <w:rFonts w:ascii="Arial" w:cs="Arial" w:eastAsia="Arial" w:hAnsi="Arial"/>
          <w:sz w:val="22"/>
          <w:szCs w:val="22"/>
          <w:color w:val="auto"/>
        </w:rPr>
        <w:t>proceeding. The parties agree that the arbitration award may be enforced against the parties to the arbitration proceeding or their assets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591" w:right="239" w:bottom="1440" w:gutter="0" w:footer="0" w:header="0"/>
        </w:sectPr>
      </w:pPr>
    </w:p>
    <w:bookmarkStart w:id="42" w:name="page43"/>
    <w:bookmarkEnd w:id="42"/>
    <w:p>
      <w:pPr>
        <w:ind w:left="1300"/>
        <w:spacing w:after="0" w:line="263" w:lineRule="auto"/>
        <w:rPr>
          <w:sz w:val="20"/>
          <w:szCs w:val="20"/>
          <w:color w:val="auto"/>
        </w:rPr>
      </w:pPr>
      <w:r>
        <w:rPr>
          <w:rFonts w:ascii="Arial" w:cs="Arial" w:eastAsia="Arial" w:hAnsi="Arial"/>
          <w:sz w:val="22"/>
          <w:szCs w:val="22"/>
          <w:color w:val="auto"/>
        </w:rPr>
        <w:t>wherever they may be found and that a judgment upon the arbitration award may be entered in any court having jurisdiction.</w:t>
      </w:r>
    </w:p>
    <w:p>
      <w:pPr>
        <w:spacing w:after="0" w:line="169" w:lineRule="exact"/>
        <w:rPr>
          <w:sz w:val="20"/>
          <w:szCs w:val="20"/>
          <w:color w:val="auto"/>
        </w:rPr>
      </w:pPr>
    </w:p>
    <w:p>
      <w:pPr>
        <w:ind w:left="1300" w:firstLine="653"/>
        <w:spacing w:after="0" w:line="350" w:lineRule="auto"/>
        <w:tabs>
          <w:tab w:leader="none" w:pos="2551" w:val="left"/>
        </w:tabs>
        <w:numPr>
          <w:ilvl w:val="0"/>
          <w:numId w:val="19"/>
        </w:numPr>
        <w:rPr>
          <w:rFonts w:ascii="Arial" w:cs="Arial" w:eastAsia="Arial" w:hAnsi="Arial"/>
          <w:sz w:val="19"/>
          <w:szCs w:val="19"/>
          <w:color w:val="auto"/>
        </w:rPr>
      </w:pPr>
      <w:r>
        <w:rPr>
          <w:rFonts w:ascii="Arial" w:cs="Arial" w:eastAsia="Arial" w:hAnsi="Arial"/>
          <w:sz w:val="19"/>
          <w:szCs w:val="19"/>
          <w:b w:val="1"/>
          <w:bCs w:val="1"/>
          <w:color w:val="auto"/>
        </w:rPr>
        <w:t>Power</w:t>
      </w:r>
      <w:r>
        <w:rPr>
          <w:rFonts w:ascii="Arial" w:cs="Arial" w:eastAsia="Arial" w:hAnsi="Arial"/>
          <w:sz w:val="19"/>
          <w:szCs w:val="19"/>
          <w:color w:val="auto"/>
        </w:rPr>
        <w:t>. Nothing contained in this Agreement may be deemed to give the arbitrator any authority,</w:t>
      </w:r>
      <w:r>
        <w:rPr>
          <w:rFonts w:ascii="Arial" w:cs="Arial" w:eastAsia="Arial" w:hAnsi="Arial"/>
          <w:sz w:val="19"/>
          <w:szCs w:val="19"/>
          <w:b w:val="1"/>
          <w:bCs w:val="1"/>
          <w:color w:val="auto"/>
        </w:rPr>
        <w:t xml:space="preserve"> </w:t>
      </w:r>
      <w:r>
        <w:rPr>
          <w:rFonts w:ascii="Arial" w:cs="Arial" w:eastAsia="Arial" w:hAnsi="Arial"/>
          <w:sz w:val="19"/>
          <w:szCs w:val="19"/>
          <w:color w:val="auto"/>
        </w:rPr>
        <w:t>power, or right to alter, change, amend, modify, add to, or subtract from any of the provisions of this Agreement.</w:t>
      </w:r>
    </w:p>
    <w:p>
      <w:pPr>
        <w:spacing w:after="0" w:line="98"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The provisions of this Section II.B.3 survive the termination or expiration of this Agreement, are binding on the Corporation’s and Grantee’s respective successors, heirs, personal representatives, designated beneficiaries and any other person asserting a claim described above, and may not be modified without the consent of the Corporation. To the extent arbitration is required, no person asserting a claim has the right to resort to any federal, state or local court or administrative agency concerning the claim unless expressly provided by federal statute, and the decision of the arbitrator is a complete defense to any action or proceeding instituted in any tribunal or agency with respect to any dispute, unless precluded by federal statute.</w:t>
      </w:r>
    </w:p>
    <w:p>
      <w:pPr>
        <w:spacing w:after="0" w:line="144" w:lineRule="exact"/>
        <w:rPr>
          <w:sz w:val="20"/>
          <w:szCs w:val="20"/>
          <w:color w:val="auto"/>
        </w:rPr>
      </w:pPr>
    </w:p>
    <w:p>
      <w:pPr>
        <w:ind w:firstLine="1305"/>
        <w:spacing w:after="0" w:line="269" w:lineRule="auto"/>
        <w:tabs>
          <w:tab w:leader="none" w:pos="1715" w:val="left"/>
        </w:tabs>
        <w:numPr>
          <w:ilvl w:val="0"/>
          <w:numId w:val="2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Code Section 409A</w:t>
      </w:r>
      <w:r>
        <w:rPr>
          <w:rFonts w:ascii="Arial" w:cs="Arial" w:eastAsia="Arial" w:hAnsi="Arial"/>
          <w:sz w:val="22"/>
          <w:szCs w:val="22"/>
          <w:u w:val="single" w:color="auto"/>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Without limiting the generality of any other provision of this Agreement, Section 11.9 of</w:t>
      </w:r>
      <w:r>
        <w:rPr>
          <w:rFonts w:ascii="Arial" w:cs="Arial" w:eastAsia="Arial" w:hAnsi="Arial"/>
          <w:sz w:val="22"/>
          <w:szCs w:val="22"/>
          <w:b w:val="1"/>
          <w:bCs w:val="1"/>
          <w:color w:val="auto"/>
        </w:rPr>
        <w:t xml:space="preserve"> </w:t>
      </w:r>
      <w:r>
        <w:rPr>
          <w:rFonts w:ascii="Arial" w:cs="Arial" w:eastAsia="Arial" w:hAnsi="Arial"/>
          <w:sz w:val="22"/>
          <w:szCs w:val="22"/>
          <w:color w:val="auto"/>
        </w:rPr>
        <w:t>the Plan pertaining to Code Section 409A is explicitly incorporated into this Agreement.</w:t>
      </w:r>
    </w:p>
    <w:p>
      <w:pPr>
        <w:spacing w:after="0" w:line="162" w:lineRule="exact"/>
        <w:rPr>
          <w:rFonts w:ascii="Arial" w:cs="Arial" w:eastAsia="Arial" w:hAnsi="Arial"/>
          <w:sz w:val="22"/>
          <w:szCs w:val="22"/>
          <w:b w:val="1"/>
          <w:bCs w:val="1"/>
          <w:color w:val="auto"/>
        </w:rPr>
      </w:pPr>
    </w:p>
    <w:p>
      <w:pPr>
        <w:jc w:val="both"/>
        <w:ind w:firstLine="1305"/>
        <w:spacing w:after="0" w:line="249" w:lineRule="auto"/>
        <w:tabs>
          <w:tab w:leader="none" w:pos="1742" w:val="left"/>
        </w:tabs>
        <w:numPr>
          <w:ilvl w:val="0"/>
          <w:numId w:val="2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 Continued Right as Service Provider.</w:t>
      </w:r>
      <w:r>
        <w:rPr>
          <w:rFonts w:ascii="Arial" w:cs="Arial" w:eastAsia="Arial" w:hAnsi="Arial"/>
          <w:sz w:val="22"/>
          <w:szCs w:val="22"/>
          <w:b w:val="1"/>
          <w:bCs w:val="1"/>
          <w:color w:val="auto"/>
        </w:rPr>
        <w:t xml:space="preserve"> </w:t>
      </w:r>
      <w:r>
        <w:rPr>
          <w:rFonts w:ascii="Arial" w:cs="Arial" w:eastAsia="Arial" w:hAnsi="Arial"/>
          <w:sz w:val="22"/>
          <w:szCs w:val="22"/>
          <w:color w:val="auto"/>
        </w:rPr>
        <w:t>Nothing in the Plan or in this Agreement confers on Grantee any</w:t>
      </w:r>
      <w:r>
        <w:rPr>
          <w:rFonts w:ascii="Arial" w:cs="Arial" w:eastAsia="Arial" w:hAnsi="Arial"/>
          <w:sz w:val="22"/>
          <w:szCs w:val="22"/>
          <w:b w:val="1"/>
          <w:bCs w:val="1"/>
          <w:color w:val="auto"/>
        </w:rPr>
        <w:t xml:space="preserve"> </w:t>
      </w:r>
      <w:r>
        <w:rPr>
          <w:rFonts w:ascii="Arial" w:cs="Arial" w:eastAsia="Arial" w:hAnsi="Arial"/>
          <w:sz w:val="22"/>
          <w:szCs w:val="22"/>
          <w:color w:val="auto"/>
        </w:rPr>
        <w:t>right to continue as a Service Provider, or interferes with or restricts in any way the rights of the Corporation or any Subsidiary of the Corporation, which are hereby expressly reserved, to discharge Grantee at any time for any reason whatsoever, with or without Cause, except to the extent expressly provided otherwise in a written employment agreement between Grantee and the Corporation or any Subsidiary of the Corporation.</w:t>
      </w:r>
    </w:p>
    <w:p>
      <w:pPr>
        <w:spacing w:after="0" w:line="186" w:lineRule="exact"/>
        <w:rPr>
          <w:rFonts w:ascii="Arial" w:cs="Arial" w:eastAsia="Arial" w:hAnsi="Arial"/>
          <w:sz w:val="22"/>
          <w:szCs w:val="22"/>
          <w:b w:val="1"/>
          <w:bCs w:val="1"/>
          <w:color w:val="auto"/>
        </w:rPr>
      </w:pPr>
    </w:p>
    <w:p>
      <w:pPr>
        <w:jc w:val="both"/>
        <w:ind w:firstLine="1305"/>
        <w:spacing w:after="0" w:line="252" w:lineRule="auto"/>
        <w:tabs>
          <w:tab w:leader="none" w:pos="1796" w:val="left"/>
        </w:tabs>
        <w:numPr>
          <w:ilvl w:val="0"/>
          <w:numId w:val="2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Effect on Other Benefits</w:t>
      </w:r>
      <w:r>
        <w:rPr>
          <w:rFonts w:ascii="Arial" w:cs="Arial" w:eastAsia="Arial" w:hAnsi="Arial"/>
          <w:sz w:val="22"/>
          <w:szCs w:val="22"/>
          <w:u w:val="single" w:color="auto"/>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In no event will the value, at any time, of the Performance Units or any other</w:t>
      </w:r>
      <w:r>
        <w:rPr>
          <w:rFonts w:ascii="Arial" w:cs="Arial" w:eastAsia="Arial" w:hAnsi="Arial"/>
          <w:sz w:val="22"/>
          <w:szCs w:val="22"/>
          <w:b w:val="1"/>
          <w:bCs w:val="1"/>
          <w:color w:val="auto"/>
        </w:rPr>
        <w:t xml:space="preserve"> </w:t>
      </w:r>
      <w:r>
        <w:rPr>
          <w:rFonts w:ascii="Arial" w:cs="Arial" w:eastAsia="Arial" w:hAnsi="Arial"/>
          <w:sz w:val="22"/>
          <w:szCs w:val="22"/>
          <w:color w:val="auto"/>
        </w:rPr>
        <w:t>payment or right to payment under this Agreement be included as compensation or earnings for purposes of any other compensation, retirement, or benefit plan offered to employees of, or other Service Providers to, the Corporation or any Subsidiary of the Corporation unless otherwise specifically provided for in such plan.</w:t>
      </w:r>
    </w:p>
    <w:p>
      <w:pPr>
        <w:spacing w:after="0" w:line="180" w:lineRule="exact"/>
        <w:rPr>
          <w:rFonts w:ascii="Arial" w:cs="Arial" w:eastAsia="Arial" w:hAnsi="Arial"/>
          <w:sz w:val="22"/>
          <w:szCs w:val="22"/>
          <w:b w:val="1"/>
          <w:bCs w:val="1"/>
          <w:color w:val="auto"/>
        </w:rPr>
      </w:pPr>
    </w:p>
    <w:p>
      <w:pPr>
        <w:jc w:val="both"/>
        <w:ind w:firstLine="1305"/>
        <w:spacing w:after="0" w:line="315" w:lineRule="auto"/>
        <w:tabs>
          <w:tab w:leader="none" w:pos="1715" w:val="left"/>
        </w:tabs>
        <w:numPr>
          <w:ilvl w:val="0"/>
          <w:numId w:val="20"/>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Unfunded and Unsecured General Creditor</w:t>
      </w:r>
      <w:r>
        <w:rPr>
          <w:rFonts w:ascii="Arial" w:cs="Arial" w:eastAsia="Arial" w:hAnsi="Arial"/>
          <w:sz w:val="19"/>
          <w:szCs w:val="19"/>
          <w:color w:val="auto"/>
        </w:rPr>
        <w:t>. Grantee, as a holder of the Performance Units and rights under</w:t>
      </w:r>
      <w:r>
        <w:rPr>
          <w:rFonts w:ascii="Arial" w:cs="Arial" w:eastAsia="Arial" w:hAnsi="Arial"/>
          <w:sz w:val="19"/>
          <w:szCs w:val="19"/>
          <w:b w:val="1"/>
          <w:bCs w:val="1"/>
          <w:color w:val="auto"/>
        </w:rPr>
        <w:t xml:space="preserve"> </w:t>
      </w:r>
      <w:r>
        <w:rPr>
          <w:rFonts w:ascii="Arial" w:cs="Arial" w:eastAsia="Arial" w:hAnsi="Arial"/>
          <w:sz w:val="19"/>
          <w:szCs w:val="19"/>
          <w:color w:val="auto"/>
        </w:rPr>
        <w:t>this Agreement has no rights other than those of a general creditor of the Corporation. The Performance Units represent an unfunded and unsecured obligation of the Corporation, subject to the terms and conditions of this Agreement and the Plan.</w:t>
      </w:r>
    </w:p>
    <w:p>
      <w:pPr>
        <w:spacing w:after="0" w:line="125" w:lineRule="exact"/>
        <w:rPr>
          <w:rFonts w:ascii="Arial" w:cs="Arial" w:eastAsia="Arial" w:hAnsi="Arial"/>
          <w:sz w:val="19"/>
          <w:szCs w:val="19"/>
          <w:b w:val="1"/>
          <w:bCs w:val="1"/>
          <w:color w:val="auto"/>
        </w:rPr>
      </w:pPr>
    </w:p>
    <w:p>
      <w:pPr>
        <w:jc w:val="both"/>
        <w:ind w:firstLine="1305"/>
        <w:spacing w:after="0" w:line="252" w:lineRule="auto"/>
        <w:tabs>
          <w:tab w:leader="none" w:pos="1756" w:val="left"/>
        </w:tabs>
        <w:numPr>
          <w:ilvl w:val="0"/>
          <w:numId w:val="2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Severability</w:t>
      </w:r>
      <w:r>
        <w:rPr>
          <w:rFonts w:ascii="Arial" w:cs="Arial" w:eastAsia="Arial" w:hAnsi="Arial"/>
          <w:sz w:val="22"/>
          <w:szCs w:val="22"/>
          <w:color w:val="auto"/>
        </w:rPr>
        <w:t>. If any provision of this Agreement or the application of any provision hereof to any person or</w:t>
      </w:r>
      <w:r>
        <w:rPr>
          <w:rFonts w:ascii="Arial" w:cs="Arial" w:eastAsia="Arial" w:hAnsi="Arial"/>
          <w:sz w:val="22"/>
          <w:szCs w:val="22"/>
          <w:b w:val="1"/>
          <w:bCs w:val="1"/>
          <w:color w:val="auto"/>
        </w:rPr>
        <w:t xml:space="preserve"> </w:t>
      </w:r>
      <w:r>
        <w:rPr>
          <w:rFonts w:ascii="Arial" w:cs="Arial" w:eastAsia="Arial" w:hAnsi="Arial"/>
          <w:sz w:val="22"/>
          <w:szCs w:val="22"/>
          <w:color w:val="auto"/>
        </w:rPr>
        <w:t>circumstances is held invalid or unenforceable, the remainder of this Agreement and the application of such provision to any other person or circumstances shall not be affected, and the provisions so held to be invalid or unenforceable shall be reformed to the extent (and only to the extent) necessary to make it enforceable and valid.</w:t>
      </w:r>
    </w:p>
    <w:p>
      <w:pPr>
        <w:spacing w:after="0" w:line="180" w:lineRule="exact"/>
        <w:rPr>
          <w:rFonts w:ascii="Arial" w:cs="Arial" w:eastAsia="Arial" w:hAnsi="Arial"/>
          <w:sz w:val="22"/>
          <w:szCs w:val="22"/>
          <w:b w:val="1"/>
          <w:bCs w:val="1"/>
          <w:color w:val="auto"/>
        </w:rPr>
      </w:pPr>
    </w:p>
    <w:p>
      <w:pPr>
        <w:ind w:right="20" w:firstLine="1305"/>
        <w:spacing w:after="0" w:line="269" w:lineRule="auto"/>
        <w:tabs>
          <w:tab w:leader="none" w:pos="1877" w:val="left"/>
        </w:tabs>
        <w:numPr>
          <w:ilvl w:val="0"/>
          <w:numId w:val="2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Electronic Delivery</w:t>
      </w:r>
      <w:r>
        <w:rPr>
          <w:rFonts w:ascii="Arial" w:cs="Arial" w:eastAsia="Arial" w:hAnsi="Arial"/>
          <w:sz w:val="22"/>
          <w:szCs w:val="22"/>
          <w:color w:val="auto"/>
        </w:rPr>
        <w:t>. The Corporation may, in its sole discretion, deliver any documents related to the</w:t>
      </w:r>
      <w:r>
        <w:rPr>
          <w:rFonts w:ascii="Arial" w:cs="Arial" w:eastAsia="Arial" w:hAnsi="Arial"/>
          <w:sz w:val="22"/>
          <w:szCs w:val="22"/>
          <w:b w:val="1"/>
          <w:bCs w:val="1"/>
          <w:color w:val="auto"/>
        </w:rPr>
        <w:t xml:space="preserve"> </w:t>
      </w:r>
      <w:r>
        <w:rPr>
          <w:rFonts w:ascii="Arial" w:cs="Arial" w:eastAsia="Arial" w:hAnsi="Arial"/>
          <w:sz w:val="22"/>
          <w:szCs w:val="22"/>
          <w:color w:val="auto"/>
        </w:rPr>
        <w:t>Performance Units and Grantee’s participation in the Plan, or future</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591" w:right="239" w:bottom="1440" w:gutter="0" w:footer="0" w:header="0"/>
        </w:sectPr>
      </w:pPr>
    </w:p>
    <w:bookmarkStart w:id="43" w:name="page44"/>
    <w:bookmarkEnd w:id="43"/>
    <w:p>
      <w:pPr>
        <w:jc w:val="both"/>
        <w:spacing w:after="0" w:line="250" w:lineRule="auto"/>
        <w:rPr>
          <w:sz w:val="20"/>
          <w:szCs w:val="20"/>
          <w:color w:val="auto"/>
        </w:rPr>
      </w:pPr>
      <w:r>
        <w:rPr>
          <w:rFonts w:ascii="Arial" w:cs="Arial" w:eastAsia="Arial" w:hAnsi="Arial"/>
          <w:sz w:val="22"/>
          <w:szCs w:val="22"/>
          <w:color w:val="auto"/>
        </w:rPr>
        <w:t>awards that may be granted under the Plan, by electronic means or request Grantee’s consent to participate in the Plan by electronic means. Grantee hereby consents to receive such documents by electronic delivery and, if requested, agrees to participate in the Plan through an on-line or electronic system established and maintained by the Corporation or another third party designated by the Corporation.</w:t>
      </w:r>
    </w:p>
    <w:p>
      <w:pPr>
        <w:spacing w:after="0" w:line="182" w:lineRule="exact"/>
        <w:rPr>
          <w:sz w:val="20"/>
          <w:szCs w:val="20"/>
          <w:color w:val="auto"/>
        </w:rPr>
      </w:pPr>
    </w:p>
    <w:p>
      <w:pPr>
        <w:ind w:left="1800" w:hanging="495"/>
        <w:spacing w:after="0"/>
        <w:tabs>
          <w:tab w:leader="none" w:pos="1800" w:val="left"/>
        </w:tabs>
        <w:numPr>
          <w:ilvl w:val="0"/>
          <w:numId w:val="2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Nature of Grant</w:t>
      </w:r>
      <w:r>
        <w:rPr>
          <w:rFonts w:ascii="Arial" w:cs="Arial" w:eastAsia="Arial" w:hAnsi="Arial"/>
          <w:sz w:val="22"/>
          <w:szCs w:val="22"/>
          <w:b w:val="1"/>
          <w:bCs w:val="1"/>
          <w:color w:val="auto"/>
        </w:rPr>
        <w:t xml:space="preserve">. </w:t>
      </w:r>
      <w:r>
        <w:rPr>
          <w:rFonts w:ascii="Arial" w:cs="Arial" w:eastAsia="Arial" w:hAnsi="Arial"/>
          <w:sz w:val="22"/>
          <w:szCs w:val="22"/>
          <w:color w:val="auto"/>
        </w:rPr>
        <w:t>In accepting the Award, Grantee acknowledges that:</w:t>
      </w:r>
    </w:p>
    <w:p>
      <w:pPr>
        <w:spacing w:after="0" w:line="226" w:lineRule="exact"/>
        <w:rPr>
          <w:sz w:val="20"/>
          <w:szCs w:val="20"/>
          <w:color w:val="auto"/>
        </w:rPr>
      </w:pPr>
    </w:p>
    <w:p>
      <w:pPr>
        <w:ind w:left="660" w:firstLine="645"/>
        <w:spacing w:after="0" w:line="343" w:lineRule="auto"/>
        <w:tabs>
          <w:tab w:leader="none" w:pos="1862" w:val="left"/>
        </w:tabs>
        <w:numPr>
          <w:ilvl w:val="0"/>
          <w:numId w:val="22"/>
        </w:numPr>
        <w:rPr>
          <w:rFonts w:ascii="Arial" w:cs="Arial" w:eastAsia="Arial" w:hAnsi="Arial"/>
          <w:sz w:val="19"/>
          <w:szCs w:val="19"/>
          <w:color w:val="auto"/>
        </w:rPr>
      </w:pPr>
      <w:r>
        <w:rPr>
          <w:rFonts w:ascii="Arial" w:cs="Arial" w:eastAsia="Arial" w:hAnsi="Arial"/>
          <w:sz w:val="19"/>
          <w:szCs w:val="19"/>
          <w:color w:val="auto"/>
        </w:rPr>
        <w:t>the Plan is established voluntarily by the Corporation, it is discretionary in nature and it may be modified, amended, suspended or terminated by the Corporation at any time unless otherwise provided in the Plan or this Agreement;</w:t>
      </w:r>
    </w:p>
    <w:p>
      <w:pPr>
        <w:spacing w:after="0" w:line="104" w:lineRule="exact"/>
        <w:rPr>
          <w:rFonts w:ascii="Arial" w:cs="Arial" w:eastAsia="Arial" w:hAnsi="Arial"/>
          <w:sz w:val="19"/>
          <w:szCs w:val="19"/>
          <w:color w:val="auto"/>
        </w:rPr>
      </w:pPr>
    </w:p>
    <w:p>
      <w:pPr>
        <w:ind w:left="660" w:firstLine="645"/>
        <w:spacing w:after="0" w:line="343" w:lineRule="auto"/>
        <w:tabs>
          <w:tab w:leader="none" w:pos="1795" w:val="left"/>
        </w:tabs>
        <w:numPr>
          <w:ilvl w:val="0"/>
          <w:numId w:val="22"/>
        </w:numPr>
        <w:rPr>
          <w:rFonts w:ascii="Arial" w:cs="Arial" w:eastAsia="Arial" w:hAnsi="Arial"/>
          <w:sz w:val="19"/>
          <w:szCs w:val="19"/>
          <w:color w:val="auto"/>
        </w:rPr>
      </w:pPr>
      <w:r>
        <w:rPr>
          <w:rFonts w:ascii="Arial" w:cs="Arial" w:eastAsia="Arial" w:hAnsi="Arial"/>
          <w:sz w:val="19"/>
          <w:szCs w:val="19"/>
          <w:color w:val="auto"/>
        </w:rPr>
        <w:t>the grant of the Award is voluntary and occasional and does not create any contractual or other right to receive future grants of Awards, or benefits in lieu of Awards, even if Awards have been granted repeatedly in the past,</w:t>
      </w:r>
    </w:p>
    <w:p>
      <w:pPr>
        <w:spacing w:after="0" w:line="104" w:lineRule="exact"/>
        <w:rPr>
          <w:rFonts w:ascii="Arial" w:cs="Arial" w:eastAsia="Arial" w:hAnsi="Arial"/>
          <w:sz w:val="19"/>
          <w:szCs w:val="19"/>
          <w:color w:val="auto"/>
        </w:rPr>
      </w:pPr>
    </w:p>
    <w:p>
      <w:pPr>
        <w:ind w:left="1760" w:hanging="455"/>
        <w:spacing w:after="0"/>
        <w:tabs>
          <w:tab w:leader="none" w:pos="1760" w:val="left"/>
        </w:tabs>
        <w:numPr>
          <w:ilvl w:val="0"/>
          <w:numId w:val="22"/>
        </w:numPr>
        <w:rPr>
          <w:rFonts w:ascii="Arial" w:cs="Arial" w:eastAsia="Arial" w:hAnsi="Arial"/>
          <w:sz w:val="22"/>
          <w:szCs w:val="22"/>
          <w:color w:val="auto"/>
        </w:rPr>
      </w:pPr>
      <w:r>
        <w:rPr>
          <w:rFonts w:ascii="Arial" w:cs="Arial" w:eastAsia="Arial" w:hAnsi="Arial"/>
          <w:sz w:val="22"/>
          <w:szCs w:val="22"/>
          <w:color w:val="auto"/>
        </w:rPr>
        <w:t>all decisions with respect to future grants, if any, will be at the sole discretion of the Corporation;</w:t>
      </w:r>
    </w:p>
    <w:p>
      <w:pPr>
        <w:spacing w:after="0" w:line="219" w:lineRule="exact"/>
        <w:rPr>
          <w:rFonts w:ascii="Arial" w:cs="Arial" w:eastAsia="Arial" w:hAnsi="Arial"/>
          <w:sz w:val="22"/>
          <w:szCs w:val="22"/>
          <w:color w:val="auto"/>
        </w:rPr>
      </w:pPr>
    </w:p>
    <w:p>
      <w:pPr>
        <w:ind w:left="1780" w:hanging="475"/>
        <w:spacing w:after="0"/>
        <w:tabs>
          <w:tab w:leader="none" w:pos="1780" w:val="left"/>
        </w:tabs>
        <w:numPr>
          <w:ilvl w:val="0"/>
          <w:numId w:val="22"/>
        </w:numPr>
        <w:rPr>
          <w:rFonts w:ascii="Arial" w:cs="Arial" w:eastAsia="Arial" w:hAnsi="Arial"/>
          <w:sz w:val="22"/>
          <w:szCs w:val="22"/>
          <w:color w:val="auto"/>
        </w:rPr>
      </w:pPr>
      <w:r>
        <w:rPr>
          <w:rFonts w:ascii="Arial" w:cs="Arial" w:eastAsia="Arial" w:hAnsi="Arial"/>
          <w:sz w:val="22"/>
          <w:szCs w:val="22"/>
          <w:color w:val="auto"/>
        </w:rPr>
        <w:t>Grantee is voluntarily participating in the Plan;</w:t>
      </w:r>
    </w:p>
    <w:p>
      <w:pPr>
        <w:spacing w:after="0" w:line="219" w:lineRule="exact"/>
        <w:rPr>
          <w:rFonts w:ascii="Arial" w:cs="Arial" w:eastAsia="Arial" w:hAnsi="Arial"/>
          <w:sz w:val="22"/>
          <w:szCs w:val="22"/>
          <w:color w:val="auto"/>
        </w:rPr>
      </w:pPr>
    </w:p>
    <w:p>
      <w:pPr>
        <w:jc w:val="both"/>
        <w:ind w:left="660" w:firstLine="645"/>
        <w:spacing w:after="0" w:line="253" w:lineRule="auto"/>
        <w:tabs>
          <w:tab w:leader="none" w:pos="1789" w:val="left"/>
        </w:tabs>
        <w:numPr>
          <w:ilvl w:val="0"/>
          <w:numId w:val="22"/>
        </w:numPr>
        <w:rPr>
          <w:rFonts w:ascii="Arial" w:cs="Arial" w:eastAsia="Arial" w:hAnsi="Arial"/>
          <w:sz w:val="22"/>
          <w:szCs w:val="22"/>
          <w:color w:val="auto"/>
        </w:rPr>
      </w:pPr>
      <w:r>
        <w:rPr>
          <w:rFonts w:ascii="Arial" w:cs="Arial" w:eastAsia="Arial" w:hAnsi="Arial"/>
          <w:sz w:val="22"/>
          <w:szCs w:val="22"/>
          <w:color w:val="auto"/>
        </w:rPr>
        <w:t>the Performance Units and the Common Stock subject to the Performance Units are an extraordinary item that does not constitute compensation of any kind for services of any kind rendered to the Corporation or Grantee’s employer, and which is outside the scope of Grantee’s employment contract, if any;</w:t>
      </w:r>
    </w:p>
    <w:p>
      <w:pPr>
        <w:spacing w:after="0" w:line="185" w:lineRule="exact"/>
        <w:rPr>
          <w:rFonts w:ascii="Arial" w:cs="Arial" w:eastAsia="Arial" w:hAnsi="Arial"/>
          <w:sz w:val="22"/>
          <w:szCs w:val="22"/>
          <w:color w:val="auto"/>
        </w:rPr>
      </w:pPr>
    </w:p>
    <w:p>
      <w:pPr>
        <w:ind w:left="660" w:right="20" w:firstLine="645"/>
        <w:spacing w:after="0" w:line="263" w:lineRule="auto"/>
        <w:tabs>
          <w:tab w:leader="none" w:pos="1748" w:val="left"/>
        </w:tabs>
        <w:numPr>
          <w:ilvl w:val="0"/>
          <w:numId w:val="22"/>
        </w:numPr>
        <w:rPr>
          <w:rFonts w:ascii="Arial" w:cs="Arial" w:eastAsia="Arial" w:hAnsi="Arial"/>
          <w:sz w:val="22"/>
          <w:szCs w:val="22"/>
          <w:color w:val="auto"/>
        </w:rPr>
      </w:pPr>
      <w:r>
        <w:rPr>
          <w:rFonts w:ascii="Arial" w:cs="Arial" w:eastAsia="Arial" w:hAnsi="Arial"/>
          <w:sz w:val="22"/>
          <w:szCs w:val="22"/>
          <w:color w:val="auto"/>
        </w:rPr>
        <w:t>the Performance Units and the Common Stock subject to the Performance Units are not intended to replace any pension rights or compensation;</w:t>
      </w:r>
    </w:p>
    <w:p>
      <w:pPr>
        <w:spacing w:after="0" w:line="174" w:lineRule="exact"/>
        <w:rPr>
          <w:rFonts w:ascii="Arial" w:cs="Arial" w:eastAsia="Arial" w:hAnsi="Arial"/>
          <w:sz w:val="22"/>
          <w:szCs w:val="22"/>
          <w:color w:val="auto"/>
        </w:rPr>
      </w:pPr>
    </w:p>
    <w:p>
      <w:pPr>
        <w:ind w:left="1780" w:hanging="475"/>
        <w:spacing w:after="0"/>
        <w:tabs>
          <w:tab w:leader="none" w:pos="1780" w:val="left"/>
        </w:tabs>
        <w:numPr>
          <w:ilvl w:val="0"/>
          <w:numId w:val="22"/>
        </w:numPr>
        <w:rPr>
          <w:rFonts w:ascii="Arial" w:cs="Arial" w:eastAsia="Arial" w:hAnsi="Arial"/>
          <w:sz w:val="21"/>
          <w:szCs w:val="21"/>
          <w:color w:val="auto"/>
        </w:rPr>
      </w:pPr>
      <w:r>
        <w:rPr>
          <w:rFonts w:ascii="Arial" w:cs="Arial" w:eastAsia="Arial" w:hAnsi="Arial"/>
          <w:sz w:val="21"/>
          <w:szCs w:val="21"/>
          <w:color w:val="auto"/>
        </w:rPr>
        <w:t>the future value of the underlying Common Stock is unknown and cannot be predicted with certainty;</w:t>
      </w:r>
    </w:p>
    <w:p>
      <w:pPr>
        <w:spacing w:after="0" w:line="231" w:lineRule="exact"/>
        <w:rPr>
          <w:rFonts w:ascii="Arial" w:cs="Arial" w:eastAsia="Arial" w:hAnsi="Arial"/>
          <w:sz w:val="21"/>
          <w:szCs w:val="21"/>
          <w:color w:val="auto"/>
        </w:rPr>
      </w:pPr>
    </w:p>
    <w:p>
      <w:pPr>
        <w:jc w:val="both"/>
        <w:ind w:left="660" w:firstLine="645"/>
        <w:spacing w:after="0" w:line="312" w:lineRule="auto"/>
        <w:tabs>
          <w:tab w:leader="none" w:pos="1862" w:val="left"/>
        </w:tabs>
        <w:numPr>
          <w:ilvl w:val="0"/>
          <w:numId w:val="22"/>
        </w:numPr>
        <w:rPr>
          <w:rFonts w:ascii="Arial" w:cs="Arial" w:eastAsia="Arial" w:hAnsi="Arial"/>
          <w:sz w:val="19"/>
          <w:szCs w:val="19"/>
          <w:color w:val="auto"/>
        </w:rPr>
      </w:pPr>
      <w:r>
        <w:rPr>
          <w:rFonts w:ascii="Arial" w:cs="Arial" w:eastAsia="Arial" w:hAnsi="Arial"/>
          <w:sz w:val="19"/>
          <w:szCs w:val="19"/>
          <w:color w:val="auto"/>
        </w:rPr>
        <w:t>Awards and resulting benefits are not part of normal or expected compensation or salary for any purposes, including, but not limited to, calculating any severance, resignation, termination, redundancy, end of service payments, bonuses, long-service awards, pension or retirement benefits or similar payments insofar as permitted by law;</w:t>
      </w:r>
    </w:p>
    <w:p>
      <w:pPr>
        <w:spacing w:after="0" w:line="133" w:lineRule="exact"/>
        <w:rPr>
          <w:rFonts w:ascii="Arial" w:cs="Arial" w:eastAsia="Arial" w:hAnsi="Arial"/>
          <w:sz w:val="19"/>
          <w:szCs w:val="19"/>
          <w:color w:val="auto"/>
        </w:rPr>
      </w:pPr>
    </w:p>
    <w:p>
      <w:pPr>
        <w:jc w:val="both"/>
        <w:ind w:left="660" w:firstLine="645"/>
        <w:spacing w:after="0" w:line="261" w:lineRule="auto"/>
        <w:tabs>
          <w:tab w:leader="none" w:pos="1804" w:val="left"/>
        </w:tabs>
        <w:numPr>
          <w:ilvl w:val="0"/>
          <w:numId w:val="22"/>
        </w:numPr>
        <w:rPr>
          <w:rFonts w:ascii="Arial" w:cs="Arial" w:eastAsia="Arial" w:hAnsi="Arial"/>
          <w:sz w:val="21"/>
          <w:szCs w:val="21"/>
          <w:color w:val="auto"/>
        </w:rPr>
      </w:pPr>
      <w:r>
        <w:rPr>
          <w:rFonts w:ascii="Arial" w:cs="Arial" w:eastAsia="Arial" w:hAnsi="Arial"/>
          <w:sz w:val="21"/>
          <w:szCs w:val="21"/>
          <w:color w:val="auto"/>
        </w:rPr>
        <w:t>in consideration of the grant of the Performance Units, no claim or entitlement to compensation or damages shall arise from forfeiture of the Performance Units resulting from termination of Grantee’s employment with the Corporation or Grantee’s employer (for any reason whatsoever and whether or not in breach of local labor laws) and Grantee irrevocably releases the Corporation and Grantee’s employer from any such claim that may arise; if, notwithstanding the foregoing, any such claim is found by a court of competent jurisdiction to have arisen, Grantee shall be deemed irrevocably to have waive any entitlement to pursue such claim; and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591" w:right="239" w:bottom="1440" w:gutter="0" w:footer="0" w:header="0"/>
        </w:sectPr>
      </w:pPr>
    </w:p>
    <w:bookmarkStart w:id="44" w:name="page45"/>
    <w:bookmarkEnd w:id="44"/>
    <w:p>
      <w:pPr>
        <w:jc w:val="both"/>
        <w:ind w:left="660" w:firstLine="645"/>
        <w:spacing w:after="0" w:line="297" w:lineRule="auto"/>
        <w:tabs>
          <w:tab w:leader="none" w:pos="1782" w:val="left"/>
        </w:tabs>
        <w:numPr>
          <w:ilvl w:val="0"/>
          <w:numId w:val="23"/>
        </w:numPr>
        <w:rPr>
          <w:rFonts w:ascii="Arial" w:cs="Arial" w:eastAsia="Arial" w:hAnsi="Arial"/>
          <w:sz w:val="19"/>
          <w:szCs w:val="19"/>
          <w:color w:val="auto"/>
        </w:rPr>
      </w:pPr>
      <w:r>
        <w:rPr>
          <w:rFonts w:ascii="Arial" w:cs="Arial" w:eastAsia="Arial" w:hAnsi="Arial"/>
          <w:sz w:val="19"/>
          <w:szCs w:val="19"/>
          <w:color w:val="auto"/>
        </w:rPr>
        <w:t>in the event Grantee ceases to be a Service Provider (whether or not in breach of local labor laws), Grantee’s right to vest in the Performance Units under the Plan, if any, will terminate effective as of the date that Grantee is no longer a Service Provider and will not be extended by any notice period mandated under local law (e.g., active service would not include a period of “garden leave” or similar period pursuant to local law); the Administrator shall have the exclusive discretion to determine when Grantee is no longer a Service Provider for purposes of the Performance Units.</w:t>
      </w:r>
    </w:p>
    <w:p>
      <w:pPr>
        <w:spacing w:after="0" w:line="141" w:lineRule="exact"/>
        <w:rPr>
          <w:sz w:val="20"/>
          <w:szCs w:val="20"/>
          <w:color w:val="auto"/>
        </w:rPr>
      </w:pPr>
    </w:p>
    <w:p>
      <w:pPr>
        <w:jc w:val="both"/>
        <w:ind w:firstLine="1305"/>
        <w:spacing w:after="0" w:line="295" w:lineRule="auto"/>
        <w:tabs>
          <w:tab w:leader="none" w:pos="1784" w:val="left"/>
        </w:tabs>
        <w:numPr>
          <w:ilvl w:val="0"/>
          <w:numId w:val="2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Non-U.S. Addendum</w:t>
      </w:r>
      <w:r>
        <w:rPr>
          <w:rFonts w:ascii="Arial" w:cs="Arial" w:eastAsia="Arial" w:hAnsi="Arial"/>
          <w:sz w:val="19"/>
          <w:szCs w:val="19"/>
          <w:b w:val="1"/>
          <w:bCs w:val="1"/>
          <w:color w:val="auto"/>
        </w:rPr>
        <w:t xml:space="preserve">. </w:t>
      </w:r>
      <w:r>
        <w:rPr>
          <w:rFonts w:ascii="Arial" w:cs="Arial" w:eastAsia="Arial" w:hAnsi="Arial"/>
          <w:sz w:val="19"/>
          <w:szCs w:val="19"/>
          <w:color w:val="auto"/>
        </w:rPr>
        <w:t>Notwithstanding any provisions in this Agreement, the Performance Units shall also be</w:t>
      </w:r>
      <w:r>
        <w:rPr>
          <w:rFonts w:ascii="Arial" w:cs="Arial" w:eastAsia="Arial" w:hAnsi="Arial"/>
          <w:sz w:val="19"/>
          <w:szCs w:val="19"/>
          <w:b w:val="1"/>
          <w:bCs w:val="1"/>
          <w:color w:val="auto"/>
        </w:rPr>
        <w:t xml:space="preserve"> </w:t>
      </w:r>
      <w:r>
        <w:rPr>
          <w:rFonts w:ascii="Arial" w:cs="Arial" w:eastAsia="Arial" w:hAnsi="Arial"/>
          <w:sz w:val="19"/>
          <w:szCs w:val="19"/>
          <w:color w:val="auto"/>
        </w:rPr>
        <w:t>subject to the special terms and conditions set forth in the Non-U.S. Addendum attached as Appendix C to this Agreement for Grantee’s country. Moreover, if Grantee relocates to one of the countries included in the Non-U.S. Addendum, the special terms and conditions for such country will apply to Grantee to the extent the Corporation determines that the application of such terms and conditions are necessary or advisable in order to comply with local law or facilitate the administration of the Plan. The Non-U.S. Addendum attached hereto as Appendix C constitutes part of this Agreement.</w:t>
      </w:r>
    </w:p>
    <w:p>
      <w:pPr>
        <w:spacing w:after="0" w:line="144" w:lineRule="exact"/>
        <w:rPr>
          <w:rFonts w:ascii="Arial" w:cs="Arial" w:eastAsia="Arial" w:hAnsi="Arial"/>
          <w:sz w:val="19"/>
          <w:szCs w:val="19"/>
          <w:b w:val="1"/>
          <w:bCs w:val="1"/>
          <w:color w:val="auto"/>
        </w:rPr>
      </w:pPr>
    </w:p>
    <w:p>
      <w:pPr>
        <w:ind w:right="20" w:firstLine="1305"/>
        <w:spacing w:after="0" w:line="269" w:lineRule="auto"/>
        <w:tabs>
          <w:tab w:leader="none" w:pos="1850" w:val="left"/>
        </w:tabs>
        <w:numPr>
          <w:ilvl w:val="0"/>
          <w:numId w:val="2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Governing Law</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is governed by and construed in accordance with the laws of the State of</w:t>
      </w:r>
      <w:r>
        <w:rPr>
          <w:rFonts w:ascii="Arial" w:cs="Arial" w:eastAsia="Arial" w:hAnsi="Arial"/>
          <w:sz w:val="22"/>
          <w:szCs w:val="22"/>
          <w:b w:val="1"/>
          <w:bCs w:val="1"/>
          <w:color w:val="auto"/>
        </w:rPr>
        <w:t xml:space="preserve"> </w:t>
      </w:r>
      <w:r>
        <w:rPr>
          <w:rFonts w:ascii="Arial" w:cs="Arial" w:eastAsia="Arial" w:hAnsi="Arial"/>
          <w:sz w:val="22"/>
          <w:szCs w:val="22"/>
          <w:color w:val="auto"/>
        </w:rPr>
        <w:t>Michigan, notwithstanding conflict of law provisions.</w:t>
      </w:r>
    </w:p>
    <w:p>
      <w:pPr>
        <w:spacing w:after="0" w:line="162" w:lineRule="exact"/>
        <w:rPr>
          <w:rFonts w:ascii="Arial" w:cs="Arial" w:eastAsia="Arial" w:hAnsi="Arial"/>
          <w:sz w:val="22"/>
          <w:szCs w:val="22"/>
          <w:b w:val="1"/>
          <w:bCs w:val="1"/>
          <w:color w:val="auto"/>
        </w:rPr>
      </w:pPr>
    </w:p>
    <w:p>
      <w:pPr>
        <w:jc w:val="both"/>
        <w:ind w:firstLine="1305"/>
        <w:spacing w:after="0" w:line="289" w:lineRule="auto"/>
        <w:tabs>
          <w:tab w:leader="none" w:pos="1864" w:val="left"/>
        </w:tabs>
        <w:numPr>
          <w:ilvl w:val="0"/>
          <w:numId w:val="24"/>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Clawback Policy</w:t>
      </w:r>
      <w:r>
        <w:rPr>
          <w:rFonts w:ascii="Arial" w:cs="Arial" w:eastAsia="Arial" w:hAnsi="Arial"/>
          <w:sz w:val="19"/>
          <w:szCs w:val="19"/>
          <w:b w:val="1"/>
          <w:bCs w:val="1"/>
          <w:color w:val="auto"/>
        </w:rPr>
        <w:t xml:space="preserve">. </w:t>
      </w:r>
      <w:r>
        <w:rPr>
          <w:rFonts w:ascii="Arial" w:cs="Arial" w:eastAsia="Arial" w:hAnsi="Arial"/>
          <w:sz w:val="19"/>
          <w:szCs w:val="19"/>
          <w:color w:val="auto"/>
        </w:rPr>
        <w:t>Any shares of Common Stock issued to Grantee in settlement of the Performance Units</w:t>
      </w:r>
      <w:r>
        <w:rPr>
          <w:rFonts w:ascii="Arial" w:cs="Arial" w:eastAsia="Arial" w:hAnsi="Arial"/>
          <w:sz w:val="19"/>
          <w:szCs w:val="19"/>
          <w:b w:val="1"/>
          <w:bCs w:val="1"/>
          <w:color w:val="auto"/>
        </w:rPr>
        <w:t xml:space="preserve"> </w:t>
      </w:r>
      <w:r>
        <w:rPr>
          <w:rFonts w:ascii="Arial" w:cs="Arial" w:eastAsia="Arial" w:hAnsi="Arial"/>
          <w:sz w:val="19"/>
          <w:szCs w:val="19"/>
          <w:color w:val="auto"/>
        </w:rPr>
        <w:t>shall be subject to the Corporation’s recoupment policy, as in effect from time to time. Further, notwithstanding anything in this Agreement to the contrary, Grantee acknowledges and agrees that (a) this Agreement and the award described herein (and any settlement thereof) are subject to the terms and conditions of such policy, or any other form of Corporation clawback policy (if any) as may be in effect from time to time specifically to implement Section 10D of the Exchange Act and any applicable rules or regulations promulgated thereunder (including applicable rules and regulations of any national securities exchange on which the Common Shares may be traded) (the “Compensation Recovery Policy”), (b) applicable provisions of this Agreement shall be deemed superseded by and subject to the terms and conditions of the Compensation Recovery Policy from and after the effective date thereof, and (c) Grantee’s consent shall not be required to an amendment to this Agreement that is deemed necessary by the Corporation to ensure compliance with Section 10D of the Exchange Act.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591" w:right="239" w:bottom="1440" w:gutter="0" w:footer="0" w:header="0"/>
        </w:sectPr>
      </w:pPr>
    </w:p>
    <w:bookmarkStart w:id="45" w:name="page46"/>
    <w:bookmarkEnd w:id="45"/>
    <w:p>
      <w:pPr>
        <w:ind w:firstLine="648"/>
        <w:spacing w:after="0" w:line="263" w:lineRule="auto"/>
        <w:rPr>
          <w:sz w:val="20"/>
          <w:szCs w:val="20"/>
          <w:color w:val="auto"/>
        </w:rPr>
      </w:pPr>
      <w:r>
        <w:rPr>
          <w:rFonts w:ascii="Arial" w:cs="Arial" w:eastAsia="Arial" w:hAnsi="Arial"/>
          <w:sz w:val="22"/>
          <w:szCs w:val="22"/>
          <w:color w:val="auto"/>
        </w:rPr>
        <w:t>This Agreement may be executed in two or more counterparts, each of which is deemed an original and all of which constitute one document.</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281"/>
        </w:trPr>
        <w:tc>
          <w:tcPr>
            <w:tcW w:w="2800" w:type="dxa"/>
            <w:vAlign w:val="bottom"/>
          </w:tcPr>
          <w:p>
            <w:pPr>
              <w:spacing w:after="0"/>
              <w:rPr>
                <w:sz w:val="24"/>
                <w:szCs w:val="24"/>
                <w:color w:val="auto"/>
              </w:rPr>
            </w:pPr>
          </w:p>
        </w:tc>
        <w:tc>
          <w:tcPr>
            <w:tcW w:w="8260" w:type="dxa"/>
            <w:vAlign w:val="bottom"/>
            <w:gridSpan w:val="3"/>
          </w:tcPr>
          <w:p>
            <w:pPr>
              <w:ind w:left="900"/>
              <w:spacing w:after="0"/>
              <w:rPr>
                <w:sz w:val="20"/>
                <w:szCs w:val="20"/>
                <w:color w:val="auto"/>
              </w:rPr>
            </w:pPr>
            <w:r>
              <w:rPr>
                <w:rFonts w:ascii="Arial" w:cs="Arial" w:eastAsia="Arial" w:hAnsi="Arial"/>
                <w:sz w:val="22"/>
                <w:szCs w:val="22"/>
                <w:b w:val="1"/>
                <w:bCs w:val="1"/>
                <w:color w:val="auto"/>
              </w:rPr>
              <w:t>TRIMAS CORPORATION</w:t>
            </w:r>
          </w:p>
        </w:tc>
      </w:tr>
      <w:tr>
        <w:trPr>
          <w:trHeight w:val="571"/>
        </w:trPr>
        <w:tc>
          <w:tcPr>
            <w:tcW w:w="2800" w:type="dxa"/>
            <w:vAlign w:val="bottom"/>
          </w:tcPr>
          <w:p>
            <w:pPr>
              <w:spacing w:after="0"/>
              <w:rPr>
                <w:sz w:val="20"/>
                <w:szCs w:val="20"/>
                <w:color w:val="auto"/>
              </w:rPr>
            </w:pPr>
            <w:r>
              <w:rPr>
                <w:rFonts w:ascii="Arial" w:cs="Arial" w:eastAsia="Arial" w:hAnsi="Arial"/>
                <w:sz w:val="22"/>
                <w:szCs w:val="22"/>
                <w:color w:val="auto"/>
              </w:rPr>
              <w:t>Dated: March 1, 2016</w:t>
            </w:r>
          </w:p>
        </w:tc>
        <w:tc>
          <w:tcPr>
            <w:tcW w:w="8260" w:type="dxa"/>
            <w:vAlign w:val="bottom"/>
            <w:gridSpan w:val="3"/>
          </w:tcPr>
          <w:p>
            <w:pPr>
              <w:ind w:left="2220"/>
              <w:spacing w:after="0"/>
              <w:rPr>
                <w:sz w:val="20"/>
                <w:szCs w:val="20"/>
                <w:color w:val="auto"/>
              </w:rPr>
            </w:pPr>
            <w:r>
              <w:rPr>
                <w:rFonts w:ascii="Arial" w:cs="Arial" w:eastAsia="Arial" w:hAnsi="Arial"/>
                <w:sz w:val="22"/>
                <w:szCs w:val="22"/>
                <w:color w:val="auto"/>
              </w:rPr>
              <w:t>By: /s/ Joshua A. Sherbin</w:t>
            </w:r>
          </w:p>
        </w:tc>
      </w:tr>
      <w:tr>
        <w:trPr>
          <w:trHeight w:val="20"/>
        </w:trPr>
        <w:tc>
          <w:tcPr>
            <w:tcW w:w="28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r>
      <w:tr>
        <w:trPr>
          <w:trHeight w:val="242"/>
        </w:trPr>
        <w:tc>
          <w:tcPr>
            <w:tcW w:w="2800" w:type="dxa"/>
            <w:vAlign w:val="bottom"/>
          </w:tcPr>
          <w:p>
            <w:pPr>
              <w:spacing w:after="0"/>
              <w:rPr>
                <w:sz w:val="21"/>
                <w:szCs w:val="21"/>
                <w:color w:val="auto"/>
              </w:rPr>
            </w:pPr>
          </w:p>
        </w:tc>
        <w:tc>
          <w:tcPr>
            <w:tcW w:w="8260" w:type="dxa"/>
            <w:vAlign w:val="bottom"/>
            <w:gridSpan w:val="3"/>
          </w:tcPr>
          <w:p>
            <w:pPr>
              <w:ind w:left="2220"/>
              <w:spacing w:after="0" w:line="242" w:lineRule="exact"/>
              <w:rPr>
                <w:sz w:val="20"/>
                <w:szCs w:val="20"/>
                <w:color w:val="auto"/>
              </w:rPr>
            </w:pPr>
            <w:r>
              <w:rPr>
                <w:rFonts w:ascii="Arial" w:cs="Arial" w:eastAsia="Arial" w:hAnsi="Arial"/>
                <w:sz w:val="22"/>
                <w:szCs w:val="22"/>
                <w:color w:val="auto"/>
              </w:rPr>
              <w:t>Name: Joshua A. Sherbin</w:t>
            </w:r>
          </w:p>
        </w:tc>
      </w:tr>
      <w:tr>
        <w:trPr>
          <w:trHeight w:val="243"/>
        </w:trPr>
        <w:tc>
          <w:tcPr>
            <w:tcW w:w="2800" w:type="dxa"/>
            <w:vAlign w:val="bottom"/>
          </w:tcPr>
          <w:p>
            <w:pPr>
              <w:spacing w:after="0"/>
              <w:rPr>
                <w:sz w:val="21"/>
                <w:szCs w:val="21"/>
                <w:color w:val="auto"/>
              </w:rPr>
            </w:pPr>
          </w:p>
        </w:tc>
        <w:tc>
          <w:tcPr>
            <w:tcW w:w="8260" w:type="dxa"/>
            <w:vAlign w:val="bottom"/>
            <w:gridSpan w:val="3"/>
          </w:tcPr>
          <w:p>
            <w:pPr>
              <w:ind w:left="2220"/>
              <w:spacing w:after="0" w:line="243" w:lineRule="exact"/>
              <w:rPr>
                <w:sz w:val="20"/>
                <w:szCs w:val="20"/>
                <w:color w:val="auto"/>
              </w:rPr>
            </w:pPr>
            <w:r>
              <w:rPr>
                <w:rFonts w:ascii="Arial" w:cs="Arial" w:eastAsia="Arial" w:hAnsi="Arial"/>
                <w:sz w:val="22"/>
                <w:szCs w:val="22"/>
                <w:color w:val="auto"/>
                <w:w w:val="89"/>
              </w:rPr>
              <w:t>Title: Vice President, General Counsel, Chief Compliance Officer and</w:t>
            </w:r>
          </w:p>
        </w:tc>
      </w:tr>
      <w:tr>
        <w:trPr>
          <w:trHeight w:val="275"/>
        </w:trPr>
        <w:tc>
          <w:tcPr>
            <w:tcW w:w="2800" w:type="dxa"/>
            <w:vAlign w:val="bottom"/>
          </w:tcPr>
          <w:p>
            <w:pPr>
              <w:spacing w:after="0"/>
              <w:rPr>
                <w:sz w:val="23"/>
                <w:szCs w:val="23"/>
                <w:color w:val="auto"/>
              </w:rPr>
            </w:pPr>
          </w:p>
        </w:tc>
        <w:tc>
          <w:tcPr>
            <w:tcW w:w="8260" w:type="dxa"/>
            <w:vAlign w:val="bottom"/>
            <w:gridSpan w:val="3"/>
          </w:tcPr>
          <w:p>
            <w:pPr>
              <w:ind w:left="2220"/>
              <w:spacing w:after="0"/>
              <w:rPr>
                <w:sz w:val="20"/>
                <w:szCs w:val="20"/>
                <w:color w:val="auto"/>
              </w:rPr>
            </w:pPr>
            <w:r>
              <w:rPr>
                <w:rFonts w:ascii="Arial" w:cs="Arial" w:eastAsia="Arial" w:hAnsi="Arial"/>
                <w:sz w:val="22"/>
                <w:szCs w:val="22"/>
                <w:color w:val="auto"/>
              </w:rPr>
              <w:t>Corporate Secretary</w:t>
            </w:r>
          </w:p>
        </w:tc>
      </w:tr>
    </w:tbl>
    <w:p>
      <w:pPr>
        <w:spacing w:after="0" w:line="200" w:lineRule="exact"/>
        <w:rPr>
          <w:sz w:val="20"/>
          <w:szCs w:val="20"/>
          <w:color w:val="auto"/>
        </w:rPr>
      </w:pPr>
    </w:p>
    <w:p>
      <w:pPr>
        <w:spacing w:after="0" w:line="316" w:lineRule="exact"/>
        <w:rPr>
          <w:sz w:val="20"/>
          <w:szCs w:val="20"/>
          <w:color w:val="auto"/>
        </w:rPr>
      </w:pPr>
    </w:p>
    <w:p>
      <w:pPr>
        <w:jc w:val="both"/>
        <w:ind w:left="660"/>
        <w:spacing w:after="0" w:line="247" w:lineRule="auto"/>
        <w:rPr>
          <w:sz w:val="20"/>
          <w:szCs w:val="20"/>
          <w:color w:val="auto"/>
        </w:rPr>
      </w:pPr>
      <w:r>
        <w:rPr>
          <w:rFonts w:ascii="Arial" w:cs="Arial" w:eastAsia="Arial" w:hAnsi="Arial"/>
          <w:sz w:val="22"/>
          <w:szCs w:val="22"/>
          <w:b w:val="1"/>
          <w:bCs w:val="1"/>
          <w:color w:val="auto"/>
        </w:rPr>
        <w:t>GRANTEE ACKNOWLEDGES AND AGREES THAT NOTHING IN THIS PERFORMANCE UNIT AGREEMENT, NOR IN THE CORPORATION’S 2006 LONG TERM EQUITY INCENTIVE PLAN, AS AMENDED, WHICH IS INCORPORATED INTO THIS AGREEMENT BY REFERENCE, CONFERS ON GRANTEE ANY RIGHT WITH RESPECT TO CONTINUATION AS A SERVICE PROVIDER OF THE CORPORATION OR ANY PARENT OR SUBSIDIARY OF THE CORPORATION, NOR INTERFERES IN ANY WAY WITH GRANTEE’S RIGHT OR THE CORPORATION’S RIGHT TO TERMINATE GRANTEE’S SERVICE PROVIDER RELATIONSHIP AT ANY TIME, WITH OR WITHOUT CAUSE AND WITH OR WITHOUT PRIOR NOTICE.</w:t>
      </w:r>
    </w:p>
    <w:p>
      <w:pPr>
        <w:spacing w:after="0" w:line="186" w:lineRule="exact"/>
        <w:rPr>
          <w:sz w:val="20"/>
          <w:szCs w:val="20"/>
          <w:color w:val="auto"/>
        </w:rPr>
      </w:pPr>
    </w:p>
    <w:p>
      <w:pPr>
        <w:jc w:val="both"/>
        <w:ind w:left="660"/>
        <w:spacing w:after="0" w:line="247" w:lineRule="auto"/>
        <w:rPr>
          <w:sz w:val="20"/>
          <w:szCs w:val="20"/>
          <w:color w:val="auto"/>
        </w:rPr>
      </w:pPr>
      <w:r>
        <w:rPr>
          <w:rFonts w:ascii="Arial" w:cs="Arial" w:eastAsia="Arial" w:hAnsi="Arial"/>
          <w:sz w:val="22"/>
          <w:szCs w:val="22"/>
          <w:b w:val="1"/>
          <w:bCs w:val="1"/>
          <w:color w:val="auto"/>
        </w:rPr>
        <w:t>BY CLICKING THE “ACCEPT” BUTTON BELOW, GRANTEE ACKNOWLEDGES RECEIPT OF A COPY OF THE PLAN AND REPRESENTS THAT GRANTEE IS FAMILIAR WITH THE TERMS AND PROVISIONS OF THE PLAN. GRANTEE ACCEPTS THIS PERFORMANCE UNIT AWARD SUBJECT TO ALL OF THE TERMS AND PROVISIONS OF THIS AGREEMENT AND THE PLAN. GRANTEE HAS REVIEWED THE PLAN AND THIS AGREEMENT IN THEIR ENTIRETY. GRANTEE AGREES TO ACCEPT AS BINDING, CONCLUSIVE AND FINAL ALL DECISIONS OR INTERPRETATIONS OF THE ADMINISTRATOR UPON ANY QUESTIONS ARISING UNDER THE PLAN OR THIS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591" w:right="239" w:bottom="1440" w:gutter="0" w:footer="0" w:header="0"/>
        </w:sectPr>
      </w:pPr>
    </w:p>
    <w:bookmarkStart w:id="46" w:name="page47"/>
    <w:bookmarkEnd w:id="46"/>
    <w:p>
      <w:pPr>
        <w:jc w:val="center"/>
        <w:spacing w:after="0"/>
        <w:rPr>
          <w:sz w:val="20"/>
          <w:szCs w:val="20"/>
          <w:color w:val="auto"/>
        </w:rPr>
      </w:pPr>
      <w:r>
        <w:rPr>
          <w:rFonts w:ascii="Arial" w:cs="Arial" w:eastAsia="Arial" w:hAnsi="Arial"/>
          <w:sz w:val="22"/>
          <w:szCs w:val="22"/>
          <w:b w:val="1"/>
          <w:bCs w:val="1"/>
          <w:color w:val="auto"/>
        </w:rPr>
        <w:t>APPENDIX A</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PERFORMANCE UNIT AGREEMENT</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PERFORMANCE GOAL FOR PERFORMANCE UNIT AWARD</w:t>
      </w:r>
    </w:p>
    <w:p>
      <w:pPr>
        <w:spacing w:after="0" w:line="266"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The actual number of Performance Units earned by Grantee will be determined by the Administrator by March 1, 2019 following the end of the Performance Period (“Determination Date”), using data as of, and including, December 31, 2018 under the rules described below. Any Performance Units not earned as of the Determination Date will be canceled and forfeited.</w:t>
      </w:r>
    </w:p>
    <w:p>
      <w:pPr>
        <w:spacing w:after="0" w:line="174" w:lineRule="exact"/>
        <w:rPr>
          <w:sz w:val="20"/>
          <w:szCs w:val="20"/>
          <w:color w:val="auto"/>
        </w:rPr>
      </w:pPr>
    </w:p>
    <w:p>
      <w:pPr>
        <w:ind w:firstLine="8"/>
        <w:spacing w:after="0" w:line="343" w:lineRule="auto"/>
        <w:tabs>
          <w:tab w:leader="none" w:pos="407" w:val="left"/>
        </w:tabs>
        <w:numPr>
          <w:ilvl w:val="0"/>
          <w:numId w:val="25"/>
        </w:numPr>
        <w:rPr>
          <w:rFonts w:ascii="Arial" w:cs="Arial" w:eastAsia="Arial" w:hAnsi="Arial"/>
          <w:sz w:val="19"/>
          <w:szCs w:val="19"/>
          <w:color w:val="auto"/>
        </w:rPr>
      </w:pPr>
      <w:r>
        <w:rPr>
          <w:rFonts w:ascii="Arial" w:cs="Arial" w:eastAsia="Arial" w:hAnsi="Arial"/>
          <w:sz w:val="19"/>
          <w:szCs w:val="19"/>
          <w:color w:val="auto"/>
        </w:rPr>
        <w:t>The actual number of shares of Common Stock delivered to Grantee in settlement of the Performance Units earned under this Agreement will be determined based on actual performance results as described below, subject to Section II.A.1 of the Agreement.</w:t>
      </w:r>
    </w:p>
    <w:p>
      <w:pPr>
        <w:spacing w:after="0" w:line="145" w:lineRule="exact"/>
        <w:rPr>
          <w:rFonts w:ascii="Arial" w:cs="Arial" w:eastAsia="Arial" w:hAnsi="Arial"/>
          <w:sz w:val="19"/>
          <w:szCs w:val="19"/>
          <w:color w:val="auto"/>
        </w:rPr>
      </w:pPr>
    </w:p>
    <w:p>
      <w:pPr>
        <w:ind w:right="20" w:firstLine="8"/>
        <w:spacing w:after="0" w:line="343" w:lineRule="auto"/>
        <w:tabs>
          <w:tab w:leader="none" w:pos="395" w:val="left"/>
        </w:tabs>
        <w:numPr>
          <w:ilvl w:val="0"/>
          <w:numId w:val="25"/>
        </w:numPr>
        <w:rPr>
          <w:rFonts w:ascii="Arial" w:cs="Arial" w:eastAsia="Arial" w:hAnsi="Arial"/>
          <w:sz w:val="19"/>
          <w:szCs w:val="19"/>
          <w:color w:val="auto"/>
        </w:rPr>
      </w:pPr>
      <w:r>
        <w:rPr>
          <w:rFonts w:ascii="Arial" w:cs="Arial" w:eastAsia="Arial" w:hAnsi="Arial"/>
          <w:sz w:val="19"/>
          <w:szCs w:val="19"/>
          <w:color w:val="auto"/>
        </w:rPr>
        <w:t>The Performance Units subject to this Award are earned based on the achievement of a specific performance measure over the Performance Period (i.e., January 1, 2016 through December 31, 2018) and determined on the Determination Date.</w:t>
      </w:r>
    </w:p>
    <w:p>
      <w:pPr>
        <w:spacing w:after="0" w:line="145" w:lineRule="exact"/>
        <w:rPr>
          <w:rFonts w:ascii="Arial" w:cs="Arial" w:eastAsia="Arial" w:hAnsi="Arial"/>
          <w:sz w:val="19"/>
          <w:szCs w:val="19"/>
          <w:color w:val="auto"/>
        </w:rPr>
      </w:pPr>
    </w:p>
    <w:p>
      <w:pPr>
        <w:ind w:firstLine="8"/>
        <w:spacing w:after="0" w:line="263" w:lineRule="auto"/>
        <w:tabs>
          <w:tab w:leader="none" w:pos="426" w:val="left"/>
        </w:tabs>
        <w:numPr>
          <w:ilvl w:val="0"/>
          <w:numId w:val="25"/>
        </w:numPr>
        <w:rPr>
          <w:rFonts w:ascii="Arial" w:cs="Arial" w:eastAsia="Arial" w:hAnsi="Arial"/>
          <w:sz w:val="22"/>
          <w:szCs w:val="22"/>
          <w:color w:val="auto"/>
        </w:rPr>
      </w:pPr>
      <w:r>
        <w:rPr>
          <w:rFonts w:ascii="Arial" w:cs="Arial" w:eastAsia="Arial" w:hAnsi="Arial"/>
          <w:sz w:val="22"/>
          <w:szCs w:val="22"/>
          <w:color w:val="auto"/>
        </w:rPr>
        <w:t>The Performance Units subject to this Award that will actually be earned will be based on the achievement of Relative Total Shareholder Return.</w:t>
      </w:r>
    </w:p>
    <w:p>
      <w:pPr>
        <w:spacing w:after="0" w:line="215" w:lineRule="exact"/>
        <w:rPr>
          <w:rFonts w:ascii="Arial" w:cs="Arial" w:eastAsia="Arial" w:hAnsi="Arial"/>
          <w:sz w:val="22"/>
          <w:szCs w:val="22"/>
          <w:color w:val="auto"/>
        </w:rPr>
      </w:pPr>
    </w:p>
    <w:p>
      <w:pPr>
        <w:ind w:left="380" w:hanging="372"/>
        <w:spacing w:after="0"/>
        <w:tabs>
          <w:tab w:leader="none" w:pos="380" w:val="left"/>
        </w:tabs>
        <w:numPr>
          <w:ilvl w:val="0"/>
          <w:numId w:val="25"/>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For purposes hereof:</w:t>
      </w:r>
    </w:p>
    <w:p>
      <w:pPr>
        <w:spacing w:after="0" w:line="260" w:lineRule="exact"/>
        <w:rPr>
          <w:rFonts w:ascii="Arial" w:cs="Arial" w:eastAsia="Arial" w:hAnsi="Arial"/>
          <w:sz w:val="22"/>
          <w:szCs w:val="22"/>
          <w:color w:val="auto"/>
        </w:rPr>
      </w:pPr>
    </w:p>
    <w:p>
      <w:pPr>
        <w:jc w:val="both"/>
        <w:ind w:left="1300" w:hanging="644"/>
        <w:spacing w:after="0" w:line="271" w:lineRule="auto"/>
        <w:tabs>
          <w:tab w:leader="none" w:pos="1300" w:val="left"/>
        </w:tabs>
        <w:numPr>
          <w:ilvl w:val="1"/>
          <w:numId w:val="25"/>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Peer Group</w:t>
      </w:r>
      <w:r>
        <w:rPr>
          <w:rFonts w:ascii="Arial" w:cs="Arial" w:eastAsia="Arial" w:hAnsi="Arial"/>
          <w:sz w:val="21"/>
          <w:szCs w:val="21"/>
          <w:color w:val="auto"/>
        </w:rPr>
        <w:t xml:space="preserve">” means, of a benchmark group of 100 entities currently in the S&amp;P SmallCap 600 Capped Industrials index (the names of which are attached hereto as </w:t>
      </w:r>
      <w:r>
        <w:rPr>
          <w:rFonts w:ascii="Arial" w:cs="Arial" w:eastAsia="Arial" w:hAnsi="Arial"/>
          <w:sz w:val="21"/>
          <w:szCs w:val="21"/>
          <w:u w:val="single" w:color="auto"/>
          <w:color w:val="auto"/>
        </w:rPr>
        <w:t>Annex A</w:t>
      </w:r>
      <w:r>
        <w:rPr>
          <w:rFonts w:ascii="Arial" w:cs="Arial" w:eastAsia="Arial" w:hAnsi="Arial"/>
          <w:sz w:val="21"/>
          <w:szCs w:val="21"/>
          <w:color w:val="auto"/>
        </w:rPr>
        <w:t>), those entities that remain in the Peer Group as of the end of the Performance Period after application of the Peer Group Adjustment Protocol.</w:t>
      </w:r>
    </w:p>
    <w:p>
      <w:pPr>
        <w:spacing w:after="0" w:line="208" w:lineRule="exact"/>
        <w:rPr>
          <w:rFonts w:ascii="Arial" w:cs="Arial" w:eastAsia="Arial" w:hAnsi="Arial"/>
          <w:sz w:val="21"/>
          <w:szCs w:val="21"/>
          <w:color w:val="auto"/>
        </w:rPr>
      </w:pPr>
    </w:p>
    <w:p>
      <w:pPr>
        <w:jc w:val="both"/>
        <w:ind w:left="1300" w:hanging="644"/>
        <w:spacing w:after="0" w:line="288" w:lineRule="auto"/>
        <w:tabs>
          <w:tab w:leader="none" w:pos="1300" w:val="left"/>
        </w:tabs>
        <w:numPr>
          <w:ilvl w:val="1"/>
          <w:numId w:val="2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Peer Group Adjustment Protocol</w:t>
      </w:r>
      <w:r>
        <w:rPr>
          <w:rFonts w:ascii="Arial" w:cs="Arial" w:eastAsia="Arial" w:hAnsi="Arial"/>
          <w:sz w:val="19"/>
          <w:szCs w:val="19"/>
          <w:color w:val="auto"/>
        </w:rPr>
        <w:t xml:space="preserve">” means: (i) if an entity listed in </w:t>
      </w:r>
      <w:r>
        <w:rPr>
          <w:rFonts w:ascii="Arial" w:cs="Arial" w:eastAsia="Arial" w:hAnsi="Arial"/>
          <w:sz w:val="19"/>
          <w:szCs w:val="19"/>
          <w:u w:val="single" w:color="auto"/>
          <w:color w:val="auto"/>
        </w:rPr>
        <w:t>Annex A</w:t>
      </w:r>
      <w:r>
        <w:rPr>
          <w:rFonts w:ascii="Arial" w:cs="Arial" w:eastAsia="Arial" w:hAnsi="Arial"/>
          <w:sz w:val="19"/>
          <w:szCs w:val="19"/>
          <w:color w:val="auto"/>
        </w:rPr>
        <w:t xml:space="preserve"> files for bankruptcy and/or liquidation, is operating under bankruptcy protection, or is delisted from its primary stock exchange because it fails to meet the exchange listing requirements, then such entity will remain in the Peer Group, but RTSR for the Performance Period will be calculated as if such entity achieved Total Shareholder Return placing it at the bottom (chronologically, if more than one such entity) of the Peer Group; and (ii) if, by the last day of the Performance Period, an entity listed in </w:t>
      </w:r>
      <w:r>
        <w:rPr>
          <w:rFonts w:ascii="Arial" w:cs="Arial" w:eastAsia="Arial" w:hAnsi="Arial"/>
          <w:sz w:val="19"/>
          <w:szCs w:val="19"/>
          <w:u w:val="single" w:color="auto"/>
          <w:color w:val="auto"/>
        </w:rPr>
        <w:t>Annex A</w:t>
      </w:r>
      <w:r>
        <w:rPr>
          <w:rFonts w:ascii="Arial" w:cs="Arial" w:eastAsia="Arial" w:hAnsi="Arial"/>
          <w:sz w:val="19"/>
          <w:szCs w:val="19"/>
          <w:color w:val="auto"/>
        </w:rPr>
        <w:t xml:space="preserve"> has been acquired and/or is no longer existing as a public company that is traded on its primary stock exchange (other than for the reasons as described in subsection (i) above), then such entity will not remain in the Peer Group and RTSR for the Performance Period will be calculated as if such entity had never been a member of the Peer Group; and (iii) except as otherwise described in subsection (i) and (ii) above, for purposes of this Performance Goal, for each of the entities listed in </w:t>
      </w:r>
      <w:r>
        <w:rPr>
          <w:rFonts w:ascii="Arial" w:cs="Arial" w:eastAsia="Arial" w:hAnsi="Arial"/>
          <w:sz w:val="19"/>
          <w:szCs w:val="19"/>
          <w:u w:val="single" w:color="auto"/>
          <w:color w:val="auto"/>
        </w:rPr>
        <w:t>Annex A</w:t>
      </w:r>
      <w:r>
        <w:rPr>
          <w:rFonts w:ascii="Arial" w:cs="Arial" w:eastAsia="Arial" w:hAnsi="Arial"/>
          <w:sz w:val="19"/>
          <w:szCs w:val="19"/>
          <w:color w:val="auto"/>
        </w:rPr>
        <w:t>, such entity shall be deemed to include any successor to all or substantially all of the primary business of such entity at end of the Performance Period.</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1420"/>
          </w:cols>
          <w:pgMar w:left="240" w:top="585" w:right="239" w:bottom="1440" w:gutter="0" w:footer="0" w:header="0"/>
        </w:sectPr>
      </w:pPr>
    </w:p>
    <w:bookmarkStart w:id="47" w:name="page48"/>
    <w:bookmarkEnd w:id="47"/>
    <w:p>
      <w:pPr>
        <w:jc w:val="both"/>
        <w:ind w:left="1300" w:hanging="644"/>
        <w:spacing w:after="0" w:line="253" w:lineRule="auto"/>
        <w:tabs>
          <w:tab w:leader="none" w:pos="1300" w:val="left"/>
        </w:tabs>
        <w:numPr>
          <w:ilvl w:val="1"/>
          <w:numId w:val="2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Relative Total Shareholder Return</w:t>
      </w:r>
      <w:r>
        <w:rPr>
          <w:rFonts w:ascii="Arial" w:cs="Arial" w:eastAsia="Arial" w:hAnsi="Arial"/>
          <w:sz w:val="22"/>
          <w:szCs w:val="22"/>
          <w:color w:val="auto"/>
        </w:rPr>
        <w:t>” or “</w:t>
      </w:r>
      <w:r>
        <w:rPr>
          <w:rFonts w:ascii="Arial" w:cs="Arial" w:eastAsia="Arial" w:hAnsi="Arial"/>
          <w:sz w:val="22"/>
          <w:szCs w:val="22"/>
          <w:b w:val="1"/>
          <w:bCs w:val="1"/>
          <w:i w:val="1"/>
          <w:iCs w:val="1"/>
          <w:color w:val="auto"/>
        </w:rPr>
        <w:t>RTSR</w:t>
      </w:r>
      <w:r>
        <w:rPr>
          <w:rFonts w:ascii="Arial" w:cs="Arial" w:eastAsia="Arial" w:hAnsi="Arial"/>
          <w:sz w:val="22"/>
          <w:szCs w:val="22"/>
          <w:color w:val="auto"/>
        </w:rPr>
        <w:t>” means the percentile rank of the Corporation’s Total Shareholder Return among the Total Shareholder Returns of all members of the Peer Group, ranked in descending order, at the end of the Performance Period.</w:t>
      </w:r>
    </w:p>
    <w:p>
      <w:pPr>
        <w:spacing w:after="0" w:line="226" w:lineRule="exact"/>
        <w:rPr>
          <w:rFonts w:ascii="Arial" w:cs="Arial" w:eastAsia="Arial" w:hAnsi="Arial"/>
          <w:sz w:val="22"/>
          <w:szCs w:val="22"/>
          <w:color w:val="auto"/>
        </w:rPr>
      </w:pPr>
    </w:p>
    <w:p>
      <w:pPr>
        <w:jc w:val="both"/>
        <w:ind w:left="1300" w:hanging="644"/>
        <w:spacing w:after="0" w:line="290" w:lineRule="auto"/>
        <w:tabs>
          <w:tab w:leader="none" w:pos="1300" w:val="left"/>
        </w:tabs>
        <w:numPr>
          <w:ilvl w:val="1"/>
          <w:numId w:val="2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Total Shareholder Return</w:t>
      </w:r>
      <w:r>
        <w:rPr>
          <w:rFonts w:ascii="Arial" w:cs="Arial" w:eastAsia="Arial" w:hAnsi="Arial"/>
          <w:sz w:val="19"/>
          <w:szCs w:val="19"/>
          <w:color w:val="auto"/>
        </w:rPr>
        <w:t>” means, with respect to the Common Stock and the common stock of each of the members of the Peer Group, a rate of return reflecting stock price appreciation, plus the reinvestment of dividends in additional shares of stock, from the beginning of the Performance Period through the end of the Performance Period. For purposes of calculating Total Shareholder Return for each of the Corporation and the members of the Peer Group, the beginning stock price will be based on the average closing stock price for the 20 trading days immediately preceding January 1, 2016 on the principal stock exchange on which the stock then traded and the ending stock price will be based on the average closing stock price for the 20 trading days immediately preceding January 1, 2019 on the principal stock exchange on which the stock then trades.</w:t>
      </w:r>
    </w:p>
    <w:p>
      <w:pPr>
        <w:spacing w:after="0" w:line="197" w:lineRule="exact"/>
        <w:rPr>
          <w:rFonts w:ascii="Arial" w:cs="Arial" w:eastAsia="Arial" w:hAnsi="Arial"/>
          <w:sz w:val="19"/>
          <w:szCs w:val="19"/>
          <w:color w:val="auto"/>
        </w:rPr>
      </w:pPr>
    </w:p>
    <w:p>
      <w:pPr>
        <w:ind w:firstLine="8"/>
        <w:spacing w:after="0" w:line="263" w:lineRule="auto"/>
        <w:tabs>
          <w:tab w:leader="none" w:pos="432" w:val="left"/>
        </w:tabs>
        <w:numPr>
          <w:ilvl w:val="0"/>
          <w:numId w:val="27"/>
        </w:numPr>
        <w:rPr>
          <w:rFonts w:ascii="Arial" w:cs="Arial" w:eastAsia="Arial" w:hAnsi="Arial"/>
          <w:sz w:val="22"/>
          <w:szCs w:val="22"/>
          <w:color w:val="auto"/>
        </w:rPr>
      </w:pPr>
      <w:r>
        <w:rPr>
          <w:rFonts w:ascii="Arial" w:cs="Arial" w:eastAsia="Arial" w:hAnsi="Arial"/>
          <w:sz w:val="22"/>
          <w:szCs w:val="22"/>
          <w:u w:val="single" w:color="auto"/>
          <w:color w:val="auto"/>
        </w:rPr>
        <w:t>Performance Matrix</w:t>
      </w:r>
      <w:r>
        <w:rPr>
          <w:rFonts w:ascii="Arial" w:cs="Arial" w:eastAsia="Arial" w:hAnsi="Arial"/>
          <w:sz w:val="22"/>
          <w:szCs w:val="22"/>
          <w:color w:val="auto"/>
        </w:rPr>
        <w:t>. From 0% to 200% of the Target Performance Units will be earned based on achievement of the RTSR Performance Goal during the Performance Period as follows:</w:t>
      </w:r>
    </w:p>
    <w:p>
      <w:pPr>
        <w:spacing w:after="0" w:line="338" w:lineRule="exact"/>
        <w:rPr>
          <w:sz w:val="20"/>
          <w:szCs w:val="20"/>
          <w:color w:val="auto"/>
        </w:rPr>
      </w:pPr>
    </w:p>
    <w:tbl>
      <w:tblPr>
        <w:tblLayout w:type="fixed"/>
        <w:tblInd w:w="990" w:type="dxa"/>
        <w:tblCellMar>
          <w:top w:w="0" w:type="dxa"/>
          <w:left w:w="0" w:type="dxa"/>
          <w:bottom w:w="0" w:type="dxa"/>
          <w:right w:w="0" w:type="dxa"/>
        </w:tblCellMar>
      </w:tblPr>
      <w:tr>
        <w:trPr>
          <w:trHeight w:val="256"/>
        </w:trPr>
        <w:tc>
          <w:tcPr>
            <w:tcW w:w="2960" w:type="dxa"/>
            <w:vAlign w:val="bottom"/>
            <w:tcBorders>
              <w:top w:val="single" w:sz="8" w:color="auto"/>
              <w:left w:val="single" w:sz="8" w:color="auto"/>
              <w:right w:val="single" w:sz="8" w:color="auto"/>
            </w:tcBorders>
            <w:shd w:val="clear" w:color="auto" w:fill="BFBFBF"/>
          </w:tcPr>
          <w:p>
            <w:pPr>
              <w:spacing w:after="0"/>
              <w:rPr>
                <w:sz w:val="22"/>
                <w:szCs w:val="22"/>
                <w:color w:val="auto"/>
              </w:rPr>
            </w:pPr>
          </w:p>
        </w:tc>
        <w:tc>
          <w:tcPr>
            <w:tcW w:w="4860" w:type="dxa"/>
            <w:vAlign w:val="bottom"/>
            <w:tcBorders>
              <w:top w:val="single" w:sz="8" w:color="auto"/>
              <w:right w:val="single" w:sz="8" w:color="auto"/>
            </w:tcBorders>
            <w:shd w:val="clear" w:color="auto" w:fill="BFBFBF"/>
          </w:tcPr>
          <w:p>
            <w:pPr>
              <w:spacing w:after="0"/>
              <w:rPr>
                <w:sz w:val="22"/>
                <w:szCs w:val="22"/>
                <w:color w:val="auto"/>
              </w:rPr>
            </w:pPr>
          </w:p>
        </w:tc>
        <w:tc>
          <w:tcPr>
            <w:tcW w:w="2320" w:type="dxa"/>
            <w:vAlign w:val="bottom"/>
            <w:tcBorders>
              <w:top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22"/>
                <w:szCs w:val="22"/>
                <w:b w:val="1"/>
                <w:bCs w:val="1"/>
                <w:color w:val="auto"/>
                <w:w w:val="89"/>
              </w:rPr>
              <w:t>Target Performance</w:t>
            </w:r>
          </w:p>
        </w:tc>
      </w:tr>
      <w:tr>
        <w:trPr>
          <w:trHeight w:val="291"/>
        </w:trPr>
        <w:tc>
          <w:tcPr>
            <w:tcW w:w="2960" w:type="dxa"/>
            <w:vAlign w:val="bottom"/>
            <w:tcBorders>
              <w:left w:val="single" w:sz="8" w:color="auto"/>
              <w:bottom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22"/>
                <w:szCs w:val="22"/>
                <w:b w:val="1"/>
                <w:bCs w:val="1"/>
                <w:color w:val="auto"/>
                <w:w w:val="89"/>
              </w:rPr>
              <w:t>Performance Level</w:t>
            </w:r>
          </w:p>
        </w:tc>
        <w:tc>
          <w:tcPr>
            <w:tcW w:w="4860" w:type="dxa"/>
            <w:vAlign w:val="bottom"/>
            <w:tcBorders>
              <w:bottom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22"/>
                <w:szCs w:val="22"/>
                <w:b w:val="1"/>
                <w:bCs w:val="1"/>
                <w:color w:val="auto"/>
                <w:w w:val="89"/>
              </w:rPr>
              <w:t>Relative Total Shareholder Return</w:t>
            </w:r>
          </w:p>
        </w:tc>
        <w:tc>
          <w:tcPr>
            <w:tcW w:w="2320" w:type="dxa"/>
            <w:vAlign w:val="bottom"/>
            <w:tcBorders>
              <w:bottom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22"/>
                <w:szCs w:val="22"/>
                <w:b w:val="1"/>
                <w:bCs w:val="1"/>
                <w:color w:val="auto"/>
                <w:w w:val="91"/>
              </w:rPr>
              <w:t>Units Earned</w:t>
            </w:r>
          </w:p>
        </w:tc>
      </w:tr>
      <w:tr>
        <w:trPr>
          <w:trHeight w:val="297"/>
        </w:trPr>
        <w:tc>
          <w:tcPr>
            <w:tcW w:w="29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Threshold</w:t>
            </w:r>
          </w:p>
        </w:tc>
        <w:tc>
          <w:tcPr>
            <w:tcW w:w="4860" w:type="dxa"/>
            <w:vAlign w:val="bottom"/>
            <w:tcBorders>
              <w:bottom w:val="single" w:sz="8" w:color="auto"/>
              <w:right w:val="single" w:sz="8" w:color="auto"/>
            </w:tcBorders>
          </w:tcPr>
          <w:p>
            <w:pPr>
              <w:jc w:val="center"/>
              <w:spacing w:after="0" w:line="297" w:lineRule="exact"/>
              <w:rPr>
                <w:sz w:val="20"/>
                <w:szCs w:val="20"/>
                <w:color w:val="auto"/>
              </w:rPr>
            </w:pPr>
            <w:r>
              <w:rPr>
                <w:rFonts w:ascii="Arial" w:cs="Arial" w:eastAsia="Arial" w:hAnsi="Arial"/>
                <w:sz w:val="22"/>
                <w:szCs w:val="22"/>
                <w:color w:val="auto"/>
                <w:w w:val="88"/>
              </w:rPr>
              <w:t>Ranked below or at 25</w:t>
            </w:r>
            <w:r>
              <w:rPr>
                <w:rFonts w:ascii="Arial" w:cs="Arial" w:eastAsia="Arial" w:hAnsi="Arial"/>
                <w:sz w:val="28"/>
                <w:szCs w:val="28"/>
                <w:color w:val="auto"/>
                <w:w w:val="88"/>
                <w:vertAlign w:val="superscript"/>
              </w:rPr>
              <w:t>th</w:t>
            </w:r>
            <w:r>
              <w:rPr>
                <w:rFonts w:ascii="Arial" w:cs="Arial" w:eastAsia="Arial" w:hAnsi="Arial"/>
                <w:sz w:val="22"/>
                <w:szCs w:val="22"/>
                <w:color w:val="auto"/>
                <w:w w:val="88"/>
              </w:rPr>
              <w:t xml:space="preserve"> percentile</w:t>
            </w:r>
          </w:p>
        </w:tc>
        <w:tc>
          <w:tcPr>
            <w:tcW w:w="2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0%</w:t>
            </w:r>
          </w:p>
        </w:tc>
      </w:tr>
      <w:tr>
        <w:trPr>
          <w:trHeight w:val="291"/>
        </w:trPr>
        <w:tc>
          <w:tcPr>
            <w:tcW w:w="29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1"/>
              </w:rPr>
              <w:t>Above Threshold</w:t>
            </w:r>
          </w:p>
        </w:tc>
        <w:tc>
          <w:tcPr>
            <w:tcW w:w="4860" w:type="dxa"/>
            <w:vAlign w:val="bottom"/>
            <w:tcBorders>
              <w:bottom w:val="single" w:sz="8" w:color="auto"/>
              <w:right w:val="single" w:sz="8" w:color="auto"/>
            </w:tcBorders>
          </w:tcPr>
          <w:p>
            <w:pPr>
              <w:jc w:val="center"/>
              <w:spacing w:after="0" w:line="290" w:lineRule="exact"/>
              <w:rPr>
                <w:sz w:val="20"/>
                <w:szCs w:val="20"/>
                <w:color w:val="auto"/>
              </w:rPr>
            </w:pPr>
            <w:r>
              <w:rPr>
                <w:rFonts w:ascii="Arial" w:cs="Arial" w:eastAsia="Arial" w:hAnsi="Arial"/>
                <w:sz w:val="22"/>
                <w:szCs w:val="22"/>
                <w:color w:val="auto"/>
                <w:w w:val="87"/>
              </w:rPr>
              <w:t>Ranked at 35</w:t>
            </w:r>
            <w:r>
              <w:rPr>
                <w:rFonts w:ascii="Arial" w:cs="Arial" w:eastAsia="Arial" w:hAnsi="Arial"/>
                <w:sz w:val="28"/>
                <w:szCs w:val="28"/>
                <w:color w:val="auto"/>
                <w:w w:val="87"/>
                <w:vertAlign w:val="superscript"/>
              </w:rPr>
              <w:t>th</w:t>
            </w:r>
            <w:r>
              <w:rPr>
                <w:rFonts w:ascii="Arial" w:cs="Arial" w:eastAsia="Arial" w:hAnsi="Arial"/>
                <w:sz w:val="22"/>
                <w:szCs w:val="22"/>
                <w:color w:val="auto"/>
                <w:w w:val="87"/>
              </w:rPr>
              <w:t xml:space="preserve"> percentile</w:t>
            </w:r>
          </w:p>
        </w:tc>
        <w:tc>
          <w:tcPr>
            <w:tcW w:w="2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50%</w:t>
            </w:r>
          </w:p>
        </w:tc>
      </w:tr>
      <w:tr>
        <w:trPr>
          <w:trHeight w:val="291"/>
        </w:trPr>
        <w:tc>
          <w:tcPr>
            <w:tcW w:w="29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Target</w:t>
            </w:r>
          </w:p>
        </w:tc>
        <w:tc>
          <w:tcPr>
            <w:tcW w:w="4860" w:type="dxa"/>
            <w:vAlign w:val="bottom"/>
            <w:tcBorders>
              <w:bottom w:val="single" w:sz="8" w:color="auto"/>
              <w:right w:val="single" w:sz="8" w:color="auto"/>
            </w:tcBorders>
          </w:tcPr>
          <w:p>
            <w:pPr>
              <w:jc w:val="center"/>
              <w:spacing w:after="0" w:line="290" w:lineRule="exact"/>
              <w:rPr>
                <w:sz w:val="20"/>
                <w:szCs w:val="20"/>
                <w:color w:val="auto"/>
              </w:rPr>
            </w:pPr>
            <w:r>
              <w:rPr>
                <w:rFonts w:ascii="Arial" w:cs="Arial" w:eastAsia="Arial" w:hAnsi="Arial"/>
                <w:sz w:val="22"/>
                <w:szCs w:val="22"/>
                <w:color w:val="auto"/>
                <w:w w:val="87"/>
              </w:rPr>
              <w:t>Ranked at 50</w:t>
            </w:r>
            <w:r>
              <w:rPr>
                <w:rFonts w:ascii="Arial" w:cs="Arial" w:eastAsia="Arial" w:hAnsi="Arial"/>
                <w:sz w:val="28"/>
                <w:szCs w:val="28"/>
                <w:color w:val="auto"/>
                <w:w w:val="87"/>
                <w:vertAlign w:val="superscript"/>
              </w:rPr>
              <w:t>th</w:t>
            </w:r>
            <w:r>
              <w:rPr>
                <w:rFonts w:ascii="Arial" w:cs="Arial" w:eastAsia="Arial" w:hAnsi="Arial"/>
                <w:sz w:val="22"/>
                <w:szCs w:val="22"/>
                <w:color w:val="auto"/>
                <w:w w:val="87"/>
              </w:rPr>
              <w:t xml:space="preserve"> percentile</w:t>
            </w:r>
          </w:p>
        </w:tc>
        <w:tc>
          <w:tcPr>
            <w:tcW w:w="2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2"/>
              </w:rPr>
              <w:t>100%</w:t>
            </w:r>
          </w:p>
        </w:tc>
      </w:tr>
      <w:tr>
        <w:trPr>
          <w:trHeight w:val="291"/>
        </w:trPr>
        <w:tc>
          <w:tcPr>
            <w:tcW w:w="29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Intermediate</w:t>
            </w:r>
          </w:p>
        </w:tc>
        <w:tc>
          <w:tcPr>
            <w:tcW w:w="4860" w:type="dxa"/>
            <w:vAlign w:val="bottom"/>
            <w:tcBorders>
              <w:bottom w:val="single" w:sz="8" w:color="auto"/>
              <w:right w:val="single" w:sz="8" w:color="auto"/>
            </w:tcBorders>
          </w:tcPr>
          <w:p>
            <w:pPr>
              <w:jc w:val="center"/>
              <w:spacing w:after="0" w:line="290" w:lineRule="exact"/>
              <w:rPr>
                <w:sz w:val="20"/>
                <w:szCs w:val="20"/>
                <w:color w:val="auto"/>
              </w:rPr>
            </w:pPr>
            <w:r>
              <w:rPr>
                <w:rFonts w:ascii="Arial" w:cs="Arial" w:eastAsia="Arial" w:hAnsi="Arial"/>
                <w:sz w:val="22"/>
                <w:szCs w:val="22"/>
                <w:color w:val="auto"/>
                <w:w w:val="87"/>
              </w:rPr>
              <w:t>Ranked at 65</w:t>
            </w:r>
            <w:r>
              <w:rPr>
                <w:rFonts w:ascii="Arial" w:cs="Arial" w:eastAsia="Arial" w:hAnsi="Arial"/>
                <w:sz w:val="28"/>
                <w:szCs w:val="28"/>
                <w:color w:val="auto"/>
                <w:w w:val="87"/>
                <w:vertAlign w:val="superscript"/>
              </w:rPr>
              <w:t>th</w:t>
            </w:r>
            <w:r>
              <w:rPr>
                <w:rFonts w:ascii="Arial" w:cs="Arial" w:eastAsia="Arial" w:hAnsi="Arial"/>
                <w:sz w:val="22"/>
                <w:szCs w:val="22"/>
                <w:color w:val="auto"/>
                <w:w w:val="87"/>
              </w:rPr>
              <w:t xml:space="preserve"> percentile</w:t>
            </w:r>
          </w:p>
        </w:tc>
        <w:tc>
          <w:tcPr>
            <w:tcW w:w="2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2"/>
              </w:rPr>
              <w:t>150%</w:t>
            </w:r>
          </w:p>
        </w:tc>
      </w:tr>
      <w:tr>
        <w:trPr>
          <w:trHeight w:val="291"/>
        </w:trPr>
        <w:tc>
          <w:tcPr>
            <w:tcW w:w="29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4"/>
              </w:rPr>
              <w:t>Maximum</w:t>
            </w:r>
          </w:p>
        </w:tc>
        <w:tc>
          <w:tcPr>
            <w:tcW w:w="4860" w:type="dxa"/>
            <w:vAlign w:val="bottom"/>
            <w:tcBorders>
              <w:bottom w:val="single" w:sz="8" w:color="auto"/>
              <w:right w:val="single" w:sz="8" w:color="auto"/>
            </w:tcBorders>
          </w:tcPr>
          <w:p>
            <w:pPr>
              <w:jc w:val="center"/>
              <w:spacing w:after="0" w:line="290" w:lineRule="exact"/>
              <w:rPr>
                <w:sz w:val="20"/>
                <w:szCs w:val="20"/>
                <w:color w:val="auto"/>
              </w:rPr>
            </w:pPr>
            <w:r>
              <w:rPr>
                <w:rFonts w:ascii="Arial" w:cs="Arial" w:eastAsia="Arial" w:hAnsi="Arial"/>
                <w:sz w:val="22"/>
                <w:szCs w:val="22"/>
                <w:color w:val="auto"/>
                <w:w w:val="87"/>
              </w:rPr>
              <w:t>Ranked at or above 80</w:t>
            </w:r>
            <w:r>
              <w:rPr>
                <w:rFonts w:ascii="Arial" w:cs="Arial" w:eastAsia="Arial" w:hAnsi="Arial"/>
                <w:sz w:val="28"/>
                <w:szCs w:val="28"/>
                <w:color w:val="auto"/>
                <w:w w:val="87"/>
                <w:vertAlign w:val="superscript"/>
              </w:rPr>
              <w:t>th</w:t>
            </w:r>
            <w:r>
              <w:rPr>
                <w:rFonts w:ascii="Arial" w:cs="Arial" w:eastAsia="Arial" w:hAnsi="Arial"/>
                <w:sz w:val="22"/>
                <w:szCs w:val="22"/>
                <w:color w:val="auto"/>
                <w:w w:val="87"/>
              </w:rPr>
              <w:t xml:space="preserve"> percentile</w:t>
            </w:r>
          </w:p>
        </w:tc>
        <w:tc>
          <w:tcPr>
            <w:tcW w:w="2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2"/>
              </w:rPr>
              <w:t>200%</w:t>
            </w:r>
          </w:p>
        </w:tc>
      </w:tr>
    </w:tbl>
    <w:p>
      <w:pPr>
        <w:spacing w:after="0" w:line="249" w:lineRule="exact"/>
        <w:rPr>
          <w:sz w:val="20"/>
          <w:szCs w:val="20"/>
          <w:color w:val="auto"/>
        </w:rPr>
      </w:pPr>
    </w:p>
    <w:p>
      <w:pPr>
        <w:jc w:val="both"/>
        <w:ind w:firstLine="8"/>
        <w:spacing w:after="0" w:line="250" w:lineRule="auto"/>
        <w:tabs>
          <w:tab w:leader="none" w:pos="405" w:val="left"/>
        </w:tabs>
        <w:numPr>
          <w:ilvl w:val="0"/>
          <w:numId w:val="28"/>
        </w:numPr>
        <w:rPr>
          <w:rFonts w:ascii="Arial" w:cs="Arial" w:eastAsia="Arial" w:hAnsi="Arial"/>
          <w:sz w:val="22"/>
          <w:szCs w:val="22"/>
          <w:color w:val="auto"/>
        </w:rPr>
      </w:pPr>
      <w:r>
        <w:rPr>
          <w:rFonts w:ascii="Arial" w:cs="Arial" w:eastAsia="Arial" w:hAnsi="Arial"/>
          <w:sz w:val="22"/>
          <w:szCs w:val="22"/>
          <w:u w:val="single" w:color="auto"/>
          <w:color w:val="auto"/>
        </w:rPr>
        <w:t>Number of Performance Units Earned</w:t>
      </w:r>
      <w:r>
        <w:rPr>
          <w:rFonts w:ascii="Arial" w:cs="Arial" w:eastAsia="Arial" w:hAnsi="Arial"/>
          <w:sz w:val="22"/>
          <w:szCs w:val="22"/>
          <w:color w:val="auto"/>
        </w:rPr>
        <w:t>. Following the Performance Period, on the Determination Date, the Administrator shall determine whether and to what extent the RTSR Performance Goal has been satisfied for the Performance Period and shall determine the number of Performance Units that shall become nonforfeitable hereunder and under the Agreement on the basis of the following:</w:t>
      </w:r>
    </w:p>
    <w:p>
      <w:pPr>
        <w:spacing w:after="0" w:line="228" w:lineRule="exact"/>
        <w:rPr>
          <w:rFonts w:ascii="Arial" w:cs="Arial" w:eastAsia="Arial" w:hAnsi="Arial"/>
          <w:sz w:val="22"/>
          <w:szCs w:val="22"/>
          <w:color w:val="auto"/>
        </w:rPr>
      </w:pPr>
    </w:p>
    <w:p>
      <w:pPr>
        <w:jc w:val="both"/>
        <w:ind w:left="1300" w:hanging="644"/>
        <w:spacing w:after="0" w:line="253" w:lineRule="auto"/>
        <w:tabs>
          <w:tab w:leader="none" w:pos="1300" w:val="left"/>
        </w:tabs>
        <w:numPr>
          <w:ilvl w:val="1"/>
          <w:numId w:val="28"/>
        </w:numPr>
        <w:rPr>
          <w:rFonts w:ascii="Arial" w:cs="Arial" w:eastAsia="Arial" w:hAnsi="Arial"/>
          <w:sz w:val="22"/>
          <w:szCs w:val="22"/>
          <w:color w:val="auto"/>
        </w:rPr>
      </w:pPr>
      <w:r>
        <w:rPr>
          <w:rFonts w:ascii="Arial" w:cs="Arial" w:eastAsia="Arial" w:hAnsi="Arial"/>
          <w:sz w:val="22"/>
          <w:szCs w:val="22"/>
          <w:u w:val="single" w:color="auto"/>
          <w:color w:val="auto"/>
        </w:rPr>
        <w:t>Threshold</w:t>
      </w:r>
      <w:r>
        <w:rPr>
          <w:rFonts w:ascii="Arial" w:cs="Arial" w:eastAsia="Arial" w:hAnsi="Arial"/>
          <w:sz w:val="22"/>
          <w:szCs w:val="22"/>
          <w:color w:val="auto"/>
        </w:rPr>
        <w:t>. If, upon the conclusion of the Performance Period, RTSR for the Performance Period equals or falls below the “Threshold” level, as set forth in the Performance Matrix, no Target Performance Units shall become nonforfeitable.</w:t>
      </w:r>
    </w:p>
    <w:p>
      <w:pPr>
        <w:spacing w:after="0" w:line="226" w:lineRule="exact"/>
        <w:rPr>
          <w:rFonts w:ascii="Arial" w:cs="Arial" w:eastAsia="Arial" w:hAnsi="Arial"/>
          <w:sz w:val="22"/>
          <w:szCs w:val="22"/>
          <w:color w:val="auto"/>
        </w:rPr>
      </w:pPr>
    </w:p>
    <w:p>
      <w:pPr>
        <w:jc w:val="both"/>
        <w:ind w:left="1300" w:hanging="644"/>
        <w:spacing w:after="0" w:line="271" w:lineRule="auto"/>
        <w:tabs>
          <w:tab w:leader="none" w:pos="1300" w:val="left"/>
        </w:tabs>
        <w:numPr>
          <w:ilvl w:val="1"/>
          <w:numId w:val="28"/>
        </w:numPr>
        <w:rPr>
          <w:rFonts w:ascii="Arial" w:cs="Arial" w:eastAsia="Arial" w:hAnsi="Arial"/>
          <w:sz w:val="21"/>
          <w:szCs w:val="21"/>
          <w:color w:val="auto"/>
        </w:rPr>
      </w:pPr>
      <w:r>
        <w:rPr>
          <w:rFonts w:ascii="Arial" w:cs="Arial" w:eastAsia="Arial" w:hAnsi="Arial"/>
          <w:sz w:val="21"/>
          <w:szCs w:val="21"/>
          <w:u w:val="single" w:color="auto"/>
          <w:color w:val="auto"/>
        </w:rPr>
        <w:t>Between Threshold and Above Threshold</w:t>
      </w:r>
      <w:r>
        <w:rPr>
          <w:rFonts w:ascii="Arial" w:cs="Arial" w:eastAsia="Arial" w:hAnsi="Arial"/>
          <w:sz w:val="21"/>
          <w:szCs w:val="21"/>
          <w:color w:val="auto"/>
        </w:rPr>
        <w:t>. If, upon the conclusion of the Performance Period, RTSR for the Performance Period exceeds the “Threshold” level, but is less than the “Above Threshold” level, as set forth in the Performance Matrix, a percentage between 0% and 50% (determined on the basis of straight-line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11420"/>
          </w:cols>
          <w:pgMar w:left="240" w:top="591" w:right="239" w:bottom="1440" w:gutter="0" w:footer="0" w:header="0"/>
        </w:sectPr>
      </w:pPr>
    </w:p>
    <w:bookmarkStart w:id="48" w:name="page49"/>
    <w:bookmarkEnd w:id="48"/>
    <w:p>
      <w:pPr>
        <w:ind w:left="644"/>
        <w:spacing w:after="0" w:line="263" w:lineRule="auto"/>
        <w:rPr>
          <w:sz w:val="20"/>
          <w:szCs w:val="20"/>
          <w:color w:val="auto"/>
        </w:rPr>
      </w:pPr>
      <w:r>
        <w:rPr>
          <w:rFonts w:ascii="Arial" w:cs="Arial" w:eastAsia="Arial" w:hAnsi="Arial"/>
          <w:sz w:val="22"/>
          <w:szCs w:val="22"/>
          <w:color w:val="auto"/>
        </w:rPr>
        <w:t>mathematical interpolation) of the Target Performance Units (rounded down to the nearest whole number of Performance Units) shall become nonforfeitable.</w:t>
      </w:r>
    </w:p>
    <w:p>
      <w:pPr>
        <w:spacing w:after="0" w:line="215" w:lineRule="exact"/>
        <w:rPr>
          <w:sz w:val="20"/>
          <w:szCs w:val="20"/>
          <w:color w:val="auto"/>
        </w:rPr>
      </w:pPr>
    </w:p>
    <w:p>
      <w:pPr>
        <w:jc w:val="both"/>
        <w:ind w:left="644" w:hanging="644"/>
        <w:spacing w:after="0" w:line="271" w:lineRule="auto"/>
        <w:tabs>
          <w:tab w:leader="none" w:pos="644" w:val="left"/>
        </w:tabs>
        <w:numPr>
          <w:ilvl w:val="0"/>
          <w:numId w:val="29"/>
        </w:numPr>
        <w:rPr>
          <w:rFonts w:ascii="Arial" w:cs="Arial" w:eastAsia="Arial" w:hAnsi="Arial"/>
          <w:sz w:val="21"/>
          <w:szCs w:val="21"/>
          <w:color w:val="auto"/>
        </w:rPr>
      </w:pPr>
      <w:r>
        <w:rPr>
          <w:rFonts w:ascii="Arial" w:cs="Arial" w:eastAsia="Arial" w:hAnsi="Arial"/>
          <w:sz w:val="21"/>
          <w:szCs w:val="21"/>
          <w:u w:val="single" w:color="auto"/>
          <w:color w:val="auto"/>
        </w:rPr>
        <w:t>Above Threshold</w:t>
      </w:r>
      <w:r>
        <w:rPr>
          <w:rFonts w:ascii="Arial" w:cs="Arial" w:eastAsia="Arial" w:hAnsi="Arial"/>
          <w:sz w:val="21"/>
          <w:szCs w:val="21"/>
          <w:color w:val="auto"/>
        </w:rPr>
        <w:t>. If, upon the conclusion of the Performance Period, RTSR for the Performance Period equals the “Above Threshold” level, as set forth in the Performance Matrix, 50% of the Target Performance Units (rounded down to the nearest whole number of Performance Units) shall become nonforfeitable.</w:t>
      </w:r>
    </w:p>
    <w:p>
      <w:pPr>
        <w:spacing w:after="0" w:line="208" w:lineRule="exact"/>
        <w:rPr>
          <w:rFonts w:ascii="Arial" w:cs="Arial" w:eastAsia="Arial" w:hAnsi="Arial"/>
          <w:sz w:val="21"/>
          <w:szCs w:val="21"/>
          <w:color w:val="auto"/>
        </w:rPr>
      </w:pPr>
    </w:p>
    <w:p>
      <w:pPr>
        <w:jc w:val="both"/>
        <w:ind w:left="644" w:hanging="644"/>
        <w:spacing w:after="0" w:line="248" w:lineRule="auto"/>
        <w:tabs>
          <w:tab w:leader="none" w:pos="644" w:val="left"/>
        </w:tabs>
        <w:numPr>
          <w:ilvl w:val="0"/>
          <w:numId w:val="29"/>
        </w:numPr>
        <w:rPr>
          <w:rFonts w:ascii="Arial" w:cs="Arial" w:eastAsia="Arial" w:hAnsi="Arial"/>
          <w:sz w:val="22"/>
          <w:szCs w:val="22"/>
          <w:color w:val="auto"/>
        </w:rPr>
      </w:pPr>
      <w:r>
        <w:rPr>
          <w:rFonts w:ascii="Arial" w:cs="Arial" w:eastAsia="Arial" w:hAnsi="Arial"/>
          <w:sz w:val="22"/>
          <w:szCs w:val="22"/>
          <w:u w:val="single" w:color="auto"/>
          <w:color w:val="auto"/>
        </w:rPr>
        <w:t>Between Above Threshold and Target</w:t>
      </w:r>
      <w:r>
        <w:rPr>
          <w:rFonts w:ascii="Arial" w:cs="Arial" w:eastAsia="Arial" w:hAnsi="Arial"/>
          <w:sz w:val="22"/>
          <w:szCs w:val="22"/>
          <w:color w:val="auto"/>
        </w:rPr>
        <w:t>. If, upon the conclusion of the Performance Period, RTSR for the Performance Period exceeds the “Above Threshold” level, but is less than the “Target” level, as set forth in the Performance Matrix, a percentage between 50% and 100% (determined on the basis of straight-line mathematical interpolation) of the Target Performance Units (rounded down to the nearest whole number of Performance Units) shall become nonforfeitable.</w:t>
      </w:r>
    </w:p>
    <w:p>
      <w:pPr>
        <w:spacing w:after="0" w:line="232" w:lineRule="exact"/>
        <w:rPr>
          <w:rFonts w:ascii="Arial" w:cs="Arial" w:eastAsia="Arial" w:hAnsi="Arial"/>
          <w:sz w:val="22"/>
          <w:szCs w:val="22"/>
          <w:color w:val="auto"/>
        </w:rPr>
      </w:pPr>
    </w:p>
    <w:p>
      <w:pPr>
        <w:ind w:left="644" w:hanging="644"/>
        <w:spacing w:after="0" w:line="343" w:lineRule="auto"/>
        <w:tabs>
          <w:tab w:leader="none" w:pos="644" w:val="left"/>
        </w:tabs>
        <w:numPr>
          <w:ilvl w:val="0"/>
          <w:numId w:val="29"/>
        </w:numPr>
        <w:rPr>
          <w:rFonts w:ascii="Arial" w:cs="Arial" w:eastAsia="Arial" w:hAnsi="Arial"/>
          <w:sz w:val="19"/>
          <w:szCs w:val="19"/>
          <w:color w:val="auto"/>
        </w:rPr>
      </w:pPr>
      <w:r>
        <w:rPr>
          <w:rFonts w:ascii="Arial" w:cs="Arial" w:eastAsia="Arial" w:hAnsi="Arial"/>
          <w:sz w:val="19"/>
          <w:szCs w:val="19"/>
          <w:u w:val="single" w:color="auto"/>
          <w:color w:val="auto"/>
        </w:rPr>
        <w:t>Target</w:t>
      </w:r>
      <w:r>
        <w:rPr>
          <w:rFonts w:ascii="Arial" w:cs="Arial" w:eastAsia="Arial" w:hAnsi="Arial"/>
          <w:sz w:val="19"/>
          <w:szCs w:val="19"/>
          <w:color w:val="auto"/>
        </w:rPr>
        <w:t>. If, upon the conclusion of the Performance Period, RTSR for the Performance Period equals the “Target” level, as set forth in the Performance Matrix, 100% of the Target Performance Units shall become nonforfeitable.</w:t>
      </w:r>
    </w:p>
    <w:p>
      <w:pPr>
        <w:spacing w:after="0" w:line="145" w:lineRule="exact"/>
        <w:rPr>
          <w:rFonts w:ascii="Arial" w:cs="Arial" w:eastAsia="Arial" w:hAnsi="Arial"/>
          <w:sz w:val="19"/>
          <w:szCs w:val="19"/>
          <w:color w:val="auto"/>
        </w:rPr>
      </w:pPr>
    </w:p>
    <w:p>
      <w:pPr>
        <w:jc w:val="both"/>
        <w:ind w:left="644" w:hanging="644"/>
        <w:spacing w:after="0" w:line="248" w:lineRule="auto"/>
        <w:tabs>
          <w:tab w:leader="none" w:pos="644" w:val="left"/>
        </w:tabs>
        <w:numPr>
          <w:ilvl w:val="0"/>
          <w:numId w:val="29"/>
        </w:numPr>
        <w:rPr>
          <w:rFonts w:ascii="Arial" w:cs="Arial" w:eastAsia="Arial" w:hAnsi="Arial"/>
          <w:sz w:val="22"/>
          <w:szCs w:val="22"/>
          <w:color w:val="auto"/>
        </w:rPr>
      </w:pPr>
      <w:r>
        <w:rPr>
          <w:rFonts w:ascii="Arial" w:cs="Arial" w:eastAsia="Arial" w:hAnsi="Arial"/>
          <w:sz w:val="22"/>
          <w:szCs w:val="22"/>
          <w:u w:val="single" w:color="auto"/>
          <w:color w:val="auto"/>
        </w:rPr>
        <w:t>Between Target and Intermediate</w:t>
      </w:r>
      <w:r>
        <w:rPr>
          <w:rFonts w:ascii="Arial" w:cs="Arial" w:eastAsia="Arial" w:hAnsi="Arial"/>
          <w:sz w:val="22"/>
          <w:szCs w:val="22"/>
          <w:color w:val="auto"/>
        </w:rPr>
        <w:t>. If, upon the conclusion of the Performance Period, RTSR for the Performance Period exceeds the “Target” level, but is less than the “Intermediate” level, as set forth in the Performance Matrix, a percentage between 100% and 150% (determined on the basis of straight-line mathematical interpolation) of the Target Performance Units (rounded down to the nearest whole number of Performance Units) shall become nonforfeitable.</w:t>
      </w:r>
    </w:p>
    <w:p>
      <w:pPr>
        <w:spacing w:after="0" w:line="232" w:lineRule="exact"/>
        <w:rPr>
          <w:rFonts w:ascii="Arial" w:cs="Arial" w:eastAsia="Arial" w:hAnsi="Arial"/>
          <w:sz w:val="22"/>
          <w:szCs w:val="22"/>
          <w:color w:val="auto"/>
        </w:rPr>
      </w:pPr>
    </w:p>
    <w:p>
      <w:pPr>
        <w:jc w:val="both"/>
        <w:ind w:left="644" w:hanging="644"/>
        <w:spacing w:after="0" w:line="253" w:lineRule="auto"/>
        <w:tabs>
          <w:tab w:leader="none" w:pos="644" w:val="left"/>
        </w:tabs>
        <w:numPr>
          <w:ilvl w:val="0"/>
          <w:numId w:val="29"/>
        </w:numPr>
        <w:rPr>
          <w:rFonts w:ascii="Arial" w:cs="Arial" w:eastAsia="Arial" w:hAnsi="Arial"/>
          <w:sz w:val="22"/>
          <w:szCs w:val="22"/>
          <w:color w:val="auto"/>
        </w:rPr>
      </w:pPr>
      <w:r>
        <w:rPr>
          <w:rFonts w:ascii="Arial" w:cs="Arial" w:eastAsia="Arial" w:hAnsi="Arial"/>
          <w:sz w:val="22"/>
          <w:szCs w:val="22"/>
          <w:u w:val="single" w:color="auto"/>
          <w:color w:val="auto"/>
        </w:rPr>
        <w:t>Intermediate</w:t>
      </w:r>
      <w:r>
        <w:rPr>
          <w:rFonts w:ascii="Arial" w:cs="Arial" w:eastAsia="Arial" w:hAnsi="Arial"/>
          <w:sz w:val="22"/>
          <w:szCs w:val="22"/>
          <w:color w:val="auto"/>
        </w:rPr>
        <w:t>. If, upon the conclusion of the Performance Period, RTSR for the Performance Period equals the “Intermediate” level, as set forth in the Performance Matrix, 150% of the Target Performance Units shall become nonforfeitable.</w:t>
      </w:r>
    </w:p>
    <w:p>
      <w:pPr>
        <w:spacing w:after="0" w:line="226" w:lineRule="exact"/>
        <w:rPr>
          <w:rFonts w:ascii="Arial" w:cs="Arial" w:eastAsia="Arial" w:hAnsi="Arial"/>
          <w:sz w:val="22"/>
          <w:szCs w:val="22"/>
          <w:color w:val="auto"/>
        </w:rPr>
      </w:pPr>
    </w:p>
    <w:p>
      <w:pPr>
        <w:jc w:val="both"/>
        <w:ind w:left="644" w:hanging="644"/>
        <w:spacing w:after="0" w:line="248" w:lineRule="auto"/>
        <w:tabs>
          <w:tab w:leader="none" w:pos="644" w:val="left"/>
        </w:tabs>
        <w:numPr>
          <w:ilvl w:val="0"/>
          <w:numId w:val="29"/>
        </w:numPr>
        <w:rPr>
          <w:rFonts w:ascii="Arial" w:cs="Arial" w:eastAsia="Arial" w:hAnsi="Arial"/>
          <w:sz w:val="22"/>
          <w:szCs w:val="22"/>
          <w:color w:val="auto"/>
        </w:rPr>
      </w:pPr>
      <w:r>
        <w:rPr>
          <w:rFonts w:ascii="Arial" w:cs="Arial" w:eastAsia="Arial" w:hAnsi="Arial"/>
          <w:sz w:val="22"/>
          <w:szCs w:val="22"/>
          <w:u w:val="single" w:color="auto"/>
          <w:color w:val="auto"/>
        </w:rPr>
        <w:t>Between Intermediate and Maximum</w:t>
      </w:r>
      <w:r>
        <w:rPr>
          <w:rFonts w:ascii="Arial" w:cs="Arial" w:eastAsia="Arial" w:hAnsi="Arial"/>
          <w:sz w:val="22"/>
          <w:szCs w:val="22"/>
          <w:color w:val="auto"/>
        </w:rPr>
        <w:t>. If, upon the conclusion of the Performance Period, RTSR for the Performance Period exceeds the “Intermediate” level, but is less than the “Maximum” level, as set forth in the Performance Matrix, a percentage between 150% and 200% (determined on the basis of straight-line mathematical interpolation) of the Target Performance Units (rounded down to the nearest whole number of Performance Units) shall become nonforfeitable.</w:t>
      </w:r>
    </w:p>
    <w:p>
      <w:pPr>
        <w:spacing w:after="0" w:line="232" w:lineRule="exact"/>
        <w:rPr>
          <w:rFonts w:ascii="Arial" w:cs="Arial" w:eastAsia="Arial" w:hAnsi="Arial"/>
          <w:sz w:val="22"/>
          <w:szCs w:val="22"/>
          <w:color w:val="auto"/>
        </w:rPr>
      </w:pPr>
    </w:p>
    <w:p>
      <w:pPr>
        <w:jc w:val="both"/>
        <w:ind w:left="644" w:hanging="644"/>
        <w:spacing w:after="0" w:line="253" w:lineRule="auto"/>
        <w:tabs>
          <w:tab w:leader="none" w:pos="644" w:val="left"/>
        </w:tabs>
        <w:numPr>
          <w:ilvl w:val="0"/>
          <w:numId w:val="29"/>
        </w:numPr>
        <w:rPr>
          <w:rFonts w:ascii="Arial" w:cs="Arial" w:eastAsia="Arial" w:hAnsi="Arial"/>
          <w:sz w:val="22"/>
          <w:szCs w:val="22"/>
          <w:color w:val="auto"/>
        </w:rPr>
      </w:pPr>
      <w:r>
        <w:rPr>
          <w:rFonts w:ascii="Arial" w:cs="Arial" w:eastAsia="Arial" w:hAnsi="Arial"/>
          <w:sz w:val="22"/>
          <w:szCs w:val="22"/>
          <w:u w:val="single" w:color="auto"/>
          <w:color w:val="auto"/>
        </w:rPr>
        <w:t>Equals or Exceeds Maximum</w:t>
      </w:r>
      <w:r>
        <w:rPr>
          <w:rFonts w:ascii="Arial" w:cs="Arial" w:eastAsia="Arial" w:hAnsi="Arial"/>
          <w:sz w:val="22"/>
          <w:szCs w:val="22"/>
          <w:color w:val="auto"/>
        </w:rPr>
        <w:t>. If, upon the conclusion of the Performance Period, RTSR for the Performance Period equals or exceeds the “Maximum” level, as set forth in the Performance Matrix, 200% of the Target Performance Units shall become nonforfeitable.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964"/>
        <w:spacing w:after="0"/>
        <w:rPr>
          <w:sz w:val="20"/>
          <w:szCs w:val="20"/>
          <w:color w:val="auto"/>
        </w:rPr>
      </w:pPr>
      <w:r>
        <w:rPr>
          <w:rFonts w:ascii="Arial" w:cs="Arial" w:eastAsia="Arial" w:hAnsi="Arial"/>
          <w:sz w:val="22"/>
          <w:szCs w:val="22"/>
          <w:color w:val="auto"/>
        </w:rPr>
        <w:t>iii</w:t>
      </w:r>
    </w:p>
    <w:p>
      <w:pPr>
        <w:sectPr>
          <w:pgSz w:w="11900" w:h="16838" w:orient="portrait"/>
          <w:cols w:equalWidth="0" w:num="1">
            <w:col w:w="10764"/>
          </w:cols>
          <w:pgMar w:left="896" w:top="591" w:right="239" w:bottom="1440" w:gutter="0" w:footer="0" w:header="0"/>
        </w:sectPr>
      </w:pPr>
    </w:p>
    <w:bookmarkStart w:id="49" w:name="page50"/>
    <w:bookmarkEnd w:id="49"/>
    <w:p>
      <w:pPr>
        <w:jc w:val="center"/>
        <w:ind w:right="20"/>
        <w:spacing w:after="0"/>
        <w:rPr>
          <w:sz w:val="20"/>
          <w:szCs w:val="20"/>
          <w:color w:val="auto"/>
        </w:rPr>
      </w:pPr>
      <w:r>
        <w:rPr>
          <w:rFonts w:ascii="Arial" w:cs="Arial" w:eastAsia="Arial" w:hAnsi="Arial"/>
          <w:sz w:val="22"/>
          <w:szCs w:val="22"/>
          <w:b w:val="1"/>
          <w:bCs w:val="1"/>
          <w:u w:val="single" w:color="auto"/>
          <w:color w:val="auto"/>
        </w:rPr>
        <w:t>ANNEX A</w:t>
      </w:r>
    </w:p>
    <w:p>
      <w:pPr>
        <w:spacing w:after="0" w:line="260"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Peer Group</w:t>
      </w:r>
    </w:p>
    <w:p>
      <w:pPr>
        <w:spacing w:after="0" w:line="153" w:lineRule="exact"/>
        <w:rPr>
          <w:sz w:val="20"/>
          <w:szCs w:val="20"/>
          <w:color w:val="auto"/>
        </w:rPr>
      </w:pPr>
    </w:p>
    <w:tbl>
      <w:tblPr>
        <w:tblLayout w:type="fixed"/>
        <w:tblInd w:w="10" w:type="dxa"/>
        <w:tblCellMar>
          <w:top w:w="0" w:type="dxa"/>
          <w:left w:w="0" w:type="dxa"/>
          <w:bottom w:w="0" w:type="dxa"/>
          <w:right w:w="0" w:type="dxa"/>
        </w:tblCellMar>
      </w:tblPr>
      <w:tr>
        <w:trPr>
          <w:trHeight w:val="254"/>
        </w:trPr>
        <w:tc>
          <w:tcPr>
            <w:tcW w:w="3000" w:type="dxa"/>
            <w:vAlign w:val="bottom"/>
            <w:tcBorders>
              <w:left w:val="single" w:sz="8" w:color="006EBF"/>
              <w:right w:val="single" w:sz="8" w:color="006EBF"/>
            </w:tcBorders>
            <w:shd w:val="clear" w:color="auto" w:fill="006EBF"/>
          </w:tcPr>
          <w:p>
            <w:pPr>
              <w:spacing w:after="0"/>
              <w:rPr>
                <w:sz w:val="22"/>
                <w:szCs w:val="22"/>
                <w:color w:val="auto"/>
              </w:rPr>
            </w:pPr>
          </w:p>
        </w:tc>
        <w:tc>
          <w:tcPr>
            <w:tcW w:w="7640" w:type="dxa"/>
            <w:vAlign w:val="bottom"/>
            <w:tcBorders>
              <w:right w:val="single" w:sz="8" w:color="006EBF"/>
            </w:tcBorders>
            <w:gridSpan w:val="4"/>
            <w:shd w:val="clear" w:color="auto" w:fill="006EBF"/>
          </w:tcPr>
          <w:p>
            <w:pPr>
              <w:ind w:left="580"/>
              <w:spacing w:after="0"/>
              <w:rPr>
                <w:sz w:val="20"/>
                <w:szCs w:val="20"/>
                <w:color w:val="auto"/>
              </w:rPr>
            </w:pPr>
            <w:r>
              <w:rPr>
                <w:rFonts w:ascii="Arial" w:cs="Arial" w:eastAsia="Arial" w:hAnsi="Arial"/>
                <w:sz w:val="18"/>
                <w:szCs w:val="18"/>
                <w:b w:val="1"/>
                <w:bCs w:val="1"/>
                <w:color w:val="FFFFFF"/>
              </w:rPr>
              <w:t>S&amp;P SmallCap 600 Industrials (End of December 2015)</w:t>
            </w:r>
          </w:p>
        </w:tc>
        <w:tc>
          <w:tcPr>
            <w:tcW w:w="800" w:type="dxa"/>
            <w:vAlign w:val="bottom"/>
            <w:tcBorders>
              <w:right w:val="single" w:sz="8" w:color="006EBF"/>
            </w:tcBorders>
            <w:shd w:val="clear" w:color="auto" w:fill="006EBF"/>
          </w:tcPr>
          <w:p>
            <w:pPr>
              <w:spacing w:after="0"/>
              <w:rPr>
                <w:sz w:val="22"/>
                <w:szCs w:val="22"/>
                <w:color w:val="auto"/>
              </w:rPr>
            </w:pPr>
          </w:p>
        </w:tc>
      </w:tr>
      <w:tr>
        <w:trPr>
          <w:trHeight w:val="291"/>
        </w:trPr>
        <w:tc>
          <w:tcPr>
            <w:tcW w:w="3000" w:type="dxa"/>
            <w:vAlign w:val="bottom"/>
            <w:tcBorders>
              <w:left w:val="single" w:sz="8" w:color="006EBF"/>
              <w:bottom w:val="single" w:sz="8" w:color="006EBF"/>
              <w:right w:val="single" w:sz="8" w:color="006EBF"/>
            </w:tcBorders>
            <w:shd w:val="clear" w:color="auto" w:fill="006EBF"/>
          </w:tcPr>
          <w:p>
            <w:pPr>
              <w:ind w:left="40"/>
              <w:spacing w:after="0"/>
              <w:rPr>
                <w:sz w:val="20"/>
                <w:szCs w:val="20"/>
                <w:color w:val="auto"/>
              </w:rPr>
            </w:pPr>
            <w:r>
              <w:rPr>
                <w:rFonts w:ascii="Arial" w:cs="Arial" w:eastAsia="Arial" w:hAnsi="Arial"/>
                <w:sz w:val="18"/>
                <w:szCs w:val="18"/>
                <w:b w:val="1"/>
                <w:bCs w:val="1"/>
                <w:color w:val="FFFFFF"/>
              </w:rPr>
              <w:t>Company Name</w:t>
            </w:r>
          </w:p>
        </w:tc>
        <w:tc>
          <w:tcPr>
            <w:tcW w:w="800" w:type="dxa"/>
            <w:vAlign w:val="bottom"/>
            <w:tcBorders>
              <w:bottom w:val="single" w:sz="8" w:color="006EBF"/>
              <w:right w:val="single" w:sz="8" w:color="006EBF"/>
            </w:tcBorders>
            <w:shd w:val="clear" w:color="auto" w:fill="006EBF"/>
          </w:tcPr>
          <w:p>
            <w:pPr>
              <w:jc w:val="center"/>
              <w:spacing w:after="0"/>
              <w:rPr>
                <w:sz w:val="20"/>
                <w:szCs w:val="20"/>
                <w:color w:val="auto"/>
              </w:rPr>
            </w:pPr>
            <w:r>
              <w:rPr>
                <w:rFonts w:ascii="Arial" w:cs="Arial" w:eastAsia="Arial" w:hAnsi="Arial"/>
                <w:sz w:val="18"/>
                <w:szCs w:val="18"/>
                <w:b w:val="1"/>
                <w:bCs w:val="1"/>
                <w:color w:val="FFFFFF"/>
                <w:w w:val="94"/>
              </w:rPr>
              <w:t>Ticker</w:t>
            </w:r>
          </w:p>
        </w:tc>
        <w:tc>
          <w:tcPr>
            <w:tcW w:w="2860" w:type="dxa"/>
            <w:vAlign w:val="bottom"/>
            <w:tcBorders>
              <w:bottom w:val="single" w:sz="8" w:color="006EBF"/>
              <w:right w:val="single" w:sz="8" w:color="006EBF"/>
            </w:tcBorders>
            <w:shd w:val="clear" w:color="auto" w:fill="006EBF"/>
          </w:tcPr>
          <w:p>
            <w:pPr>
              <w:ind w:left="20"/>
              <w:spacing w:after="0"/>
              <w:rPr>
                <w:sz w:val="20"/>
                <w:szCs w:val="20"/>
                <w:color w:val="auto"/>
              </w:rPr>
            </w:pPr>
            <w:r>
              <w:rPr>
                <w:rFonts w:ascii="Arial" w:cs="Arial" w:eastAsia="Arial" w:hAnsi="Arial"/>
                <w:sz w:val="18"/>
                <w:szCs w:val="18"/>
                <w:b w:val="1"/>
                <w:bCs w:val="1"/>
                <w:color w:val="FFFFFF"/>
              </w:rPr>
              <w:t>Company Name</w:t>
            </w:r>
          </w:p>
        </w:tc>
        <w:tc>
          <w:tcPr>
            <w:tcW w:w="800" w:type="dxa"/>
            <w:vAlign w:val="bottom"/>
            <w:tcBorders>
              <w:bottom w:val="single" w:sz="8" w:color="006EBF"/>
              <w:right w:val="single" w:sz="8" w:color="006EBF"/>
            </w:tcBorders>
            <w:shd w:val="clear" w:color="auto" w:fill="006EBF"/>
          </w:tcPr>
          <w:p>
            <w:pPr>
              <w:jc w:val="center"/>
              <w:spacing w:after="0"/>
              <w:rPr>
                <w:sz w:val="20"/>
                <w:szCs w:val="20"/>
                <w:color w:val="auto"/>
              </w:rPr>
            </w:pPr>
            <w:r>
              <w:rPr>
                <w:rFonts w:ascii="Arial" w:cs="Arial" w:eastAsia="Arial" w:hAnsi="Arial"/>
                <w:sz w:val="18"/>
                <w:szCs w:val="18"/>
                <w:b w:val="1"/>
                <w:bCs w:val="1"/>
                <w:color w:val="FFFFFF"/>
                <w:w w:val="97"/>
              </w:rPr>
              <w:t>Ticker</w:t>
            </w:r>
          </w:p>
        </w:tc>
        <w:tc>
          <w:tcPr>
            <w:tcW w:w="3180" w:type="dxa"/>
            <w:vAlign w:val="bottom"/>
            <w:tcBorders>
              <w:bottom w:val="single" w:sz="8" w:color="006EBF"/>
              <w:right w:val="single" w:sz="8" w:color="006EBF"/>
            </w:tcBorders>
            <w:shd w:val="clear" w:color="auto" w:fill="006EBF"/>
          </w:tcPr>
          <w:p>
            <w:pPr>
              <w:spacing w:after="0"/>
              <w:rPr>
                <w:sz w:val="20"/>
                <w:szCs w:val="20"/>
                <w:color w:val="auto"/>
              </w:rPr>
            </w:pPr>
            <w:r>
              <w:rPr>
                <w:rFonts w:ascii="Arial" w:cs="Arial" w:eastAsia="Arial" w:hAnsi="Arial"/>
                <w:sz w:val="18"/>
                <w:szCs w:val="18"/>
                <w:b w:val="1"/>
                <w:bCs w:val="1"/>
                <w:color w:val="FFFFFF"/>
              </w:rPr>
              <w:t>Company Name</w:t>
            </w:r>
          </w:p>
        </w:tc>
        <w:tc>
          <w:tcPr>
            <w:tcW w:w="800" w:type="dxa"/>
            <w:vAlign w:val="bottom"/>
            <w:tcBorders>
              <w:bottom w:val="single" w:sz="8" w:color="006EBF"/>
              <w:right w:val="single" w:sz="8" w:color="006EBF"/>
            </w:tcBorders>
            <w:shd w:val="clear" w:color="auto" w:fill="006EBF"/>
          </w:tcPr>
          <w:p>
            <w:pPr>
              <w:jc w:val="center"/>
              <w:spacing w:after="0"/>
              <w:rPr>
                <w:sz w:val="20"/>
                <w:szCs w:val="20"/>
                <w:color w:val="auto"/>
              </w:rPr>
            </w:pPr>
            <w:r>
              <w:rPr>
                <w:rFonts w:ascii="Arial" w:cs="Arial" w:eastAsia="Arial" w:hAnsi="Arial"/>
                <w:sz w:val="18"/>
                <w:szCs w:val="18"/>
                <w:b w:val="1"/>
                <w:bCs w:val="1"/>
                <w:color w:val="FFFFFF"/>
                <w:w w:val="97"/>
              </w:rPr>
              <w:t>Ticker</w:t>
            </w:r>
          </w:p>
        </w:tc>
      </w:tr>
      <w:tr>
        <w:trPr>
          <w:trHeight w:val="237"/>
        </w:trPr>
        <w:tc>
          <w:tcPr>
            <w:tcW w:w="30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AAON INC</w:t>
            </w:r>
          </w:p>
        </w:tc>
        <w:tc>
          <w:tcPr>
            <w:tcW w:w="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AAON</w:t>
            </w:r>
          </w:p>
        </w:tc>
        <w:tc>
          <w:tcPr>
            <w:tcW w:w="286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ENPRO INDUSTRIES INC</w:t>
            </w:r>
          </w:p>
        </w:tc>
        <w:tc>
          <w:tcPr>
            <w:tcW w:w="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NPO</w:t>
            </w:r>
          </w:p>
        </w:tc>
        <w:tc>
          <w:tcPr>
            <w:tcW w:w="31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ENGILITY HOLDINGS INC</w:t>
            </w:r>
          </w:p>
        </w:tc>
        <w:tc>
          <w:tcPr>
            <w:tcW w:w="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EGL</w:t>
            </w:r>
          </w:p>
        </w:tc>
      </w:tr>
      <w:tr>
        <w:trPr>
          <w:trHeight w:val="27"/>
        </w:trPr>
        <w:tc>
          <w:tcPr>
            <w:tcW w:w="3000" w:type="dxa"/>
            <w:vAlign w:val="bottom"/>
            <w:tcBorders>
              <w:left w:val="single" w:sz="8" w:color="auto"/>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r>
      <w:tr>
        <w:trPr>
          <w:trHeight w:val="237"/>
        </w:trPr>
        <w:tc>
          <w:tcPr>
            <w:tcW w:w="3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AAR CORP</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AIR</w:t>
            </w:r>
          </w:p>
        </w:tc>
        <w:tc>
          <w:tcPr>
            <w:tcW w:w="28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ESCO TECHNOLOGIES INC</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ESE</w:t>
            </w:r>
          </w:p>
        </w:tc>
        <w:tc>
          <w:tcPr>
            <w:tcW w:w="3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MYR GROUP INC</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MYRG</w:t>
            </w:r>
          </w:p>
        </w:tc>
      </w:tr>
      <w:tr>
        <w:trPr>
          <w:trHeight w:val="27"/>
        </w:trPr>
        <w:tc>
          <w:tcPr>
            <w:tcW w:w="3000" w:type="dxa"/>
            <w:vAlign w:val="bottom"/>
            <w:tcBorders>
              <w:left w:val="single" w:sz="8" w:color="auto"/>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r>
      <w:tr>
        <w:trPr>
          <w:trHeight w:val="237"/>
        </w:trPr>
        <w:tc>
          <w:tcPr>
            <w:tcW w:w="3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ABM INDUSTRIES INC</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ABM</w:t>
            </w:r>
          </w:p>
        </w:tc>
        <w:tc>
          <w:tcPr>
            <w:tcW w:w="28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ESSENDANT INC</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ESND</w:t>
            </w:r>
          </w:p>
        </w:tc>
        <w:tc>
          <w:tcPr>
            <w:tcW w:w="3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NATIONAL PRESTO INDS INC</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NPK</w:t>
            </w:r>
          </w:p>
        </w:tc>
      </w:tr>
      <w:tr>
        <w:trPr>
          <w:trHeight w:val="27"/>
        </w:trPr>
        <w:tc>
          <w:tcPr>
            <w:tcW w:w="3000" w:type="dxa"/>
            <w:vAlign w:val="bottom"/>
            <w:tcBorders>
              <w:left w:val="single" w:sz="8" w:color="auto"/>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r>
      <w:tr>
        <w:trPr>
          <w:trHeight w:val="237"/>
        </w:trPr>
        <w:tc>
          <w:tcPr>
            <w:tcW w:w="3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ACTUANT CORP -CL A</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ATU</w:t>
            </w:r>
          </w:p>
        </w:tc>
        <w:tc>
          <w:tcPr>
            <w:tcW w:w="28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EXPONENT INC</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EXPO</w:t>
            </w:r>
          </w:p>
        </w:tc>
        <w:tc>
          <w:tcPr>
            <w:tcW w:w="3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NAVIGANT CONSULTING INC</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NCI</w:t>
            </w:r>
          </w:p>
        </w:tc>
      </w:tr>
      <w:tr>
        <w:trPr>
          <w:trHeight w:val="27"/>
        </w:trPr>
        <w:tc>
          <w:tcPr>
            <w:tcW w:w="3000" w:type="dxa"/>
            <w:vAlign w:val="bottom"/>
            <w:tcBorders>
              <w:left w:val="single" w:sz="8" w:color="auto"/>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r>
      <w:tr>
        <w:trPr>
          <w:trHeight w:val="237"/>
        </w:trPr>
        <w:tc>
          <w:tcPr>
            <w:tcW w:w="3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AEGION CORP</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AEGN</w:t>
            </w:r>
          </w:p>
        </w:tc>
        <w:tc>
          <w:tcPr>
            <w:tcW w:w="28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FEDERAL SIGNAL CORP</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5"/>
              </w:rPr>
              <w:t>FSS</w:t>
            </w:r>
          </w:p>
        </w:tc>
        <w:tc>
          <w:tcPr>
            <w:tcW w:w="3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ON ASSIGNMENT INC</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ASGN</w:t>
            </w:r>
          </w:p>
        </w:tc>
      </w:tr>
      <w:tr>
        <w:trPr>
          <w:trHeight w:val="27"/>
        </w:trPr>
        <w:tc>
          <w:tcPr>
            <w:tcW w:w="3000" w:type="dxa"/>
            <w:vAlign w:val="bottom"/>
            <w:tcBorders>
              <w:left w:val="single" w:sz="8" w:color="auto"/>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r>
      <w:tr>
        <w:trPr>
          <w:trHeight w:val="222"/>
        </w:trPr>
        <w:tc>
          <w:tcPr>
            <w:tcW w:w="3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AEROJET ROCKETDYNE</w:t>
            </w:r>
          </w:p>
        </w:tc>
        <w:tc>
          <w:tcPr>
            <w:tcW w:w="800" w:type="dxa"/>
            <w:vAlign w:val="bottom"/>
            <w:tcBorders>
              <w:right w:val="single" w:sz="8" w:color="auto"/>
            </w:tcBorders>
          </w:tcPr>
          <w:p>
            <w:pPr>
              <w:spacing w:after="0"/>
              <w:rPr>
                <w:sz w:val="19"/>
                <w:szCs w:val="19"/>
                <w:color w:val="auto"/>
              </w:rPr>
            </w:pPr>
          </w:p>
        </w:tc>
        <w:tc>
          <w:tcPr>
            <w:tcW w:w="2860" w:type="dxa"/>
            <w:vAlign w:val="bottom"/>
            <w:tcBorders>
              <w:right w:val="single" w:sz="8" w:color="auto"/>
            </w:tcBorders>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3180" w:type="dxa"/>
            <w:vAlign w:val="bottom"/>
            <w:tcBorders>
              <w:right w:val="single" w:sz="8" w:color="auto"/>
            </w:tcBorders>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r>
      <w:tr>
        <w:trPr>
          <w:trHeight w:val="230"/>
        </w:trPr>
        <w:tc>
          <w:tcPr>
            <w:tcW w:w="3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HOLDINGS</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AJRD</w:t>
            </w:r>
          </w:p>
        </w:tc>
        <w:tc>
          <w:tcPr>
            <w:tcW w:w="28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FORWARD AIR CORP</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FWRD</w:t>
            </w:r>
          </w:p>
        </w:tc>
        <w:tc>
          <w:tcPr>
            <w:tcW w:w="3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ORION MARINE GROUP INC</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ORN</w:t>
            </w:r>
          </w:p>
        </w:tc>
      </w:tr>
      <w:tr>
        <w:trPr>
          <w:trHeight w:val="27"/>
        </w:trPr>
        <w:tc>
          <w:tcPr>
            <w:tcW w:w="3000" w:type="dxa"/>
            <w:vAlign w:val="bottom"/>
            <w:tcBorders>
              <w:left w:val="single" w:sz="8" w:color="auto"/>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r>
      <w:tr>
        <w:trPr>
          <w:trHeight w:val="237"/>
        </w:trPr>
        <w:tc>
          <w:tcPr>
            <w:tcW w:w="3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AEROVIRONMENT INC</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AVAV</w:t>
            </w:r>
          </w:p>
        </w:tc>
        <w:tc>
          <w:tcPr>
            <w:tcW w:w="28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FRANKLIN ELECTRIC CO INC</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FELE</w:t>
            </w:r>
          </w:p>
        </w:tc>
        <w:tc>
          <w:tcPr>
            <w:tcW w:w="3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PGT INC</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PGTI</w:t>
            </w:r>
          </w:p>
        </w:tc>
      </w:tr>
      <w:tr>
        <w:trPr>
          <w:trHeight w:val="27"/>
        </w:trPr>
        <w:tc>
          <w:tcPr>
            <w:tcW w:w="3000" w:type="dxa"/>
            <w:vAlign w:val="bottom"/>
            <w:tcBorders>
              <w:left w:val="single" w:sz="8" w:color="auto"/>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r>
      <w:tr>
        <w:trPr>
          <w:trHeight w:val="237"/>
        </w:trPr>
        <w:tc>
          <w:tcPr>
            <w:tcW w:w="3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ALBANY INTL CORP -CL A</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AIN</w:t>
            </w:r>
          </w:p>
        </w:tc>
        <w:tc>
          <w:tcPr>
            <w:tcW w:w="28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G&amp;K SERVICES INC -CL A</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GK</w:t>
            </w:r>
          </w:p>
        </w:tc>
        <w:tc>
          <w:tcPr>
            <w:tcW w:w="3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POWELL INDUSTRIES INC</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POWL</w:t>
            </w:r>
          </w:p>
        </w:tc>
      </w:tr>
      <w:tr>
        <w:trPr>
          <w:trHeight w:val="27"/>
        </w:trPr>
        <w:tc>
          <w:tcPr>
            <w:tcW w:w="3000" w:type="dxa"/>
            <w:vAlign w:val="bottom"/>
            <w:tcBorders>
              <w:left w:val="single" w:sz="8" w:color="auto"/>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r>
      <w:tr>
        <w:trPr>
          <w:trHeight w:val="237"/>
        </w:trPr>
        <w:tc>
          <w:tcPr>
            <w:tcW w:w="3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ALLEGIANT TRAVEL CO</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ALGT</w:t>
            </w:r>
          </w:p>
        </w:tc>
        <w:tc>
          <w:tcPr>
            <w:tcW w:w="28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GENERAL CABLE CORP/DE</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BGC</w:t>
            </w:r>
          </w:p>
        </w:tc>
        <w:tc>
          <w:tcPr>
            <w:tcW w:w="3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QUANEX BUILDING PRODUCTS</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NX</w:t>
            </w:r>
          </w:p>
        </w:tc>
      </w:tr>
      <w:tr>
        <w:trPr>
          <w:trHeight w:val="27"/>
        </w:trPr>
        <w:tc>
          <w:tcPr>
            <w:tcW w:w="3000" w:type="dxa"/>
            <w:vAlign w:val="bottom"/>
            <w:tcBorders>
              <w:left w:val="single" w:sz="8" w:color="auto"/>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r>
      <w:tr>
        <w:trPr>
          <w:trHeight w:val="222"/>
        </w:trPr>
        <w:tc>
          <w:tcPr>
            <w:tcW w:w="3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AMERICAN SCIENCE</w:t>
            </w:r>
          </w:p>
        </w:tc>
        <w:tc>
          <w:tcPr>
            <w:tcW w:w="800" w:type="dxa"/>
            <w:vAlign w:val="bottom"/>
            <w:tcBorders>
              <w:right w:val="single" w:sz="8" w:color="auto"/>
            </w:tcBorders>
          </w:tcPr>
          <w:p>
            <w:pPr>
              <w:spacing w:after="0"/>
              <w:rPr>
                <w:sz w:val="19"/>
                <w:szCs w:val="19"/>
                <w:color w:val="auto"/>
              </w:rPr>
            </w:pPr>
          </w:p>
        </w:tc>
        <w:tc>
          <w:tcPr>
            <w:tcW w:w="2860" w:type="dxa"/>
            <w:vAlign w:val="bottom"/>
            <w:tcBorders>
              <w:right w:val="single" w:sz="8" w:color="auto"/>
            </w:tcBorders>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3180" w:type="dxa"/>
            <w:vAlign w:val="bottom"/>
            <w:tcBorders>
              <w:right w:val="single" w:sz="8" w:color="auto"/>
            </w:tcBorders>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r>
      <w:tr>
        <w:trPr>
          <w:trHeight w:val="230"/>
        </w:trPr>
        <w:tc>
          <w:tcPr>
            <w:tcW w:w="3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ENGINEERING</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ASEI</w:t>
            </w:r>
          </w:p>
        </w:tc>
        <w:tc>
          <w:tcPr>
            <w:tcW w:w="28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GIBRALTAR INDUSTRIES INC</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ROCK</w:t>
            </w:r>
          </w:p>
        </w:tc>
        <w:tc>
          <w:tcPr>
            <w:tcW w:w="3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REPUBLIC AIRWAYS HLDGS INC</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RJET</w:t>
            </w:r>
          </w:p>
        </w:tc>
      </w:tr>
      <w:tr>
        <w:trPr>
          <w:trHeight w:val="27"/>
        </w:trPr>
        <w:tc>
          <w:tcPr>
            <w:tcW w:w="3000" w:type="dxa"/>
            <w:vAlign w:val="bottom"/>
            <w:tcBorders>
              <w:left w:val="single" w:sz="8" w:color="auto"/>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r>
      <w:tr>
        <w:trPr>
          <w:trHeight w:val="237"/>
        </w:trPr>
        <w:tc>
          <w:tcPr>
            <w:tcW w:w="3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AMERICAN WOODMARK CORP</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AMWD</w:t>
            </w:r>
          </w:p>
        </w:tc>
        <w:tc>
          <w:tcPr>
            <w:tcW w:w="28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GREENBRIER COMPANIES INC</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GBX</w:t>
            </w:r>
          </w:p>
        </w:tc>
        <w:tc>
          <w:tcPr>
            <w:tcW w:w="3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RESOURCES CONNECTION INC</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RECN</w:t>
            </w:r>
          </w:p>
        </w:tc>
      </w:tr>
      <w:tr>
        <w:trPr>
          <w:trHeight w:val="27"/>
        </w:trPr>
        <w:tc>
          <w:tcPr>
            <w:tcW w:w="3000" w:type="dxa"/>
            <w:vAlign w:val="bottom"/>
            <w:tcBorders>
              <w:left w:val="single" w:sz="8" w:color="auto"/>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r>
      <w:tr>
        <w:trPr>
          <w:trHeight w:val="237"/>
        </w:trPr>
        <w:tc>
          <w:tcPr>
            <w:tcW w:w="3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APOGEE ENTERPRISES INC</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APOG</w:t>
            </w:r>
          </w:p>
        </w:tc>
        <w:tc>
          <w:tcPr>
            <w:tcW w:w="28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GRIFFON CORP</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GFF</w:t>
            </w:r>
          </w:p>
        </w:tc>
        <w:tc>
          <w:tcPr>
            <w:tcW w:w="3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ROADRUNNER TRANS SVCS HLDGS</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RRTS</w:t>
            </w:r>
          </w:p>
        </w:tc>
      </w:tr>
      <w:tr>
        <w:trPr>
          <w:trHeight w:val="27"/>
        </w:trPr>
        <w:tc>
          <w:tcPr>
            <w:tcW w:w="3000" w:type="dxa"/>
            <w:vAlign w:val="bottom"/>
            <w:tcBorders>
              <w:left w:val="single" w:sz="8" w:color="auto"/>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r>
      <w:tr>
        <w:trPr>
          <w:trHeight w:val="237"/>
        </w:trPr>
        <w:tc>
          <w:tcPr>
            <w:tcW w:w="3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APPLIED INDUSTRIAL TECH INC</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AIT</w:t>
            </w:r>
          </w:p>
        </w:tc>
        <w:tc>
          <w:tcPr>
            <w:tcW w:w="28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HARSCO CORP</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HSC</w:t>
            </w:r>
          </w:p>
        </w:tc>
        <w:tc>
          <w:tcPr>
            <w:tcW w:w="3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SAIA INC</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SAIA</w:t>
            </w:r>
          </w:p>
        </w:tc>
      </w:tr>
      <w:tr>
        <w:trPr>
          <w:trHeight w:val="27"/>
        </w:trPr>
        <w:tc>
          <w:tcPr>
            <w:tcW w:w="3000" w:type="dxa"/>
            <w:vAlign w:val="bottom"/>
            <w:tcBorders>
              <w:left w:val="single" w:sz="8" w:color="auto"/>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r>
      <w:tr>
        <w:trPr>
          <w:trHeight w:val="237"/>
        </w:trPr>
        <w:tc>
          <w:tcPr>
            <w:tcW w:w="3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ARCBEST CORP</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ARCB</w:t>
            </w:r>
          </w:p>
        </w:tc>
        <w:tc>
          <w:tcPr>
            <w:tcW w:w="28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HAWAIIAN HOLDINGS INC</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HA</w:t>
            </w:r>
          </w:p>
        </w:tc>
        <w:tc>
          <w:tcPr>
            <w:tcW w:w="3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SIMPSON MANUFACTURING INC</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SSD</w:t>
            </w:r>
          </w:p>
        </w:tc>
      </w:tr>
      <w:tr>
        <w:trPr>
          <w:trHeight w:val="27"/>
        </w:trPr>
        <w:tc>
          <w:tcPr>
            <w:tcW w:w="3000" w:type="dxa"/>
            <w:vAlign w:val="bottom"/>
            <w:tcBorders>
              <w:left w:val="single" w:sz="8" w:color="auto"/>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r>
      <w:tr>
        <w:trPr>
          <w:trHeight w:val="237"/>
        </w:trPr>
        <w:tc>
          <w:tcPr>
            <w:tcW w:w="3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ASTEC INDUSTRIES INC</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ASTE</w:t>
            </w:r>
          </w:p>
        </w:tc>
        <w:tc>
          <w:tcPr>
            <w:tcW w:w="28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6"/>
              </w:rPr>
              <w:t>HEALTHCARE SERVICES GROUP</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HCSG</w:t>
            </w:r>
          </w:p>
        </w:tc>
        <w:tc>
          <w:tcPr>
            <w:tcW w:w="3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SKYWEST INC</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SKYW</w:t>
            </w:r>
          </w:p>
        </w:tc>
      </w:tr>
      <w:tr>
        <w:trPr>
          <w:trHeight w:val="27"/>
        </w:trPr>
        <w:tc>
          <w:tcPr>
            <w:tcW w:w="3000" w:type="dxa"/>
            <w:vAlign w:val="bottom"/>
            <w:tcBorders>
              <w:left w:val="single" w:sz="8" w:color="auto"/>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r>
      <w:tr>
        <w:trPr>
          <w:trHeight w:val="222"/>
        </w:trPr>
        <w:tc>
          <w:tcPr>
            <w:tcW w:w="3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ATLAS AIR WORLDWIDE HLDG</w:t>
            </w:r>
          </w:p>
        </w:tc>
        <w:tc>
          <w:tcPr>
            <w:tcW w:w="800" w:type="dxa"/>
            <w:vAlign w:val="bottom"/>
            <w:tcBorders>
              <w:right w:val="single" w:sz="8" w:color="auto"/>
            </w:tcBorders>
          </w:tcPr>
          <w:p>
            <w:pPr>
              <w:spacing w:after="0"/>
              <w:rPr>
                <w:sz w:val="19"/>
                <w:szCs w:val="19"/>
                <w:color w:val="auto"/>
              </w:rPr>
            </w:pPr>
          </w:p>
        </w:tc>
        <w:tc>
          <w:tcPr>
            <w:tcW w:w="2860" w:type="dxa"/>
            <w:vAlign w:val="bottom"/>
            <w:tcBorders>
              <w:right w:val="single" w:sz="8" w:color="auto"/>
            </w:tcBorders>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3180" w:type="dxa"/>
            <w:vAlign w:val="bottom"/>
            <w:tcBorders>
              <w:right w:val="single" w:sz="8" w:color="auto"/>
            </w:tcBorders>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r>
      <w:tr>
        <w:trPr>
          <w:trHeight w:val="230"/>
        </w:trPr>
        <w:tc>
          <w:tcPr>
            <w:tcW w:w="3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INC</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AAWW</w:t>
            </w:r>
          </w:p>
        </w:tc>
        <w:tc>
          <w:tcPr>
            <w:tcW w:w="28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HEARTLAND EXPRESS INC</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HTLD</w:t>
            </w:r>
          </w:p>
        </w:tc>
        <w:tc>
          <w:tcPr>
            <w:tcW w:w="3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SPX CORP</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SPXC</w:t>
            </w:r>
          </w:p>
        </w:tc>
      </w:tr>
      <w:tr>
        <w:trPr>
          <w:trHeight w:val="27"/>
        </w:trPr>
        <w:tc>
          <w:tcPr>
            <w:tcW w:w="3000" w:type="dxa"/>
            <w:vAlign w:val="bottom"/>
            <w:tcBorders>
              <w:left w:val="single" w:sz="8" w:color="auto"/>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r>
      <w:tr>
        <w:trPr>
          <w:trHeight w:val="237"/>
        </w:trPr>
        <w:tc>
          <w:tcPr>
            <w:tcW w:w="3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AZZ INC</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AZZ</w:t>
            </w:r>
          </w:p>
        </w:tc>
        <w:tc>
          <w:tcPr>
            <w:tcW w:w="28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HEIDRICK &amp; STRUGGLES INTL</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HSII</w:t>
            </w:r>
          </w:p>
        </w:tc>
        <w:tc>
          <w:tcPr>
            <w:tcW w:w="3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SPX FLOW INC</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FLOW</w:t>
            </w:r>
          </w:p>
        </w:tc>
      </w:tr>
      <w:tr>
        <w:trPr>
          <w:trHeight w:val="27"/>
        </w:trPr>
        <w:tc>
          <w:tcPr>
            <w:tcW w:w="3000" w:type="dxa"/>
            <w:vAlign w:val="bottom"/>
            <w:tcBorders>
              <w:left w:val="single" w:sz="8" w:color="auto"/>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r>
      <w:tr>
        <w:trPr>
          <w:trHeight w:val="237"/>
        </w:trPr>
        <w:tc>
          <w:tcPr>
            <w:tcW w:w="3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BARNES GROUP INC</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B</w:t>
            </w:r>
          </w:p>
        </w:tc>
        <w:tc>
          <w:tcPr>
            <w:tcW w:w="28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HILLENBRAND INC</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HI</w:t>
            </w:r>
          </w:p>
        </w:tc>
        <w:tc>
          <w:tcPr>
            <w:tcW w:w="3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STANDEX INTERNATIONAL CORP</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SXI</w:t>
            </w:r>
          </w:p>
        </w:tc>
      </w:tr>
      <w:tr>
        <w:trPr>
          <w:trHeight w:val="27"/>
        </w:trPr>
        <w:tc>
          <w:tcPr>
            <w:tcW w:w="3000" w:type="dxa"/>
            <w:vAlign w:val="bottom"/>
            <w:tcBorders>
              <w:left w:val="single" w:sz="8" w:color="auto"/>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r>
      <w:tr>
        <w:trPr>
          <w:trHeight w:val="237"/>
        </w:trPr>
        <w:tc>
          <w:tcPr>
            <w:tcW w:w="3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BRADY CORP</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BRC</w:t>
            </w:r>
          </w:p>
        </w:tc>
        <w:tc>
          <w:tcPr>
            <w:tcW w:w="28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HUB GROUP INC -CL A</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HUBG</w:t>
            </w:r>
          </w:p>
        </w:tc>
        <w:tc>
          <w:tcPr>
            <w:tcW w:w="3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TASER INTERNATIONAL INC</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TASR</w:t>
            </w:r>
          </w:p>
        </w:tc>
      </w:tr>
      <w:tr>
        <w:trPr>
          <w:trHeight w:val="27"/>
        </w:trPr>
        <w:tc>
          <w:tcPr>
            <w:tcW w:w="3000" w:type="dxa"/>
            <w:vAlign w:val="bottom"/>
            <w:tcBorders>
              <w:left w:val="single" w:sz="8" w:color="auto"/>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r>
      <w:tr>
        <w:trPr>
          <w:trHeight w:val="237"/>
        </w:trPr>
        <w:tc>
          <w:tcPr>
            <w:tcW w:w="3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BRIGGS &amp; STRATTON</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BGG</w:t>
            </w:r>
          </w:p>
        </w:tc>
        <w:tc>
          <w:tcPr>
            <w:tcW w:w="28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INSPERITY INC</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NSP</w:t>
            </w:r>
          </w:p>
        </w:tc>
        <w:tc>
          <w:tcPr>
            <w:tcW w:w="3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TENNANT CO</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TNC</w:t>
            </w:r>
          </w:p>
        </w:tc>
      </w:tr>
      <w:tr>
        <w:trPr>
          <w:trHeight w:val="27"/>
        </w:trPr>
        <w:tc>
          <w:tcPr>
            <w:tcW w:w="3000" w:type="dxa"/>
            <w:vAlign w:val="bottom"/>
            <w:tcBorders>
              <w:left w:val="single" w:sz="8" w:color="auto"/>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r>
      <w:tr>
        <w:trPr>
          <w:trHeight w:val="237"/>
        </w:trPr>
        <w:tc>
          <w:tcPr>
            <w:tcW w:w="3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BRINKS CO</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BCO</w:t>
            </w:r>
          </w:p>
        </w:tc>
        <w:tc>
          <w:tcPr>
            <w:tcW w:w="28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INTERFACE INC</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TILE</w:t>
            </w:r>
          </w:p>
        </w:tc>
        <w:tc>
          <w:tcPr>
            <w:tcW w:w="3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TETRA TECH INC</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TTEK</w:t>
            </w:r>
          </w:p>
        </w:tc>
      </w:tr>
      <w:tr>
        <w:trPr>
          <w:trHeight w:val="27"/>
        </w:trPr>
        <w:tc>
          <w:tcPr>
            <w:tcW w:w="3000" w:type="dxa"/>
            <w:vAlign w:val="bottom"/>
            <w:tcBorders>
              <w:left w:val="single" w:sz="8" w:color="auto"/>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r>
      <w:tr>
        <w:trPr>
          <w:trHeight w:val="237"/>
        </w:trPr>
        <w:tc>
          <w:tcPr>
            <w:tcW w:w="3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CDI CORP</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CDI</w:t>
            </w:r>
          </w:p>
        </w:tc>
        <w:tc>
          <w:tcPr>
            <w:tcW w:w="28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JOHN BEAN TECHNOLOGIES</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JBT</w:t>
            </w:r>
          </w:p>
        </w:tc>
        <w:tc>
          <w:tcPr>
            <w:tcW w:w="3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TITAN INTERNATIONAL INC</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TWI</w:t>
            </w:r>
          </w:p>
        </w:tc>
      </w:tr>
      <w:tr>
        <w:trPr>
          <w:trHeight w:val="27"/>
        </w:trPr>
        <w:tc>
          <w:tcPr>
            <w:tcW w:w="3000" w:type="dxa"/>
            <w:vAlign w:val="bottom"/>
            <w:tcBorders>
              <w:left w:val="single" w:sz="8" w:color="auto"/>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r>
      <w:tr>
        <w:trPr>
          <w:trHeight w:val="237"/>
        </w:trPr>
        <w:tc>
          <w:tcPr>
            <w:tcW w:w="3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CELADON GROUP INC</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CGI</w:t>
            </w:r>
          </w:p>
        </w:tc>
        <w:tc>
          <w:tcPr>
            <w:tcW w:w="28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KAMAN CORP</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KAMN</w:t>
            </w:r>
          </w:p>
        </w:tc>
        <w:tc>
          <w:tcPr>
            <w:tcW w:w="3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TRUEBLUE INC</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TBI</w:t>
            </w:r>
          </w:p>
        </w:tc>
      </w:tr>
      <w:tr>
        <w:trPr>
          <w:trHeight w:val="27"/>
        </w:trPr>
        <w:tc>
          <w:tcPr>
            <w:tcW w:w="3000" w:type="dxa"/>
            <w:vAlign w:val="bottom"/>
            <w:tcBorders>
              <w:left w:val="single" w:sz="8" w:color="auto"/>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r>
      <w:tr>
        <w:trPr>
          <w:trHeight w:val="237"/>
        </w:trPr>
        <w:tc>
          <w:tcPr>
            <w:tcW w:w="3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CHART INDUSTRIES INC</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GTLS</w:t>
            </w:r>
          </w:p>
        </w:tc>
        <w:tc>
          <w:tcPr>
            <w:tcW w:w="28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KELLY SERVICES INC -CL A</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KELYA</w:t>
            </w:r>
          </w:p>
        </w:tc>
        <w:tc>
          <w:tcPr>
            <w:tcW w:w="3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UNIFIRST CORP</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UNF</w:t>
            </w:r>
          </w:p>
        </w:tc>
      </w:tr>
      <w:tr>
        <w:trPr>
          <w:trHeight w:val="27"/>
        </w:trPr>
        <w:tc>
          <w:tcPr>
            <w:tcW w:w="3000" w:type="dxa"/>
            <w:vAlign w:val="bottom"/>
            <w:tcBorders>
              <w:left w:val="single" w:sz="8" w:color="auto"/>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r>
      <w:tr>
        <w:trPr>
          <w:trHeight w:val="237"/>
        </w:trPr>
        <w:tc>
          <w:tcPr>
            <w:tcW w:w="3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CIRCOR INTL INC</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CIR</w:t>
            </w:r>
          </w:p>
        </w:tc>
        <w:tc>
          <w:tcPr>
            <w:tcW w:w="28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KNIGHT TRANSPORTATION INC</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KNX</w:t>
            </w:r>
          </w:p>
        </w:tc>
        <w:tc>
          <w:tcPr>
            <w:tcW w:w="3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UNIVERSAL FOREST PRODS INC</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UFPI</w:t>
            </w:r>
          </w:p>
        </w:tc>
      </w:tr>
      <w:tr>
        <w:trPr>
          <w:trHeight w:val="27"/>
        </w:trPr>
        <w:tc>
          <w:tcPr>
            <w:tcW w:w="3000" w:type="dxa"/>
            <w:vAlign w:val="bottom"/>
            <w:tcBorders>
              <w:left w:val="single" w:sz="8" w:color="auto"/>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r>
      <w:tr>
        <w:trPr>
          <w:trHeight w:val="237"/>
        </w:trPr>
        <w:tc>
          <w:tcPr>
            <w:tcW w:w="3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COMFORT SYSTEMS USA INC</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FIX</w:t>
            </w:r>
          </w:p>
        </w:tc>
        <w:tc>
          <w:tcPr>
            <w:tcW w:w="28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KORN/FERRY INTERNATIONAL</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KFY</w:t>
            </w:r>
          </w:p>
        </w:tc>
        <w:tc>
          <w:tcPr>
            <w:tcW w:w="3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US ECOLOGY INC</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ECOL</w:t>
            </w:r>
          </w:p>
        </w:tc>
      </w:tr>
      <w:tr>
        <w:trPr>
          <w:trHeight w:val="27"/>
        </w:trPr>
        <w:tc>
          <w:tcPr>
            <w:tcW w:w="3000" w:type="dxa"/>
            <w:vAlign w:val="bottom"/>
            <w:tcBorders>
              <w:left w:val="single" w:sz="8" w:color="auto"/>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r>
      <w:tr>
        <w:trPr>
          <w:trHeight w:val="237"/>
        </w:trPr>
        <w:tc>
          <w:tcPr>
            <w:tcW w:w="3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CUBIC CORP</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CUB</w:t>
            </w:r>
          </w:p>
        </w:tc>
        <w:tc>
          <w:tcPr>
            <w:tcW w:w="28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LINDSAY CORP</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LNN</w:t>
            </w:r>
          </w:p>
        </w:tc>
        <w:tc>
          <w:tcPr>
            <w:tcW w:w="3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UTI WORLDWIDE INC</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UTIW</w:t>
            </w:r>
          </w:p>
        </w:tc>
      </w:tr>
      <w:tr>
        <w:trPr>
          <w:trHeight w:val="27"/>
        </w:trPr>
        <w:tc>
          <w:tcPr>
            <w:tcW w:w="3000" w:type="dxa"/>
            <w:vAlign w:val="bottom"/>
            <w:tcBorders>
              <w:left w:val="single" w:sz="8" w:color="auto"/>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r>
      <w:tr>
        <w:trPr>
          <w:trHeight w:val="237"/>
        </w:trPr>
        <w:tc>
          <w:tcPr>
            <w:tcW w:w="3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CURTISS-WRIGHT CORP</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CW</w:t>
            </w:r>
          </w:p>
        </w:tc>
        <w:tc>
          <w:tcPr>
            <w:tcW w:w="28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LYDALL INC</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LDL</w:t>
            </w:r>
          </w:p>
        </w:tc>
        <w:tc>
          <w:tcPr>
            <w:tcW w:w="3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VERITIV CORP</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VRTV</w:t>
            </w:r>
          </w:p>
        </w:tc>
      </w:tr>
      <w:tr>
        <w:trPr>
          <w:trHeight w:val="27"/>
        </w:trPr>
        <w:tc>
          <w:tcPr>
            <w:tcW w:w="3000" w:type="dxa"/>
            <w:vAlign w:val="bottom"/>
            <w:tcBorders>
              <w:left w:val="single" w:sz="8" w:color="auto"/>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r>
      <w:tr>
        <w:trPr>
          <w:trHeight w:val="237"/>
        </w:trPr>
        <w:tc>
          <w:tcPr>
            <w:tcW w:w="3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DXP ENTERPRISES INC</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DXPE</w:t>
            </w:r>
          </w:p>
        </w:tc>
        <w:tc>
          <w:tcPr>
            <w:tcW w:w="28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MARTEN TRANSPORT LTD</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MRTN</w:t>
            </w:r>
          </w:p>
        </w:tc>
        <w:tc>
          <w:tcPr>
            <w:tcW w:w="3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VIAD CORP</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VVI</w:t>
            </w:r>
          </w:p>
        </w:tc>
      </w:tr>
      <w:tr>
        <w:trPr>
          <w:trHeight w:val="27"/>
        </w:trPr>
        <w:tc>
          <w:tcPr>
            <w:tcW w:w="3000" w:type="dxa"/>
            <w:vAlign w:val="bottom"/>
            <w:tcBorders>
              <w:left w:val="single" w:sz="8" w:color="auto"/>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r>
      <w:tr>
        <w:trPr>
          <w:trHeight w:val="237"/>
        </w:trPr>
        <w:tc>
          <w:tcPr>
            <w:tcW w:w="3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DYCOM INDUSTRIES INC</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DY</w:t>
            </w:r>
          </w:p>
        </w:tc>
        <w:tc>
          <w:tcPr>
            <w:tcW w:w="28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MATSON INC</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MATX</w:t>
            </w:r>
          </w:p>
        </w:tc>
        <w:tc>
          <w:tcPr>
            <w:tcW w:w="3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VICOR CORP</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VICR</w:t>
            </w:r>
          </w:p>
        </w:tc>
      </w:tr>
      <w:tr>
        <w:trPr>
          <w:trHeight w:val="27"/>
        </w:trPr>
        <w:tc>
          <w:tcPr>
            <w:tcW w:w="3000" w:type="dxa"/>
            <w:vAlign w:val="bottom"/>
            <w:tcBorders>
              <w:left w:val="single" w:sz="8" w:color="auto"/>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r>
      <w:tr>
        <w:trPr>
          <w:trHeight w:val="237"/>
        </w:trPr>
        <w:tc>
          <w:tcPr>
            <w:tcW w:w="3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ECHO GLOBAL LOGISTICS INC</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ECHO</w:t>
            </w:r>
          </w:p>
        </w:tc>
        <w:tc>
          <w:tcPr>
            <w:tcW w:w="28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MATTHEWS INTL CORP -CL A</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MATW</w:t>
            </w:r>
          </w:p>
        </w:tc>
        <w:tc>
          <w:tcPr>
            <w:tcW w:w="3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WAGEWORKS INC</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WAGE</w:t>
            </w:r>
          </w:p>
        </w:tc>
      </w:tr>
      <w:tr>
        <w:trPr>
          <w:trHeight w:val="27"/>
        </w:trPr>
        <w:tc>
          <w:tcPr>
            <w:tcW w:w="3000" w:type="dxa"/>
            <w:vAlign w:val="bottom"/>
            <w:tcBorders>
              <w:left w:val="single" w:sz="8" w:color="auto"/>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r>
      <w:tr>
        <w:trPr>
          <w:trHeight w:val="237"/>
        </w:trPr>
        <w:tc>
          <w:tcPr>
            <w:tcW w:w="3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EMCOR GROUP INC</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EME</w:t>
            </w:r>
          </w:p>
        </w:tc>
        <w:tc>
          <w:tcPr>
            <w:tcW w:w="28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MOBILE MINI INC</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MINI</w:t>
            </w:r>
          </w:p>
        </w:tc>
        <w:tc>
          <w:tcPr>
            <w:tcW w:w="3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WATTS WATER TECHNOLOGIES INC</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WTS</w:t>
            </w:r>
          </w:p>
        </w:tc>
      </w:tr>
      <w:tr>
        <w:trPr>
          <w:trHeight w:val="27"/>
        </w:trPr>
        <w:tc>
          <w:tcPr>
            <w:tcW w:w="3000" w:type="dxa"/>
            <w:vAlign w:val="bottom"/>
            <w:tcBorders>
              <w:left w:val="single" w:sz="8" w:color="auto"/>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r>
      <w:tr>
        <w:trPr>
          <w:trHeight w:val="237"/>
        </w:trPr>
        <w:tc>
          <w:tcPr>
            <w:tcW w:w="3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ENCORE WIRE CORP</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WIRE</w:t>
            </w:r>
          </w:p>
        </w:tc>
        <w:tc>
          <w:tcPr>
            <w:tcW w:w="28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MOOG INC -CL A</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MOG.A</w:t>
            </w:r>
          </w:p>
        </w:tc>
        <w:tc>
          <w:tcPr>
            <w:tcW w:w="318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r>
      <w:tr>
        <w:trPr>
          <w:trHeight w:val="27"/>
        </w:trPr>
        <w:tc>
          <w:tcPr>
            <w:tcW w:w="3000" w:type="dxa"/>
            <w:vAlign w:val="bottom"/>
            <w:tcBorders>
              <w:left w:val="single" w:sz="8" w:color="auto"/>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r>
      <w:tr>
        <w:trPr>
          <w:trHeight w:val="237"/>
        </w:trPr>
        <w:tc>
          <w:tcPr>
            <w:tcW w:w="3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ENERSYS INC</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ENS</w:t>
            </w:r>
          </w:p>
        </w:tc>
        <w:tc>
          <w:tcPr>
            <w:tcW w:w="28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MUELLER INDUSTRIES</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MLI</w:t>
            </w:r>
          </w:p>
        </w:tc>
        <w:tc>
          <w:tcPr>
            <w:tcW w:w="318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r>
      <w:tr>
        <w:trPr>
          <w:trHeight w:val="27"/>
        </w:trPr>
        <w:tc>
          <w:tcPr>
            <w:tcW w:w="3000" w:type="dxa"/>
            <w:vAlign w:val="bottom"/>
            <w:tcBorders>
              <w:left w:val="single" w:sz="8" w:color="auto"/>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2270760</wp:posOffset>
            </wp:positionH>
            <wp:positionV relativeFrom="paragraph">
              <wp:posOffset>-6757035</wp:posOffset>
            </wp:positionV>
            <wp:extent cx="27146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146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iv</w:t>
      </w:r>
    </w:p>
    <w:p>
      <w:pPr>
        <w:sectPr>
          <w:pgSz w:w="11900" w:h="16838" w:orient="portrait"/>
          <w:cols w:equalWidth="0" w:num="1">
            <w:col w:w="11440"/>
          </w:cols>
          <w:pgMar w:left="240" w:top="585" w:right="219" w:bottom="1440" w:gutter="0" w:footer="0" w:header="0"/>
        </w:sectPr>
      </w:pPr>
    </w:p>
    <w:bookmarkStart w:id="50" w:name="page51"/>
    <w:bookmarkEnd w:id="50"/>
    <w:p>
      <w:pPr>
        <w:jc w:val="center"/>
        <w:spacing w:after="0"/>
        <w:rPr>
          <w:sz w:val="20"/>
          <w:szCs w:val="20"/>
          <w:color w:val="auto"/>
        </w:rPr>
      </w:pPr>
      <w:r>
        <w:rPr>
          <w:rFonts w:ascii="Arial" w:cs="Arial" w:eastAsia="Arial" w:hAnsi="Arial"/>
          <w:sz w:val="22"/>
          <w:szCs w:val="22"/>
          <w:b w:val="1"/>
          <w:bCs w:val="1"/>
          <w:color w:val="auto"/>
        </w:rPr>
        <w:t>APPENDIX B</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PERFORMANCE UNIT AGREEMENT</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For purposes of this Agreement:</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Beneficial Owner</w:t>
      </w:r>
      <w:r>
        <w:rPr>
          <w:rFonts w:ascii="Arial" w:cs="Arial" w:eastAsia="Arial" w:hAnsi="Arial"/>
          <w:sz w:val="22"/>
          <w:szCs w:val="22"/>
          <w:color w:val="auto"/>
        </w:rPr>
        <w:t>” shall have the meaning set forth in Rule 13d-3 under the Exchange Act.</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A “</w:t>
      </w:r>
      <w:r>
        <w:rPr>
          <w:rFonts w:ascii="Arial" w:cs="Arial" w:eastAsia="Arial" w:hAnsi="Arial"/>
          <w:sz w:val="22"/>
          <w:szCs w:val="22"/>
          <w:b w:val="1"/>
          <w:bCs w:val="1"/>
          <w:color w:val="auto"/>
        </w:rPr>
        <w:t>Change of Control</w:t>
      </w:r>
      <w:r>
        <w:rPr>
          <w:rFonts w:ascii="Arial" w:cs="Arial" w:eastAsia="Arial" w:hAnsi="Arial"/>
          <w:sz w:val="22"/>
          <w:szCs w:val="22"/>
          <w:color w:val="auto"/>
        </w:rPr>
        <w:t>” shall be deemed to have occurred upon the first of the following events to occur:</w:t>
      </w:r>
    </w:p>
    <w:p>
      <w:pPr>
        <w:spacing w:after="0" w:line="266" w:lineRule="exact"/>
        <w:rPr>
          <w:sz w:val="20"/>
          <w:szCs w:val="20"/>
          <w:color w:val="auto"/>
        </w:rPr>
      </w:pPr>
    </w:p>
    <w:p>
      <w:pPr>
        <w:jc w:val="both"/>
        <w:ind w:left="660" w:hanging="4"/>
        <w:spacing w:after="0" w:line="248" w:lineRule="auto"/>
        <w:tabs>
          <w:tab w:leader="none" w:pos="931" w:val="left"/>
        </w:tabs>
        <w:numPr>
          <w:ilvl w:val="0"/>
          <w:numId w:val="30"/>
        </w:numPr>
        <w:rPr>
          <w:rFonts w:ascii="Arial" w:cs="Arial" w:eastAsia="Arial" w:hAnsi="Arial"/>
          <w:sz w:val="22"/>
          <w:szCs w:val="22"/>
          <w:color w:val="auto"/>
        </w:rPr>
      </w:pPr>
      <w:r>
        <w:rPr>
          <w:rFonts w:ascii="Arial" w:cs="Arial" w:eastAsia="Arial" w:hAnsi="Arial"/>
          <w:sz w:val="22"/>
          <w:szCs w:val="22"/>
          <w:color w:val="auto"/>
        </w:rPr>
        <w:t>any Person is or becomes the Beneficial Owner, directly or indirectly, of securities of the Corporation (not including in the securities beneficially owned by such Person any securities acquired directly from the Corporation or its Affiliates) representing 35% or more of the combined voting power of the Corporation’s then outstanding securities, excluding any Person who becomes such a Beneficial Owner in connection with a transaction described in clause (A) of paragraph (iii) below;</w:t>
      </w:r>
    </w:p>
    <w:p>
      <w:pPr>
        <w:spacing w:after="0" w:line="232" w:lineRule="exact"/>
        <w:rPr>
          <w:rFonts w:ascii="Arial" w:cs="Arial" w:eastAsia="Arial" w:hAnsi="Arial"/>
          <w:sz w:val="22"/>
          <w:szCs w:val="22"/>
          <w:color w:val="auto"/>
        </w:rPr>
      </w:pPr>
    </w:p>
    <w:p>
      <w:pPr>
        <w:jc w:val="both"/>
        <w:ind w:left="660" w:hanging="4"/>
        <w:spacing w:after="0" w:line="288" w:lineRule="auto"/>
        <w:tabs>
          <w:tab w:leader="none" w:pos="998" w:val="left"/>
        </w:tabs>
        <w:numPr>
          <w:ilvl w:val="0"/>
          <w:numId w:val="30"/>
        </w:numPr>
        <w:rPr>
          <w:rFonts w:ascii="Arial" w:cs="Arial" w:eastAsia="Arial" w:hAnsi="Arial"/>
          <w:sz w:val="19"/>
          <w:szCs w:val="19"/>
          <w:color w:val="auto"/>
        </w:rPr>
      </w:pPr>
      <w:r>
        <w:rPr>
          <w:rFonts w:ascii="Arial" w:cs="Arial" w:eastAsia="Arial" w:hAnsi="Arial"/>
          <w:sz w:val="19"/>
          <w:szCs w:val="19"/>
          <w:color w:val="auto"/>
        </w:rPr>
        <w:t>the following individuals cease for any reason to constitute a majority of the number of directors then serving on the Board: individuals who, on the date hereof, constitute the Board and any new director (other than a director whose initial assumption of office is in connection with an actual or threatened election contest, including but not limited to a consent solicitation, relating to the election of directors of the Corporation) whose appointment or election by the Board or nomination for election by the Corporation’s stockholders was approved or recommended by a vote of at least two-thirds (2/3) of the directors then still in office who either were directors on the date hereof or whose appointment, election or nomination for election was previously so approved or recommended (the “Incumbent Board”); provided, however, that no individual shall be considered a member of the Incumbent Board if such individual initially assumed office as a result of either an actual or threatened election contest (an “Election Contest”) or other actual or threatened solicitation of proxies or consents by or on behalf of a Person other than the Board (a “Proxy Contest”), including by reason of any agreement intended to avoid or settle any Election Contest or Proxy Contest;</w:t>
      </w:r>
    </w:p>
    <w:p>
      <w:pPr>
        <w:spacing w:after="0" w:line="195" w:lineRule="exact"/>
        <w:rPr>
          <w:rFonts w:ascii="Arial" w:cs="Arial" w:eastAsia="Arial" w:hAnsi="Arial"/>
          <w:sz w:val="19"/>
          <w:szCs w:val="19"/>
          <w:color w:val="auto"/>
        </w:rPr>
      </w:pPr>
    </w:p>
    <w:p>
      <w:pPr>
        <w:jc w:val="both"/>
        <w:ind w:left="660" w:hanging="4"/>
        <w:spacing w:after="0" w:line="291" w:lineRule="auto"/>
        <w:tabs>
          <w:tab w:leader="none" w:pos="1047" w:val="left"/>
        </w:tabs>
        <w:numPr>
          <w:ilvl w:val="0"/>
          <w:numId w:val="30"/>
        </w:numPr>
        <w:rPr>
          <w:rFonts w:ascii="Arial" w:cs="Arial" w:eastAsia="Arial" w:hAnsi="Arial"/>
          <w:sz w:val="19"/>
          <w:szCs w:val="19"/>
          <w:color w:val="auto"/>
        </w:rPr>
      </w:pPr>
      <w:r>
        <w:rPr>
          <w:rFonts w:ascii="Arial" w:cs="Arial" w:eastAsia="Arial" w:hAnsi="Arial"/>
          <w:sz w:val="19"/>
          <w:szCs w:val="19"/>
          <w:color w:val="auto"/>
        </w:rPr>
        <w:t>there is consummated a merger, consolidation, wind-up, reorganization or restructuring of the Corporation with or into any other entity, or a similar event or series of such events, other than (A) any such event or series of events which results in</w:t>
      </w:r>
    </w:p>
    <w:p>
      <w:pPr>
        <w:spacing w:after="0" w:line="1" w:lineRule="exact"/>
        <w:rPr>
          <w:rFonts w:ascii="Arial" w:cs="Arial" w:eastAsia="Arial" w:hAnsi="Arial"/>
          <w:sz w:val="19"/>
          <w:szCs w:val="19"/>
          <w:color w:val="auto"/>
        </w:rPr>
      </w:pPr>
    </w:p>
    <w:p>
      <w:pPr>
        <w:jc w:val="both"/>
        <w:ind w:left="660"/>
        <w:spacing w:after="0" w:line="258" w:lineRule="auto"/>
        <w:rPr>
          <w:rFonts w:ascii="Arial" w:cs="Arial" w:eastAsia="Arial" w:hAnsi="Arial"/>
          <w:sz w:val="19"/>
          <w:szCs w:val="19"/>
          <w:color w:val="auto"/>
        </w:rPr>
      </w:pPr>
      <w:r>
        <w:rPr>
          <w:rFonts w:ascii="Arial" w:cs="Arial" w:eastAsia="Arial" w:hAnsi="Arial"/>
          <w:sz w:val="21"/>
          <w:szCs w:val="21"/>
          <w:color w:val="auto"/>
        </w:rPr>
        <w:t>(1) the voting securities of the Corporation outstanding immediately prior to such event or series of events continuing to represent (either by remaining outstanding or by being converted into voting securities of the surviving entity or any parent thereof), in combination with the ownership of any trustee or other fiduciary holding securities under an employee benefit plan of the Corporation or any subsidiary of the Corporation, at least 51% of the combined voting power of the securities of the Corporation or such surviving entity or any parent thereof outstanding immediately after such merger or consolidation and (2) the individuals who comprise the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v</w:t>
      </w:r>
    </w:p>
    <w:p>
      <w:pPr>
        <w:sectPr>
          <w:pgSz w:w="11900" w:h="16838" w:orient="portrait"/>
          <w:cols w:equalWidth="0" w:num="1">
            <w:col w:w="11420"/>
          </w:cols>
          <w:pgMar w:left="240" w:top="585" w:right="239" w:bottom="1440" w:gutter="0" w:footer="0" w:header="0"/>
        </w:sectPr>
      </w:pPr>
    </w:p>
    <w:bookmarkStart w:id="51" w:name="page52"/>
    <w:bookmarkEnd w:id="51"/>
    <w:p>
      <w:pPr>
        <w:jc w:val="both"/>
        <w:ind w:left="660"/>
        <w:spacing w:after="0" w:line="260" w:lineRule="auto"/>
        <w:rPr>
          <w:sz w:val="20"/>
          <w:szCs w:val="20"/>
          <w:color w:val="auto"/>
        </w:rPr>
      </w:pPr>
      <w:r>
        <w:rPr>
          <w:rFonts w:ascii="Arial" w:cs="Arial" w:eastAsia="Arial" w:hAnsi="Arial"/>
          <w:sz w:val="21"/>
          <w:szCs w:val="21"/>
          <w:color w:val="auto"/>
        </w:rPr>
        <w:t>Board immediately prior thereto constituting immediately thereafter at least a majority of the board of directors of the Corporation, the entity surviving such merger or consolidation or, if the Corporation or the entity surviving such merger is then a subsidiary, the ultimate parent thereof, or (B) any such event or series of events effected to implement a recapitalization of the Corporation (or similar transaction) in which no Person is or becomes the Beneficial Owner, directly or indirectly, of securities of the Corporation (not including in the securities Beneficially Owned by such Person any securities acquired directly from the Corporation or its Affiliates) representing 35% or more of the combined voting power of the Corporation’s then outstanding securities; or</w:t>
      </w:r>
    </w:p>
    <w:p>
      <w:pPr>
        <w:spacing w:after="0" w:line="222" w:lineRule="exact"/>
        <w:rPr>
          <w:sz w:val="20"/>
          <w:szCs w:val="20"/>
          <w:color w:val="auto"/>
        </w:rPr>
      </w:pPr>
    </w:p>
    <w:p>
      <w:pPr>
        <w:jc w:val="both"/>
        <w:ind w:left="660" w:hanging="4"/>
        <w:spacing w:after="0" w:line="284" w:lineRule="auto"/>
        <w:tabs>
          <w:tab w:leader="none" w:pos="1033" w:val="left"/>
        </w:tabs>
        <w:numPr>
          <w:ilvl w:val="0"/>
          <w:numId w:val="31"/>
        </w:numPr>
        <w:rPr>
          <w:rFonts w:ascii="Arial" w:cs="Arial" w:eastAsia="Arial" w:hAnsi="Arial"/>
          <w:sz w:val="19"/>
          <w:szCs w:val="19"/>
          <w:color w:val="auto"/>
        </w:rPr>
      </w:pPr>
      <w:r>
        <w:rPr>
          <w:rFonts w:ascii="Arial" w:cs="Arial" w:eastAsia="Arial" w:hAnsi="Arial"/>
          <w:sz w:val="19"/>
          <w:szCs w:val="19"/>
          <w:color w:val="auto"/>
        </w:rPr>
        <w:t>the stockholders of the Corporation approve a plan of complete liquidation or dissolution of the Corporation or there is consummated an agreement for the sale or disposition by the Corporation of all or substantially all of the Corporation’s assets (it being conclusively presumed that any sale or disposition is a sale or disposition by the Corporation of all or substantially all of its assets if the consummation of the sale or disposition is contingent upon approval by the Corporation’s stockholders unless the Board expressly determines in writing that such approval is required solely by reason of any relationship between the Corporation and any other Person or an Affiliate of the Corporation and any other Person), other than a sale or disposition by the Corporation of all or substantially all of the Corporation’s assets to an entity (A) at least 51% of the combined voting power of the voting securities of which are owned by stockholders of the Corporation in substantially the same proportions as their ownership of the Corporation immediately prior to such sale or disposition and</w:t>
      </w:r>
    </w:p>
    <w:p>
      <w:pPr>
        <w:ind w:left="660"/>
        <w:spacing w:after="0" w:line="246" w:lineRule="auto"/>
        <w:rPr>
          <w:rFonts w:ascii="Arial" w:cs="Arial" w:eastAsia="Arial" w:hAnsi="Arial"/>
          <w:sz w:val="19"/>
          <w:szCs w:val="19"/>
          <w:color w:val="auto"/>
        </w:rPr>
      </w:pPr>
      <w:r>
        <w:rPr>
          <w:rFonts w:ascii="Arial" w:cs="Arial" w:eastAsia="Arial" w:hAnsi="Arial"/>
          <w:sz w:val="22"/>
          <w:szCs w:val="22"/>
          <w:color w:val="auto"/>
        </w:rPr>
        <w:t>(B) the majority of whose board of directors immediately following such sale or disposition consists of individuals who comprise the Board immediately prior thereto.</w:t>
      </w:r>
    </w:p>
    <w:p>
      <w:pPr>
        <w:spacing w:after="0" w:line="233"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Notwithstanding the foregoing, (A) a “Change of Control” shall not be deemed to have occurred by virtue of the consummation of any transaction or series of integrated transactions immediately following which the record holders of the common stock of the Corporation immediately prior to such transaction or series of transactions continue to have substantially the same proportionate ownership in an entity which owns all or substantially all of the assets of the Corporation immediately following such transaction or series of transactions and (B) if required to avoid accelerated taxation and/or tax penalties under Section 409A of the Code, a “Change of Control” shall be deemed to have occurred only if a “change in the ownership of the corporation,” a “change in effective control of the corporation” or a “change in the ownership of a substantial portion of the assets of the corporation,” within the meaning of Section 409A(a)(2)(A)(v) of the Code shall also be deemed to have occurred under Section 409A of the Code.</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Good Reason</w:t>
      </w:r>
      <w:r>
        <w:rPr>
          <w:rFonts w:ascii="Arial" w:cs="Arial" w:eastAsia="Arial" w:hAnsi="Arial"/>
          <w:sz w:val="22"/>
          <w:szCs w:val="22"/>
          <w:color w:val="auto"/>
        </w:rPr>
        <w:t>” means:</w:t>
      </w:r>
    </w:p>
    <w:p>
      <w:pPr>
        <w:spacing w:after="0" w:line="266" w:lineRule="exact"/>
        <w:rPr>
          <w:sz w:val="20"/>
          <w:szCs w:val="20"/>
          <w:color w:val="auto"/>
        </w:rPr>
      </w:pPr>
    </w:p>
    <w:p>
      <w:pPr>
        <w:ind w:left="1300" w:hanging="644"/>
        <w:spacing w:after="0"/>
        <w:tabs>
          <w:tab w:leader="none" w:pos="1300" w:val="left"/>
        </w:tabs>
        <w:numPr>
          <w:ilvl w:val="0"/>
          <w:numId w:val="32"/>
        </w:numPr>
        <w:rPr>
          <w:rFonts w:ascii="Arial" w:cs="Arial" w:eastAsia="Arial" w:hAnsi="Arial"/>
          <w:sz w:val="22"/>
          <w:szCs w:val="22"/>
          <w:color w:val="auto"/>
        </w:rPr>
      </w:pPr>
      <w:r>
        <w:rPr>
          <w:rFonts w:ascii="Arial" w:cs="Arial" w:eastAsia="Arial" w:hAnsi="Arial"/>
          <w:sz w:val="22"/>
          <w:szCs w:val="22"/>
          <w:color w:val="auto"/>
        </w:rPr>
        <w:t>A material and permanent diminution in Grantee’s duties or responsibilities;</w:t>
      </w:r>
    </w:p>
    <w:p>
      <w:pPr>
        <w:spacing w:after="0" w:line="219" w:lineRule="exact"/>
        <w:rPr>
          <w:rFonts w:ascii="Arial" w:cs="Arial" w:eastAsia="Arial" w:hAnsi="Arial"/>
          <w:sz w:val="22"/>
          <w:szCs w:val="22"/>
          <w:color w:val="auto"/>
        </w:rPr>
      </w:pPr>
    </w:p>
    <w:p>
      <w:pPr>
        <w:ind w:left="1300" w:hanging="644"/>
        <w:spacing w:after="0" w:line="263" w:lineRule="auto"/>
        <w:tabs>
          <w:tab w:leader="none" w:pos="1300" w:val="left"/>
        </w:tabs>
        <w:numPr>
          <w:ilvl w:val="0"/>
          <w:numId w:val="32"/>
        </w:numPr>
        <w:rPr>
          <w:rFonts w:ascii="Arial" w:cs="Arial" w:eastAsia="Arial" w:hAnsi="Arial"/>
          <w:sz w:val="22"/>
          <w:szCs w:val="22"/>
          <w:color w:val="auto"/>
        </w:rPr>
      </w:pPr>
      <w:r>
        <w:rPr>
          <w:rFonts w:ascii="Arial" w:cs="Arial" w:eastAsia="Arial" w:hAnsi="Arial"/>
          <w:sz w:val="22"/>
          <w:szCs w:val="22"/>
          <w:color w:val="auto"/>
        </w:rPr>
        <w:t>A material reduction in the aggregate value of base salary and bonus opportunity provided to Grantee by the Corporation; or</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vi</w:t>
      </w:r>
    </w:p>
    <w:p>
      <w:pPr>
        <w:sectPr>
          <w:pgSz w:w="11900" w:h="16838" w:orient="portrait"/>
          <w:cols w:equalWidth="0" w:num="1">
            <w:col w:w="11420"/>
          </w:cols>
          <w:pgMar w:left="240" w:top="591" w:right="239" w:bottom="1440" w:gutter="0" w:footer="0" w:header="0"/>
        </w:sectPr>
      </w:pPr>
    </w:p>
    <w:bookmarkStart w:id="52" w:name="page53"/>
    <w:bookmarkEnd w:id="52"/>
    <w:p>
      <w:pPr>
        <w:ind w:left="1300" w:hanging="644"/>
        <w:spacing w:after="0"/>
        <w:tabs>
          <w:tab w:leader="none" w:pos="1300" w:val="left"/>
        </w:tabs>
        <w:numPr>
          <w:ilvl w:val="0"/>
          <w:numId w:val="33"/>
        </w:numPr>
        <w:rPr>
          <w:rFonts w:ascii="Arial" w:cs="Arial" w:eastAsia="Arial" w:hAnsi="Arial"/>
          <w:sz w:val="19"/>
          <w:szCs w:val="19"/>
          <w:color w:val="auto"/>
        </w:rPr>
      </w:pPr>
      <w:r>
        <w:rPr>
          <w:rFonts w:ascii="Arial" w:cs="Arial" w:eastAsia="Arial" w:hAnsi="Arial"/>
          <w:sz w:val="19"/>
          <w:szCs w:val="19"/>
          <w:color w:val="auto"/>
        </w:rPr>
        <w:t>A permanent reassignment of Grantee to another primary office more than 50 miles from the current office location.</w:t>
      </w:r>
    </w:p>
    <w:p>
      <w:pPr>
        <w:spacing w:after="0" w:line="254" w:lineRule="exact"/>
        <w:rPr>
          <w:sz w:val="20"/>
          <w:szCs w:val="20"/>
          <w:color w:val="auto"/>
        </w:rPr>
      </w:pPr>
    </w:p>
    <w:p>
      <w:pPr>
        <w:jc w:val="both"/>
        <w:ind w:left="660"/>
        <w:spacing w:after="0" w:line="250" w:lineRule="auto"/>
        <w:rPr>
          <w:sz w:val="20"/>
          <w:szCs w:val="20"/>
          <w:color w:val="auto"/>
        </w:rPr>
      </w:pPr>
      <w:r>
        <w:rPr>
          <w:rFonts w:ascii="Arial" w:cs="Arial" w:eastAsia="Arial" w:hAnsi="Arial"/>
          <w:sz w:val="22"/>
          <w:szCs w:val="22"/>
          <w:color w:val="auto"/>
        </w:rPr>
        <w:t>Grantee must notify the Corporation of Grantee’s intention to invoke termination for Good Reason within 90 days after Grantee has knowledge of such event and provide the Corporation 30 days’ opportunity for cure, or such event shall not constitute Good Reason. Grantee may not invoke termination for Good Reason if Cause exists at the time of such termination.</w:t>
      </w:r>
    </w:p>
    <w:p>
      <w:pPr>
        <w:spacing w:after="0" w:line="200" w:lineRule="exact"/>
        <w:rPr>
          <w:sz w:val="20"/>
          <w:szCs w:val="20"/>
          <w:color w:val="auto"/>
        </w:rPr>
      </w:pPr>
    </w:p>
    <w:p>
      <w:pPr>
        <w:spacing w:after="0" w:line="239" w:lineRule="exact"/>
        <w:rPr>
          <w:sz w:val="20"/>
          <w:szCs w:val="20"/>
          <w:color w:val="auto"/>
        </w:rPr>
      </w:pPr>
    </w:p>
    <w:p>
      <w:pPr>
        <w:jc w:val="both"/>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Person</w:t>
      </w:r>
      <w:r>
        <w:rPr>
          <w:rFonts w:ascii="Arial" w:cs="Arial" w:eastAsia="Arial" w:hAnsi="Arial"/>
          <w:sz w:val="21"/>
          <w:szCs w:val="21"/>
          <w:color w:val="auto"/>
        </w:rPr>
        <w:t>” shall have the meaning given in Section 3(a)(9) of the Exchange Act, as modified and used in Sections 13(d) and 14(d) thereof, except that such term shall not include (i) the Corporation or any of its subsidiaries, (ii) a trustee or other fiduciary holding securities under an employee benefit plan of the Corporation or any of its Affiliates, (iii) an underwriter temporarily holding securities pursuant to an offering of such securities, or (iv) a corporation owned, directly or indirectly, by the stockholders of the Corporation in substantially the same proportions as their ownership of stock of the Corporation.</w:t>
      </w:r>
    </w:p>
    <w:p>
      <w:pPr>
        <w:spacing w:after="0" w:line="21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“Qualifying Termination” </w:t>
      </w:r>
      <w:r>
        <w:rPr>
          <w:rFonts w:ascii="Arial" w:cs="Arial" w:eastAsia="Arial" w:hAnsi="Arial"/>
          <w:sz w:val="19"/>
          <w:szCs w:val="19"/>
          <w:color w:val="auto"/>
        </w:rPr>
        <w:t>means a termination of Grantee’s services with the Corporation or a Subsidiary or an Affiliate of the</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color w:val="auto"/>
        </w:rPr>
        <w:t>Corporation for any reason other than:</w:t>
      </w:r>
    </w:p>
    <w:p>
      <w:pPr>
        <w:spacing w:after="0" w:line="202" w:lineRule="exact"/>
        <w:rPr>
          <w:sz w:val="20"/>
          <w:szCs w:val="20"/>
          <w:color w:val="auto"/>
        </w:rPr>
      </w:pPr>
    </w:p>
    <w:p>
      <w:pPr>
        <w:ind w:left="1080" w:hanging="424"/>
        <w:spacing w:after="0"/>
        <w:tabs>
          <w:tab w:leader="none" w:pos="1080" w:val="left"/>
        </w:tabs>
        <w:numPr>
          <w:ilvl w:val="0"/>
          <w:numId w:val="34"/>
        </w:numPr>
        <w:rPr>
          <w:rFonts w:ascii="Arial" w:cs="Arial" w:eastAsia="Arial" w:hAnsi="Arial"/>
          <w:sz w:val="22"/>
          <w:szCs w:val="22"/>
          <w:color w:val="auto"/>
        </w:rPr>
      </w:pPr>
      <w:r>
        <w:rPr>
          <w:rFonts w:ascii="Arial" w:cs="Arial" w:eastAsia="Arial" w:hAnsi="Arial"/>
          <w:sz w:val="22"/>
          <w:szCs w:val="22"/>
          <w:color w:val="auto"/>
        </w:rPr>
        <w:t>death;</w:t>
      </w:r>
    </w:p>
    <w:p>
      <w:pPr>
        <w:spacing w:after="0" w:line="219" w:lineRule="exact"/>
        <w:rPr>
          <w:rFonts w:ascii="Arial" w:cs="Arial" w:eastAsia="Arial" w:hAnsi="Arial"/>
          <w:sz w:val="22"/>
          <w:szCs w:val="22"/>
          <w:color w:val="auto"/>
        </w:rPr>
      </w:pPr>
    </w:p>
    <w:p>
      <w:pPr>
        <w:ind w:left="1140" w:hanging="484"/>
        <w:spacing w:after="0"/>
        <w:tabs>
          <w:tab w:leader="none" w:pos="1140" w:val="left"/>
        </w:tabs>
        <w:numPr>
          <w:ilvl w:val="0"/>
          <w:numId w:val="34"/>
        </w:numPr>
        <w:rPr>
          <w:rFonts w:ascii="Arial" w:cs="Arial" w:eastAsia="Arial" w:hAnsi="Arial"/>
          <w:sz w:val="22"/>
          <w:szCs w:val="22"/>
          <w:color w:val="auto"/>
        </w:rPr>
      </w:pPr>
      <w:r>
        <w:rPr>
          <w:rFonts w:ascii="Arial" w:cs="Arial" w:eastAsia="Arial" w:hAnsi="Arial"/>
          <w:sz w:val="22"/>
          <w:szCs w:val="22"/>
          <w:color w:val="auto"/>
        </w:rPr>
        <w:t>Disability;</w:t>
      </w:r>
    </w:p>
    <w:p>
      <w:pPr>
        <w:spacing w:after="0" w:line="219" w:lineRule="exact"/>
        <w:rPr>
          <w:rFonts w:ascii="Arial" w:cs="Arial" w:eastAsia="Arial" w:hAnsi="Arial"/>
          <w:sz w:val="22"/>
          <w:szCs w:val="22"/>
          <w:color w:val="auto"/>
        </w:rPr>
      </w:pPr>
    </w:p>
    <w:p>
      <w:pPr>
        <w:ind w:left="1200" w:hanging="544"/>
        <w:spacing w:after="0"/>
        <w:tabs>
          <w:tab w:leader="none" w:pos="1200" w:val="left"/>
        </w:tabs>
        <w:numPr>
          <w:ilvl w:val="0"/>
          <w:numId w:val="34"/>
        </w:numPr>
        <w:rPr>
          <w:rFonts w:ascii="Arial" w:cs="Arial" w:eastAsia="Arial" w:hAnsi="Arial"/>
          <w:sz w:val="22"/>
          <w:szCs w:val="22"/>
          <w:color w:val="auto"/>
        </w:rPr>
      </w:pPr>
      <w:r>
        <w:rPr>
          <w:rFonts w:ascii="Arial" w:cs="Arial" w:eastAsia="Arial" w:hAnsi="Arial"/>
          <w:sz w:val="22"/>
          <w:szCs w:val="22"/>
          <w:color w:val="auto"/>
        </w:rPr>
        <w:t>Cause; or</w:t>
      </w:r>
    </w:p>
    <w:p>
      <w:pPr>
        <w:spacing w:after="0" w:line="219" w:lineRule="exact"/>
        <w:rPr>
          <w:rFonts w:ascii="Arial" w:cs="Arial" w:eastAsia="Arial" w:hAnsi="Arial"/>
          <w:sz w:val="22"/>
          <w:szCs w:val="22"/>
          <w:color w:val="auto"/>
        </w:rPr>
      </w:pPr>
    </w:p>
    <w:p>
      <w:pPr>
        <w:ind w:left="1240" w:hanging="584"/>
        <w:spacing w:after="0"/>
        <w:tabs>
          <w:tab w:leader="none" w:pos="1240" w:val="left"/>
        </w:tabs>
        <w:numPr>
          <w:ilvl w:val="0"/>
          <w:numId w:val="34"/>
        </w:numPr>
        <w:rPr>
          <w:rFonts w:ascii="Arial" w:cs="Arial" w:eastAsia="Arial" w:hAnsi="Arial"/>
          <w:sz w:val="22"/>
          <w:szCs w:val="22"/>
          <w:color w:val="auto"/>
        </w:rPr>
      </w:pPr>
      <w:r>
        <w:rPr>
          <w:rFonts w:ascii="Arial" w:cs="Arial" w:eastAsia="Arial" w:hAnsi="Arial"/>
          <w:sz w:val="22"/>
          <w:szCs w:val="22"/>
          <w:color w:val="auto"/>
        </w:rPr>
        <w:t>a termination of services by Grantee without Good Reason (as defined above).</w:t>
      </w:r>
    </w:p>
    <w:p>
      <w:pPr>
        <w:spacing w:after="0" w:line="214" w:lineRule="exact"/>
        <w:rPr>
          <w:sz w:val="20"/>
          <w:szCs w:val="20"/>
          <w:color w:val="auto"/>
        </w:rPr>
      </w:pPr>
    </w:p>
    <w:p>
      <w:pPr>
        <w:jc w:val="both"/>
        <w:spacing w:after="0" w:line="252" w:lineRule="auto"/>
        <w:rPr>
          <w:sz w:val="20"/>
          <w:szCs w:val="20"/>
          <w:color w:val="auto"/>
        </w:rPr>
      </w:pPr>
      <w:r>
        <w:rPr>
          <w:rFonts w:ascii="Arial" w:cs="Arial" w:eastAsia="Arial" w:hAnsi="Arial"/>
          <w:sz w:val="22"/>
          <w:szCs w:val="22"/>
          <w:b w:val="1"/>
          <w:bCs w:val="1"/>
          <w:color w:val="auto"/>
        </w:rPr>
        <w:t xml:space="preserve">“Retirement” </w:t>
      </w:r>
      <w:r>
        <w:rPr>
          <w:rFonts w:ascii="Arial" w:cs="Arial" w:eastAsia="Arial" w:hAnsi="Arial"/>
          <w:sz w:val="22"/>
          <w:szCs w:val="22"/>
          <w:color w:val="auto"/>
        </w:rPr>
        <w:t>means termination of service with the consent of the Administrator on or after age 55, or any other definition</w:t>
      </w:r>
      <w:r>
        <w:rPr>
          <w:rFonts w:ascii="Arial" w:cs="Arial" w:eastAsia="Arial" w:hAnsi="Arial"/>
          <w:sz w:val="22"/>
          <w:szCs w:val="22"/>
          <w:b w:val="1"/>
          <w:bCs w:val="1"/>
          <w:color w:val="auto"/>
        </w:rPr>
        <w:t xml:space="preserve"> </w:t>
      </w:r>
      <w:r>
        <w:rPr>
          <w:rFonts w:ascii="Arial" w:cs="Arial" w:eastAsia="Arial" w:hAnsi="Arial"/>
          <w:sz w:val="22"/>
          <w:szCs w:val="22"/>
          <w:color w:val="auto"/>
        </w:rPr>
        <w:t>established by the Administrator, in its discretion, in writing after the grant of the Award, provided that the definition of Retirement with respect to the timing of payment (and not merely vesting) of any Award subject to Code Section 409A cannot be changed after the Award is granted.</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vii</w:t>
      </w:r>
    </w:p>
    <w:p>
      <w:pPr>
        <w:sectPr>
          <w:pgSz w:w="11900" w:h="16838" w:orient="portrait"/>
          <w:cols w:equalWidth="0" w:num="1">
            <w:col w:w="11420"/>
          </w:cols>
          <w:pgMar w:left="240" w:top="591"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22"/>
          <w:szCs w:val="22"/>
          <w:b w:val="1"/>
          <w:bCs w:val="1"/>
          <w:color w:val="auto"/>
        </w:rPr>
        <w:t>APPENDIX 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PERFORMANCE UNIT AGREEMENT</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NON-U.S. ADDENDUM</w:t>
      </w:r>
    </w:p>
    <w:p>
      <w:pPr>
        <w:spacing w:after="0" w:line="260" w:lineRule="exact"/>
        <w:rPr>
          <w:sz w:val="20"/>
          <w:szCs w:val="20"/>
          <w:color w:val="auto"/>
        </w:rPr>
      </w:pPr>
    </w:p>
    <w:p>
      <w:pPr>
        <w:jc w:val="center"/>
        <w:ind w:left="260"/>
        <w:spacing w:after="0" w:line="269" w:lineRule="auto"/>
        <w:rPr>
          <w:sz w:val="20"/>
          <w:szCs w:val="20"/>
          <w:color w:val="auto"/>
        </w:rPr>
      </w:pPr>
      <w:r>
        <w:rPr>
          <w:rFonts w:ascii="Arial" w:cs="Arial" w:eastAsia="Arial" w:hAnsi="Arial"/>
          <w:sz w:val="22"/>
          <w:szCs w:val="22"/>
          <w:b w:val="1"/>
          <w:bCs w:val="1"/>
          <w:color w:val="auto"/>
        </w:rPr>
        <w:t>Additional Terms and Conditions for Equity Grants Under the TriMas Corporation 2006 Long Term Equity Incentive Plan, as amended</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March 2016</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Terms and Conditions</w:t>
      </w:r>
    </w:p>
    <w:p>
      <w:pPr>
        <w:spacing w:after="0" w:line="242"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This Addendum includes additional terms and conditions that govern the performance units (“</w:t>
      </w:r>
      <w:r>
        <w:rPr>
          <w:rFonts w:ascii="Arial" w:cs="Arial" w:eastAsia="Arial" w:hAnsi="Arial"/>
          <w:sz w:val="21"/>
          <w:szCs w:val="21"/>
          <w:u w:val="single" w:color="auto"/>
          <w:color w:val="auto"/>
        </w:rPr>
        <w:t>Performance Units</w:t>
      </w:r>
      <w:r>
        <w:rPr>
          <w:rFonts w:ascii="Arial" w:cs="Arial" w:eastAsia="Arial" w:hAnsi="Arial"/>
          <w:sz w:val="21"/>
          <w:szCs w:val="21"/>
          <w:color w:val="auto"/>
        </w:rPr>
        <w:t>”) granted to you under the TriMas Corporation 2006 Long Term Equity Incentive Plan, as amended (referred to as the “</w:t>
      </w:r>
      <w:r>
        <w:rPr>
          <w:rFonts w:ascii="Arial" w:cs="Arial" w:eastAsia="Arial" w:hAnsi="Arial"/>
          <w:sz w:val="21"/>
          <w:szCs w:val="21"/>
          <w:u w:val="single" w:color="auto"/>
          <w:color w:val="auto"/>
        </w:rPr>
        <w:t>Plan</w:t>
      </w:r>
      <w:r>
        <w:rPr>
          <w:rFonts w:ascii="Arial" w:cs="Arial" w:eastAsia="Arial" w:hAnsi="Arial"/>
          <w:sz w:val="21"/>
          <w:szCs w:val="21"/>
          <w:color w:val="auto"/>
        </w:rPr>
        <w:t>”) if you reside in one of the countries listed below. Certain capitalized terms used but not defined in this Addendum have the meanings set forth in the Plan and/or your award agreement (the “</w:t>
      </w:r>
      <w:r>
        <w:rPr>
          <w:rFonts w:ascii="Arial" w:cs="Arial" w:eastAsia="Arial" w:hAnsi="Arial"/>
          <w:sz w:val="21"/>
          <w:szCs w:val="21"/>
          <w:u w:val="single" w:color="auto"/>
          <w:color w:val="auto"/>
        </w:rPr>
        <w:t>Agreement</w:t>
      </w:r>
      <w:r>
        <w:rPr>
          <w:rFonts w:ascii="Arial" w:cs="Arial" w:eastAsia="Arial" w:hAnsi="Arial"/>
          <w:sz w:val="21"/>
          <w:szCs w:val="21"/>
          <w:color w:val="auto"/>
        </w:rPr>
        <w:t>”) that relates to your award. By accepting your award, you agree to be bound by the terms and conditions contained in the paragraphs below in addition to the terms of the Plan, the Agreement, and the terms of any other document that may apply to you and your award.</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Notifications</w:t>
      </w:r>
    </w:p>
    <w:p>
      <w:pPr>
        <w:spacing w:after="0" w:line="266"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This Addendum also includes information regarding exchange controls and certain other issues of which you should be aware with respect to participation in the Plan. The information is based on the securities, exchange control, and other laws in effect in the respective countries as of March 2016. Such laws are often complex and change frequently. As a result, it is strongly recommended that you not rely on the information in this Addendum as the only source of information relating to the consequences of your participation in the Plan because the information may be out of date at the time you vest in your Performance Units or sell shares acquired under the Plan.</w:t>
      </w:r>
    </w:p>
    <w:p>
      <w:pPr>
        <w:spacing w:after="0" w:line="234"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In addition, the information contained herein is general in nature and may not apply to your particular situation, and TriMas Corporation (the “</w:t>
      </w:r>
      <w:r>
        <w:rPr>
          <w:rFonts w:ascii="Arial" w:cs="Arial" w:eastAsia="Arial" w:hAnsi="Arial"/>
          <w:sz w:val="21"/>
          <w:szCs w:val="21"/>
          <w:u w:val="single" w:color="auto"/>
          <w:color w:val="auto"/>
        </w:rPr>
        <w:t>Corporation</w:t>
      </w:r>
      <w:r>
        <w:rPr>
          <w:rFonts w:ascii="Arial" w:cs="Arial" w:eastAsia="Arial" w:hAnsi="Arial"/>
          <w:sz w:val="21"/>
          <w:szCs w:val="21"/>
          <w:color w:val="auto"/>
        </w:rPr>
        <w:t>”) is not in a position to assure you of a particular result. Accordingly, you are advised to seek appropriate professional advice as to how the relevant laws in your country may apply to your situation.</w:t>
      </w:r>
    </w:p>
    <w:p>
      <w:pPr>
        <w:spacing w:after="0" w:line="208" w:lineRule="exact"/>
        <w:rPr>
          <w:sz w:val="20"/>
          <w:szCs w:val="20"/>
          <w:color w:val="auto"/>
        </w:rPr>
      </w:pPr>
    </w:p>
    <w:p>
      <w:pPr>
        <w:jc w:val="both"/>
        <w:ind w:right="20"/>
        <w:spacing w:after="0" w:line="253" w:lineRule="auto"/>
        <w:rPr>
          <w:sz w:val="20"/>
          <w:szCs w:val="20"/>
          <w:color w:val="auto"/>
        </w:rPr>
      </w:pPr>
      <w:r>
        <w:rPr>
          <w:rFonts w:ascii="Arial" w:cs="Arial" w:eastAsia="Arial" w:hAnsi="Arial"/>
          <w:sz w:val="22"/>
          <w:szCs w:val="22"/>
          <w:color w:val="auto"/>
        </w:rPr>
        <w:t>Finally, if you are a citizen or resident of a country other than the one in which you are currently working, transferred employment after the Performance Units were granted to you, or are considered a resident of another country for local law purposes, the information contained herein may not apply.</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COUNTRY-SPECIFIC LANGUAGE</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color w:val="auto"/>
        </w:rPr>
        <w:t>Below please find country specific language that applies to Grantees in the following countries: the United Kingdom.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viii</w:t>
      </w:r>
    </w:p>
    <w:p>
      <w:pPr>
        <w:sectPr>
          <w:pgSz w:w="11900" w:h="16838" w:orient="portrait"/>
          <w:cols w:equalWidth="0" w:num="1">
            <w:col w:w="11420"/>
          </w:cols>
          <w:pgMar w:left="240" w:top="585"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22"/>
          <w:szCs w:val="22"/>
          <w:b w:val="1"/>
          <w:bCs w:val="1"/>
          <w:i w:val="1"/>
          <w:iCs w:val="1"/>
          <w:u w:val="single" w:color="auto"/>
          <w:color w:val="auto"/>
        </w:rPr>
        <w:t>UNITED KINGDOM</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Terms and Conditions</w:t>
      </w:r>
    </w:p>
    <w:p>
      <w:pPr>
        <w:spacing w:after="0" w:line="260" w:lineRule="exact"/>
        <w:rPr>
          <w:sz w:val="20"/>
          <w:szCs w:val="20"/>
          <w:color w:val="auto"/>
        </w:rPr>
      </w:pPr>
    </w:p>
    <w:p>
      <w:pPr>
        <w:jc w:val="both"/>
        <w:spacing w:after="0" w:line="315" w:lineRule="auto"/>
        <w:rPr>
          <w:sz w:val="20"/>
          <w:szCs w:val="20"/>
          <w:color w:val="auto"/>
        </w:rPr>
      </w:pPr>
      <w:r>
        <w:rPr>
          <w:rFonts w:ascii="Arial" w:cs="Arial" w:eastAsia="Arial" w:hAnsi="Arial"/>
          <w:sz w:val="19"/>
          <w:szCs w:val="19"/>
          <w:b w:val="1"/>
          <w:bCs w:val="1"/>
          <w:color w:val="auto"/>
        </w:rPr>
        <w:t xml:space="preserve">Retirement. </w:t>
      </w:r>
      <w:r>
        <w:rPr>
          <w:rFonts w:ascii="Arial" w:cs="Arial" w:eastAsia="Arial" w:hAnsi="Arial"/>
          <w:sz w:val="19"/>
          <w:szCs w:val="19"/>
          <w:color w:val="auto"/>
        </w:rPr>
        <w:t>For purposes of the Agreement, “Retirement” shall mean the termination of Grantee’s services with the Corporation or</w:t>
      </w:r>
      <w:r>
        <w:rPr>
          <w:rFonts w:ascii="Arial" w:cs="Arial" w:eastAsia="Arial" w:hAnsi="Arial"/>
          <w:sz w:val="19"/>
          <w:szCs w:val="19"/>
          <w:b w:val="1"/>
          <w:bCs w:val="1"/>
          <w:color w:val="auto"/>
        </w:rPr>
        <w:t xml:space="preserve"> </w:t>
      </w:r>
      <w:r>
        <w:rPr>
          <w:rFonts w:ascii="Arial" w:cs="Arial" w:eastAsia="Arial" w:hAnsi="Arial"/>
          <w:sz w:val="19"/>
          <w:szCs w:val="19"/>
          <w:color w:val="auto"/>
        </w:rPr>
        <w:t>a Subsidiary or an Affiliate in circumstances determined by the Administrator (in its reasonable discretion, provided that, for the avoidance of doubt, the Administrator shall not be obliged to exercise its discretion in favor of Grantee) to be retirement.</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Non-Transferability of Award</w:t>
      </w:r>
      <w:r>
        <w:rPr>
          <w:rFonts w:ascii="Arial" w:cs="Arial" w:eastAsia="Arial" w:hAnsi="Arial"/>
          <w:sz w:val="22"/>
          <w:szCs w:val="22"/>
          <w:color w:val="auto"/>
        </w:rPr>
        <w:t>. Section II.B.1 of the Agreement is hereby amended in its entirety to read as follows:</w:t>
      </w:r>
    </w:p>
    <w:p>
      <w:pPr>
        <w:spacing w:after="0" w:line="266" w:lineRule="exact"/>
        <w:rPr>
          <w:sz w:val="20"/>
          <w:szCs w:val="20"/>
          <w:color w:val="auto"/>
        </w:rPr>
      </w:pPr>
    </w:p>
    <w:p>
      <w:pPr>
        <w:jc w:val="both"/>
        <w:ind w:left="660" w:firstLine="648"/>
        <w:spacing w:after="0" w:line="247" w:lineRule="auto"/>
        <w:rPr>
          <w:sz w:val="20"/>
          <w:szCs w:val="20"/>
          <w:color w:val="auto"/>
        </w:rPr>
      </w:pPr>
      <w:r>
        <w:rPr>
          <w:rFonts w:ascii="Arial" w:cs="Arial" w:eastAsia="Arial" w:hAnsi="Arial"/>
          <w:sz w:val="22"/>
          <w:szCs w:val="22"/>
          <w:color w:val="auto"/>
        </w:rPr>
        <w:t>“Except as described below, this Award and the Performance Units subject to this Award may not be sold, pledged, assigned, hypothecated, transferred, or disposed of in any manner other than by will or by the laws of descent or distribution and the Award shall lapse and any unvested Performance Units subject to this Award shall be forfeited if a bankruptcy order is made in respect of Grantee. For the avoidance of doubt, the provisions contained in Section 11.13 of the Plan which allow each Participant to designate a beneficiary for the Performance Units awarded to him or her under the Plan shall not apply to this Award.”</w:t>
      </w: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Withholding</w:t>
      </w:r>
      <w:r>
        <w:rPr>
          <w:rFonts w:ascii="Arial" w:cs="Arial" w:eastAsia="Arial" w:hAnsi="Arial"/>
          <w:sz w:val="22"/>
          <w:szCs w:val="22"/>
          <w:color w:val="auto"/>
        </w:rPr>
        <w:t>. Section II.B.2 of the Agreement is hereby amended in its entirety to read as follows:</w:t>
      </w:r>
    </w:p>
    <w:p>
      <w:pPr>
        <w:spacing w:after="0" w:line="2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“Grantee hereby indemnifies the Corporation, Grantee’s employer or any other person in respect of:</w:t>
      </w:r>
    </w:p>
    <w:p>
      <w:pPr>
        <w:spacing w:after="0" w:line="260" w:lineRule="exact"/>
        <w:rPr>
          <w:sz w:val="20"/>
          <w:szCs w:val="20"/>
          <w:color w:val="auto"/>
        </w:rPr>
      </w:pPr>
    </w:p>
    <w:p>
      <w:pPr>
        <w:jc w:val="both"/>
        <w:ind w:left="1960" w:hanging="655"/>
        <w:spacing w:after="0" w:line="250" w:lineRule="auto"/>
        <w:tabs>
          <w:tab w:leader="none" w:pos="1960" w:val="left"/>
        </w:tabs>
        <w:numPr>
          <w:ilvl w:val="0"/>
          <w:numId w:val="35"/>
        </w:numPr>
        <w:rPr>
          <w:rFonts w:ascii="Arial" w:cs="Arial" w:eastAsia="Arial" w:hAnsi="Arial"/>
          <w:sz w:val="22"/>
          <w:szCs w:val="22"/>
          <w:color w:val="auto"/>
        </w:rPr>
      </w:pPr>
      <w:r>
        <w:rPr>
          <w:rFonts w:ascii="Arial" w:cs="Arial" w:eastAsia="Arial" w:hAnsi="Arial"/>
          <w:sz w:val="22"/>
          <w:szCs w:val="22"/>
          <w:color w:val="auto"/>
        </w:rPr>
        <w:t>any amount of income tax for which the Corporation, Grantee’s employer or any other person is obliged to account under the Pay-As-You-Earn system and any amounts of employee’s national insurance contributions arising from the vesting of the Award (or which would not otherwise have arisen but for the grant of the Award to Grantee); and</w:t>
      </w:r>
    </w:p>
    <w:p>
      <w:pPr>
        <w:spacing w:after="0" w:line="228" w:lineRule="exact"/>
        <w:rPr>
          <w:rFonts w:ascii="Arial" w:cs="Arial" w:eastAsia="Arial" w:hAnsi="Arial"/>
          <w:sz w:val="22"/>
          <w:szCs w:val="22"/>
          <w:color w:val="auto"/>
        </w:rPr>
      </w:pPr>
    </w:p>
    <w:p>
      <w:pPr>
        <w:jc w:val="both"/>
        <w:ind w:left="1960" w:hanging="655"/>
        <w:spacing w:after="0" w:line="297" w:lineRule="auto"/>
        <w:tabs>
          <w:tab w:leader="none" w:pos="1960" w:val="left"/>
        </w:tabs>
        <w:numPr>
          <w:ilvl w:val="0"/>
          <w:numId w:val="35"/>
        </w:numPr>
        <w:rPr>
          <w:rFonts w:ascii="Arial" w:cs="Arial" w:eastAsia="Arial" w:hAnsi="Arial"/>
          <w:sz w:val="19"/>
          <w:szCs w:val="19"/>
          <w:color w:val="auto"/>
        </w:rPr>
      </w:pPr>
      <w:r>
        <w:rPr>
          <w:rFonts w:ascii="Arial" w:cs="Arial" w:eastAsia="Arial" w:hAnsi="Arial"/>
          <w:sz w:val="19"/>
          <w:szCs w:val="19"/>
          <w:color w:val="auto"/>
        </w:rPr>
        <w:t>any amount of income tax for which the Corporation, Grantee’s employer or any other person is obliged to account under the Pay-As-You-Earn system and any amounts of employee’s national insurance contributions arising in respect of, or in connection with the holding or disposal by Grantee of the shares of Common Stock acquired pursuant to the Award or the conversion of such shares of Common Stock into securities of another description whilst such shares of Common Stock are held by Grantee,</w:t>
      </w:r>
    </w:p>
    <w:p>
      <w:pPr>
        <w:spacing w:after="0" w:line="188" w:lineRule="exact"/>
        <w:rPr>
          <w:sz w:val="20"/>
          <w:szCs w:val="20"/>
          <w:color w:val="auto"/>
        </w:rPr>
      </w:pPr>
    </w:p>
    <w:p>
      <w:pPr>
        <w:jc w:val="both"/>
        <w:ind w:left="660" w:firstLine="648"/>
        <w:spacing w:after="0" w:line="253" w:lineRule="auto"/>
        <w:rPr>
          <w:sz w:val="20"/>
          <w:szCs w:val="20"/>
          <w:color w:val="auto"/>
        </w:rPr>
      </w:pPr>
      <w:r>
        <w:rPr>
          <w:rFonts w:ascii="Arial" w:cs="Arial" w:eastAsia="Arial" w:hAnsi="Arial"/>
          <w:sz w:val="22"/>
          <w:szCs w:val="22"/>
          <w:color w:val="auto"/>
        </w:rPr>
        <w:t>and in pursuance of such indemnity, Grantee hereby agrees that he or she shall pay to the Corporation (or to such other entity as directed by it) such amount as shall be notified to Grantee by the Corporation as being due on any occasion under such</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ix</w:t>
      </w:r>
    </w:p>
    <w:p>
      <w:pPr>
        <w:sectPr>
          <w:pgSz w:w="11900" w:h="16838" w:orient="portrait"/>
          <w:cols w:equalWidth="0" w:num="1">
            <w:col w:w="11420"/>
          </w:cols>
          <w:pgMar w:left="240" w:top="591" w:right="239" w:bottom="1440" w:gutter="0" w:footer="0" w:header="0"/>
        </w:sectPr>
      </w:pPr>
    </w:p>
    <w:bookmarkStart w:id="55" w:name="page56"/>
    <w:bookmarkEnd w:id="55"/>
    <w:p>
      <w:pPr>
        <w:jc w:val="both"/>
        <w:ind w:left="660"/>
        <w:spacing w:after="0" w:line="288" w:lineRule="auto"/>
        <w:rPr>
          <w:sz w:val="20"/>
          <w:szCs w:val="20"/>
          <w:color w:val="auto"/>
        </w:rPr>
      </w:pPr>
      <w:r>
        <w:rPr>
          <w:rFonts w:ascii="Arial" w:cs="Arial" w:eastAsia="Arial" w:hAnsi="Arial"/>
          <w:sz w:val="19"/>
          <w:szCs w:val="19"/>
          <w:color w:val="auto"/>
        </w:rPr>
        <w:t>indemnity, within seven days after being so notified. To the extent that Grantee fails to pay any amount so notified to him or her by the Corporation within seven days after such notification, Grantee hereby agrees that the Corporation may withhold, or procure the withholding, from any salary, wages, payment or payments due to Grantee from the Corporation or Grantee’s employer an amount which is equal to the amount notified to Grantee, sell or procure the sale of sufficient of the shares of Common Stock acquired by Grantee pursuant to the Award on behalf of Grantee to produce a sum which after any costs of sale is sufficient to discharge the amount so notified to Grantee and retain such sum or make such other arrangements, by which Grantee hereby agrees to be bound, so as to ensure that the amount notified to Grantee is discharged in full. The Corporation will not be obliged to deliver any shares of Common Stock to Grantee pursuant to the Award, if Grantee fails to comply with his or her obligations under the foregoing provisions of this Section II.B.2 and Grantee shall not be entitled to receive the delivery of such shares of Common Stock.”</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Clawback Policy</w:t>
      </w:r>
      <w:r>
        <w:rPr>
          <w:rFonts w:ascii="Arial" w:cs="Arial" w:eastAsia="Arial" w:hAnsi="Arial"/>
          <w:sz w:val="22"/>
          <w:szCs w:val="22"/>
          <w:color w:val="auto"/>
        </w:rPr>
        <w:t>. Section II.B.13 of the Agreement shall not apply.</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Data Privacy</w:t>
      </w:r>
      <w:r>
        <w:rPr>
          <w:rFonts w:ascii="Arial" w:cs="Arial" w:eastAsia="Arial" w:hAnsi="Arial"/>
          <w:sz w:val="22"/>
          <w:szCs w:val="22"/>
          <w:color w:val="auto"/>
        </w:rPr>
        <w:t>. A new Section II.B.14 is added to the Agreement to read as follows:</w:t>
      </w:r>
    </w:p>
    <w:p>
      <w:pPr>
        <w:spacing w:after="0" w:line="266" w:lineRule="exact"/>
        <w:rPr>
          <w:sz w:val="20"/>
          <w:szCs w:val="20"/>
          <w:color w:val="auto"/>
        </w:rPr>
      </w:pPr>
    </w:p>
    <w:p>
      <w:pPr>
        <w:jc w:val="both"/>
        <w:ind w:left="1300"/>
        <w:spacing w:after="0" w:line="250" w:lineRule="auto"/>
        <w:rPr>
          <w:sz w:val="20"/>
          <w:szCs w:val="20"/>
          <w:color w:val="auto"/>
        </w:rPr>
      </w:pPr>
      <w:r>
        <w:rPr>
          <w:rFonts w:ascii="Arial" w:cs="Arial" w:eastAsia="Arial" w:hAnsi="Arial"/>
          <w:sz w:val="22"/>
          <w:szCs w:val="22"/>
          <w:color w:val="auto"/>
        </w:rPr>
        <w:t>“The Corporation and Grantee’s employer (together the “Data Processors”) will process the Grantee’s personal data and each may transfer the Grantee’s personal data to their Subsidiaries, HM Revenue and Customs and third party service providers, for the purposes of managing and administering the Award and the operation of the Plan including but not limited to:</w:t>
      </w:r>
    </w:p>
    <w:p>
      <w:pPr>
        <w:spacing w:after="0" w:line="188" w:lineRule="exact"/>
        <w:rPr>
          <w:sz w:val="20"/>
          <w:szCs w:val="20"/>
          <w:color w:val="auto"/>
        </w:rPr>
      </w:pPr>
    </w:p>
    <w:p>
      <w:pPr>
        <w:ind w:left="2200" w:hanging="895"/>
        <w:spacing w:after="0"/>
        <w:tabs>
          <w:tab w:leader="none" w:pos="2200" w:val="left"/>
        </w:tabs>
        <w:numPr>
          <w:ilvl w:val="0"/>
          <w:numId w:val="36"/>
        </w:numPr>
        <w:rPr>
          <w:rFonts w:ascii="Arial" w:cs="Arial" w:eastAsia="Arial" w:hAnsi="Arial"/>
          <w:sz w:val="22"/>
          <w:szCs w:val="22"/>
          <w:color w:val="auto"/>
        </w:rPr>
      </w:pPr>
      <w:r>
        <w:rPr>
          <w:rFonts w:ascii="Arial" w:cs="Arial" w:eastAsia="Arial" w:hAnsi="Arial"/>
          <w:sz w:val="22"/>
          <w:szCs w:val="22"/>
          <w:color w:val="auto"/>
        </w:rPr>
        <w:t>administering and maintaining records relating to Grantee;</w:t>
      </w:r>
    </w:p>
    <w:p>
      <w:pPr>
        <w:spacing w:after="0" w:line="260" w:lineRule="exact"/>
        <w:rPr>
          <w:rFonts w:ascii="Arial" w:cs="Arial" w:eastAsia="Arial" w:hAnsi="Arial"/>
          <w:sz w:val="22"/>
          <w:szCs w:val="22"/>
          <w:color w:val="auto"/>
        </w:rPr>
      </w:pPr>
    </w:p>
    <w:p>
      <w:pPr>
        <w:ind w:left="1960" w:right="20" w:hanging="655"/>
        <w:spacing w:after="0" w:line="263" w:lineRule="auto"/>
        <w:tabs>
          <w:tab w:leader="none" w:pos="1960" w:val="left"/>
        </w:tabs>
        <w:numPr>
          <w:ilvl w:val="0"/>
          <w:numId w:val="36"/>
        </w:numPr>
        <w:rPr>
          <w:rFonts w:ascii="Arial" w:cs="Arial" w:eastAsia="Arial" w:hAnsi="Arial"/>
          <w:sz w:val="22"/>
          <w:szCs w:val="22"/>
          <w:color w:val="auto"/>
        </w:rPr>
      </w:pPr>
      <w:r>
        <w:rPr>
          <w:rFonts w:ascii="Arial" w:cs="Arial" w:eastAsia="Arial" w:hAnsi="Arial"/>
          <w:sz w:val="22"/>
          <w:szCs w:val="22"/>
          <w:color w:val="auto"/>
        </w:rPr>
        <w:t>providing information to (i) trustees of any employee benefit trust or (ii) other third party administrators involved directly or indirectly in the operation of the Plan;</w:t>
      </w:r>
    </w:p>
    <w:p>
      <w:pPr>
        <w:spacing w:after="0" w:line="215" w:lineRule="exact"/>
        <w:rPr>
          <w:rFonts w:ascii="Arial" w:cs="Arial" w:eastAsia="Arial" w:hAnsi="Arial"/>
          <w:sz w:val="22"/>
          <w:szCs w:val="22"/>
          <w:color w:val="auto"/>
        </w:rPr>
      </w:pPr>
    </w:p>
    <w:p>
      <w:pPr>
        <w:ind w:left="1960" w:hanging="655"/>
        <w:spacing w:after="0" w:line="263" w:lineRule="auto"/>
        <w:tabs>
          <w:tab w:leader="none" w:pos="1960" w:val="left"/>
        </w:tabs>
        <w:numPr>
          <w:ilvl w:val="0"/>
          <w:numId w:val="36"/>
        </w:numPr>
        <w:rPr>
          <w:rFonts w:ascii="Arial" w:cs="Arial" w:eastAsia="Arial" w:hAnsi="Arial"/>
          <w:sz w:val="22"/>
          <w:szCs w:val="22"/>
          <w:color w:val="auto"/>
        </w:rPr>
      </w:pPr>
      <w:r>
        <w:rPr>
          <w:rFonts w:ascii="Arial" w:cs="Arial" w:eastAsia="Arial" w:hAnsi="Arial"/>
          <w:sz w:val="22"/>
          <w:szCs w:val="22"/>
          <w:color w:val="auto"/>
        </w:rPr>
        <w:t>providing information relating to Grantee in connection with the operation of the Plan to HM Revenue and Customs;</w:t>
      </w:r>
    </w:p>
    <w:p>
      <w:pPr>
        <w:spacing w:after="0" w:line="215" w:lineRule="exact"/>
        <w:rPr>
          <w:rFonts w:ascii="Arial" w:cs="Arial" w:eastAsia="Arial" w:hAnsi="Arial"/>
          <w:sz w:val="22"/>
          <w:szCs w:val="22"/>
          <w:color w:val="auto"/>
        </w:rPr>
      </w:pPr>
    </w:p>
    <w:p>
      <w:pPr>
        <w:ind w:left="1960" w:hanging="655"/>
        <w:spacing w:after="0"/>
        <w:tabs>
          <w:tab w:leader="none" w:pos="1960" w:val="left"/>
        </w:tabs>
        <w:numPr>
          <w:ilvl w:val="0"/>
          <w:numId w:val="36"/>
        </w:numPr>
        <w:rPr>
          <w:rFonts w:ascii="Arial" w:cs="Arial" w:eastAsia="Arial" w:hAnsi="Arial"/>
          <w:sz w:val="22"/>
          <w:szCs w:val="22"/>
          <w:color w:val="auto"/>
        </w:rPr>
      </w:pPr>
      <w:r>
        <w:rPr>
          <w:rFonts w:ascii="Arial" w:cs="Arial" w:eastAsia="Arial" w:hAnsi="Arial"/>
          <w:sz w:val="22"/>
          <w:szCs w:val="22"/>
          <w:color w:val="auto"/>
        </w:rPr>
        <w:t>providing information to potential purchasers of one or more of the Data Processors; and</w:t>
      </w:r>
    </w:p>
    <w:p>
      <w:pPr>
        <w:spacing w:after="0" w:line="260" w:lineRule="exact"/>
        <w:rPr>
          <w:rFonts w:ascii="Arial" w:cs="Arial" w:eastAsia="Arial" w:hAnsi="Arial"/>
          <w:sz w:val="22"/>
          <w:szCs w:val="22"/>
          <w:color w:val="auto"/>
        </w:rPr>
      </w:pPr>
    </w:p>
    <w:p>
      <w:pPr>
        <w:jc w:val="both"/>
        <w:ind w:left="1960" w:hanging="655"/>
        <w:spacing w:after="0" w:line="253" w:lineRule="auto"/>
        <w:tabs>
          <w:tab w:leader="none" w:pos="1960" w:val="left"/>
        </w:tabs>
        <w:numPr>
          <w:ilvl w:val="0"/>
          <w:numId w:val="36"/>
        </w:numPr>
        <w:rPr>
          <w:rFonts w:ascii="Arial" w:cs="Arial" w:eastAsia="Arial" w:hAnsi="Arial"/>
          <w:sz w:val="22"/>
          <w:szCs w:val="22"/>
          <w:color w:val="auto"/>
        </w:rPr>
      </w:pPr>
      <w:r>
        <w:rPr>
          <w:rFonts w:ascii="Arial" w:cs="Arial" w:eastAsia="Arial" w:hAnsi="Arial"/>
          <w:sz w:val="22"/>
          <w:szCs w:val="22"/>
          <w:color w:val="auto"/>
        </w:rPr>
        <w:t>allowing any personal data provided by Grantee to be sent to and kept and used by any third party engaged by the Corporation to administer the Plan, including but not limited to the maintenance by such a third party of a database of Participants in the Plan.</w:t>
      </w:r>
    </w:p>
    <w:p>
      <w:pPr>
        <w:spacing w:after="0" w:line="226" w:lineRule="exact"/>
        <w:rPr>
          <w:sz w:val="20"/>
          <w:szCs w:val="20"/>
          <w:color w:val="auto"/>
        </w:rPr>
      </w:pPr>
    </w:p>
    <w:p>
      <w:pPr>
        <w:jc w:val="both"/>
        <w:ind w:left="1300"/>
        <w:spacing w:after="0" w:line="253" w:lineRule="auto"/>
        <w:rPr>
          <w:sz w:val="20"/>
          <w:szCs w:val="20"/>
          <w:color w:val="auto"/>
        </w:rPr>
      </w:pPr>
      <w:r>
        <w:rPr>
          <w:rFonts w:ascii="Arial" w:cs="Arial" w:eastAsia="Arial" w:hAnsi="Arial"/>
          <w:sz w:val="22"/>
          <w:szCs w:val="22"/>
          <w:color w:val="auto"/>
        </w:rPr>
        <w:t>Such personal data includes (without limitation) Grantee’s name, home address and telephone number; date of birth; social insurance or national insurance number or other identification number; salary; nationality; job title; any Common Stock or</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x</w:t>
      </w:r>
    </w:p>
    <w:p>
      <w:pPr>
        <w:sectPr>
          <w:pgSz w:w="11900" w:h="16838" w:orient="portrait"/>
          <w:cols w:equalWidth="0" w:num="1">
            <w:col w:w="11420"/>
          </w:cols>
          <w:pgMar w:left="240" w:top="591" w:right="239" w:bottom="1440" w:gutter="0" w:footer="0" w:header="0"/>
        </w:sectPr>
      </w:pPr>
    </w:p>
    <w:bookmarkStart w:id="56" w:name="page57"/>
    <w:bookmarkEnd w:id="56"/>
    <w:p>
      <w:pPr>
        <w:jc w:val="both"/>
        <w:ind w:left="1300"/>
        <w:spacing w:after="0" w:line="265" w:lineRule="auto"/>
        <w:rPr>
          <w:sz w:val="20"/>
          <w:szCs w:val="20"/>
          <w:color w:val="auto"/>
        </w:rPr>
      </w:pPr>
      <w:r>
        <w:rPr>
          <w:rFonts w:ascii="Arial" w:cs="Arial" w:eastAsia="Arial" w:hAnsi="Arial"/>
          <w:sz w:val="21"/>
          <w:szCs w:val="21"/>
          <w:color w:val="auto"/>
        </w:rPr>
        <w:t>directorships held in the any of the Data Processors; alleged, proven and convicted offences, felonies and/or wilful misconduct; wilful failure or refusal to follow directions from the board of the Corporation; breach of fiduciary duty to the Corporation or a Subsidiary; and details of all Awards or any other entitlement to Common Stock awarded, cancelled, exercised, vested, unvested or outstanding in Grantee’s favour.</w:t>
      </w:r>
    </w:p>
    <w:p>
      <w:pPr>
        <w:spacing w:after="0" w:line="176" w:lineRule="exact"/>
        <w:rPr>
          <w:sz w:val="20"/>
          <w:szCs w:val="20"/>
          <w:color w:val="auto"/>
        </w:rPr>
      </w:pPr>
    </w:p>
    <w:p>
      <w:pPr>
        <w:jc w:val="both"/>
        <w:ind w:left="1300"/>
        <w:spacing w:after="0" w:line="263" w:lineRule="auto"/>
        <w:rPr>
          <w:sz w:val="20"/>
          <w:szCs w:val="20"/>
          <w:color w:val="auto"/>
        </w:rPr>
      </w:pPr>
      <w:r>
        <w:rPr>
          <w:rFonts w:ascii="Arial" w:cs="Arial" w:eastAsia="Arial" w:hAnsi="Arial"/>
          <w:sz w:val="21"/>
          <w:szCs w:val="21"/>
          <w:color w:val="auto"/>
        </w:rPr>
        <w:t>Grantee’s personal data may be transferred to the Data Processors or to any third parties assisting in the implementation, administration and management of the Plan and/or the Award which are based outside of the UK. Grantee’s employer and the Corporation (as appropriate) will implement safeguards to ensure the appropriate levels of protection for all such personal data. Grantee may request a list with the names and addresses of any potential recipients of the data by contacting their local human resources representative.</w:t>
      </w:r>
    </w:p>
    <w:p>
      <w:pPr>
        <w:spacing w:after="0" w:line="176" w:lineRule="exact"/>
        <w:rPr>
          <w:sz w:val="20"/>
          <w:szCs w:val="20"/>
          <w:color w:val="auto"/>
        </w:rPr>
      </w:pPr>
    </w:p>
    <w:p>
      <w:pPr>
        <w:jc w:val="both"/>
        <w:ind w:left="1300"/>
        <w:spacing w:after="0" w:line="302" w:lineRule="auto"/>
        <w:rPr>
          <w:sz w:val="20"/>
          <w:szCs w:val="20"/>
          <w:color w:val="auto"/>
        </w:rPr>
      </w:pPr>
      <w:r>
        <w:rPr>
          <w:rFonts w:ascii="Arial" w:cs="Arial" w:eastAsia="Arial" w:hAnsi="Arial"/>
          <w:sz w:val="19"/>
          <w:szCs w:val="19"/>
          <w:color w:val="auto"/>
        </w:rPr>
        <w:t>Grantee’s personal data will be held only as long as is necessary for the purpose for which it was collected. Grantee may (without cost) by contacting in writing their local human resources representative (i) view or request additional information about the storage and processing of their personal data, and/or (ii) request that any personal data that the Data Processors hold about Grantee which is inaccurate or out of date is corrected where appropriate.”</w:t>
      </w:r>
    </w:p>
    <w:p>
      <w:pPr>
        <w:spacing w:after="0" w:line="3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Loss of Office or Employment</w:t>
      </w:r>
      <w:r>
        <w:rPr>
          <w:rFonts w:ascii="Arial" w:cs="Arial" w:eastAsia="Arial" w:hAnsi="Arial"/>
          <w:sz w:val="22"/>
          <w:szCs w:val="22"/>
          <w:color w:val="auto"/>
        </w:rPr>
        <w:t>. A new Section II.B.15 is added to the Agreement to read as follows:</w:t>
      </w:r>
    </w:p>
    <w:p>
      <w:pPr>
        <w:spacing w:after="0" w:line="266" w:lineRule="exact"/>
        <w:rPr>
          <w:sz w:val="20"/>
          <w:szCs w:val="20"/>
          <w:color w:val="auto"/>
        </w:rPr>
      </w:pPr>
    </w:p>
    <w:p>
      <w:pPr>
        <w:jc w:val="both"/>
        <w:ind w:left="1300"/>
        <w:spacing w:after="0" w:line="248" w:lineRule="auto"/>
        <w:rPr>
          <w:sz w:val="20"/>
          <w:szCs w:val="20"/>
          <w:color w:val="auto"/>
        </w:rPr>
      </w:pPr>
      <w:r>
        <w:rPr>
          <w:rFonts w:ascii="Arial" w:cs="Arial" w:eastAsia="Arial" w:hAnsi="Arial"/>
          <w:sz w:val="22"/>
          <w:szCs w:val="22"/>
          <w:color w:val="auto"/>
        </w:rPr>
        <w:t>“In no circumstances shall Grantee, on ceasing to hold the office or employment by virtue of which he has been granted this Award, be entitled to any compensation for any loss of any right or benefit or prospective right or benefit under the Award or the Plan which he might otherwise have enjoyed whether such compensation is claimed by way of damages for wrongful dismissal or other breach of contract or by way of compensation for loss of office or otherwise.”</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Notifications</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There are no country-specific notifications.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xi</w:t>
      </w:r>
    </w:p>
    <w:p>
      <w:pPr>
        <w:sectPr>
          <w:pgSz w:w="11900" w:h="16838" w:orient="portrait"/>
          <w:cols w:equalWidth="0" w:num="1">
            <w:col w:w="11420"/>
          </w:cols>
          <w:pgMar w:left="240" w:top="591"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22"/>
          <w:szCs w:val="22"/>
          <w:b w:val="1"/>
          <w:bCs w:val="1"/>
          <w:color w:val="auto"/>
        </w:rPr>
        <w:t>Exhibit 10.2</w:t>
      </w:r>
    </w:p>
    <w:p>
      <w:pPr>
        <w:spacing w:after="0" w:line="26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1/1/16 - 12/31/18 Award</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Performance Stock Units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TRIMAS CORPORATION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2011 OMNIBUS INCENTIVE COMPENSATION PLAN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PERFORMANCE STOCK UNITS AGREEMENT</w:t>
      </w:r>
    </w:p>
    <w:p>
      <w:pPr>
        <w:spacing w:after="0" w:line="266"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TriMas Corporation (the “Corporation”), as permitted by the TriMas Corporation 2011 Omnibus Incentive Compensation Plan, as amended (“Plan”), and as approved by the Committee, has granted to the individual listed below (“Grantee”), the opportunity to earn Performance Stock Units (“PSUs”) in the amount designated in this Performance Stock Unit Agreement (“Agreement”), subject to the terms and conditions of the Plan and this Agreement.</w:t>
      </w:r>
    </w:p>
    <w:p>
      <w:pPr>
        <w:spacing w:after="0" w:line="17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Unless otherwise defined in this Agreement or in Appendices A or B to this Agreement, the terms used in this Agreement have the same meaning as defined in the Plan; provided, however, that, as permitted by Section 10.1 of the Plan, the PSUs granted under this Agreement consist solely of Restricted Stock Units (with performance conditions) under the Plan. The term “Service Provider” as used in this Agreement means an individual actively providing services to the Corporation or a Subsidiary or Affiliate of the Corporation.</w:t>
      </w:r>
    </w:p>
    <w:p>
      <w:pPr>
        <w:sectPr>
          <w:pgSz w:w="11900" w:h="16838" w:orient="portrait"/>
          <w:cols w:equalWidth="0" w:num="1">
            <w:col w:w="11420"/>
          </w:cols>
          <w:pgMar w:left="240" w:top="625" w:right="239" w:bottom="1440" w:gutter="0" w:footer="0" w:header="0"/>
        </w:sectPr>
      </w:pPr>
    </w:p>
    <w:p>
      <w:pPr>
        <w:spacing w:after="0" w:line="186" w:lineRule="exact"/>
        <w:rPr>
          <w:sz w:val="20"/>
          <w:szCs w:val="20"/>
          <w:color w:val="auto"/>
        </w:rPr>
      </w:pPr>
    </w:p>
    <w:p>
      <w:pPr>
        <w:ind w:left="360" w:hanging="352"/>
        <w:spacing w:after="0"/>
        <w:tabs>
          <w:tab w:leader="none" w:pos="360" w:val="left"/>
        </w:tabs>
        <w:numPr>
          <w:ilvl w:val="0"/>
          <w:numId w:val="37"/>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NOTICE OF PSU AWARD</w:t>
      </w:r>
    </w:p>
    <w:p>
      <w:pPr>
        <w:spacing w:after="0" w:line="380" w:lineRule="exact"/>
        <w:rPr>
          <w:sz w:val="20"/>
          <w:szCs w:val="20"/>
          <w:color w:val="auto"/>
        </w:rPr>
      </w:pPr>
    </w:p>
    <w:p>
      <w:pPr>
        <w:ind w:left="420"/>
        <w:spacing w:after="0"/>
        <w:rPr>
          <w:sz w:val="20"/>
          <w:szCs w:val="20"/>
          <w:color w:val="auto"/>
        </w:rPr>
      </w:pPr>
      <w:r>
        <w:rPr>
          <w:rFonts w:ascii="Arial" w:cs="Arial" w:eastAsia="Arial" w:hAnsi="Arial"/>
          <w:sz w:val="22"/>
          <w:szCs w:val="22"/>
          <w:b w:val="1"/>
          <w:bCs w:val="1"/>
          <w:color w:val="auto"/>
        </w:rPr>
        <w:t>Grantee:</w:t>
      </w:r>
    </w:p>
    <w:p>
      <w:pPr>
        <w:spacing w:after="0" w:line="152" w:lineRule="exact"/>
        <w:rPr>
          <w:sz w:val="20"/>
          <w:szCs w:val="20"/>
          <w:color w:val="auto"/>
        </w:rPr>
      </w:pPr>
    </w:p>
    <w:p>
      <w:pPr>
        <w:ind w:left="420"/>
        <w:spacing w:after="0"/>
        <w:rPr>
          <w:sz w:val="20"/>
          <w:szCs w:val="20"/>
          <w:color w:val="auto"/>
        </w:rPr>
      </w:pPr>
      <w:r>
        <w:rPr>
          <w:rFonts w:ascii="Arial" w:cs="Arial" w:eastAsia="Arial" w:hAnsi="Arial"/>
          <w:sz w:val="22"/>
          <w:szCs w:val="22"/>
          <w:b w:val="1"/>
          <w:bCs w:val="1"/>
          <w:color w:val="auto"/>
        </w:rPr>
        <w:t>Date of Agreement:</w:t>
      </w:r>
    </w:p>
    <w:p>
      <w:pPr>
        <w:spacing w:after="0" w:line="44" w:lineRule="exact"/>
        <w:rPr>
          <w:sz w:val="20"/>
          <w:szCs w:val="20"/>
          <w:color w:val="auto"/>
        </w:rPr>
      </w:pPr>
    </w:p>
    <w:p>
      <w:pPr>
        <w:ind w:left="420"/>
        <w:spacing w:after="0"/>
        <w:rPr>
          <w:sz w:val="20"/>
          <w:szCs w:val="20"/>
          <w:color w:val="auto"/>
        </w:rPr>
      </w:pPr>
      <w:r>
        <w:rPr>
          <w:rFonts w:ascii="Arial" w:cs="Arial" w:eastAsia="Arial" w:hAnsi="Arial"/>
          <w:sz w:val="22"/>
          <w:szCs w:val="22"/>
          <w:b w:val="1"/>
          <w:bCs w:val="1"/>
          <w:color w:val="auto"/>
        </w:rPr>
        <w:t>Grant Date:</w:t>
      </w:r>
    </w:p>
    <w:p>
      <w:pPr>
        <w:spacing w:after="0" w:line="44" w:lineRule="exact"/>
        <w:rPr>
          <w:sz w:val="20"/>
          <w:szCs w:val="20"/>
          <w:color w:val="auto"/>
        </w:rPr>
      </w:pPr>
    </w:p>
    <w:p>
      <w:pPr>
        <w:jc w:val="right"/>
        <w:ind w:right="1560"/>
        <w:spacing w:after="0"/>
        <w:rPr>
          <w:sz w:val="20"/>
          <w:szCs w:val="20"/>
          <w:color w:val="auto"/>
        </w:rPr>
      </w:pPr>
      <w:r>
        <w:rPr>
          <w:rFonts w:ascii="Arial" w:cs="Arial" w:eastAsia="Arial" w:hAnsi="Arial"/>
          <w:sz w:val="22"/>
          <w:szCs w:val="22"/>
          <w:b w:val="1"/>
          <w:bCs w:val="1"/>
          <w:color w:val="auto"/>
        </w:rPr>
        <w:t>Number of PSUs in Award: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[specify Grantee’s name]</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[specify date]</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March 1, 2016</w:t>
      </w:r>
    </w:p>
    <w:p>
      <w:pPr>
        <w:spacing w:after="0" w:line="98" w:lineRule="exact"/>
        <w:rPr>
          <w:sz w:val="20"/>
          <w:szCs w:val="20"/>
          <w:color w:val="auto"/>
        </w:rPr>
      </w:pPr>
    </w:p>
    <w:p>
      <w:pPr>
        <w:ind w:right="420"/>
        <w:spacing w:after="0" w:line="243" w:lineRule="auto"/>
        <w:rPr>
          <w:sz w:val="20"/>
          <w:szCs w:val="20"/>
          <w:color w:val="auto"/>
        </w:rPr>
      </w:pPr>
      <w:r>
        <w:rPr>
          <w:rFonts w:ascii="Arial" w:cs="Arial" w:eastAsia="Arial" w:hAnsi="Arial"/>
          <w:sz w:val="22"/>
          <w:szCs w:val="22"/>
          <w:b w:val="1"/>
          <w:bCs w:val="1"/>
          <w:color w:val="auto"/>
        </w:rPr>
        <w:t xml:space="preserve">[number of PSUs] </w:t>
      </w:r>
      <w:r>
        <w:rPr>
          <w:rFonts w:ascii="Arial" w:cs="Arial" w:eastAsia="Arial" w:hAnsi="Arial"/>
          <w:sz w:val="22"/>
          <w:szCs w:val="22"/>
          <w:color w:val="auto"/>
        </w:rPr>
        <w:t>(“Target”), subject to addition or subtraction as</w:t>
      </w:r>
      <w:r>
        <w:rPr>
          <w:rFonts w:ascii="Arial" w:cs="Arial" w:eastAsia="Arial" w:hAnsi="Arial"/>
          <w:sz w:val="22"/>
          <w:szCs w:val="22"/>
          <w:b w:val="1"/>
          <w:bCs w:val="1"/>
          <w:color w:val="auto"/>
        </w:rPr>
        <w:t xml:space="preserve"> </w:t>
      </w:r>
      <w:r>
        <w:rPr>
          <w:rFonts w:ascii="Arial" w:cs="Arial" w:eastAsia="Arial" w:hAnsi="Arial"/>
          <w:sz w:val="22"/>
          <w:szCs w:val="22"/>
          <w:color w:val="auto"/>
        </w:rPr>
        <w:t>set forth on Appendix A depending on achievement of performance goal</w:t>
      </w:r>
    </w:p>
    <w:p>
      <w:pPr>
        <w:spacing w:after="0" w:line="69" w:lineRule="exact"/>
        <w:rPr>
          <w:sz w:val="20"/>
          <w:szCs w:val="20"/>
          <w:color w:val="auto"/>
        </w:rPr>
      </w:pPr>
    </w:p>
    <w:p>
      <w:pPr>
        <w:sectPr>
          <w:pgSz w:w="11900" w:h="16838" w:orient="portrait"/>
          <w:cols w:equalWidth="0" w:num="2">
            <w:col w:w="4500" w:space="720"/>
            <w:col w:w="6200"/>
          </w:cols>
          <w:pgMar w:left="240" w:top="625" w:right="239" w:bottom="1440" w:gutter="0" w:footer="0" w:header="0"/>
          <w:type w:val="continuous"/>
        </w:sectPr>
      </w:pPr>
    </w:p>
    <w:p>
      <w:pPr>
        <w:ind w:left="420"/>
        <w:spacing w:after="0"/>
        <w:tabs>
          <w:tab w:leader="none" w:pos="5200" w:val="left"/>
        </w:tabs>
        <w:rPr>
          <w:sz w:val="20"/>
          <w:szCs w:val="20"/>
          <w:color w:val="auto"/>
        </w:rPr>
      </w:pPr>
      <w:r>
        <w:rPr>
          <w:rFonts w:ascii="Arial" w:cs="Arial" w:eastAsia="Arial" w:hAnsi="Arial"/>
          <w:sz w:val="22"/>
          <w:szCs w:val="22"/>
          <w:b w:val="1"/>
          <w:bCs w:val="1"/>
          <w:color w:val="auto"/>
        </w:rPr>
        <w:t>Performance Period:</w:t>
      </w:r>
      <w:r>
        <w:rPr>
          <w:sz w:val="20"/>
          <w:szCs w:val="20"/>
          <w:color w:val="auto"/>
        </w:rPr>
        <w:tab/>
      </w:r>
      <w:r>
        <w:rPr>
          <w:rFonts w:ascii="Arial" w:cs="Arial" w:eastAsia="Arial" w:hAnsi="Arial"/>
          <w:sz w:val="19"/>
          <w:szCs w:val="19"/>
          <w:color w:val="auto"/>
        </w:rPr>
        <w:t>Beginning on January 1, 2016, and continuing through December</w:t>
      </w:r>
    </w:p>
    <w:p>
      <w:pPr>
        <w:spacing w:after="0" w:line="14" w:lineRule="exact"/>
        <w:rPr>
          <w:sz w:val="20"/>
          <w:szCs w:val="20"/>
          <w:color w:val="auto"/>
        </w:rPr>
      </w:pPr>
    </w:p>
    <w:p>
      <w:pPr>
        <w:jc w:val="center"/>
        <w:ind w:right="220"/>
        <w:spacing w:after="0"/>
        <w:rPr>
          <w:sz w:val="20"/>
          <w:szCs w:val="20"/>
          <w:color w:val="auto"/>
        </w:rPr>
      </w:pPr>
      <w:r>
        <w:rPr>
          <w:rFonts w:ascii="Arial" w:cs="Arial" w:eastAsia="Arial" w:hAnsi="Arial"/>
          <w:sz w:val="22"/>
          <w:szCs w:val="22"/>
          <w:color w:val="auto"/>
        </w:rPr>
        <w:t>31, 2018</w:t>
      </w:r>
    </w:p>
    <w:p>
      <w:pPr>
        <w:spacing w:after="0" w:line="20" w:lineRule="exact"/>
        <w:rPr>
          <w:sz w:val="20"/>
          <w:szCs w:val="20"/>
          <w:color w:val="auto"/>
        </w:rPr>
      </w:pPr>
    </w:p>
    <w:p>
      <w:pPr>
        <w:ind w:left="420"/>
        <w:spacing w:after="0"/>
        <w:tabs>
          <w:tab w:leader="none" w:pos="5200" w:val="left"/>
        </w:tabs>
        <w:rPr>
          <w:sz w:val="20"/>
          <w:szCs w:val="20"/>
          <w:color w:val="auto"/>
        </w:rPr>
      </w:pPr>
      <w:r>
        <w:rPr>
          <w:rFonts w:ascii="Arial" w:cs="Arial" w:eastAsia="Arial" w:hAnsi="Arial"/>
          <w:sz w:val="22"/>
          <w:szCs w:val="22"/>
          <w:b w:val="1"/>
          <w:bCs w:val="1"/>
          <w:color w:val="auto"/>
        </w:rPr>
        <w:t>Settlement Date</w:t>
      </w:r>
      <w:r>
        <w:rPr>
          <w:sz w:val="20"/>
          <w:szCs w:val="20"/>
          <w:color w:val="auto"/>
        </w:rPr>
        <w:tab/>
      </w:r>
      <w:r>
        <w:rPr>
          <w:rFonts w:ascii="Arial" w:cs="Arial" w:eastAsia="Arial" w:hAnsi="Arial"/>
          <w:sz w:val="19"/>
          <w:szCs w:val="19"/>
          <w:color w:val="auto"/>
        </w:rPr>
        <w:t>March 1, 2019</w:t>
      </w:r>
    </w:p>
    <w:p>
      <w:pPr>
        <w:spacing w:after="0" w:line="44" w:lineRule="exact"/>
        <w:rPr>
          <w:sz w:val="20"/>
          <w:szCs w:val="20"/>
          <w:color w:val="auto"/>
        </w:rPr>
      </w:pPr>
    </w:p>
    <w:p>
      <w:pPr>
        <w:ind w:left="420"/>
        <w:spacing w:after="0"/>
        <w:tabs>
          <w:tab w:leader="none" w:pos="5200" w:val="left"/>
        </w:tabs>
        <w:rPr>
          <w:sz w:val="20"/>
          <w:szCs w:val="20"/>
          <w:color w:val="auto"/>
        </w:rPr>
      </w:pPr>
      <w:r>
        <w:rPr>
          <w:rFonts w:ascii="Arial" w:cs="Arial" w:eastAsia="Arial" w:hAnsi="Arial"/>
          <w:sz w:val="22"/>
          <w:szCs w:val="22"/>
          <w:b w:val="1"/>
          <w:bCs w:val="1"/>
          <w:color w:val="auto"/>
        </w:rPr>
        <w:t>Settlement Method:</w:t>
      </w:r>
      <w:r>
        <w:rPr>
          <w:sz w:val="20"/>
          <w:szCs w:val="20"/>
          <w:color w:val="auto"/>
        </w:rPr>
        <w:tab/>
      </w:r>
      <w:r>
        <w:rPr>
          <w:rFonts w:ascii="Arial" w:cs="Arial" w:eastAsia="Arial" w:hAnsi="Arial"/>
          <w:sz w:val="19"/>
          <w:szCs w:val="19"/>
          <w:color w:val="auto"/>
        </w:rPr>
        <w:t>Earned and vested PSUs will be settled by delivery of one share of</w:t>
      </w:r>
    </w:p>
    <w:p>
      <w:pPr>
        <w:spacing w:after="0" w:line="14" w:lineRule="exact"/>
        <w:rPr>
          <w:sz w:val="20"/>
          <w:szCs w:val="20"/>
          <w:color w:val="auto"/>
        </w:rPr>
      </w:pPr>
    </w:p>
    <w:p>
      <w:pPr>
        <w:ind w:left="5220"/>
        <w:spacing w:after="0"/>
        <w:rPr>
          <w:sz w:val="20"/>
          <w:szCs w:val="20"/>
          <w:color w:val="auto"/>
        </w:rPr>
      </w:pPr>
      <w:r>
        <w:rPr>
          <w:rFonts w:ascii="Arial" w:cs="Arial" w:eastAsia="Arial" w:hAnsi="Arial"/>
          <w:sz w:val="22"/>
          <w:szCs w:val="22"/>
          <w:color w:val="auto"/>
        </w:rPr>
        <w:t>Stock for each PSU being settled</w:t>
      </w:r>
    </w:p>
    <w:p>
      <w:pPr>
        <w:sectPr>
          <w:pgSz w:w="11900" w:h="16838" w:orient="portrait"/>
          <w:cols w:equalWidth="0" w:num="1">
            <w:col w:w="11420"/>
          </w:cols>
          <w:pgMar w:left="240" w:top="625" w:right="239" w:bottom="1440" w:gutter="0" w:footer="0" w:header="0"/>
          <w:type w:val="continuous"/>
        </w:sectPr>
      </w:pPr>
    </w:p>
    <w:bookmarkStart w:id="58" w:name="page59"/>
    <w:bookmarkEnd w:id="58"/>
    <w:p>
      <w:pPr>
        <w:ind w:left="420" w:hanging="412"/>
        <w:spacing w:after="0"/>
        <w:tabs>
          <w:tab w:leader="none" w:pos="420" w:val="left"/>
        </w:tabs>
        <w:numPr>
          <w:ilvl w:val="0"/>
          <w:numId w:val="38"/>
        </w:numPr>
        <w:rPr>
          <w:rFonts w:ascii="Arial" w:cs="Arial" w:eastAsia="Arial" w:hAnsi="Arial"/>
          <w:sz w:val="22"/>
          <w:szCs w:val="22"/>
          <w:color w:val="auto"/>
        </w:rPr>
      </w:pPr>
      <w:r>
        <w:rPr>
          <w:rFonts w:ascii="Arial" w:cs="Arial" w:eastAsia="Arial" w:hAnsi="Arial"/>
          <w:sz w:val="22"/>
          <w:szCs w:val="22"/>
          <w:b w:val="1"/>
          <w:bCs w:val="1"/>
          <w:u w:val="single" w:color="auto"/>
          <w:color w:val="auto"/>
        </w:rPr>
        <w:t>AGREEMENT</w:t>
      </w:r>
    </w:p>
    <w:p>
      <w:pPr>
        <w:spacing w:after="0" w:line="219" w:lineRule="exact"/>
        <w:rPr>
          <w:rFonts w:ascii="Arial" w:cs="Arial" w:eastAsia="Arial" w:hAnsi="Arial"/>
          <w:sz w:val="22"/>
          <w:szCs w:val="22"/>
          <w:color w:val="auto"/>
        </w:rPr>
      </w:pPr>
    </w:p>
    <w:p>
      <w:pPr>
        <w:jc w:val="both"/>
        <w:ind w:firstLine="648"/>
        <w:spacing w:after="0" w:line="249" w:lineRule="auto"/>
        <w:rPr>
          <w:rFonts w:ascii="Arial" w:cs="Arial" w:eastAsia="Arial" w:hAnsi="Arial"/>
          <w:sz w:val="22"/>
          <w:szCs w:val="22"/>
          <w:color w:val="auto"/>
        </w:rPr>
      </w:pPr>
      <w:r>
        <w:rPr>
          <w:rFonts w:ascii="Arial" w:cs="Arial" w:eastAsia="Arial" w:hAnsi="Arial"/>
          <w:sz w:val="22"/>
          <w:szCs w:val="22"/>
          <w:b w:val="1"/>
          <w:bCs w:val="1"/>
          <w:color w:val="auto"/>
        </w:rPr>
        <w:t xml:space="preserve">A. </w:t>
      </w:r>
      <w:r>
        <w:rPr>
          <w:rFonts w:ascii="Arial" w:cs="Arial" w:eastAsia="Arial" w:hAnsi="Arial"/>
          <w:sz w:val="22"/>
          <w:szCs w:val="22"/>
          <w:b w:val="1"/>
          <w:bCs w:val="1"/>
          <w:u w:val="single" w:color="auto"/>
          <w:color w:val="auto"/>
        </w:rPr>
        <w:t>Grant of PSUs.</w:t>
      </w:r>
      <w:r>
        <w:rPr>
          <w:rFonts w:ascii="Arial" w:cs="Arial" w:eastAsia="Arial" w:hAnsi="Arial"/>
          <w:sz w:val="22"/>
          <w:szCs w:val="22"/>
          <w:b w:val="1"/>
          <w:bCs w:val="1"/>
          <w:color w:val="auto"/>
        </w:rPr>
        <w:t xml:space="preserve"> </w:t>
      </w:r>
      <w:r>
        <w:rPr>
          <w:rFonts w:ascii="Arial" w:cs="Arial" w:eastAsia="Arial" w:hAnsi="Arial"/>
          <w:sz w:val="22"/>
          <w:szCs w:val="22"/>
          <w:color w:val="auto"/>
        </w:rPr>
        <w:t>The Corporation grants to Grantee (who, pursuant to this Award is a Participant in the Plan) the</w:t>
      </w:r>
      <w:r>
        <w:rPr>
          <w:rFonts w:ascii="Arial" w:cs="Arial" w:eastAsia="Arial" w:hAnsi="Arial"/>
          <w:sz w:val="22"/>
          <w:szCs w:val="22"/>
          <w:b w:val="1"/>
          <w:bCs w:val="1"/>
          <w:color w:val="auto"/>
        </w:rPr>
        <w:t xml:space="preserve"> </w:t>
      </w:r>
      <w:r>
        <w:rPr>
          <w:rFonts w:ascii="Arial" w:cs="Arial" w:eastAsia="Arial" w:hAnsi="Arial"/>
          <w:sz w:val="22"/>
          <w:szCs w:val="22"/>
          <w:color w:val="auto"/>
        </w:rPr>
        <w:t>number of PSUs set forth above, subject to adjustment as provided otherwise in this Agreement (this “Award”). The PSUs granted under this Agreement are payable only in shares of Stock. Notwithstanding anything to the contrary anywhere else in this Agreement, the PSUs in this Award are subject to the terms and provisions of the Plan, which are incorporated by reference into this Agreement.</w:t>
      </w:r>
    </w:p>
    <w:p>
      <w:pPr>
        <w:spacing w:after="0" w:line="186" w:lineRule="exact"/>
        <w:rPr>
          <w:rFonts w:ascii="Arial" w:cs="Arial" w:eastAsia="Arial" w:hAnsi="Arial"/>
          <w:sz w:val="22"/>
          <w:szCs w:val="22"/>
          <w:color w:val="auto"/>
        </w:rPr>
      </w:pPr>
    </w:p>
    <w:p>
      <w:pPr>
        <w:jc w:val="both"/>
        <w:ind w:firstLine="1305"/>
        <w:spacing w:after="0" w:line="249" w:lineRule="auto"/>
        <w:tabs>
          <w:tab w:leader="none" w:pos="1850" w:val="left"/>
        </w:tabs>
        <w:numPr>
          <w:ilvl w:val="2"/>
          <w:numId w:val="3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Vesting</w:t>
      </w:r>
      <w:r>
        <w:rPr>
          <w:rFonts w:ascii="Arial" w:cs="Arial" w:eastAsia="Arial" w:hAnsi="Arial"/>
          <w:sz w:val="22"/>
          <w:szCs w:val="22"/>
          <w:color w:val="auto"/>
        </w:rPr>
        <w:t>. Except as otherwise designated in this Agreement, Grantee must be a Service Provider on the</w:t>
      </w:r>
      <w:r>
        <w:rPr>
          <w:rFonts w:ascii="Arial" w:cs="Arial" w:eastAsia="Arial" w:hAnsi="Arial"/>
          <w:sz w:val="22"/>
          <w:szCs w:val="22"/>
          <w:b w:val="1"/>
          <w:bCs w:val="1"/>
          <w:color w:val="auto"/>
        </w:rPr>
        <w:t xml:space="preserve"> </w:t>
      </w:r>
      <w:r>
        <w:rPr>
          <w:rFonts w:ascii="Arial" w:cs="Arial" w:eastAsia="Arial" w:hAnsi="Arial"/>
          <w:sz w:val="22"/>
          <w:szCs w:val="22"/>
          <w:color w:val="auto"/>
        </w:rPr>
        <w:t>Settlement Date (as such term is defined in Section II.A.7 below) to be eligible to vest in, and earn, any PSUs, and any unvested PSUs subject to this Award will be canceled and forfeited if Grantee terminates as a Service Provider prior to the Settlement Date. Any PSUs that remain unearned after the “Determination Date” (as such term is defined in Appendix A) will be cancelled and forfeited.</w:t>
      </w:r>
    </w:p>
    <w:p>
      <w:pPr>
        <w:spacing w:after="0" w:line="186" w:lineRule="exact"/>
        <w:rPr>
          <w:rFonts w:ascii="Arial" w:cs="Arial" w:eastAsia="Arial" w:hAnsi="Arial"/>
          <w:sz w:val="22"/>
          <w:szCs w:val="22"/>
          <w:b w:val="1"/>
          <w:bCs w:val="1"/>
          <w:color w:val="auto"/>
        </w:rPr>
      </w:pPr>
    </w:p>
    <w:p>
      <w:pPr>
        <w:ind w:firstLine="1305"/>
        <w:spacing w:after="0" w:line="269" w:lineRule="auto"/>
        <w:tabs>
          <w:tab w:leader="none" w:pos="1702" w:val="left"/>
        </w:tabs>
        <w:numPr>
          <w:ilvl w:val="2"/>
          <w:numId w:val="3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Performance Goals to Earn PSUs</w:t>
      </w:r>
      <w:r>
        <w:rPr>
          <w:rFonts w:ascii="Arial" w:cs="Arial" w:eastAsia="Arial" w:hAnsi="Arial"/>
          <w:sz w:val="22"/>
          <w:szCs w:val="22"/>
          <w:color w:val="auto"/>
        </w:rPr>
        <w:t>. Grantee will only receive shares of Stock related to, and to the extent that</w:t>
      </w:r>
      <w:r>
        <w:rPr>
          <w:rFonts w:ascii="Arial" w:cs="Arial" w:eastAsia="Arial" w:hAnsi="Arial"/>
          <w:sz w:val="22"/>
          <w:szCs w:val="22"/>
          <w:b w:val="1"/>
          <w:bCs w:val="1"/>
          <w:color w:val="auto"/>
        </w:rPr>
        <w:t xml:space="preserve"> </w:t>
      </w:r>
      <w:r>
        <w:rPr>
          <w:rFonts w:ascii="Arial" w:cs="Arial" w:eastAsia="Arial" w:hAnsi="Arial"/>
          <w:sz w:val="22"/>
          <w:szCs w:val="22"/>
          <w:color w:val="auto"/>
        </w:rPr>
        <w:t>such shares are earned pursuant to, the “Performance Goal” specified in Appendix A to this Agreement.</w:t>
      </w:r>
    </w:p>
    <w:p>
      <w:pPr>
        <w:spacing w:after="0" w:line="162" w:lineRule="exact"/>
        <w:rPr>
          <w:rFonts w:ascii="Arial" w:cs="Arial" w:eastAsia="Arial" w:hAnsi="Arial"/>
          <w:sz w:val="22"/>
          <w:szCs w:val="22"/>
          <w:b w:val="1"/>
          <w:bCs w:val="1"/>
          <w:color w:val="auto"/>
        </w:rPr>
      </w:pPr>
    </w:p>
    <w:p>
      <w:pPr>
        <w:jc w:val="both"/>
        <w:ind w:firstLine="1305"/>
        <w:spacing w:after="0" w:line="259" w:lineRule="auto"/>
        <w:tabs>
          <w:tab w:leader="none" w:pos="1675" w:val="left"/>
        </w:tabs>
        <w:numPr>
          <w:ilvl w:val="2"/>
          <w:numId w:val="38"/>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Dividend Equivalent Rights</w:t>
      </w:r>
      <w:r>
        <w:rPr>
          <w:rFonts w:ascii="Arial" w:cs="Arial" w:eastAsia="Arial" w:hAnsi="Arial"/>
          <w:sz w:val="21"/>
          <w:szCs w:val="21"/>
          <w:color w:val="auto"/>
        </w:rPr>
        <w:t>. From and after the Grant Date and until the earlier of (a) the time when the PSUs</w:t>
      </w:r>
      <w:r>
        <w:rPr>
          <w:rFonts w:ascii="Arial" w:cs="Arial" w:eastAsia="Arial" w:hAnsi="Arial"/>
          <w:sz w:val="21"/>
          <w:szCs w:val="21"/>
          <w:b w:val="1"/>
          <w:bCs w:val="1"/>
          <w:color w:val="auto"/>
        </w:rPr>
        <w:t xml:space="preserve"> </w:t>
      </w:r>
      <w:r>
        <w:rPr>
          <w:rFonts w:ascii="Arial" w:cs="Arial" w:eastAsia="Arial" w:hAnsi="Arial"/>
          <w:sz w:val="21"/>
          <w:szCs w:val="21"/>
          <w:color w:val="auto"/>
        </w:rPr>
        <w:t>are earned and/or vest and are settled in accordance with Section II.A.7 hereof or (b) the time when Grantee’s rights to the PSUs are forfeited in accordance with Section II.A.6 or II.A.7 hereof, on the date that the Corporation pays a cash dividend (if any) to holders of Stock generally, Grantee shall be credited with cash per PSU equal to the amount of such dividend. Any amounts credited pursuant to the immediately preceding sentence shall be subject to the same applicable terms and conditions (including earning, vesting, payment, and forfeitability) as apply to the PSUs based on which the dividend equivalents were credited, and such amounts shall be paid in either cash or Stock, as determined by the Committee in its sole discretion, at the same time as the PSUs to which they relate. If such amounts are paid in Stock, the number of shares so paid shall be rounded down to the nearest whole number and shall be determined by dividing such credited amounts by the Fair Market Value per share of Stock on the payment date.</w:t>
      </w:r>
    </w:p>
    <w:p>
      <w:pPr>
        <w:spacing w:after="0" w:line="176" w:lineRule="exact"/>
        <w:rPr>
          <w:rFonts w:ascii="Arial" w:cs="Arial" w:eastAsia="Arial" w:hAnsi="Arial"/>
          <w:sz w:val="21"/>
          <w:szCs w:val="21"/>
          <w:b w:val="1"/>
          <w:bCs w:val="1"/>
          <w:color w:val="auto"/>
        </w:rPr>
      </w:pPr>
    </w:p>
    <w:p>
      <w:pPr>
        <w:jc w:val="both"/>
        <w:ind w:firstLine="1305"/>
        <w:spacing w:after="0" w:line="295" w:lineRule="auto"/>
        <w:tabs>
          <w:tab w:leader="none" w:pos="1688" w:val="left"/>
        </w:tabs>
        <w:numPr>
          <w:ilvl w:val="2"/>
          <w:numId w:val="38"/>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Rights as a Shareholder</w:t>
      </w:r>
      <w:r>
        <w:rPr>
          <w:rFonts w:ascii="Arial" w:cs="Arial" w:eastAsia="Arial" w:hAnsi="Arial"/>
          <w:sz w:val="19"/>
          <w:szCs w:val="19"/>
          <w:color w:val="auto"/>
        </w:rPr>
        <w:t>. This Award does not entitle Grantee to any ownership interest in any actual shares of</w:t>
      </w:r>
      <w:r>
        <w:rPr>
          <w:rFonts w:ascii="Arial" w:cs="Arial" w:eastAsia="Arial" w:hAnsi="Arial"/>
          <w:sz w:val="19"/>
          <w:szCs w:val="19"/>
          <w:b w:val="1"/>
          <w:bCs w:val="1"/>
          <w:color w:val="auto"/>
        </w:rPr>
        <w:t xml:space="preserve"> </w:t>
      </w:r>
      <w:r>
        <w:rPr>
          <w:rFonts w:ascii="Arial" w:cs="Arial" w:eastAsia="Arial" w:hAnsi="Arial"/>
          <w:sz w:val="19"/>
          <w:szCs w:val="19"/>
          <w:color w:val="auto"/>
        </w:rPr>
        <w:t>Stock unless and until such shares of Stock are issued to Grantee pursuant to the terms of the Plan. Except as otherwise provided in Section II.A.3 hereof, until shares of Stock are issued to Grantee in settlement of earned and vested PSUs under this Award, Grantee will have none of the rights of a stockholder of the Corporation with respect to the shares of Stock issuable in settlement of the PSUs, including the right to vote the shares of Stock. Shares of Stock issuable in settlement of PSUs will be delivered to Grantee on the Settlement Date in book entry form or in such other manner as the Committee may determine.</w:t>
      </w:r>
    </w:p>
    <w:p>
      <w:pPr>
        <w:spacing w:after="0" w:line="144" w:lineRule="exact"/>
        <w:rPr>
          <w:rFonts w:ascii="Arial" w:cs="Arial" w:eastAsia="Arial" w:hAnsi="Arial"/>
          <w:sz w:val="19"/>
          <w:szCs w:val="19"/>
          <w:b w:val="1"/>
          <w:bCs w:val="1"/>
          <w:color w:val="auto"/>
        </w:rPr>
      </w:pPr>
    </w:p>
    <w:p>
      <w:pPr>
        <w:ind w:firstLine="1305"/>
        <w:spacing w:after="0" w:line="269" w:lineRule="auto"/>
        <w:tabs>
          <w:tab w:leader="none" w:pos="1783" w:val="left"/>
        </w:tabs>
        <w:numPr>
          <w:ilvl w:val="2"/>
          <w:numId w:val="3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Adjustments</w:t>
      </w:r>
      <w:r>
        <w:rPr>
          <w:rFonts w:ascii="Arial" w:cs="Arial" w:eastAsia="Arial" w:hAnsi="Arial"/>
          <w:sz w:val="22"/>
          <w:szCs w:val="22"/>
          <w:b w:val="1"/>
          <w:bCs w:val="1"/>
          <w:color w:val="auto"/>
        </w:rPr>
        <w:t xml:space="preserve">. </w:t>
      </w:r>
      <w:r>
        <w:rPr>
          <w:rFonts w:ascii="Arial" w:cs="Arial" w:eastAsia="Arial" w:hAnsi="Arial"/>
          <w:sz w:val="22"/>
          <w:szCs w:val="22"/>
          <w:color w:val="auto"/>
        </w:rPr>
        <w:t>The Stock to which the PSUs covered by this Award relate will be subject to adjustment as</w:t>
      </w:r>
      <w:r>
        <w:rPr>
          <w:rFonts w:ascii="Arial" w:cs="Arial" w:eastAsia="Arial" w:hAnsi="Arial"/>
          <w:sz w:val="22"/>
          <w:szCs w:val="22"/>
          <w:b w:val="1"/>
          <w:bCs w:val="1"/>
          <w:color w:val="auto"/>
        </w:rPr>
        <w:t xml:space="preserve"> </w:t>
      </w:r>
      <w:r>
        <w:rPr>
          <w:rFonts w:ascii="Arial" w:cs="Arial" w:eastAsia="Arial" w:hAnsi="Arial"/>
          <w:sz w:val="22"/>
          <w:szCs w:val="22"/>
          <w:color w:val="auto"/>
        </w:rPr>
        <w:t>provided in Section 17 of the Plan.</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625" w:right="239" w:bottom="1440" w:gutter="0" w:footer="0" w:header="0"/>
        </w:sectPr>
      </w:pPr>
    </w:p>
    <w:bookmarkStart w:id="59" w:name="page60"/>
    <w:bookmarkEnd w:id="59"/>
    <w:p>
      <w:pPr>
        <w:ind w:left="480" w:hanging="375"/>
        <w:spacing w:after="0"/>
        <w:tabs>
          <w:tab w:leader="none" w:pos="480" w:val="left"/>
        </w:tabs>
        <w:numPr>
          <w:ilvl w:val="0"/>
          <w:numId w:val="3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Termination of Service; Forfeiture</w:t>
      </w:r>
      <w:r>
        <w:rPr>
          <w:rFonts w:ascii="Arial" w:cs="Arial" w:eastAsia="Arial" w:hAnsi="Arial"/>
          <w:sz w:val="22"/>
          <w:szCs w:val="22"/>
          <w:color w:val="auto"/>
        </w:rPr>
        <w:t>.</w:t>
      </w:r>
    </w:p>
    <w:p>
      <w:pPr>
        <w:spacing w:after="0" w:line="219" w:lineRule="exact"/>
        <w:rPr>
          <w:rFonts w:ascii="Arial" w:cs="Arial" w:eastAsia="Arial" w:hAnsi="Arial"/>
          <w:sz w:val="22"/>
          <w:szCs w:val="22"/>
          <w:b w:val="1"/>
          <w:bCs w:val="1"/>
          <w:color w:val="auto"/>
        </w:rPr>
      </w:pPr>
    </w:p>
    <w:p>
      <w:pPr>
        <w:jc w:val="both"/>
        <w:ind w:left="-540" w:firstLine="1293"/>
        <w:spacing w:after="0" w:line="252" w:lineRule="auto"/>
        <w:tabs>
          <w:tab w:leader="none" w:pos="1361" w:val="left"/>
        </w:tabs>
        <w:numPr>
          <w:ilvl w:val="1"/>
          <w:numId w:val="39"/>
        </w:numPr>
        <w:rPr>
          <w:rFonts w:ascii="Arial" w:cs="Arial" w:eastAsia="Arial" w:hAnsi="Arial"/>
          <w:sz w:val="22"/>
          <w:szCs w:val="22"/>
          <w:color w:val="auto"/>
        </w:rPr>
      </w:pPr>
      <w:r>
        <w:rPr>
          <w:rFonts w:ascii="Arial" w:cs="Arial" w:eastAsia="Arial" w:hAnsi="Arial"/>
          <w:sz w:val="22"/>
          <w:szCs w:val="22"/>
          <w:b w:val="1"/>
          <w:bCs w:val="1"/>
          <w:color w:val="auto"/>
        </w:rPr>
        <w:t>Voluntary Termination; Termination by Corporation</w:t>
      </w:r>
      <w:r>
        <w:rPr>
          <w:rFonts w:ascii="Arial" w:cs="Arial" w:eastAsia="Arial" w:hAnsi="Arial"/>
          <w:sz w:val="22"/>
          <w:szCs w:val="22"/>
          <w:color w:val="auto"/>
        </w:rPr>
        <w:t>. Any unvested PSUs subject to this Award</w:t>
      </w:r>
      <w:r>
        <w:rPr>
          <w:rFonts w:ascii="Arial" w:cs="Arial" w:eastAsia="Arial" w:hAnsi="Arial"/>
          <w:sz w:val="22"/>
          <w:szCs w:val="22"/>
          <w:b w:val="1"/>
          <w:bCs w:val="1"/>
          <w:color w:val="auto"/>
        </w:rPr>
        <w:t xml:space="preserve"> </w:t>
      </w:r>
      <w:r>
        <w:rPr>
          <w:rFonts w:ascii="Arial" w:cs="Arial" w:eastAsia="Arial" w:hAnsi="Arial"/>
          <w:sz w:val="22"/>
          <w:szCs w:val="22"/>
          <w:color w:val="auto"/>
        </w:rPr>
        <w:t>will be forfeited if, prior to the Settlement Date, Grantee voluntarily terminates as a Service Provider (other than for Good Reason as provided below), or if Grantee’s status as a Service Provider is terminated by the Corporation, a Subsidiary or Affiliate for any reason (other than death, Disability, or Retirement).</w:t>
      </w:r>
    </w:p>
    <w:p>
      <w:pPr>
        <w:spacing w:after="0" w:line="180" w:lineRule="exact"/>
        <w:rPr>
          <w:rFonts w:ascii="Arial" w:cs="Arial" w:eastAsia="Arial" w:hAnsi="Arial"/>
          <w:sz w:val="22"/>
          <w:szCs w:val="22"/>
          <w:color w:val="auto"/>
        </w:rPr>
      </w:pPr>
    </w:p>
    <w:p>
      <w:pPr>
        <w:jc w:val="both"/>
        <w:ind w:left="-540" w:firstLine="1293"/>
        <w:spacing w:after="0" w:line="290" w:lineRule="auto"/>
        <w:tabs>
          <w:tab w:leader="none" w:pos="1279" w:val="left"/>
        </w:tabs>
        <w:numPr>
          <w:ilvl w:val="1"/>
          <w:numId w:val="39"/>
        </w:numPr>
        <w:rPr>
          <w:rFonts w:ascii="Arial" w:cs="Arial" w:eastAsia="Arial" w:hAnsi="Arial"/>
          <w:sz w:val="19"/>
          <w:szCs w:val="19"/>
          <w:color w:val="auto"/>
        </w:rPr>
      </w:pPr>
      <w:r>
        <w:rPr>
          <w:rFonts w:ascii="Arial" w:cs="Arial" w:eastAsia="Arial" w:hAnsi="Arial"/>
          <w:sz w:val="19"/>
          <w:szCs w:val="19"/>
          <w:b w:val="1"/>
          <w:bCs w:val="1"/>
          <w:color w:val="auto"/>
        </w:rPr>
        <w:t>Qualifying Termination Prior to a Change of Control</w:t>
      </w:r>
      <w:r>
        <w:rPr>
          <w:rFonts w:ascii="Arial" w:cs="Arial" w:eastAsia="Arial" w:hAnsi="Arial"/>
          <w:sz w:val="19"/>
          <w:szCs w:val="19"/>
          <w:color w:val="auto"/>
        </w:rPr>
        <w:t>. Notwithstanding the foregoing, and except as</w:t>
      </w:r>
      <w:r>
        <w:rPr>
          <w:rFonts w:ascii="Arial" w:cs="Arial" w:eastAsia="Arial" w:hAnsi="Arial"/>
          <w:sz w:val="19"/>
          <w:szCs w:val="19"/>
          <w:b w:val="1"/>
          <w:bCs w:val="1"/>
          <w:color w:val="auto"/>
        </w:rPr>
        <w:t xml:space="preserve"> </w:t>
      </w:r>
      <w:r>
        <w:rPr>
          <w:rFonts w:ascii="Arial" w:cs="Arial" w:eastAsia="Arial" w:hAnsi="Arial"/>
          <w:sz w:val="19"/>
          <w:szCs w:val="19"/>
          <w:color w:val="auto"/>
        </w:rPr>
        <w:t>set forth in subsection (f) of this Section II.A.6, if Grantee ceases to be a Service Provider during the performance period specified in the table above (the “Performance Period”) as a result of Grantee’s Qualifying Termination, Grantee shall receive a pro-rata portion of the number of PSUs, if any, that are earned under Section II.A.2 due to the achievement of one or more performance measures specified in Appendix A during the Performance Period. The pro-rata percentage of the number of PSUs to be earned and settled under Section II.A.7 shall be equal to (x) the amount determined under Section II.A.2 above at the end of the Performance Period, multiplied by (y) a fraction (not greater than 1), the numerator of which is the number of full calendar months Grantee was employed or rendering services from the beginning of the Performance Period through the date of Grantee’s termination, and the denominator of which is 36.</w:t>
      </w:r>
    </w:p>
    <w:p>
      <w:pPr>
        <w:spacing w:after="0" w:line="149" w:lineRule="exact"/>
        <w:rPr>
          <w:rFonts w:ascii="Arial" w:cs="Arial" w:eastAsia="Arial" w:hAnsi="Arial"/>
          <w:sz w:val="19"/>
          <w:szCs w:val="19"/>
          <w:color w:val="auto"/>
        </w:rPr>
      </w:pPr>
    </w:p>
    <w:p>
      <w:pPr>
        <w:jc w:val="both"/>
        <w:ind w:left="-540" w:firstLine="1293"/>
        <w:spacing w:after="0" w:line="249" w:lineRule="auto"/>
        <w:tabs>
          <w:tab w:leader="none" w:pos="1374" w:val="left"/>
        </w:tabs>
        <w:numPr>
          <w:ilvl w:val="1"/>
          <w:numId w:val="39"/>
        </w:numPr>
        <w:rPr>
          <w:rFonts w:ascii="Arial" w:cs="Arial" w:eastAsia="Arial" w:hAnsi="Arial"/>
          <w:sz w:val="22"/>
          <w:szCs w:val="22"/>
          <w:color w:val="auto"/>
        </w:rPr>
      </w:pPr>
      <w:r>
        <w:rPr>
          <w:rFonts w:ascii="Arial" w:cs="Arial" w:eastAsia="Arial" w:hAnsi="Arial"/>
          <w:sz w:val="22"/>
          <w:szCs w:val="22"/>
          <w:b w:val="1"/>
          <w:bCs w:val="1"/>
          <w:color w:val="auto"/>
        </w:rPr>
        <w:t>Disability</w:t>
      </w:r>
      <w:r>
        <w:rPr>
          <w:rFonts w:ascii="Arial" w:cs="Arial" w:eastAsia="Arial" w:hAnsi="Arial"/>
          <w:sz w:val="22"/>
          <w:szCs w:val="22"/>
          <w:color w:val="auto"/>
        </w:rPr>
        <w:t>. Notwithstanding the foregoing, if Grantee ceases to be a Service Provider during the</w:t>
      </w:r>
      <w:r>
        <w:rPr>
          <w:rFonts w:ascii="Arial" w:cs="Arial" w:eastAsia="Arial" w:hAnsi="Arial"/>
          <w:sz w:val="22"/>
          <w:szCs w:val="22"/>
          <w:b w:val="1"/>
          <w:bCs w:val="1"/>
          <w:color w:val="auto"/>
        </w:rPr>
        <w:t xml:space="preserve"> </w:t>
      </w:r>
      <w:r>
        <w:rPr>
          <w:rFonts w:ascii="Arial" w:cs="Arial" w:eastAsia="Arial" w:hAnsi="Arial"/>
          <w:sz w:val="22"/>
          <w:szCs w:val="22"/>
          <w:color w:val="auto"/>
        </w:rPr>
        <w:t>Performance Period as a result of Grantee’s Disability, Grantee’s PSUs shall become fully vested at the end of the Performance Period based on the number of PSUs that would have been actually earned due to the achievement of one or more performance measures specified in Appendix A, assuming Grantee had continued to be a Service Provider through the end of the Performance Period.</w:t>
      </w:r>
    </w:p>
    <w:p>
      <w:pPr>
        <w:spacing w:after="0" w:line="186" w:lineRule="exact"/>
        <w:rPr>
          <w:rFonts w:ascii="Arial" w:cs="Arial" w:eastAsia="Arial" w:hAnsi="Arial"/>
          <w:sz w:val="22"/>
          <w:szCs w:val="22"/>
          <w:color w:val="auto"/>
        </w:rPr>
      </w:pPr>
    </w:p>
    <w:p>
      <w:pPr>
        <w:jc w:val="both"/>
        <w:ind w:left="-540" w:firstLine="1293"/>
        <w:spacing w:after="0" w:line="256" w:lineRule="auto"/>
        <w:tabs>
          <w:tab w:leader="none" w:pos="1468" w:val="left"/>
        </w:tabs>
        <w:numPr>
          <w:ilvl w:val="1"/>
          <w:numId w:val="39"/>
        </w:numPr>
        <w:rPr>
          <w:rFonts w:ascii="Arial" w:cs="Arial" w:eastAsia="Arial" w:hAnsi="Arial"/>
          <w:sz w:val="22"/>
          <w:szCs w:val="22"/>
          <w:color w:val="auto"/>
        </w:rPr>
      </w:pPr>
      <w:r>
        <w:rPr>
          <w:rFonts w:ascii="Arial" w:cs="Arial" w:eastAsia="Arial" w:hAnsi="Arial"/>
          <w:sz w:val="22"/>
          <w:szCs w:val="22"/>
          <w:b w:val="1"/>
          <w:bCs w:val="1"/>
          <w:color w:val="auto"/>
        </w:rPr>
        <w:t>Death</w:t>
      </w:r>
      <w:r>
        <w:rPr>
          <w:rFonts w:ascii="Arial" w:cs="Arial" w:eastAsia="Arial" w:hAnsi="Arial"/>
          <w:sz w:val="22"/>
          <w:szCs w:val="22"/>
          <w:color w:val="auto"/>
        </w:rPr>
        <w:t>. Notwithstanding the foregoing, if Grantee ceases to be a Service Provider during the</w:t>
      </w:r>
      <w:r>
        <w:rPr>
          <w:rFonts w:ascii="Arial" w:cs="Arial" w:eastAsia="Arial" w:hAnsi="Arial"/>
          <w:sz w:val="22"/>
          <w:szCs w:val="22"/>
          <w:b w:val="1"/>
          <w:bCs w:val="1"/>
          <w:color w:val="auto"/>
        </w:rPr>
        <w:t xml:space="preserve"> </w:t>
      </w:r>
      <w:r>
        <w:rPr>
          <w:rFonts w:ascii="Arial" w:cs="Arial" w:eastAsia="Arial" w:hAnsi="Arial"/>
          <w:sz w:val="22"/>
          <w:szCs w:val="22"/>
          <w:color w:val="auto"/>
        </w:rPr>
        <w:t>Performance Period as a result of Grantee’s death, Grantee’s PSUs shall immediately become fully vested based on the Target number set forth in “Number of PSUs in Award” in Section I.</w:t>
      </w:r>
    </w:p>
    <w:p>
      <w:pPr>
        <w:spacing w:after="0" w:line="176" w:lineRule="exact"/>
        <w:rPr>
          <w:rFonts w:ascii="Arial" w:cs="Arial" w:eastAsia="Arial" w:hAnsi="Arial"/>
          <w:sz w:val="22"/>
          <w:szCs w:val="22"/>
          <w:color w:val="auto"/>
        </w:rPr>
      </w:pPr>
    </w:p>
    <w:p>
      <w:pPr>
        <w:jc w:val="both"/>
        <w:ind w:left="-540" w:firstLine="1293"/>
        <w:spacing w:after="0" w:line="252" w:lineRule="auto"/>
        <w:tabs>
          <w:tab w:leader="none" w:pos="1442" w:val="left"/>
        </w:tabs>
        <w:numPr>
          <w:ilvl w:val="1"/>
          <w:numId w:val="39"/>
        </w:numPr>
        <w:rPr>
          <w:rFonts w:ascii="Arial" w:cs="Arial" w:eastAsia="Arial" w:hAnsi="Arial"/>
          <w:sz w:val="22"/>
          <w:szCs w:val="22"/>
          <w:color w:val="auto"/>
        </w:rPr>
      </w:pPr>
      <w:r>
        <w:rPr>
          <w:rFonts w:ascii="Arial" w:cs="Arial" w:eastAsia="Arial" w:hAnsi="Arial"/>
          <w:sz w:val="22"/>
          <w:szCs w:val="22"/>
          <w:b w:val="1"/>
          <w:bCs w:val="1"/>
          <w:color w:val="auto"/>
        </w:rPr>
        <w:t>Retirement</w:t>
      </w:r>
      <w:r>
        <w:rPr>
          <w:rFonts w:ascii="Arial" w:cs="Arial" w:eastAsia="Arial" w:hAnsi="Arial"/>
          <w:sz w:val="22"/>
          <w:szCs w:val="22"/>
          <w:color w:val="auto"/>
        </w:rPr>
        <w:t>. If Grantee ceases to be a Service Provider as a result of Grantee’s Retirement, the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Committee may, </w:t>
      </w:r>
      <w:r>
        <w:rPr>
          <w:rFonts w:ascii="Arial" w:cs="Arial" w:eastAsia="Arial" w:hAnsi="Arial"/>
          <w:sz w:val="22"/>
          <w:szCs w:val="22"/>
          <w:i w:val="1"/>
          <w:iCs w:val="1"/>
          <w:u w:val="single" w:color="auto"/>
          <w:color w:val="auto"/>
        </w:rPr>
        <w:t>in its discretion</w:t>
      </w:r>
      <w:r>
        <w:rPr>
          <w:rFonts w:ascii="Arial" w:cs="Arial" w:eastAsia="Arial" w:hAnsi="Arial"/>
          <w:sz w:val="22"/>
          <w:szCs w:val="22"/>
          <w:color w:val="auto"/>
        </w:rPr>
        <w:t>, permit Grantee to receive a pro-rata portion of the number of PSUs specified in Section I above, with the pro-rata percentage of the number of PSUs to be vested to be determined in accordance with subsection (b) of this Section II.A.6.</w:t>
      </w:r>
    </w:p>
    <w:p>
      <w:pPr>
        <w:spacing w:after="0" w:line="180" w:lineRule="exact"/>
        <w:rPr>
          <w:rFonts w:ascii="Arial" w:cs="Arial" w:eastAsia="Arial" w:hAnsi="Arial"/>
          <w:sz w:val="22"/>
          <w:szCs w:val="22"/>
          <w:color w:val="auto"/>
        </w:rPr>
      </w:pPr>
    </w:p>
    <w:p>
      <w:pPr>
        <w:jc w:val="both"/>
        <w:ind w:left="-540" w:firstLine="1293"/>
        <w:spacing w:after="0" w:line="262" w:lineRule="auto"/>
        <w:tabs>
          <w:tab w:leader="none" w:pos="1189" w:val="left"/>
        </w:tabs>
        <w:numPr>
          <w:ilvl w:val="1"/>
          <w:numId w:val="39"/>
        </w:numPr>
        <w:rPr>
          <w:rFonts w:ascii="Arial" w:cs="Arial" w:eastAsia="Arial" w:hAnsi="Arial"/>
          <w:sz w:val="21"/>
          <w:szCs w:val="21"/>
          <w:color w:val="auto"/>
        </w:rPr>
      </w:pPr>
      <w:r>
        <w:rPr>
          <w:rFonts w:ascii="Arial" w:cs="Arial" w:eastAsia="Arial" w:hAnsi="Arial"/>
          <w:sz w:val="21"/>
          <w:szCs w:val="21"/>
          <w:b w:val="1"/>
          <w:bCs w:val="1"/>
          <w:color w:val="auto"/>
        </w:rPr>
        <w:t>Qualifying Termination Following a Change of Control</w:t>
      </w:r>
      <w:r>
        <w:rPr>
          <w:rFonts w:ascii="Arial" w:cs="Arial" w:eastAsia="Arial" w:hAnsi="Arial"/>
          <w:sz w:val="21"/>
          <w:szCs w:val="21"/>
          <w:color w:val="auto"/>
        </w:rPr>
        <w:t>. Notwithstanding anything set forth herein to</w:t>
      </w:r>
      <w:r>
        <w:rPr>
          <w:rFonts w:ascii="Arial" w:cs="Arial" w:eastAsia="Arial" w:hAnsi="Arial"/>
          <w:sz w:val="21"/>
          <w:szCs w:val="21"/>
          <w:b w:val="1"/>
          <w:bCs w:val="1"/>
          <w:color w:val="auto"/>
        </w:rPr>
        <w:t xml:space="preserve"> </w:t>
      </w:r>
      <w:r>
        <w:rPr>
          <w:rFonts w:ascii="Arial" w:cs="Arial" w:eastAsia="Arial" w:hAnsi="Arial"/>
          <w:sz w:val="21"/>
          <w:szCs w:val="21"/>
          <w:color w:val="auto"/>
        </w:rPr>
        <w:t>the contrary, if Grantee ceases to be a Service Provider due to Grantee’s Qualifying Termination within two years after a “Change of Control” (as defined in Appendix B) and during the Performance Period, the number of PSUs subject to the Award that shall become vested and non-forfeitable shall equal (x) the Target number set forth in “Number of PSUs in Award” in Section I, less (y) the number of PSUs that had already become vested as of the date of such termination, but in no event may negative discretion</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0220"/>
          </w:cols>
          <w:pgMar w:left="1440" w:top="625" w:right="239" w:bottom="1440" w:gutter="0" w:footer="0" w:header="0"/>
        </w:sectPr>
      </w:pPr>
    </w:p>
    <w:bookmarkStart w:id="60" w:name="page61"/>
    <w:bookmarkEnd w:id="60"/>
    <w:p>
      <w:pPr>
        <w:ind w:left="660" w:right="20"/>
        <w:spacing w:after="0" w:line="263" w:lineRule="auto"/>
        <w:rPr>
          <w:sz w:val="20"/>
          <w:szCs w:val="20"/>
          <w:color w:val="auto"/>
        </w:rPr>
      </w:pPr>
      <w:r>
        <w:rPr>
          <w:rFonts w:ascii="Arial" w:cs="Arial" w:eastAsia="Arial" w:hAnsi="Arial"/>
          <w:sz w:val="22"/>
          <w:szCs w:val="22"/>
          <w:color w:val="auto"/>
        </w:rPr>
        <w:t>be exercised with respect to the number of PSUs awarded. Any PSUs that are not earned and do not vest in accordance with the foregoing sentence shall terminate and be forfeited.</w:t>
      </w:r>
    </w:p>
    <w:p>
      <w:pPr>
        <w:spacing w:after="0" w:line="17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Any PSUs that are not earned and do not vest in accordance with this Section II.A.6. shall terminate and be forfeited as of the date of Grantee’s termination. Further, the Corporation retains the right to accelerate the vesting (but not the time of payment) of all or a portion of the PSUs subject to this Award, in which event a similar pro-ration determination as provided in this Section II.A.6 will be applied.</w:t>
      </w:r>
    </w:p>
    <w:p>
      <w:pPr>
        <w:spacing w:after="0" w:line="182" w:lineRule="exact"/>
        <w:rPr>
          <w:sz w:val="20"/>
          <w:szCs w:val="20"/>
          <w:color w:val="auto"/>
        </w:rPr>
      </w:pPr>
    </w:p>
    <w:p>
      <w:pPr>
        <w:ind w:left="1680" w:hanging="375"/>
        <w:spacing w:after="0"/>
        <w:tabs>
          <w:tab w:leader="none" w:pos="1680" w:val="left"/>
        </w:tabs>
        <w:numPr>
          <w:ilvl w:val="0"/>
          <w:numId w:val="4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Determination of PSUs Earned and Vested; Settlement</w:t>
      </w:r>
      <w:r>
        <w:rPr>
          <w:rFonts w:ascii="Arial" w:cs="Arial" w:eastAsia="Arial" w:hAnsi="Arial"/>
          <w:sz w:val="22"/>
          <w:szCs w:val="22"/>
          <w:color w:val="auto"/>
        </w:rPr>
        <w:t>.</w:t>
      </w:r>
    </w:p>
    <w:p>
      <w:pPr>
        <w:spacing w:after="0" w:line="226" w:lineRule="exact"/>
        <w:rPr>
          <w:sz w:val="20"/>
          <w:szCs w:val="20"/>
          <w:color w:val="auto"/>
        </w:rPr>
      </w:pPr>
    </w:p>
    <w:p>
      <w:pPr>
        <w:jc w:val="both"/>
        <w:ind w:left="660" w:firstLine="645"/>
        <w:spacing w:after="0" w:line="297" w:lineRule="auto"/>
        <w:tabs>
          <w:tab w:leader="none" w:pos="2196" w:val="left"/>
        </w:tabs>
        <w:numPr>
          <w:ilvl w:val="0"/>
          <w:numId w:val="41"/>
        </w:numPr>
        <w:rPr>
          <w:rFonts w:ascii="Arial" w:cs="Arial" w:eastAsia="Arial" w:hAnsi="Arial"/>
          <w:sz w:val="19"/>
          <w:szCs w:val="19"/>
          <w:color w:val="auto"/>
        </w:rPr>
      </w:pPr>
      <w:r>
        <w:rPr>
          <w:rFonts w:ascii="Arial" w:cs="Arial" w:eastAsia="Arial" w:hAnsi="Arial"/>
          <w:sz w:val="19"/>
          <w:szCs w:val="19"/>
          <w:color w:val="auto"/>
        </w:rPr>
        <w:t>Subject to Section II.A.7(b), upon the Committee’s certification of achievement of the Performance Goal described in Appendix A, and Grantee’s satisfaction of the vesting requirements in Section II.A.1 and Section II.A.6 above, as applicable, this Award shall be settled by issuing to Grantee the number of shares of Stock determined pursuant to Appendix A, and Grantee’s name shall be entered as the shareholder of record on the books of the Corporation with respect to such shares. This settlement shall occur on March 1, 2019 (the “Settlement Date”).</w:t>
      </w:r>
    </w:p>
    <w:p>
      <w:pPr>
        <w:spacing w:after="0" w:line="187" w:lineRule="exact"/>
        <w:rPr>
          <w:rFonts w:ascii="Arial" w:cs="Arial" w:eastAsia="Arial" w:hAnsi="Arial"/>
          <w:sz w:val="19"/>
          <w:szCs w:val="19"/>
          <w:color w:val="auto"/>
        </w:rPr>
      </w:pPr>
    </w:p>
    <w:p>
      <w:pPr>
        <w:jc w:val="both"/>
        <w:ind w:left="660" w:firstLine="645"/>
        <w:spacing w:after="0" w:line="246" w:lineRule="auto"/>
        <w:tabs>
          <w:tab w:leader="none" w:pos="2209" w:val="left"/>
        </w:tabs>
        <w:numPr>
          <w:ilvl w:val="0"/>
          <w:numId w:val="41"/>
        </w:numPr>
        <w:rPr>
          <w:rFonts w:ascii="Arial" w:cs="Arial" w:eastAsia="Arial" w:hAnsi="Arial"/>
          <w:sz w:val="22"/>
          <w:szCs w:val="22"/>
          <w:color w:val="auto"/>
        </w:rPr>
      </w:pPr>
      <w:r>
        <w:rPr>
          <w:rFonts w:ascii="Arial" w:cs="Arial" w:eastAsia="Arial" w:hAnsi="Arial"/>
          <w:sz w:val="22"/>
          <w:szCs w:val="22"/>
          <w:color w:val="auto"/>
        </w:rPr>
        <w:t>The PSUs that become vested as a result of Grantee’s death pursuant to Section II.A.6(d) will be settled by issuing to Grantee one share of Stock for each PSU that is vested within 30 days of Grantee’s death, and Grantee’s name shall be entered as the shareholder of record on the books of the Corporation with respect to such shares. The PSUs that become vested as a result of Grantee’s Qualifying Termination within two years after a Change of Control pursuant to Section II.A.6(f) will be settled by issuing to Grantee one share of Stock for each PSU that is vested within 30 days of such Qualifying Termination, and Grantee’s name shall be entered as the shareholder of record on the books of the Corporation with respect to such shares.</w:t>
      </w:r>
    </w:p>
    <w:p>
      <w:pPr>
        <w:spacing w:after="0" w:line="237" w:lineRule="exact"/>
        <w:rPr>
          <w:rFonts w:ascii="Arial" w:cs="Arial" w:eastAsia="Arial" w:hAnsi="Arial"/>
          <w:sz w:val="22"/>
          <w:szCs w:val="22"/>
          <w:color w:val="auto"/>
        </w:rPr>
      </w:pPr>
    </w:p>
    <w:p>
      <w:pPr>
        <w:jc w:val="both"/>
        <w:ind w:left="660" w:firstLine="645"/>
        <w:spacing w:after="0" w:line="253" w:lineRule="auto"/>
        <w:tabs>
          <w:tab w:leader="none" w:pos="2196" w:val="left"/>
        </w:tabs>
        <w:numPr>
          <w:ilvl w:val="0"/>
          <w:numId w:val="41"/>
        </w:numPr>
        <w:rPr>
          <w:rFonts w:ascii="Arial" w:cs="Arial" w:eastAsia="Arial" w:hAnsi="Arial"/>
          <w:sz w:val="22"/>
          <w:szCs w:val="22"/>
          <w:color w:val="auto"/>
        </w:rPr>
      </w:pPr>
      <w:r>
        <w:rPr>
          <w:rFonts w:ascii="Arial" w:cs="Arial" w:eastAsia="Arial" w:hAnsi="Arial"/>
          <w:sz w:val="22"/>
          <w:szCs w:val="22"/>
          <w:color w:val="auto"/>
        </w:rPr>
        <w:t>Any unearned PSUs at the end of the Performance Period, or if earlier, the time of settlement, will be canceled and forfeited. In all circumstances, the number of PSUs earned or vested will be rounded down to the nearest whole PSU, unless otherwise determined by the Committee.</w:t>
      </w:r>
    </w:p>
    <w:p>
      <w:pPr>
        <w:spacing w:after="0" w:line="220" w:lineRule="exact"/>
        <w:rPr>
          <w:sz w:val="20"/>
          <w:szCs w:val="20"/>
          <w:color w:val="auto"/>
        </w:rPr>
      </w:pPr>
    </w:p>
    <w:p>
      <w:pPr>
        <w:ind w:left="1080" w:hanging="424"/>
        <w:spacing w:after="0"/>
        <w:tabs>
          <w:tab w:leader="none" w:pos="1080" w:val="left"/>
        </w:tabs>
        <w:numPr>
          <w:ilvl w:val="0"/>
          <w:numId w:val="4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Other Terms and Conditions</w:t>
      </w:r>
      <w:r>
        <w:rPr>
          <w:rFonts w:ascii="Arial" w:cs="Arial" w:eastAsia="Arial" w:hAnsi="Arial"/>
          <w:sz w:val="22"/>
          <w:szCs w:val="22"/>
          <w:b w:val="1"/>
          <w:bCs w:val="1"/>
          <w:color w:val="auto"/>
        </w:rPr>
        <w:t>.</w:t>
      </w:r>
    </w:p>
    <w:p>
      <w:pPr>
        <w:spacing w:after="0" w:line="219" w:lineRule="exact"/>
        <w:rPr>
          <w:rFonts w:ascii="Arial" w:cs="Arial" w:eastAsia="Arial" w:hAnsi="Arial"/>
          <w:sz w:val="22"/>
          <w:szCs w:val="22"/>
          <w:b w:val="1"/>
          <w:bCs w:val="1"/>
          <w:color w:val="auto"/>
        </w:rPr>
      </w:pPr>
    </w:p>
    <w:p>
      <w:pPr>
        <w:jc w:val="both"/>
        <w:ind w:firstLine="1305"/>
        <w:spacing w:after="0" w:line="315" w:lineRule="auto"/>
        <w:tabs>
          <w:tab w:leader="none" w:pos="1675" w:val="left"/>
        </w:tabs>
        <w:numPr>
          <w:ilvl w:val="1"/>
          <w:numId w:val="42"/>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Non-Transferability of Award</w:t>
      </w:r>
      <w:r>
        <w:rPr>
          <w:rFonts w:ascii="Arial" w:cs="Arial" w:eastAsia="Arial" w:hAnsi="Arial"/>
          <w:sz w:val="19"/>
          <w:szCs w:val="19"/>
          <w:color w:val="auto"/>
        </w:rPr>
        <w:t>. Except as described below, this Award and the PSUs subject to this Award may</w:t>
      </w:r>
      <w:r>
        <w:rPr>
          <w:rFonts w:ascii="Arial" w:cs="Arial" w:eastAsia="Arial" w:hAnsi="Arial"/>
          <w:sz w:val="19"/>
          <w:szCs w:val="19"/>
          <w:b w:val="1"/>
          <w:bCs w:val="1"/>
          <w:color w:val="auto"/>
        </w:rPr>
        <w:t xml:space="preserve"> </w:t>
      </w:r>
      <w:r>
        <w:rPr>
          <w:rFonts w:ascii="Arial" w:cs="Arial" w:eastAsia="Arial" w:hAnsi="Arial"/>
          <w:sz w:val="19"/>
          <w:szCs w:val="19"/>
          <w:color w:val="auto"/>
        </w:rPr>
        <w:t>not be sold, pledged, assigned, hypothecated, transferred, or disposed of in any manner other than by will or by the laws of descent or distribution. The terms of this Award are binding on the executors, administrators, heirs, successors and assigns of Grantee.</w:t>
      </w:r>
    </w:p>
    <w:p>
      <w:pPr>
        <w:spacing w:after="0" w:line="125" w:lineRule="exact"/>
        <w:rPr>
          <w:rFonts w:ascii="Arial" w:cs="Arial" w:eastAsia="Arial" w:hAnsi="Arial"/>
          <w:sz w:val="19"/>
          <w:szCs w:val="19"/>
          <w:b w:val="1"/>
          <w:bCs w:val="1"/>
          <w:color w:val="auto"/>
        </w:rPr>
      </w:pPr>
    </w:p>
    <w:p>
      <w:pPr>
        <w:jc w:val="both"/>
        <w:ind w:firstLine="1305"/>
        <w:spacing w:after="0" w:line="267" w:lineRule="auto"/>
        <w:tabs>
          <w:tab w:leader="none" w:pos="1810" w:val="left"/>
        </w:tabs>
        <w:numPr>
          <w:ilvl w:val="1"/>
          <w:numId w:val="42"/>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Withholding</w:t>
      </w:r>
      <w:r>
        <w:rPr>
          <w:rFonts w:ascii="Arial" w:cs="Arial" w:eastAsia="Arial" w:hAnsi="Arial"/>
          <w:sz w:val="21"/>
          <w:szCs w:val="21"/>
          <w:b w:val="1"/>
          <w:bCs w:val="1"/>
          <w:color w:val="auto"/>
        </w:rPr>
        <w:t xml:space="preserve">. </w:t>
      </w:r>
      <w:r>
        <w:rPr>
          <w:rFonts w:ascii="Arial" w:cs="Arial" w:eastAsia="Arial" w:hAnsi="Arial"/>
          <w:sz w:val="21"/>
          <w:szCs w:val="21"/>
          <w:color w:val="auto"/>
        </w:rPr>
        <w:t>Grantee authorizes the Corporation to withhold from the shares of Stock to be delivered in</w:t>
      </w:r>
      <w:r>
        <w:rPr>
          <w:rFonts w:ascii="Arial" w:cs="Arial" w:eastAsia="Arial" w:hAnsi="Arial"/>
          <w:sz w:val="21"/>
          <w:szCs w:val="21"/>
          <w:b w:val="1"/>
          <w:bCs w:val="1"/>
          <w:color w:val="auto"/>
        </w:rPr>
        <w:t xml:space="preserve"> </w:t>
      </w:r>
      <w:r>
        <w:rPr>
          <w:rFonts w:ascii="Arial" w:cs="Arial" w:eastAsia="Arial" w:hAnsi="Arial"/>
          <w:sz w:val="21"/>
          <w:szCs w:val="21"/>
          <w:color w:val="auto"/>
        </w:rPr>
        <w:t>respect of the PSUs as payment the amount needed to satisfy any applicable minimum income and employment tax withholding obligations, or Grantee agrees to tender sufficient funds to satisfy any applicable income and employment tax withholding obligations in connection with the vesting of the PSUs and the resulting delivery of shares of Stock under this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631" w:right="239" w:bottom="1440" w:gutter="0" w:footer="0" w:header="0"/>
        </w:sectPr>
      </w:pPr>
    </w:p>
    <w:bookmarkStart w:id="61" w:name="page62"/>
    <w:bookmarkEnd w:id="61"/>
    <w:p>
      <w:pPr>
        <w:jc w:val="both"/>
        <w:spacing w:after="0" w:line="253" w:lineRule="auto"/>
        <w:rPr>
          <w:sz w:val="20"/>
          <w:szCs w:val="20"/>
          <w:color w:val="auto"/>
        </w:rPr>
      </w:pPr>
      <w:r>
        <w:rPr>
          <w:rFonts w:ascii="Arial" w:cs="Arial" w:eastAsia="Arial" w:hAnsi="Arial"/>
          <w:sz w:val="22"/>
          <w:szCs w:val="22"/>
          <w:color w:val="auto"/>
        </w:rPr>
        <w:t>Award. Notwithstanding any other provision of this Agreement or the Plan, the Corporation shall not be obligated to guarantee any particular tax result for Grantee with respect to any payment provided to Grantee hereunder, and Grantee shall be responsible for any taxes imposed on Grantee with respect to any such payment.</w:t>
      </w:r>
    </w:p>
    <w:p>
      <w:pPr>
        <w:spacing w:after="0" w:line="180" w:lineRule="exact"/>
        <w:rPr>
          <w:sz w:val="20"/>
          <w:szCs w:val="20"/>
          <w:color w:val="auto"/>
        </w:rPr>
      </w:pPr>
    </w:p>
    <w:p>
      <w:pPr>
        <w:jc w:val="both"/>
        <w:ind w:firstLine="1305"/>
        <w:spacing w:after="0" w:line="267" w:lineRule="auto"/>
        <w:tabs>
          <w:tab w:leader="none" w:pos="1729" w:val="left"/>
        </w:tabs>
        <w:numPr>
          <w:ilvl w:val="0"/>
          <w:numId w:val="43"/>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Dispute Resolution</w:t>
      </w:r>
      <w:r>
        <w:rPr>
          <w:rFonts w:ascii="Arial" w:cs="Arial" w:eastAsia="Arial" w:hAnsi="Arial"/>
          <w:sz w:val="21"/>
          <w:szCs w:val="21"/>
          <w:color w:val="auto"/>
        </w:rPr>
        <w:t>. Grantee and the Corporation agree that any disagreement, dispute, controversy, or claim</w:t>
      </w:r>
      <w:r>
        <w:rPr>
          <w:rFonts w:ascii="Arial" w:cs="Arial" w:eastAsia="Arial" w:hAnsi="Arial"/>
          <w:sz w:val="21"/>
          <w:szCs w:val="21"/>
          <w:b w:val="1"/>
          <w:bCs w:val="1"/>
          <w:color w:val="auto"/>
        </w:rPr>
        <w:t xml:space="preserve"> </w:t>
      </w:r>
      <w:r>
        <w:rPr>
          <w:rFonts w:ascii="Arial" w:cs="Arial" w:eastAsia="Arial" w:hAnsi="Arial"/>
          <w:sz w:val="21"/>
          <w:szCs w:val="21"/>
          <w:color w:val="auto"/>
        </w:rPr>
        <w:t>arising out of or relating to this Agreement, its interpretation, validity, or the alleged breach of this Agreement, will be settled exclusively and, consistent with the procedures specified in this Section II.B.3., irrespective of its magnitude, the amount in controversy, or the nature of the relief sought, in accordance with the following:</w:t>
      </w:r>
    </w:p>
    <w:p>
      <w:pPr>
        <w:spacing w:after="0" w:line="168" w:lineRule="exact"/>
        <w:rPr>
          <w:sz w:val="20"/>
          <w:szCs w:val="20"/>
          <w:color w:val="auto"/>
        </w:rPr>
      </w:pPr>
    </w:p>
    <w:p>
      <w:pPr>
        <w:jc w:val="both"/>
        <w:ind w:left="660" w:firstLine="645"/>
        <w:spacing w:after="0" w:line="256" w:lineRule="auto"/>
        <w:tabs>
          <w:tab w:leader="none" w:pos="1845" w:val="left"/>
        </w:tabs>
        <w:numPr>
          <w:ilvl w:val="0"/>
          <w:numId w:val="44"/>
        </w:numPr>
        <w:rPr>
          <w:rFonts w:ascii="Arial" w:cs="Arial" w:eastAsia="Arial" w:hAnsi="Arial"/>
          <w:sz w:val="22"/>
          <w:szCs w:val="22"/>
          <w:color w:val="auto"/>
        </w:rPr>
      </w:pPr>
      <w:r>
        <w:rPr>
          <w:rFonts w:ascii="Arial" w:cs="Arial" w:eastAsia="Arial" w:hAnsi="Arial"/>
          <w:sz w:val="22"/>
          <w:szCs w:val="22"/>
          <w:b w:val="1"/>
          <w:bCs w:val="1"/>
          <w:color w:val="auto"/>
        </w:rPr>
        <w:t>Negotiation</w:t>
      </w:r>
      <w:r>
        <w:rPr>
          <w:rFonts w:ascii="Arial" w:cs="Arial" w:eastAsia="Arial" w:hAnsi="Arial"/>
          <w:sz w:val="22"/>
          <w:szCs w:val="22"/>
          <w:color w:val="auto"/>
        </w:rPr>
        <w:t>. Grantee and the Corporation will use their best efforts to settle the dispute, claim, question or</w:t>
      </w:r>
      <w:r>
        <w:rPr>
          <w:rFonts w:ascii="Arial" w:cs="Arial" w:eastAsia="Arial" w:hAnsi="Arial"/>
          <w:sz w:val="22"/>
          <w:szCs w:val="22"/>
          <w:b w:val="1"/>
          <w:bCs w:val="1"/>
          <w:color w:val="auto"/>
        </w:rPr>
        <w:t xml:space="preserve"> </w:t>
      </w:r>
      <w:r>
        <w:rPr>
          <w:rFonts w:ascii="Arial" w:cs="Arial" w:eastAsia="Arial" w:hAnsi="Arial"/>
          <w:sz w:val="22"/>
          <w:szCs w:val="22"/>
          <w:color w:val="auto"/>
        </w:rPr>
        <w:t>disagreement. To this effect, they will consult and negotiate with each other in good faith and, recognizing their mutual interests, attempt to reach a just and equitable solution satisfactory to both parties.</w:t>
      </w:r>
    </w:p>
    <w:p>
      <w:pPr>
        <w:spacing w:after="0" w:line="176" w:lineRule="exact"/>
        <w:rPr>
          <w:rFonts w:ascii="Arial" w:cs="Arial" w:eastAsia="Arial" w:hAnsi="Arial"/>
          <w:sz w:val="22"/>
          <w:szCs w:val="22"/>
          <w:color w:val="auto"/>
        </w:rPr>
      </w:pPr>
    </w:p>
    <w:p>
      <w:pPr>
        <w:jc w:val="both"/>
        <w:ind w:left="660" w:firstLine="645"/>
        <w:spacing w:after="0" w:line="249" w:lineRule="auto"/>
        <w:tabs>
          <w:tab w:leader="none" w:pos="1817" w:val="left"/>
        </w:tabs>
        <w:numPr>
          <w:ilvl w:val="0"/>
          <w:numId w:val="44"/>
        </w:numPr>
        <w:rPr>
          <w:rFonts w:ascii="Arial" w:cs="Arial" w:eastAsia="Arial" w:hAnsi="Arial"/>
          <w:sz w:val="22"/>
          <w:szCs w:val="22"/>
          <w:color w:val="auto"/>
        </w:rPr>
      </w:pPr>
      <w:r>
        <w:rPr>
          <w:rFonts w:ascii="Arial" w:cs="Arial" w:eastAsia="Arial" w:hAnsi="Arial"/>
          <w:sz w:val="22"/>
          <w:szCs w:val="22"/>
          <w:b w:val="1"/>
          <w:bCs w:val="1"/>
          <w:color w:val="auto"/>
        </w:rPr>
        <w:t>Arbitration</w:t>
      </w:r>
      <w:r>
        <w:rPr>
          <w:rFonts w:ascii="Arial" w:cs="Arial" w:eastAsia="Arial" w:hAnsi="Arial"/>
          <w:sz w:val="22"/>
          <w:szCs w:val="22"/>
          <w:color w:val="auto"/>
        </w:rPr>
        <w:t>. If Grantee and the Corporation do not reach a solution within a period of 30 days from the date</w:t>
      </w:r>
      <w:r>
        <w:rPr>
          <w:rFonts w:ascii="Arial" w:cs="Arial" w:eastAsia="Arial" w:hAnsi="Arial"/>
          <w:sz w:val="22"/>
          <w:szCs w:val="22"/>
          <w:b w:val="1"/>
          <w:bCs w:val="1"/>
          <w:color w:val="auto"/>
        </w:rPr>
        <w:t xml:space="preserve"> </w:t>
      </w:r>
      <w:r>
        <w:rPr>
          <w:rFonts w:ascii="Arial" w:cs="Arial" w:eastAsia="Arial" w:hAnsi="Arial"/>
          <w:sz w:val="22"/>
          <w:szCs w:val="22"/>
          <w:color w:val="auto"/>
        </w:rPr>
        <w:t>on which the dispute, claim, disagreement, or controversy arises, then, upon written notice by Grantee to the Corporation or the Corporation to Grantee, all disputes, claims, questions, controversies, or differences will be submitted to arbitration administered by the American Arbitration Association (the “AAA”) in accordance with the provisions of its Employment Arbitration Rules (the “Arbitration Rules”).</w:t>
      </w:r>
    </w:p>
    <w:p>
      <w:pPr>
        <w:spacing w:after="0" w:line="186" w:lineRule="exact"/>
        <w:rPr>
          <w:rFonts w:ascii="Arial" w:cs="Arial" w:eastAsia="Arial" w:hAnsi="Arial"/>
          <w:sz w:val="22"/>
          <w:szCs w:val="22"/>
          <w:color w:val="auto"/>
        </w:rPr>
      </w:pPr>
    </w:p>
    <w:p>
      <w:pPr>
        <w:jc w:val="both"/>
        <w:ind w:left="1300" w:firstLine="653"/>
        <w:spacing w:after="0" w:line="247" w:lineRule="auto"/>
        <w:tabs>
          <w:tab w:leader="none" w:pos="2470" w:val="left"/>
        </w:tabs>
        <w:numPr>
          <w:ilvl w:val="1"/>
          <w:numId w:val="44"/>
        </w:numPr>
        <w:rPr>
          <w:rFonts w:ascii="Arial" w:cs="Arial" w:eastAsia="Arial" w:hAnsi="Arial"/>
          <w:sz w:val="22"/>
          <w:szCs w:val="22"/>
          <w:color w:val="auto"/>
        </w:rPr>
      </w:pPr>
      <w:r>
        <w:rPr>
          <w:rFonts w:ascii="Arial" w:cs="Arial" w:eastAsia="Arial" w:hAnsi="Arial"/>
          <w:sz w:val="22"/>
          <w:szCs w:val="22"/>
          <w:b w:val="1"/>
          <w:bCs w:val="1"/>
          <w:color w:val="auto"/>
        </w:rPr>
        <w:t>Arbitrator</w:t>
      </w:r>
      <w:r>
        <w:rPr>
          <w:rFonts w:ascii="Arial" w:cs="Arial" w:eastAsia="Arial" w:hAnsi="Arial"/>
          <w:sz w:val="22"/>
          <w:szCs w:val="22"/>
          <w:color w:val="auto"/>
        </w:rPr>
        <w:t>. The arbitration will be conducted by one arbitrator skilled in the arbitration of executive</w:t>
      </w:r>
      <w:r>
        <w:rPr>
          <w:rFonts w:ascii="Arial" w:cs="Arial" w:eastAsia="Arial" w:hAnsi="Arial"/>
          <w:sz w:val="22"/>
          <w:szCs w:val="22"/>
          <w:b w:val="1"/>
          <w:bCs w:val="1"/>
          <w:color w:val="auto"/>
        </w:rPr>
        <w:t xml:space="preserve"> </w:t>
      </w:r>
      <w:r>
        <w:rPr>
          <w:rFonts w:ascii="Arial" w:cs="Arial" w:eastAsia="Arial" w:hAnsi="Arial"/>
          <w:sz w:val="22"/>
          <w:szCs w:val="22"/>
          <w:color w:val="auto"/>
        </w:rPr>
        <w:t>employment matters. The parties to the arbitration will jointly appoint the arbitrator within 30 days after initiation of the arbitration. If the parties fail to appoint an arbitrator as provided above, an arbitrator with substantial experience in executive employment matters will be appointed by the AAA as provided in the Arbitration Rules. The Corporation will pay all of the fees, if any, and expenses of the arbitrator and the arbitration, unless otherwise determined by the arbitrator. Each party to the arbitration will be responsible for his/its respective attorneys’ fees or other costs of representation.</w:t>
      </w:r>
    </w:p>
    <w:p>
      <w:pPr>
        <w:spacing w:after="0" w:line="189" w:lineRule="exact"/>
        <w:rPr>
          <w:rFonts w:ascii="Arial" w:cs="Arial" w:eastAsia="Arial" w:hAnsi="Arial"/>
          <w:sz w:val="22"/>
          <w:szCs w:val="22"/>
          <w:color w:val="auto"/>
        </w:rPr>
      </w:pPr>
    </w:p>
    <w:p>
      <w:pPr>
        <w:ind w:left="2420" w:hanging="467"/>
        <w:spacing w:after="0"/>
        <w:tabs>
          <w:tab w:leader="none" w:pos="2420" w:val="left"/>
        </w:tabs>
        <w:numPr>
          <w:ilvl w:val="1"/>
          <w:numId w:val="44"/>
        </w:numPr>
        <w:rPr>
          <w:rFonts w:ascii="Arial" w:cs="Arial" w:eastAsia="Arial" w:hAnsi="Arial"/>
          <w:sz w:val="22"/>
          <w:szCs w:val="22"/>
          <w:color w:val="auto"/>
        </w:rPr>
      </w:pPr>
      <w:r>
        <w:rPr>
          <w:rFonts w:ascii="Arial" w:cs="Arial" w:eastAsia="Arial" w:hAnsi="Arial"/>
          <w:sz w:val="22"/>
          <w:szCs w:val="22"/>
          <w:b w:val="1"/>
          <w:bCs w:val="1"/>
          <w:color w:val="auto"/>
        </w:rPr>
        <w:t>Location</w:t>
      </w:r>
      <w:r>
        <w:rPr>
          <w:rFonts w:ascii="Arial" w:cs="Arial" w:eastAsia="Arial" w:hAnsi="Arial"/>
          <w:sz w:val="22"/>
          <w:szCs w:val="22"/>
          <w:color w:val="auto"/>
        </w:rPr>
        <w:t>. The arbitration will be conducted in Oakland County, Michigan.</w:t>
      </w:r>
    </w:p>
    <w:p>
      <w:pPr>
        <w:spacing w:after="0" w:line="219" w:lineRule="exact"/>
        <w:rPr>
          <w:rFonts w:ascii="Arial" w:cs="Arial" w:eastAsia="Arial" w:hAnsi="Arial"/>
          <w:sz w:val="22"/>
          <w:szCs w:val="22"/>
          <w:color w:val="auto"/>
        </w:rPr>
      </w:pPr>
    </w:p>
    <w:p>
      <w:pPr>
        <w:jc w:val="both"/>
        <w:ind w:left="1300" w:firstLine="653"/>
        <w:spacing w:after="0" w:line="249" w:lineRule="auto"/>
        <w:tabs>
          <w:tab w:leader="none" w:pos="2470" w:val="left"/>
        </w:tabs>
        <w:numPr>
          <w:ilvl w:val="1"/>
          <w:numId w:val="44"/>
        </w:numPr>
        <w:rPr>
          <w:rFonts w:ascii="Arial" w:cs="Arial" w:eastAsia="Arial" w:hAnsi="Arial"/>
          <w:sz w:val="22"/>
          <w:szCs w:val="22"/>
          <w:color w:val="auto"/>
        </w:rPr>
      </w:pPr>
      <w:r>
        <w:rPr>
          <w:rFonts w:ascii="Arial" w:cs="Arial" w:eastAsia="Arial" w:hAnsi="Arial"/>
          <w:sz w:val="22"/>
          <w:szCs w:val="22"/>
          <w:b w:val="1"/>
          <w:bCs w:val="1"/>
          <w:color w:val="auto"/>
        </w:rPr>
        <w:t>Procedure</w:t>
      </w:r>
      <w:r>
        <w:rPr>
          <w:rFonts w:ascii="Arial" w:cs="Arial" w:eastAsia="Arial" w:hAnsi="Arial"/>
          <w:sz w:val="22"/>
          <w:szCs w:val="22"/>
          <w:color w:val="auto"/>
        </w:rPr>
        <w:t>. At any oral hearing of evidence in connection with the arbitration, each party or its legal</w:t>
      </w:r>
      <w:r>
        <w:rPr>
          <w:rFonts w:ascii="Arial" w:cs="Arial" w:eastAsia="Arial" w:hAnsi="Arial"/>
          <w:sz w:val="22"/>
          <w:szCs w:val="22"/>
          <w:b w:val="1"/>
          <w:bCs w:val="1"/>
          <w:color w:val="auto"/>
        </w:rPr>
        <w:t xml:space="preserve"> </w:t>
      </w:r>
      <w:r>
        <w:rPr>
          <w:rFonts w:ascii="Arial" w:cs="Arial" w:eastAsia="Arial" w:hAnsi="Arial"/>
          <w:sz w:val="22"/>
          <w:szCs w:val="22"/>
          <w:color w:val="auto"/>
        </w:rPr>
        <w:t>counsel will have the right to examine its witnesses and cross-examine the witnesses of any opposing party. No evidence of any witness may be presented in any form unless the opposing party or parties has the opportunity to cross-examine the witness, except under extraordinary circumstances in which the arbitrator determines that the interests of justice require a different procedure.</w:t>
      </w:r>
    </w:p>
    <w:p>
      <w:pPr>
        <w:spacing w:after="0" w:line="186" w:lineRule="exact"/>
        <w:rPr>
          <w:rFonts w:ascii="Arial" w:cs="Arial" w:eastAsia="Arial" w:hAnsi="Arial"/>
          <w:sz w:val="22"/>
          <w:szCs w:val="22"/>
          <w:color w:val="auto"/>
        </w:rPr>
      </w:pPr>
    </w:p>
    <w:p>
      <w:pPr>
        <w:jc w:val="both"/>
        <w:ind w:left="1300" w:firstLine="653"/>
        <w:spacing w:after="0" w:line="256" w:lineRule="auto"/>
        <w:tabs>
          <w:tab w:leader="none" w:pos="2470" w:val="left"/>
        </w:tabs>
        <w:numPr>
          <w:ilvl w:val="1"/>
          <w:numId w:val="44"/>
        </w:numPr>
        <w:rPr>
          <w:rFonts w:ascii="Arial" w:cs="Arial" w:eastAsia="Arial" w:hAnsi="Arial"/>
          <w:sz w:val="22"/>
          <w:szCs w:val="22"/>
          <w:color w:val="auto"/>
        </w:rPr>
      </w:pPr>
      <w:r>
        <w:rPr>
          <w:rFonts w:ascii="Arial" w:cs="Arial" w:eastAsia="Arial" w:hAnsi="Arial"/>
          <w:sz w:val="22"/>
          <w:szCs w:val="22"/>
          <w:b w:val="1"/>
          <w:bCs w:val="1"/>
          <w:color w:val="auto"/>
        </w:rPr>
        <w:t>Decision</w:t>
      </w:r>
      <w:r>
        <w:rPr>
          <w:rFonts w:ascii="Arial" w:cs="Arial" w:eastAsia="Arial" w:hAnsi="Arial"/>
          <w:sz w:val="22"/>
          <w:szCs w:val="22"/>
          <w:color w:val="auto"/>
        </w:rPr>
        <w:t>. Any decision or award of the arbitrator is final and binding on the parties to the arbitration</w:t>
      </w:r>
      <w:r>
        <w:rPr>
          <w:rFonts w:ascii="Arial" w:cs="Arial" w:eastAsia="Arial" w:hAnsi="Arial"/>
          <w:sz w:val="22"/>
          <w:szCs w:val="22"/>
          <w:b w:val="1"/>
          <w:bCs w:val="1"/>
          <w:color w:val="auto"/>
        </w:rPr>
        <w:t xml:space="preserve"> </w:t>
      </w:r>
      <w:r>
        <w:rPr>
          <w:rFonts w:ascii="Arial" w:cs="Arial" w:eastAsia="Arial" w:hAnsi="Arial"/>
          <w:sz w:val="22"/>
          <w:szCs w:val="22"/>
          <w:color w:val="auto"/>
        </w:rPr>
        <w:t>proceeding. The parties agree that the arbitration award may be enforced against the parties to the arbitration proceeding or their assets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631" w:right="239" w:bottom="1440" w:gutter="0" w:footer="0" w:header="0"/>
        </w:sectPr>
      </w:pPr>
    </w:p>
    <w:bookmarkStart w:id="62" w:name="page63"/>
    <w:bookmarkEnd w:id="62"/>
    <w:p>
      <w:pPr>
        <w:ind w:left="1300"/>
        <w:spacing w:after="0" w:line="263" w:lineRule="auto"/>
        <w:rPr>
          <w:sz w:val="20"/>
          <w:szCs w:val="20"/>
          <w:color w:val="auto"/>
        </w:rPr>
      </w:pPr>
      <w:r>
        <w:rPr>
          <w:rFonts w:ascii="Arial" w:cs="Arial" w:eastAsia="Arial" w:hAnsi="Arial"/>
          <w:sz w:val="22"/>
          <w:szCs w:val="22"/>
          <w:color w:val="auto"/>
        </w:rPr>
        <w:t>wherever they may be found and that a judgment upon the arbitration award may be entered in any court having jurisdiction.</w:t>
      </w:r>
    </w:p>
    <w:p>
      <w:pPr>
        <w:spacing w:after="0" w:line="169" w:lineRule="exact"/>
        <w:rPr>
          <w:sz w:val="20"/>
          <w:szCs w:val="20"/>
          <w:color w:val="auto"/>
        </w:rPr>
      </w:pPr>
    </w:p>
    <w:p>
      <w:pPr>
        <w:ind w:left="1300" w:firstLine="653"/>
        <w:spacing w:after="0" w:line="350" w:lineRule="auto"/>
        <w:tabs>
          <w:tab w:leader="none" w:pos="2551" w:val="left"/>
        </w:tabs>
        <w:numPr>
          <w:ilvl w:val="0"/>
          <w:numId w:val="45"/>
        </w:numPr>
        <w:rPr>
          <w:rFonts w:ascii="Arial" w:cs="Arial" w:eastAsia="Arial" w:hAnsi="Arial"/>
          <w:sz w:val="19"/>
          <w:szCs w:val="19"/>
          <w:color w:val="auto"/>
        </w:rPr>
      </w:pPr>
      <w:r>
        <w:rPr>
          <w:rFonts w:ascii="Arial" w:cs="Arial" w:eastAsia="Arial" w:hAnsi="Arial"/>
          <w:sz w:val="19"/>
          <w:szCs w:val="19"/>
          <w:b w:val="1"/>
          <w:bCs w:val="1"/>
          <w:color w:val="auto"/>
        </w:rPr>
        <w:t>Power</w:t>
      </w:r>
      <w:r>
        <w:rPr>
          <w:rFonts w:ascii="Arial" w:cs="Arial" w:eastAsia="Arial" w:hAnsi="Arial"/>
          <w:sz w:val="19"/>
          <w:szCs w:val="19"/>
          <w:color w:val="auto"/>
        </w:rPr>
        <w:t>. Nothing contained in this Agreement may be deemed to give the arbitrator any authority,</w:t>
      </w:r>
      <w:r>
        <w:rPr>
          <w:rFonts w:ascii="Arial" w:cs="Arial" w:eastAsia="Arial" w:hAnsi="Arial"/>
          <w:sz w:val="19"/>
          <w:szCs w:val="19"/>
          <w:b w:val="1"/>
          <w:bCs w:val="1"/>
          <w:color w:val="auto"/>
        </w:rPr>
        <w:t xml:space="preserve"> </w:t>
      </w:r>
      <w:r>
        <w:rPr>
          <w:rFonts w:ascii="Arial" w:cs="Arial" w:eastAsia="Arial" w:hAnsi="Arial"/>
          <w:sz w:val="19"/>
          <w:szCs w:val="19"/>
          <w:color w:val="auto"/>
        </w:rPr>
        <w:t>power, or right to alter, change, amend, modify, add to, or subtract from any of the provisions of this Agreement.</w:t>
      </w:r>
    </w:p>
    <w:p>
      <w:pPr>
        <w:spacing w:after="0" w:line="98"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The provisions of this Section II.B.3 survive the termination or expiration of this Agreement, are binding on the Corporation’s and Grantee’s respective successors, heirs, personal representatives, designated beneficiaries and any other person asserting a claim described above, and may not be modified without the consent of the Corporation. To the extent arbitration is required, no person asserting a claim has the right to resort to any federal, state or local court or administrative agency concerning the claim unless expressly provided by federal statute, and the decision of the arbitrator is a complete defense to any action or proceeding instituted in any tribunal or agency with respect to any dispute, unless precluded by federal statute.</w:t>
      </w:r>
    </w:p>
    <w:p>
      <w:pPr>
        <w:spacing w:after="0" w:line="144" w:lineRule="exact"/>
        <w:rPr>
          <w:sz w:val="20"/>
          <w:szCs w:val="20"/>
          <w:color w:val="auto"/>
        </w:rPr>
      </w:pPr>
    </w:p>
    <w:p>
      <w:pPr>
        <w:ind w:firstLine="1305"/>
        <w:spacing w:after="0" w:line="350" w:lineRule="auto"/>
        <w:tabs>
          <w:tab w:leader="none" w:pos="1702" w:val="left"/>
        </w:tabs>
        <w:numPr>
          <w:ilvl w:val="0"/>
          <w:numId w:val="46"/>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Code Section 409A</w:t>
      </w:r>
      <w:r>
        <w:rPr>
          <w:rFonts w:ascii="Arial" w:cs="Arial" w:eastAsia="Arial" w:hAnsi="Arial"/>
          <w:sz w:val="19"/>
          <w:szCs w:val="19"/>
          <w:color w:val="auto"/>
        </w:rPr>
        <w:t>. Without limiting the generality of any other provision of this Agreement and to the extent</w:t>
      </w:r>
      <w:r>
        <w:rPr>
          <w:rFonts w:ascii="Arial" w:cs="Arial" w:eastAsia="Arial" w:hAnsi="Arial"/>
          <w:sz w:val="19"/>
          <w:szCs w:val="19"/>
          <w:b w:val="1"/>
          <w:bCs w:val="1"/>
          <w:color w:val="auto"/>
        </w:rPr>
        <w:t xml:space="preserve"> </w:t>
      </w:r>
      <w:r>
        <w:rPr>
          <w:rFonts w:ascii="Arial" w:cs="Arial" w:eastAsia="Arial" w:hAnsi="Arial"/>
          <w:sz w:val="19"/>
          <w:szCs w:val="19"/>
          <w:color w:val="auto"/>
        </w:rPr>
        <w:t>applicable, Sections 18.9 and 18.10 of the Plan pertaining to Code Section 409A are explicitly incorporated into this Agreement.</w:t>
      </w:r>
    </w:p>
    <w:p>
      <w:pPr>
        <w:spacing w:after="0" w:line="92" w:lineRule="exact"/>
        <w:rPr>
          <w:rFonts w:ascii="Arial" w:cs="Arial" w:eastAsia="Arial" w:hAnsi="Arial"/>
          <w:sz w:val="19"/>
          <w:szCs w:val="19"/>
          <w:b w:val="1"/>
          <w:bCs w:val="1"/>
          <w:color w:val="auto"/>
        </w:rPr>
      </w:pPr>
    </w:p>
    <w:p>
      <w:pPr>
        <w:jc w:val="both"/>
        <w:ind w:firstLine="1305"/>
        <w:spacing w:after="0" w:line="264" w:lineRule="auto"/>
        <w:tabs>
          <w:tab w:leader="none" w:pos="1729" w:val="left"/>
        </w:tabs>
        <w:numPr>
          <w:ilvl w:val="0"/>
          <w:numId w:val="46"/>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No Continued Right as Service Provider</w:t>
      </w:r>
      <w:r>
        <w:rPr>
          <w:rFonts w:ascii="Arial" w:cs="Arial" w:eastAsia="Arial" w:hAnsi="Arial"/>
          <w:sz w:val="21"/>
          <w:szCs w:val="21"/>
          <w:color w:val="auto"/>
        </w:rPr>
        <w:t>. Nothing in the Plan or in this Agreement confers on Grantee any</w:t>
      </w:r>
      <w:r>
        <w:rPr>
          <w:rFonts w:ascii="Arial" w:cs="Arial" w:eastAsia="Arial" w:hAnsi="Arial"/>
          <w:sz w:val="21"/>
          <w:szCs w:val="21"/>
          <w:b w:val="1"/>
          <w:bCs w:val="1"/>
          <w:color w:val="auto"/>
        </w:rPr>
        <w:t xml:space="preserve"> </w:t>
      </w:r>
      <w:r>
        <w:rPr>
          <w:rFonts w:ascii="Arial" w:cs="Arial" w:eastAsia="Arial" w:hAnsi="Arial"/>
          <w:sz w:val="21"/>
          <w:szCs w:val="21"/>
          <w:color w:val="auto"/>
        </w:rPr>
        <w:t>right to continue as a Service Provider, or interferes with or restricts in any way the rights of the Corporation or any Subsidiary or Affiliate of the Corporation, which are hereby expressly reserved, to discharge Grantee at any time for any reason whatsoever, with or without Cause, except to the extent expressly provided otherwise in a written employment agreement between Grantee and the Corporation or any Subsidiary or Affiliate of the Corporation.</w:t>
      </w:r>
    </w:p>
    <w:p>
      <w:pPr>
        <w:spacing w:after="0" w:line="170" w:lineRule="exact"/>
        <w:rPr>
          <w:rFonts w:ascii="Arial" w:cs="Arial" w:eastAsia="Arial" w:hAnsi="Arial"/>
          <w:sz w:val="21"/>
          <w:szCs w:val="21"/>
          <w:b w:val="1"/>
          <w:bCs w:val="1"/>
          <w:color w:val="auto"/>
        </w:rPr>
      </w:pPr>
    </w:p>
    <w:p>
      <w:pPr>
        <w:jc w:val="both"/>
        <w:ind w:firstLine="1305"/>
        <w:spacing w:after="0" w:line="252" w:lineRule="auto"/>
        <w:tabs>
          <w:tab w:leader="none" w:pos="1688" w:val="left"/>
        </w:tabs>
        <w:numPr>
          <w:ilvl w:val="0"/>
          <w:numId w:val="4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Effect on Other Benefits</w:t>
      </w:r>
      <w:r>
        <w:rPr>
          <w:rFonts w:ascii="Arial" w:cs="Arial" w:eastAsia="Arial" w:hAnsi="Arial"/>
          <w:sz w:val="22"/>
          <w:szCs w:val="22"/>
          <w:color w:val="auto"/>
        </w:rPr>
        <w:t>. In no event will the value, at any time, of the PSUs or any other payment or right to</w:t>
      </w:r>
      <w:r>
        <w:rPr>
          <w:rFonts w:ascii="Arial" w:cs="Arial" w:eastAsia="Arial" w:hAnsi="Arial"/>
          <w:sz w:val="22"/>
          <w:szCs w:val="22"/>
          <w:b w:val="1"/>
          <w:bCs w:val="1"/>
          <w:color w:val="auto"/>
        </w:rPr>
        <w:t xml:space="preserve"> </w:t>
      </w:r>
      <w:r>
        <w:rPr>
          <w:rFonts w:ascii="Arial" w:cs="Arial" w:eastAsia="Arial" w:hAnsi="Arial"/>
          <w:sz w:val="22"/>
          <w:szCs w:val="22"/>
          <w:color w:val="auto"/>
        </w:rPr>
        <w:t>payment under this Agreement be included as compensation or earnings for purposes of any other compensation, retirement, or benefit plan offered to employees of, or other Service Providers to, the Corporation or any Subsidiary or Affiliate of the Corporation unless otherwise specifically provided for in such plan.</w:t>
      </w:r>
    </w:p>
    <w:p>
      <w:pPr>
        <w:spacing w:after="0" w:line="180" w:lineRule="exact"/>
        <w:rPr>
          <w:rFonts w:ascii="Arial" w:cs="Arial" w:eastAsia="Arial" w:hAnsi="Arial"/>
          <w:sz w:val="22"/>
          <w:szCs w:val="22"/>
          <w:b w:val="1"/>
          <w:bCs w:val="1"/>
          <w:color w:val="auto"/>
        </w:rPr>
      </w:pPr>
    </w:p>
    <w:p>
      <w:pPr>
        <w:jc w:val="both"/>
        <w:ind w:right="20" w:firstLine="1305"/>
        <w:spacing w:after="0" w:line="256" w:lineRule="auto"/>
        <w:tabs>
          <w:tab w:leader="none" w:pos="1729" w:val="left"/>
        </w:tabs>
        <w:numPr>
          <w:ilvl w:val="0"/>
          <w:numId w:val="4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Unfunded and Unsecured General Creditor</w:t>
      </w:r>
      <w:r>
        <w:rPr>
          <w:rFonts w:ascii="Arial" w:cs="Arial" w:eastAsia="Arial" w:hAnsi="Arial"/>
          <w:sz w:val="22"/>
          <w:szCs w:val="22"/>
          <w:color w:val="auto"/>
        </w:rPr>
        <w:t>. Grantee, as a holder of PSUs and rights under this Agreement</w:t>
      </w:r>
      <w:r>
        <w:rPr>
          <w:rFonts w:ascii="Arial" w:cs="Arial" w:eastAsia="Arial" w:hAnsi="Arial"/>
          <w:sz w:val="22"/>
          <w:szCs w:val="22"/>
          <w:b w:val="1"/>
          <w:bCs w:val="1"/>
          <w:color w:val="auto"/>
        </w:rPr>
        <w:t xml:space="preserve"> </w:t>
      </w:r>
      <w:r>
        <w:rPr>
          <w:rFonts w:ascii="Arial" w:cs="Arial" w:eastAsia="Arial" w:hAnsi="Arial"/>
          <w:sz w:val="22"/>
          <w:szCs w:val="22"/>
          <w:color w:val="auto"/>
        </w:rPr>
        <w:t>has no rights other than those of a general creditor of the Corporation. The PSUs represent an unfunded and unsecured obligation of the Corporation, subject to the terms and conditions of this Agreement and the Plan.</w:t>
      </w:r>
    </w:p>
    <w:p>
      <w:pPr>
        <w:spacing w:after="0" w:line="176" w:lineRule="exact"/>
        <w:rPr>
          <w:rFonts w:ascii="Arial" w:cs="Arial" w:eastAsia="Arial" w:hAnsi="Arial"/>
          <w:sz w:val="22"/>
          <w:szCs w:val="22"/>
          <w:b w:val="1"/>
          <w:bCs w:val="1"/>
          <w:color w:val="auto"/>
        </w:rPr>
      </w:pPr>
    </w:p>
    <w:p>
      <w:pPr>
        <w:jc w:val="both"/>
        <w:ind w:firstLine="1305"/>
        <w:spacing w:after="0" w:line="252" w:lineRule="auto"/>
        <w:tabs>
          <w:tab w:leader="none" w:pos="1756" w:val="left"/>
        </w:tabs>
        <w:numPr>
          <w:ilvl w:val="0"/>
          <w:numId w:val="4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Severability</w:t>
      </w:r>
      <w:r>
        <w:rPr>
          <w:rFonts w:ascii="Arial" w:cs="Arial" w:eastAsia="Arial" w:hAnsi="Arial"/>
          <w:sz w:val="22"/>
          <w:szCs w:val="22"/>
          <w:color w:val="auto"/>
        </w:rPr>
        <w:t>. If any provision of this Agreement or the application of any provision hereof to any person or</w:t>
      </w:r>
      <w:r>
        <w:rPr>
          <w:rFonts w:ascii="Arial" w:cs="Arial" w:eastAsia="Arial" w:hAnsi="Arial"/>
          <w:sz w:val="22"/>
          <w:szCs w:val="22"/>
          <w:b w:val="1"/>
          <w:bCs w:val="1"/>
          <w:color w:val="auto"/>
        </w:rPr>
        <w:t xml:space="preserve"> </w:t>
      </w:r>
      <w:r>
        <w:rPr>
          <w:rFonts w:ascii="Arial" w:cs="Arial" w:eastAsia="Arial" w:hAnsi="Arial"/>
          <w:sz w:val="22"/>
          <w:szCs w:val="22"/>
          <w:color w:val="auto"/>
        </w:rPr>
        <w:t>circumstances is held invalid or unenforceable, the remainder of this Agreement and the application of such provision to any other person or circumstances shall not be affected, and the provisions so held to be invalid or unenforceable shall be reformed to the extent (and only to the extent) necessary to make it enforceable and valid.</w:t>
      </w:r>
    </w:p>
    <w:p>
      <w:pPr>
        <w:spacing w:after="0" w:line="180" w:lineRule="exact"/>
        <w:rPr>
          <w:rFonts w:ascii="Arial" w:cs="Arial" w:eastAsia="Arial" w:hAnsi="Arial"/>
          <w:sz w:val="22"/>
          <w:szCs w:val="22"/>
          <w:b w:val="1"/>
          <w:bCs w:val="1"/>
          <w:color w:val="auto"/>
        </w:rPr>
      </w:pPr>
    </w:p>
    <w:p>
      <w:pPr>
        <w:ind w:firstLine="1305"/>
        <w:spacing w:after="0" w:line="269" w:lineRule="auto"/>
        <w:tabs>
          <w:tab w:leader="none" w:pos="1675" w:val="left"/>
        </w:tabs>
        <w:numPr>
          <w:ilvl w:val="0"/>
          <w:numId w:val="4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Electronic Delivery</w:t>
      </w:r>
      <w:r>
        <w:rPr>
          <w:rFonts w:ascii="Arial" w:cs="Arial" w:eastAsia="Arial" w:hAnsi="Arial"/>
          <w:sz w:val="22"/>
          <w:szCs w:val="22"/>
          <w:color w:val="auto"/>
        </w:rPr>
        <w:t>. The Corporation may, in its sole discretion, deliver any documents related to the PSUs and</w:t>
      </w:r>
      <w:r>
        <w:rPr>
          <w:rFonts w:ascii="Arial" w:cs="Arial" w:eastAsia="Arial" w:hAnsi="Arial"/>
          <w:sz w:val="22"/>
          <w:szCs w:val="22"/>
          <w:b w:val="1"/>
          <w:bCs w:val="1"/>
          <w:color w:val="auto"/>
        </w:rPr>
        <w:t xml:space="preserve"> </w:t>
      </w:r>
      <w:r>
        <w:rPr>
          <w:rFonts w:ascii="Arial" w:cs="Arial" w:eastAsia="Arial" w:hAnsi="Arial"/>
          <w:sz w:val="22"/>
          <w:szCs w:val="22"/>
          <w:color w:val="auto"/>
        </w:rPr>
        <w:t>Grantee’s participation in the Plan, or future awards that</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631" w:right="239" w:bottom="1440" w:gutter="0" w:footer="0" w:header="0"/>
        </w:sectPr>
      </w:pPr>
    </w:p>
    <w:bookmarkStart w:id="63" w:name="page64"/>
    <w:bookmarkEnd w:id="63"/>
    <w:p>
      <w:pPr>
        <w:jc w:val="both"/>
        <w:spacing w:after="0" w:line="250" w:lineRule="auto"/>
        <w:rPr>
          <w:sz w:val="20"/>
          <w:szCs w:val="20"/>
          <w:color w:val="auto"/>
        </w:rPr>
      </w:pPr>
      <w:r>
        <w:rPr>
          <w:rFonts w:ascii="Arial" w:cs="Arial" w:eastAsia="Arial" w:hAnsi="Arial"/>
          <w:sz w:val="22"/>
          <w:szCs w:val="22"/>
          <w:color w:val="auto"/>
        </w:rPr>
        <w:t>may be granted under the Plan, by electronic means or request Grantee’s consent to participate in the Plan by electronic means. Grantee hereby consents to receive such documents by electronic delivery and, if requested, agrees to participate in the Plan through an on-line or electronic system established and maintained by the Corporation or another third party designated by the Corporation.</w:t>
      </w:r>
    </w:p>
    <w:p>
      <w:pPr>
        <w:spacing w:after="0" w:line="182" w:lineRule="exact"/>
        <w:rPr>
          <w:sz w:val="20"/>
          <w:szCs w:val="20"/>
          <w:color w:val="auto"/>
        </w:rPr>
      </w:pPr>
    </w:p>
    <w:p>
      <w:pPr>
        <w:ind w:left="1800" w:hanging="495"/>
        <w:spacing w:after="0"/>
        <w:tabs>
          <w:tab w:leader="none" w:pos="1800" w:val="left"/>
        </w:tabs>
        <w:numPr>
          <w:ilvl w:val="0"/>
          <w:numId w:val="4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Nature of Grant</w:t>
      </w:r>
      <w:r>
        <w:rPr>
          <w:rFonts w:ascii="Arial" w:cs="Arial" w:eastAsia="Arial" w:hAnsi="Arial"/>
          <w:sz w:val="22"/>
          <w:szCs w:val="22"/>
          <w:b w:val="1"/>
          <w:bCs w:val="1"/>
          <w:color w:val="auto"/>
        </w:rPr>
        <w:t xml:space="preserve">. </w:t>
      </w:r>
      <w:r>
        <w:rPr>
          <w:rFonts w:ascii="Arial" w:cs="Arial" w:eastAsia="Arial" w:hAnsi="Arial"/>
          <w:sz w:val="22"/>
          <w:szCs w:val="22"/>
          <w:color w:val="auto"/>
        </w:rPr>
        <w:t>In accepting the Award, Grantee acknowledges that:</w:t>
      </w:r>
    </w:p>
    <w:p>
      <w:pPr>
        <w:spacing w:after="0" w:line="226" w:lineRule="exact"/>
        <w:rPr>
          <w:sz w:val="20"/>
          <w:szCs w:val="20"/>
          <w:color w:val="auto"/>
        </w:rPr>
      </w:pPr>
    </w:p>
    <w:p>
      <w:pPr>
        <w:ind w:left="660" w:firstLine="645"/>
        <w:spacing w:after="0" w:line="343" w:lineRule="auto"/>
        <w:tabs>
          <w:tab w:leader="none" w:pos="1859" w:val="left"/>
        </w:tabs>
        <w:numPr>
          <w:ilvl w:val="0"/>
          <w:numId w:val="48"/>
        </w:numPr>
        <w:rPr>
          <w:rFonts w:ascii="Arial" w:cs="Arial" w:eastAsia="Arial" w:hAnsi="Arial"/>
          <w:sz w:val="19"/>
          <w:szCs w:val="19"/>
          <w:color w:val="auto"/>
        </w:rPr>
      </w:pPr>
      <w:r>
        <w:rPr>
          <w:rFonts w:ascii="Arial" w:cs="Arial" w:eastAsia="Arial" w:hAnsi="Arial"/>
          <w:sz w:val="19"/>
          <w:szCs w:val="19"/>
          <w:color w:val="auto"/>
        </w:rPr>
        <w:t>the Plan is established voluntarily by the Corporation, it is discretionary in nature and it may be modified, amended, suspended or terminated by the Corporation at any time unless otherwise provided in the Plan or this Agreement;</w:t>
      </w:r>
    </w:p>
    <w:p>
      <w:pPr>
        <w:spacing w:after="0" w:line="104" w:lineRule="exact"/>
        <w:rPr>
          <w:rFonts w:ascii="Arial" w:cs="Arial" w:eastAsia="Arial" w:hAnsi="Arial"/>
          <w:sz w:val="19"/>
          <w:szCs w:val="19"/>
          <w:color w:val="auto"/>
        </w:rPr>
      </w:pPr>
    </w:p>
    <w:p>
      <w:pPr>
        <w:ind w:left="660" w:firstLine="645"/>
        <w:spacing w:after="0" w:line="343" w:lineRule="auto"/>
        <w:tabs>
          <w:tab w:leader="none" w:pos="1790" w:val="left"/>
        </w:tabs>
        <w:numPr>
          <w:ilvl w:val="0"/>
          <w:numId w:val="48"/>
        </w:numPr>
        <w:rPr>
          <w:rFonts w:ascii="Arial" w:cs="Arial" w:eastAsia="Arial" w:hAnsi="Arial"/>
          <w:sz w:val="19"/>
          <w:szCs w:val="19"/>
          <w:color w:val="auto"/>
        </w:rPr>
      </w:pPr>
      <w:r>
        <w:rPr>
          <w:rFonts w:ascii="Arial" w:cs="Arial" w:eastAsia="Arial" w:hAnsi="Arial"/>
          <w:sz w:val="19"/>
          <w:szCs w:val="19"/>
          <w:color w:val="auto"/>
        </w:rPr>
        <w:t>the grant of the Award is voluntary and occasional and does not create any contractual or other right to receive future grants of Awards, or benefits in lieu of Awards, even if Awards have been granted repeatedly in the past,</w:t>
      </w:r>
    </w:p>
    <w:p>
      <w:pPr>
        <w:spacing w:after="0" w:line="104" w:lineRule="exact"/>
        <w:rPr>
          <w:rFonts w:ascii="Arial" w:cs="Arial" w:eastAsia="Arial" w:hAnsi="Arial"/>
          <w:sz w:val="19"/>
          <w:szCs w:val="19"/>
          <w:color w:val="auto"/>
        </w:rPr>
      </w:pPr>
    </w:p>
    <w:p>
      <w:pPr>
        <w:ind w:left="1760" w:hanging="455"/>
        <w:spacing w:after="0"/>
        <w:tabs>
          <w:tab w:leader="none" w:pos="1760" w:val="left"/>
        </w:tabs>
        <w:numPr>
          <w:ilvl w:val="0"/>
          <w:numId w:val="48"/>
        </w:numPr>
        <w:rPr>
          <w:rFonts w:ascii="Arial" w:cs="Arial" w:eastAsia="Arial" w:hAnsi="Arial"/>
          <w:sz w:val="22"/>
          <w:szCs w:val="22"/>
          <w:color w:val="auto"/>
        </w:rPr>
      </w:pPr>
      <w:r>
        <w:rPr>
          <w:rFonts w:ascii="Arial" w:cs="Arial" w:eastAsia="Arial" w:hAnsi="Arial"/>
          <w:sz w:val="22"/>
          <w:szCs w:val="22"/>
          <w:color w:val="auto"/>
        </w:rPr>
        <w:t>all decisions with respect to future grants, if any, will be at the sole discretion of the Corporation;</w:t>
      </w:r>
    </w:p>
    <w:p>
      <w:pPr>
        <w:spacing w:after="0" w:line="219" w:lineRule="exact"/>
        <w:rPr>
          <w:rFonts w:ascii="Arial" w:cs="Arial" w:eastAsia="Arial" w:hAnsi="Arial"/>
          <w:sz w:val="22"/>
          <w:szCs w:val="22"/>
          <w:color w:val="auto"/>
        </w:rPr>
      </w:pPr>
    </w:p>
    <w:p>
      <w:pPr>
        <w:ind w:left="1780" w:hanging="475"/>
        <w:spacing w:after="0"/>
        <w:tabs>
          <w:tab w:leader="none" w:pos="1780" w:val="left"/>
        </w:tabs>
        <w:numPr>
          <w:ilvl w:val="0"/>
          <w:numId w:val="48"/>
        </w:numPr>
        <w:rPr>
          <w:rFonts w:ascii="Arial" w:cs="Arial" w:eastAsia="Arial" w:hAnsi="Arial"/>
          <w:sz w:val="22"/>
          <w:szCs w:val="22"/>
          <w:color w:val="auto"/>
        </w:rPr>
      </w:pPr>
      <w:r>
        <w:rPr>
          <w:rFonts w:ascii="Arial" w:cs="Arial" w:eastAsia="Arial" w:hAnsi="Arial"/>
          <w:sz w:val="22"/>
          <w:szCs w:val="22"/>
          <w:color w:val="auto"/>
        </w:rPr>
        <w:t>Grantee is voluntarily participating in the Plan;</w:t>
      </w:r>
    </w:p>
    <w:p>
      <w:pPr>
        <w:spacing w:after="0" w:line="219" w:lineRule="exact"/>
        <w:rPr>
          <w:rFonts w:ascii="Arial" w:cs="Arial" w:eastAsia="Arial" w:hAnsi="Arial"/>
          <w:sz w:val="22"/>
          <w:szCs w:val="22"/>
          <w:color w:val="auto"/>
        </w:rPr>
      </w:pPr>
    </w:p>
    <w:p>
      <w:pPr>
        <w:jc w:val="both"/>
        <w:ind w:left="660" w:firstLine="645"/>
        <w:spacing w:after="0" w:line="253" w:lineRule="auto"/>
        <w:tabs>
          <w:tab w:leader="none" w:pos="1778" w:val="left"/>
        </w:tabs>
        <w:numPr>
          <w:ilvl w:val="0"/>
          <w:numId w:val="48"/>
        </w:numPr>
        <w:rPr>
          <w:rFonts w:ascii="Arial" w:cs="Arial" w:eastAsia="Arial" w:hAnsi="Arial"/>
          <w:sz w:val="22"/>
          <w:szCs w:val="22"/>
          <w:color w:val="auto"/>
        </w:rPr>
      </w:pPr>
      <w:r>
        <w:rPr>
          <w:rFonts w:ascii="Arial" w:cs="Arial" w:eastAsia="Arial" w:hAnsi="Arial"/>
          <w:sz w:val="22"/>
          <w:szCs w:val="22"/>
          <w:color w:val="auto"/>
        </w:rPr>
        <w:t>the PSUs and the Stock subject to the PSUs are an extraordinary item that does not constitute compensation of any kind for services of any kind rendered to the Corporation or Grantee’s employer, and which is outside the scope of Grantee’s employment contract, if any;</w:t>
      </w:r>
    </w:p>
    <w:p>
      <w:pPr>
        <w:spacing w:after="0" w:line="185" w:lineRule="exact"/>
        <w:rPr>
          <w:rFonts w:ascii="Arial" w:cs="Arial" w:eastAsia="Arial" w:hAnsi="Arial"/>
          <w:sz w:val="22"/>
          <w:szCs w:val="22"/>
          <w:color w:val="auto"/>
        </w:rPr>
      </w:pPr>
    </w:p>
    <w:p>
      <w:pPr>
        <w:ind w:left="1740" w:hanging="435"/>
        <w:spacing w:after="0"/>
        <w:tabs>
          <w:tab w:leader="none" w:pos="1740" w:val="left"/>
        </w:tabs>
        <w:numPr>
          <w:ilvl w:val="0"/>
          <w:numId w:val="48"/>
        </w:numPr>
        <w:rPr>
          <w:rFonts w:ascii="Arial" w:cs="Arial" w:eastAsia="Arial" w:hAnsi="Arial"/>
          <w:sz w:val="19"/>
          <w:szCs w:val="19"/>
          <w:color w:val="auto"/>
        </w:rPr>
      </w:pPr>
      <w:r>
        <w:rPr>
          <w:rFonts w:ascii="Arial" w:cs="Arial" w:eastAsia="Arial" w:hAnsi="Arial"/>
          <w:sz w:val="19"/>
          <w:szCs w:val="19"/>
          <w:color w:val="auto"/>
        </w:rPr>
        <w:t>the PSUs and the Stock subject to the PSUs are not intended to replace any pension rights or compensation;</w:t>
      </w:r>
    </w:p>
    <w:p>
      <w:pPr>
        <w:spacing w:after="0" w:line="254" w:lineRule="exact"/>
        <w:rPr>
          <w:rFonts w:ascii="Arial" w:cs="Arial" w:eastAsia="Arial" w:hAnsi="Arial"/>
          <w:sz w:val="19"/>
          <w:szCs w:val="19"/>
          <w:color w:val="auto"/>
        </w:rPr>
      </w:pPr>
    </w:p>
    <w:p>
      <w:pPr>
        <w:ind w:left="1780" w:hanging="475"/>
        <w:spacing w:after="0"/>
        <w:tabs>
          <w:tab w:leader="none" w:pos="1780" w:val="left"/>
        </w:tabs>
        <w:numPr>
          <w:ilvl w:val="0"/>
          <w:numId w:val="48"/>
        </w:numPr>
        <w:rPr>
          <w:rFonts w:ascii="Arial" w:cs="Arial" w:eastAsia="Arial" w:hAnsi="Arial"/>
          <w:sz w:val="22"/>
          <w:szCs w:val="22"/>
          <w:color w:val="auto"/>
        </w:rPr>
      </w:pPr>
      <w:r>
        <w:rPr>
          <w:rFonts w:ascii="Arial" w:cs="Arial" w:eastAsia="Arial" w:hAnsi="Arial"/>
          <w:sz w:val="22"/>
          <w:szCs w:val="22"/>
          <w:color w:val="auto"/>
        </w:rPr>
        <w:t>the future value of the underlying Stock is unknown and cannot be predicted with certainty;</w:t>
      </w:r>
    </w:p>
    <w:p>
      <w:pPr>
        <w:spacing w:after="0" w:line="219" w:lineRule="exact"/>
        <w:rPr>
          <w:rFonts w:ascii="Arial" w:cs="Arial" w:eastAsia="Arial" w:hAnsi="Arial"/>
          <w:sz w:val="22"/>
          <w:szCs w:val="22"/>
          <w:color w:val="auto"/>
        </w:rPr>
      </w:pPr>
    </w:p>
    <w:p>
      <w:pPr>
        <w:jc w:val="both"/>
        <w:ind w:left="660" w:firstLine="645"/>
        <w:spacing w:after="0" w:line="312" w:lineRule="auto"/>
        <w:tabs>
          <w:tab w:leader="none" w:pos="1871" w:val="left"/>
        </w:tabs>
        <w:numPr>
          <w:ilvl w:val="0"/>
          <w:numId w:val="48"/>
        </w:numPr>
        <w:rPr>
          <w:rFonts w:ascii="Arial" w:cs="Arial" w:eastAsia="Arial" w:hAnsi="Arial"/>
          <w:sz w:val="19"/>
          <w:szCs w:val="19"/>
          <w:color w:val="auto"/>
        </w:rPr>
      </w:pPr>
      <w:r>
        <w:rPr>
          <w:rFonts w:ascii="Arial" w:cs="Arial" w:eastAsia="Arial" w:hAnsi="Arial"/>
          <w:sz w:val="19"/>
          <w:szCs w:val="19"/>
          <w:color w:val="auto"/>
        </w:rPr>
        <w:t>Awards and resulting benefits are not part of normal or expected compensation or salary for any purposes, including, but not limited to, calculating any severance, resignation, termination, redundancy, end of service payments, bonuses, long-service awards, pension or retirement benefits or similar payments insofar as permitted by law;</w:t>
      </w:r>
    </w:p>
    <w:p>
      <w:pPr>
        <w:spacing w:after="0" w:line="133" w:lineRule="exact"/>
        <w:rPr>
          <w:rFonts w:ascii="Arial" w:cs="Arial" w:eastAsia="Arial" w:hAnsi="Arial"/>
          <w:sz w:val="19"/>
          <w:szCs w:val="19"/>
          <w:color w:val="auto"/>
        </w:rPr>
      </w:pPr>
    </w:p>
    <w:p>
      <w:pPr>
        <w:jc w:val="both"/>
        <w:ind w:left="660" w:firstLine="645"/>
        <w:spacing w:after="0" w:line="247" w:lineRule="auto"/>
        <w:tabs>
          <w:tab w:leader="none" w:pos="1742" w:val="left"/>
        </w:tabs>
        <w:numPr>
          <w:ilvl w:val="0"/>
          <w:numId w:val="48"/>
        </w:numPr>
        <w:rPr>
          <w:rFonts w:ascii="Arial" w:cs="Arial" w:eastAsia="Arial" w:hAnsi="Arial"/>
          <w:sz w:val="22"/>
          <w:szCs w:val="22"/>
          <w:color w:val="auto"/>
        </w:rPr>
      </w:pPr>
      <w:r>
        <w:rPr>
          <w:rFonts w:ascii="Arial" w:cs="Arial" w:eastAsia="Arial" w:hAnsi="Arial"/>
          <w:sz w:val="22"/>
          <w:szCs w:val="22"/>
          <w:color w:val="auto"/>
        </w:rPr>
        <w:t>in consideration of the grant of the PSUs, no claim or entitlement to compensation or damages shall arise from forfeiture of the PSUs resulting from termination of Grantee’s employment with the Corporation or Grantee’s employer (for any reason whatsoever and whether or not in breach of local labor laws) and Grantee irrevocably releases the Corporation and Grantee’s employer from any such claim that may arise; if, notwithstanding the foregoing, any such claim is found by a court of competent jurisdiction to have arisen, Grantee shall be deemed irrevocably to have waive any entitlement to pursue such claim; and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631" w:right="239" w:bottom="1440" w:gutter="0" w:footer="0" w:header="0"/>
        </w:sectPr>
      </w:pPr>
    </w:p>
    <w:bookmarkStart w:id="64" w:name="page65"/>
    <w:bookmarkEnd w:id="64"/>
    <w:p>
      <w:pPr>
        <w:jc w:val="both"/>
        <w:ind w:left="660" w:firstLine="645"/>
        <w:spacing w:after="0" w:line="263" w:lineRule="auto"/>
        <w:tabs>
          <w:tab w:leader="none" w:pos="1782" w:val="left"/>
        </w:tabs>
        <w:numPr>
          <w:ilvl w:val="0"/>
          <w:numId w:val="49"/>
        </w:numPr>
        <w:rPr>
          <w:rFonts w:ascii="Arial" w:cs="Arial" w:eastAsia="Arial" w:hAnsi="Arial"/>
          <w:sz w:val="21"/>
          <w:szCs w:val="21"/>
          <w:color w:val="auto"/>
        </w:rPr>
      </w:pPr>
      <w:r>
        <w:rPr>
          <w:rFonts w:ascii="Arial" w:cs="Arial" w:eastAsia="Arial" w:hAnsi="Arial"/>
          <w:sz w:val="21"/>
          <w:szCs w:val="21"/>
          <w:color w:val="auto"/>
        </w:rPr>
        <w:t>in the event Grantee ceases to be a Service Provider (whether or not in breach of local labor laws), Grantee’s right to vest in the PSUs under the Plan, if any, will terminate effective as of the date that Grantee is no longer a Service Provider and will not be extended by any notice period mandated under local law (e.g., active service would not include a period of “garden leave” or similar period pursuant to local law); the Committee shall have the exclusive discretion to determine when Grantee is no longer a Service Provider for purposes of the PSUs.</w:t>
      </w:r>
    </w:p>
    <w:p>
      <w:pPr>
        <w:spacing w:after="0" w:line="169" w:lineRule="exact"/>
        <w:rPr>
          <w:rFonts w:ascii="Arial" w:cs="Arial" w:eastAsia="Arial" w:hAnsi="Arial"/>
          <w:sz w:val="21"/>
          <w:szCs w:val="21"/>
          <w:color w:val="auto"/>
        </w:rPr>
      </w:pPr>
    </w:p>
    <w:p>
      <w:pPr>
        <w:jc w:val="both"/>
        <w:ind w:left="80" w:firstLine="1292"/>
        <w:spacing w:after="0" w:line="262" w:lineRule="auto"/>
        <w:tabs>
          <w:tab w:leader="none" w:pos="1905" w:val="left"/>
        </w:tabs>
        <w:numPr>
          <w:ilvl w:val="1"/>
          <w:numId w:val="49"/>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Non-U.S. Addendum</w:t>
      </w:r>
      <w:r>
        <w:rPr>
          <w:rFonts w:ascii="Arial" w:cs="Arial" w:eastAsia="Arial" w:hAnsi="Arial"/>
          <w:sz w:val="21"/>
          <w:szCs w:val="21"/>
          <w:b w:val="1"/>
          <w:bCs w:val="1"/>
          <w:color w:val="auto"/>
        </w:rPr>
        <w:t xml:space="preserve">. </w:t>
      </w:r>
      <w:r>
        <w:rPr>
          <w:rFonts w:ascii="Arial" w:cs="Arial" w:eastAsia="Arial" w:hAnsi="Arial"/>
          <w:sz w:val="21"/>
          <w:szCs w:val="21"/>
          <w:color w:val="auto"/>
        </w:rPr>
        <w:t>Notwithstanding any provisions in this Agreement, the PSUs shall also be subject to</w:t>
      </w:r>
      <w:r>
        <w:rPr>
          <w:rFonts w:ascii="Arial" w:cs="Arial" w:eastAsia="Arial" w:hAnsi="Arial"/>
          <w:sz w:val="21"/>
          <w:szCs w:val="21"/>
          <w:b w:val="1"/>
          <w:bCs w:val="1"/>
          <w:color w:val="auto"/>
        </w:rPr>
        <w:t xml:space="preserve"> </w:t>
      </w:r>
      <w:r>
        <w:rPr>
          <w:rFonts w:ascii="Arial" w:cs="Arial" w:eastAsia="Arial" w:hAnsi="Arial"/>
          <w:sz w:val="21"/>
          <w:szCs w:val="21"/>
          <w:color w:val="auto"/>
        </w:rPr>
        <w:t>the special terms and conditions set forth in the Non-U.S. Addendum attached as Appendix C to this Agreement for Grantee’s country. Moreover, if Grantee relocates to one of the countries included in the Non-U.S. Addendum, the special terms and conditions for such country will apply to Grantee to the extent the Corporation determines that the application of such terms and conditions are necessary or advisable in order to comply with local law or facilitate the administration of the Plan. The Non-U.S. Addendum attached hereto as Appendix C constitutes part of this Agreement.</w:t>
      </w:r>
    </w:p>
    <w:p>
      <w:pPr>
        <w:spacing w:after="0" w:line="174" w:lineRule="exact"/>
        <w:rPr>
          <w:sz w:val="20"/>
          <w:szCs w:val="20"/>
          <w:color w:val="auto"/>
        </w:rPr>
      </w:pPr>
    </w:p>
    <w:p>
      <w:pPr>
        <w:ind w:right="20" w:firstLine="1305"/>
        <w:spacing w:after="0" w:line="269" w:lineRule="auto"/>
        <w:tabs>
          <w:tab w:leader="none" w:pos="1850" w:val="left"/>
        </w:tabs>
        <w:numPr>
          <w:ilvl w:val="0"/>
          <w:numId w:val="5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Governing Law</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is governed by and construed in accordance with the laws of the State of</w:t>
      </w:r>
      <w:r>
        <w:rPr>
          <w:rFonts w:ascii="Arial" w:cs="Arial" w:eastAsia="Arial" w:hAnsi="Arial"/>
          <w:sz w:val="22"/>
          <w:szCs w:val="22"/>
          <w:b w:val="1"/>
          <w:bCs w:val="1"/>
          <w:color w:val="auto"/>
        </w:rPr>
        <w:t xml:space="preserve"> </w:t>
      </w:r>
      <w:r>
        <w:rPr>
          <w:rFonts w:ascii="Arial" w:cs="Arial" w:eastAsia="Arial" w:hAnsi="Arial"/>
          <w:sz w:val="22"/>
          <w:szCs w:val="22"/>
          <w:color w:val="auto"/>
        </w:rPr>
        <w:t>Michigan, notwithstanding conflict of law provisions.</w:t>
      </w:r>
    </w:p>
    <w:p>
      <w:pPr>
        <w:spacing w:after="0" w:line="162" w:lineRule="exact"/>
        <w:rPr>
          <w:rFonts w:ascii="Arial" w:cs="Arial" w:eastAsia="Arial" w:hAnsi="Arial"/>
          <w:sz w:val="22"/>
          <w:szCs w:val="22"/>
          <w:b w:val="1"/>
          <w:bCs w:val="1"/>
          <w:color w:val="auto"/>
        </w:rPr>
      </w:pPr>
    </w:p>
    <w:p>
      <w:pPr>
        <w:jc w:val="both"/>
        <w:ind w:firstLine="1305"/>
        <w:spacing w:after="0" w:line="259" w:lineRule="auto"/>
        <w:tabs>
          <w:tab w:leader="none" w:pos="1864" w:val="left"/>
        </w:tabs>
        <w:numPr>
          <w:ilvl w:val="0"/>
          <w:numId w:val="50"/>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Clawback Policy</w:t>
      </w:r>
      <w:r>
        <w:rPr>
          <w:rFonts w:ascii="Arial" w:cs="Arial" w:eastAsia="Arial" w:hAnsi="Arial"/>
          <w:sz w:val="21"/>
          <w:szCs w:val="21"/>
          <w:b w:val="1"/>
          <w:bCs w:val="1"/>
          <w:color w:val="auto"/>
        </w:rPr>
        <w:t xml:space="preserve">. </w:t>
      </w:r>
      <w:r>
        <w:rPr>
          <w:rFonts w:ascii="Arial" w:cs="Arial" w:eastAsia="Arial" w:hAnsi="Arial"/>
          <w:sz w:val="21"/>
          <w:szCs w:val="21"/>
          <w:color w:val="auto"/>
        </w:rPr>
        <w:t>Any shares of Stock issued to Grantee in settlement of the PSUs shall be subject to the</w:t>
      </w:r>
      <w:r>
        <w:rPr>
          <w:rFonts w:ascii="Arial" w:cs="Arial" w:eastAsia="Arial" w:hAnsi="Arial"/>
          <w:sz w:val="21"/>
          <w:szCs w:val="21"/>
          <w:b w:val="1"/>
          <w:bCs w:val="1"/>
          <w:color w:val="auto"/>
        </w:rPr>
        <w:t xml:space="preserve"> </w:t>
      </w:r>
      <w:r>
        <w:rPr>
          <w:rFonts w:ascii="Arial" w:cs="Arial" w:eastAsia="Arial" w:hAnsi="Arial"/>
          <w:sz w:val="21"/>
          <w:szCs w:val="21"/>
          <w:color w:val="auto"/>
        </w:rPr>
        <w:t>Corporation’s recoupment policy, as in effect from time to time. Further, notwithstanding anything in this Agreement to the contrary, Grantee acknowledges and agrees that (a) this Agreement and the award described herein (and any settlement thereof) are subject to the terms and conditions of such policy, or any other form of Corporation clawback policy (if any) as may be in effect from time to time specifically to implement Section 10D of the Exchange Act and any applicable rules or regulations promulgated thereunder (including applicable rules and regulations of any national securities exchange on which the Common Shares may be traded) (the “Compensation Recovery Policy”), (b) applicable provisions of this Agreement shall be deemed superseded by and subject to the terms and conditions of the Compensation Recovery Policy from and after the effective date thereof, and (c) Grantee’s consent shall not be required to an amendment to this Agreement that is deemed necessary by the Corporation to ensure compliance with Section 10D of the Exchange Act.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631" w:right="239" w:bottom="1440" w:gutter="0" w:footer="0" w:header="0"/>
        </w:sectPr>
      </w:pPr>
    </w:p>
    <w:bookmarkStart w:id="65" w:name="page66"/>
    <w:bookmarkEnd w:id="65"/>
    <w:p>
      <w:pPr>
        <w:ind w:firstLine="648"/>
        <w:spacing w:after="0" w:line="263" w:lineRule="auto"/>
        <w:rPr>
          <w:sz w:val="20"/>
          <w:szCs w:val="20"/>
          <w:color w:val="auto"/>
        </w:rPr>
      </w:pPr>
      <w:r>
        <w:rPr>
          <w:rFonts w:ascii="Arial" w:cs="Arial" w:eastAsia="Arial" w:hAnsi="Arial"/>
          <w:sz w:val="22"/>
          <w:szCs w:val="22"/>
          <w:color w:val="auto"/>
        </w:rPr>
        <w:t>This Agreement may be executed in two or more counterparts, each of which is deemed an original and all of which constitute one document.</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281"/>
        </w:trPr>
        <w:tc>
          <w:tcPr>
            <w:tcW w:w="2820" w:type="dxa"/>
            <w:vAlign w:val="bottom"/>
          </w:tcPr>
          <w:p>
            <w:pPr>
              <w:spacing w:after="0"/>
              <w:rPr>
                <w:sz w:val="24"/>
                <w:szCs w:val="24"/>
                <w:color w:val="auto"/>
              </w:rPr>
            </w:pPr>
          </w:p>
        </w:tc>
        <w:tc>
          <w:tcPr>
            <w:tcW w:w="8240" w:type="dxa"/>
            <w:vAlign w:val="bottom"/>
            <w:gridSpan w:val="3"/>
          </w:tcPr>
          <w:p>
            <w:pPr>
              <w:ind w:left="880"/>
              <w:spacing w:after="0"/>
              <w:rPr>
                <w:sz w:val="20"/>
                <w:szCs w:val="20"/>
                <w:color w:val="auto"/>
              </w:rPr>
            </w:pPr>
            <w:r>
              <w:rPr>
                <w:rFonts w:ascii="Arial" w:cs="Arial" w:eastAsia="Arial" w:hAnsi="Arial"/>
                <w:sz w:val="22"/>
                <w:szCs w:val="22"/>
                <w:b w:val="1"/>
                <w:bCs w:val="1"/>
                <w:color w:val="auto"/>
              </w:rPr>
              <w:t>TRIMAS CORPORATION</w:t>
            </w:r>
          </w:p>
        </w:tc>
      </w:tr>
      <w:tr>
        <w:trPr>
          <w:trHeight w:val="571"/>
        </w:trPr>
        <w:tc>
          <w:tcPr>
            <w:tcW w:w="2820" w:type="dxa"/>
            <w:vAlign w:val="bottom"/>
          </w:tcPr>
          <w:p>
            <w:pPr>
              <w:spacing w:after="0"/>
              <w:rPr>
                <w:sz w:val="20"/>
                <w:szCs w:val="20"/>
                <w:color w:val="auto"/>
              </w:rPr>
            </w:pPr>
            <w:r>
              <w:rPr>
                <w:rFonts w:ascii="Arial" w:cs="Arial" w:eastAsia="Arial" w:hAnsi="Arial"/>
                <w:sz w:val="22"/>
                <w:szCs w:val="22"/>
                <w:color w:val="auto"/>
              </w:rPr>
              <w:t xml:space="preserve">Dated: </w:t>
            </w:r>
            <w:r>
              <w:rPr>
                <w:rFonts w:ascii="Arial" w:cs="Arial" w:eastAsia="Arial" w:hAnsi="Arial"/>
                <w:sz w:val="22"/>
                <w:szCs w:val="22"/>
                <w:b w:val="1"/>
                <w:bCs w:val="1"/>
                <w:color w:val="auto"/>
              </w:rPr>
              <w:t>March 1, 2016</w:t>
            </w:r>
          </w:p>
        </w:tc>
        <w:tc>
          <w:tcPr>
            <w:tcW w:w="8240" w:type="dxa"/>
            <w:vAlign w:val="bottom"/>
            <w:gridSpan w:val="3"/>
          </w:tcPr>
          <w:p>
            <w:pPr>
              <w:ind w:left="2200"/>
              <w:spacing w:after="0"/>
              <w:rPr>
                <w:sz w:val="20"/>
                <w:szCs w:val="20"/>
                <w:color w:val="auto"/>
              </w:rPr>
            </w:pPr>
            <w:r>
              <w:rPr>
                <w:rFonts w:ascii="Arial" w:cs="Arial" w:eastAsia="Arial" w:hAnsi="Arial"/>
                <w:sz w:val="22"/>
                <w:szCs w:val="22"/>
                <w:color w:val="auto"/>
              </w:rPr>
              <w:t>By: /s/ Joshua A. Sherbin</w:t>
            </w:r>
          </w:p>
        </w:tc>
      </w:tr>
      <w:tr>
        <w:trPr>
          <w:trHeight w:val="20"/>
        </w:trPr>
        <w:tc>
          <w:tcPr>
            <w:tcW w:w="28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r>
      <w:tr>
        <w:trPr>
          <w:trHeight w:val="242"/>
        </w:trPr>
        <w:tc>
          <w:tcPr>
            <w:tcW w:w="2820" w:type="dxa"/>
            <w:vAlign w:val="bottom"/>
          </w:tcPr>
          <w:p>
            <w:pPr>
              <w:spacing w:after="0"/>
              <w:rPr>
                <w:sz w:val="21"/>
                <w:szCs w:val="21"/>
                <w:color w:val="auto"/>
              </w:rPr>
            </w:pPr>
          </w:p>
        </w:tc>
        <w:tc>
          <w:tcPr>
            <w:tcW w:w="8240" w:type="dxa"/>
            <w:vAlign w:val="bottom"/>
            <w:gridSpan w:val="3"/>
          </w:tcPr>
          <w:p>
            <w:pPr>
              <w:ind w:left="2200"/>
              <w:spacing w:after="0" w:line="242" w:lineRule="exact"/>
              <w:rPr>
                <w:sz w:val="20"/>
                <w:szCs w:val="20"/>
                <w:color w:val="auto"/>
              </w:rPr>
            </w:pPr>
            <w:r>
              <w:rPr>
                <w:rFonts w:ascii="Arial" w:cs="Arial" w:eastAsia="Arial" w:hAnsi="Arial"/>
                <w:sz w:val="22"/>
                <w:szCs w:val="22"/>
                <w:color w:val="auto"/>
              </w:rPr>
              <w:t>Name: Joshua A. Sherbin</w:t>
            </w:r>
          </w:p>
        </w:tc>
      </w:tr>
      <w:tr>
        <w:trPr>
          <w:trHeight w:val="243"/>
        </w:trPr>
        <w:tc>
          <w:tcPr>
            <w:tcW w:w="2820" w:type="dxa"/>
            <w:vAlign w:val="bottom"/>
          </w:tcPr>
          <w:p>
            <w:pPr>
              <w:spacing w:after="0"/>
              <w:rPr>
                <w:sz w:val="21"/>
                <w:szCs w:val="21"/>
                <w:color w:val="auto"/>
              </w:rPr>
            </w:pPr>
          </w:p>
        </w:tc>
        <w:tc>
          <w:tcPr>
            <w:tcW w:w="8240" w:type="dxa"/>
            <w:vAlign w:val="bottom"/>
            <w:gridSpan w:val="3"/>
          </w:tcPr>
          <w:p>
            <w:pPr>
              <w:ind w:left="2200"/>
              <w:spacing w:after="0" w:line="243" w:lineRule="exact"/>
              <w:rPr>
                <w:sz w:val="20"/>
                <w:szCs w:val="20"/>
                <w:color w:val="auto"/>
              </w:rPr>
            </w:pPr>
            <w:r>
              <w:rPr>
                <w:rFonts w:ascii="Arial" w:cs="Arial" w:eastAsia="Arial" w:hAnsi="Arial"/>
                <w:sz w:val="22"/>
                <w:szCs w:val="22"/>
                <w:color w:val="auto"/>
                <w:w w:val="89"/>
              </w:rPr>
              <w:t>Title: Vice President, General Counsel, Chief Compliance Officer and</w:t>
            </w:r>
          </w:p>
        </w:tc>
      </w:tr>
      <w:tr>
        <w:trPr>
          <w:trHeight w:val="275"/>
        </w:trPr>
        <w:tc>
          <w:tcPr>
            <w:tcW w:w="2820" w:type="dxa"/>
            <w:vAlign w:val="bottom"/>
          </w:tcPr>
          <w:p>
            <w:pPr>
              <w:spacing w:after="0"/>
              <w:rPr>
                <w:sz w:val="23"/>
                <w:szCs w:val="23"/>
                <w:color w:val="auto"/>
              </w:rPr>
            </w:pPr>
          </w:p>
        </w:tc>
        <w:tc>
          <w:tcPr>
            <w:tcW w:w="8240" w:type="dxa"/>
            <w:vAlign w:val="bottom"/>
            <w:gridSpan w:val="3"/>
          </w:tcPr>
          <w:p>
            <w:pPr>
              <w:ind w:left="2200"/>
              <w:spacing w:after="0"/>
              <w:rPr>
                <w:sz w:val="20"/>
                <w:szCs w:val="20"/>
                <w:color w:val="auto"/>
              </w:rPr>
            </w:pPr>
            <w:r>
              <w:rPr>
                <w:rFonts w:ascii="Arial" w:cs="Arial" w:eastAsia="Arial" w:hAnsi="Arial"/>
                <w:sz w:val="22"/>
                <w:szCs w:val="22"/>
                <w:color w:val="auto"/>
              </w:rPr>
              <w:t>Corporate Secretary</w:t>
            </w:r>
          </w:p>
        </w:tc>
      </w:tr>
    </w:tbl>
    <w:p>
      <w:pPr>
        <w:spacing w:after="0" w:line="200" w:lineRule="exact"/>
        <w:rPr>
          <w:sz w:val="20"/>
          <w:szCs w:val="20"/>
          <w:color w:val="auto"/>
        </w:rPr>
      </w:pPr>
    </w:p>
    <w:p>
      <w:pPr>
        <w:spacing w:after="0" w:line="316" w:lineRule="exact"/>
        <w:rPr>
          <w:sz w:val="20"/>
          <w:szCs w:val="20"/>
          <w:color w:val="auto"/>
        </w:rPr>
      </w:pPr>
    </w:p>
    <w:p>
      <w:pPr>
        <w:jc w:val="both"/>
        <w:ind w:left="660"/>
        <w:spacing w:after="0" w:line="247" w:lineRule="auto"/>
        <w:rPr>
          <w:sz w:val="20"/>
          <w:szCs w:val="20"/>
          <w:color w:val="auto"/>
        </w:rPr>
      </w:pPr>
      <w:r>
        <w:rPr>
          <w:rFonts w:ascii="Arial" w:cs="Arial" w:eastAsia="Arial" w:hAnsi="Arial"/>
          <w:sz w:val="22"/>
          <w:szCs w:val="22"/>
          <w:b w:val="1"/>
          <w:bCs w:val="1"/>
          <w:color w:val="auto"/>
        </w:rPr>
        <w:t>GRANTEE ACKNOWLEDGES AND AGREES THAT NOTHING IN THIS PERFORMANCE STOCK UNIT AGREEMENT, NOR IN THE CORPORATION’S 2011 OMNIBUS INCENTIVE COMPENSATION PLAN, AS AMENDED, WHICH IS INCORPORATED INTO THIS AGREEMENT BY REFERENCE, CONFERS ON GRANTEE ANY RIGHT WITH RESPECT TO CONTINUATION AS A SERVICE PROVIDER OF THE CORPORATION OR ANY PARENT OR SUBSIDIARY OR AFFILIATE OF THE CORPORATION, NOR INTERFERES IN ANY WAY WITH GRANTEE’S RIGHT OR THE CORPORATION’S RIGHT TO TERMINATE GRANTEE’S SERVICE PROVIDER RELATIONSHIP AT ANY TIME, WITH OR WITHOUT CAUSE AND WITH OR WITHOUT PRIOR NOTICE.</w:t>
      </w:r>
    </w:p>
    <w:p>
      <w:pPr>
        <w:spacing w:after="0" w:line="186" w:lineRule="exact"/>
        <w:rPr>
          <w:sz w:val="20"/>
          <w:szCs w:val="20"/>
          <w:color w:val="auto"/>
        </w:rPr>
      </w:pPr>
    </w:p>
    <w:p>
      <w:pPr>
        <w:jc w:val="both"/>
        <w:ind w:left="660"/>
        <w:spacing w:after="0" w:line="247" w:lineRule="auto"/>
        <w:rPr>
          <w:sz w:val="20"/>
          <w:szCs w:val="20"/>
          <w:color w:val="auto"/>
        </w:rPr>
      </w:pPr>
      <w:r>
        <w:rPr>
          <w:rFonts w:ascii="Arial" w:cs="Arial" w:eastAsia="Arial" w:hAnsi="Arial"/>
          <w:sz w:val="22"/>
          <w:szCs w:val="22"/>
          <w:b w:val="1"/>
          <w:bCs w:val="1"/>
          <w:color w:val="auto"/>
        </w:rPr>
        <w:t>BY CLICKING THE “ACCEPT” BUTTON, GRANTEE ACKNOWLEDGES RECEIPT OF A COPY OF THE PLAN AND REPRESENTS THAT GRANTEE IS FAMILIAR WITH THE TERMS AND PROVISIONS OF THE PLAN. GRANTEE ACCEPTS THIS PERFORMANCE STOCK UNIT AWARD SUBJECT TO ALL OF THE TERMS AND PROVISIONS OF THIS AGREEMENT AND THE PLAN. GRANTEE HAS REVIEWED THE PLAN AND THIS AGREEMENT IN THEIR ENTIRETY. GRANTEE AGREES TO ACCEPT AS BINDING, CONCLUSIVE AND FINAL ALL DECISIONS OR INTERPRETATIONS OF THE COMMITTEE UPON ANY QUESTIONS ARISING UNDER THE PLAN OR THIS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631" w:right="239" w:bottom="1440" w:gutter="0" w:footer="0" w:header="0"/>
        </w:sectPr>
      </w:pPr>
    </w:p>
    <w:bookmarkStart w:id="66" w:name="page67"/>
    <w:bookmarkEnd w:id="66"/>
    <w:p>
      <w:pPr>
        <w:jc w:val="center"/>
        <w:spacing w:after="0"/>
        <w:rPr>
          <w:sz w:val="20"/>
          <w:szCs w:val="20"/>
          <w:color w:val="auto"/>
        </w:rPr>
      </w:pPr>
      <w:r>
        <w:rPr>
          <w:rFonts w:ascii="Arial" w:cs="Arial" w:eastAsia="Arial" w:hAnsi="Arial"/>
          <w:sz w:val="22"/>
          <w:szCs w:val="22"/>
          <w:b w:val="1"/>
          <w:bCs w:val="1"/>
          <w:color w:val="auto"/>
        </w:rPr>
        <w:t>APPENDIX A</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PERFORMANCE STOCK UNITS AGREEMENT</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PERFORMANCE GOAL FOR PSU AWARD</w:t>
      </w:r>
    </w:p>
    <w:p>
      <w:pPr>
        <w:spacing w:after="0" w:line="26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actual number of PSUs earned by Grantee will be determined by the Committee by March 1, 2019 following the end of the Performance Period (“Determination Date”), using data as of, and including, December 31, 2018 under the rules described below. Any PSUs not earned as of the Determination Date will be canceled and forfeited.</w:t>
      </w:r>
    </w:p>
    <w:p>
      <w:pPr>
        <w:spacing w:after="0" w:line="226" w:lineRule="exact"/>
        <w:rPr>
          <w:sz w:val="20"/>
          <w:szCs w:val="20"/>
          <w:color w:val="auto"/>
        </w:rPr>
      </w:pPr>
    </w:p>
    <w:p>
      <w:pPr>
        <w:ind w:firstLine="8"/>
        <w:spacing w:after="0" w:line="287" w:lineRule="auto"/>
        <w:tabs>
          <w:tab w:leader="none" w:pos="459" w:val="left"/>
        </w:tabs>
        <w:numPr>
          <w:ilvl w:val="0"/>
          <w:numId w:val="51"/>
        </w:numPr>
        <w:rPr>
          <w:rFonts w:ascii="Arial" w:cs="Arial" w:eastAsia="Arial" w:hAnsi="Arial"/>
          <w:sz w:val="21"/>
          <w:szCs w:val="21"/>
          <w:color w:val="auto"/>
        </w:rPr>
      </w:pPr>
      <w:r>
        <w:rPr>
          <w:rFonts w:ascii="Arial" w:cs="Arial" w:eastAsia="Arial" w:hAnsi="Arial"/>
          <w:sz w:val="21"/>
          <w:szCs w:val="21"/>
          <w:color w:val="auto"/>
        </w:rPr>
        <w:t>The actual number of shares of Stock delivered to Grantee in settlement of the PSUs earned under this Agreement will be determined based on actual performance results as described below, subject to Section II.A.1 of the Agreement.</w:t>
      </w:r>
    </w:p>
    <w:p>
      <w:pPr>
        <w:spacing w:after="0" w:line="192" w:lineRule="exact"/>
        <w:rPr>
          <w:rFonts w:ascii="Arial" w:cs="Arial" w:eastAsia="Arial" w:hAnsi="Arial"/>
          <w:sz w:val="21"/>
          <w:szCs w:val="21"/>
          <w:color w:val="auto"/>
        </w:rPr>
      </w:pPr>
    </w:p>
    <w:p>
      <w:pPr>
        <w:ind w:firstLine="8"/>
        <w:spacing w:after="0" w:line="287" w:lineRule="auto"/>
        <w:tabs>
          <w:tab w:leader="none" w:pos="392" w:val="left"/>
        </w:tabs>
        <w:numPr>
          <w:ilvl w:val="0"/>
          <w:numId w:val="51"/>
        </w:numPr>
        <w:rPr>
          <w:rFonts w:ascii="Arial" w:cs="Arial" w:eastAsia="Arial" w:hAnsi="Arial"/>
          <w:sz w:val="21"/>
          <w:szCs w:val="21"/>
          <w:color w:val="auto"/>
        </w:rPr>
      </w:pPr>
      <w:r>
        <w:rPr>
          <w:rFonts w:ascii="Arial" w:cs="Arial" w:eastAsia="Arial" w:hAnsi="Arial"/>
          <w:sz w:val="21"/>
          <w:szCs w:val="21"/>
          <w:color w:val="auto"/>
        </w:rPr>
        <w:t>The PSUs subject to this Award are earned based on the achievement of a specific performance measure over the Performance Period (i.e., January 1, 2016 through December 31, 2018) and determined on the Determination Date.</w:t>
      </w:r>
    </w:p>
    <w:p>
      <w:pPr>
        <w:spacing w:after="0" w:line="192" w:lineRule="exact"/>
        <w:rPr>
          <w:rFonts w:ascii="Arial" w:cs="Arial" w:eastAsia="Arial" w:hAnsi="Arial"/>
          <w:sz w:val="21"/>
          <w:szCs w:val="21"/>
          <w:color w:val="auto"/>
        </w:rPr>
      </w:pPr>
    </w:p>
    <w:p>
      <w:pPr>
        <w:ind w:right="20" w:firstLine="8"/>
        <w:spacing w:after="0" w:line="263" w:lineRule="auto"/>
        <w:tabs>
          <w:tab w:leader="none" w:pos="432" w:val="left"/>
        </w:tabs>
        <w:numPr>
          <w:ilvl w:val="0"/>
          <w:numId w:val="51"/>
        </w:numPr>
        <w:rPr>
          <w:rFonts w:ascii="Arial" w:cs="Arial" w:eastAsia="Arial" w:hAnsi="Arial"/>
          <w:sz w:val="22"/>
          <w:szCs w:val="22"/>
          <w:color w:val="auto"/>
        </w:rPr>
      </w:pPr>
      <w:r>
        <w:rPr>
          <w:rFonts w:ascii="Arial" w:cs="Arial" w:eastAsia="Arial" w:hAnsi="Arial"/>
          <w:sz w:val="22"/>
          <w:szCs w:val="22"/>
          <w:color w:val="auto"/>
        </w:rPr>
        <w:t>The PSUs subject to this Award that will actually be earned will be based on the achievement of Relative Total Shareholder Return.</w:t>
      </w:r>
    </w:p>
    <w:p>
      <w:pPr>
        <w:spacing w:after="0" w:line="215" w:lineRule="exact"/>
        <w:rPr>
          <w:rFonts w:ascii="Arial" w:cs="Arial" w:eastAsia="Arial" w:hAnsi="Arial"/>
          <w:sz w:val="22"/>
          <w:szCs w:val="22"/>
          <w:color w:val="auto"/>
        </w:rPr>
      </w:pPr>
    </w:p>
    <w:p>
      <w:pPr>
        <w:ind w:left="380" w:hanging="372"/>
        <w:spacing w:after="0"/>
        <w:tabs>
          <w:tab w:leader="none" w:pos="380" w:val="left"/>
        </w:tabs>
        <w:numPr>
          <w:ilvl w:val="0"/>
          <w:numId w:val="51"/>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For purposes hereof:</w:t>
      </w:r>
    </w:p>
    <w:p>
      <w:pPr>
        <w:spacing w:after="0" w:line="260" w:lineRule="exact"/>
        <w:rPr>
          <w:rFonts w:ascii="Arial" w:cs="Arial" w:eastAsia="Arial" w:hAnsi="Arial"/>
          <w:sz w:val="22"/>
          <w:szCs w:val="22"/>
          <w:color w:val="auto"/>
        </w:rPr>
      </w:pPr>
    </w:p>
    <w:p>
      <w:pPr>
        <w:ind w:left="1300" w:right="240" w:hanging="644"/>
        <w:spacing w:after="0" w:line="312" w:lineRule="auto"/>
        <w:tabs>
          <w:tab w:leader="none" w:pos="1300" w:val="left"/>
        </w:tabs>
        <w:numPr>
          <w:ilvl w:val="1"/>
          <w:numId w:val="5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Peer Group</w:t>
      </w:r>
      <w:r>
        <w:rPr>
          <w:rFonts w:ascii="Arial" w:cs="Arial" w:eastAsia="Arial" w:hAnsi="Arial"/>
          <w:sz w:val="19"/>
          <w:szCs w:val="19"/>
          <w:color w:val="auto"/>
        </w:rPr>
        <w:t xml:space="preserve">” means, of a benchmark group of 100 entities currently in the S&amp;PSmallCap 600 Capped Industrials index (the names of which are attached hereto as </w:t>
      </w:r>
      <w:r>
        <w:rPr>
          <w:rFonts w:ascii="Arial" w:cs="Arial" w:eastAsia="Arial" w:hAnsi="Arial"/>
          <w:sz w:val="19"/>
          <w:szCs w:val="19"/>
          <w:u w:val="single" w:color="auto"/>
          <w:color w:val="auto"/>
        </w:rPr>
        <w:t>Annex A</w:t>
      </w:r>
      <w:r>
        <w:rPr>
          <w:rFonts w:ascii="Arial" w:cs="Arial" w:eastAsia="Arial" w:hAnsi="Arial"/>
          <w:sz w:val="19"/>
          <w:szCs w:val="19"/>
          <w:color w:val="auto"/>
        </w:rPr>
        <w:t>), those entities that remain in the Peer Group as of the end of the Performance Period after application of the Peer Group Adjustment Protocol.</w:t>
      </w:r>
    </w:p>
    <w:p>
      <w:pPr>
        <w:spacing w:after="0" w:line="174" w:lineRule="exact"/>
        <w:rPr>
          <w:rFonts w:ascii="Arial" w:cs="Arial" w:eastAsia="Arial" w:hAnsi="Arial"/>
          <w:sz w:val="19"/>
          <w:szCs w:val="19"/>
          <w:color w:val="auto"/>
        </w:rPr>
      </w:pPr>
    </w:p>
    <w:p>
      <w:pPr>
        <w:jc w:val="both"/>
        <w:ind w:left="1300" w:hanging="644"/>
        <w:spacing w:after="0" w:line="288" w:lineRule="auto"/>
        <w:tabs>
          <w:tab w:leader="none" w:pos="1300" w:val="left"/>
        </w:tabs>
        <w:numPr>
          <w:ilvl w:val="1"/>
          <w:numId w:val="51"/>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Peer Group Adjustment Protocol</w:t>
      </w:r>
      <w:r>
        <w:rPr>
          <w:rFonts w:ascii="Arial" w:cs="Arial" w:eastAsia="Arial" w:hAnsi="Arial"/>
          <w:sz w:val="19"/>
          <w:szCs w:val="19"/>
          <w:color w:val="auto"/>
        </w:rPr>
        <w:t xml:space="preserve">” means: (i) if an entity listed in </w:t>
      </w:r>
      <w:r>
        <w:rPr>
          <w:rFonts w:ascii="Arial" w:cs="Arial" w:eastAsia="Arial" w:hAnsi="Arial"/>
          <w:sz w:val="19"/>
          <w:szCs w:val="19"/>
          <w:u w:val="single" w:color="auto"/>
          <w:color w:val="auto"/>
        </w:rPr>
        <w:t>Annex A</w:t>
      </w:r>
      <w:r>
        <w:rPr>
          <w:rFonts w:ascii="Arial" w:cs="Arial" w:eastAsia="Arial" w:hAnsi="Arial"/>
          <w:sz w:val="19"/>
          <w:szCs w:val="19"/>
          <w:color w:val="auto"/>
        </w:rPr>
        <w:t xml:space="preserve"> files for bankruptcy and/or liquidation, is operating under bankruptcy protection, or is delisted from its primary stock exchange because it fails to meet the exchange listing requirements, then such entity will remain in the Peer Group, but RTSR for the Performance Period will be calculated as if such entity achieved Total Shareholder Return placing it at the bottom (chronologically, if more than one such entity) of the Peer Group; and (ii) if, by the last day of the Performance Period, an entity listed in </w:t>
      </w:r>
      <w:r>
        <w:rPr>
          <w:rFonts w:ascii="Arial" w:cs="Arial" w:eastAsia="Arial" w:hAnsi="Arial"/>
          <w:sz w:val="19"/>
          <w:szCs w:val="19"/>
          <w:u w:val="single" w:color="auto"/>
          <w:color w:val="auto"/>
        </w:rPr>
        <w:t>Annex A</w:t>
      </w:r>
      <w:r>
        <w:rPr>
          <w:rFonts w:ascii="Arial" w:cs="Arial" w:eastAsia="Arial" w:hAnsi="Arial"/>
          <w:sz w:val="19"/>
          <w:szCs w:val="19"/>
          <w:color w:val="auto"/>
        </w:rPr>
        <w:t xml:space="preserve"> has been acquired and/or is no longer existing as a public company that is traded on its primary stock exchange (other than for the reasons as described in subsection (i) above), then such entity will not remain in the Peer Group and RTSR for the Performance Period will be calculated as if such entity had never been a member of the Peer Group; and (iii) except as otherwise described in subsection (i) and (ii) above, for purposes of this Performance Goal, for each of the entities listed in </w:t>
      </w:r>
      <w:r>
        <w:rPr>
          <w:rFonts w:ascii="Arial" w:cs="Arial" w:eastAsia="Arial" w:hAnsi="Arial"/>
          <w:sz w:val="19"/>
          <w:szCs w:val="19"/>
          <w:u w:val="single" w:color="auto"/>
          <w:color w:val="auto"/>
        </w:rPr>
        <w:t>Annex A</w:t>
      </w:r>
      <w:r>
        <w:rPr>
          <w:rFonts w:ascii="Arial" w:cs="Arial" w:eastAsia="Arial" w:hAnsi="Arial"/>
          <w:sz w:val="19"/>
          <w:szCs w:val="19"/>
          <w:color w:val="auto"/>
        </w:rPr>
        <w:t>, such entity shall be deemed to include any successor to all or substantially all of the primary business of such entity at end of the Performance Period.</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1420"/>
          </w:cols>
          <w:pgMar w:left="240" w:top="625" w:right="239" w:bottom="1440" w:gutter="0" w:footer="0" w:header="0"/>
        </w:sectPr>
      </w:pPr>
    </w:p>
    <w:bookmarkStart w:id="67" w:name="page68"/>
    <w:bookmarkEnd w:id="67"/>
    <w:p>
      <w:pPr>
        <w:jc w:val="both"/>
        <w:ind w:left="1300" w:right="20" w:hanging="644"/>
        <w:spacing w:after="0" w:line="253" w:lineRule="auto"/>
        <w:tabs>
          <w:tab w:leader="none" w:pos="1300" w:val="left"/>
        </w:tabs>
        <w:numPr>
          <w:ilvl w:val="1"/>
          <w:numId w:val="5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Relative Total Shareholder Return</w:t>
      </w:r>
      <w:r>
        <w:rPr>
          <w:rFonts w:ascii="Arial" w:cs="Arial" w:eastAsia="Arial" w:hAnsi="Arial"/>
          <w:sz w:val="22"/>
          <w:szCs w:val="22"/>
          <w:color w:val="auto"/>
        </w:rPr>
        <w:t>” or “</w:t>
      </w:r>
      <w:r>
        <w:rPr>
          <w:rFonts w:ascii="Arial" w:cs="Arial" w:eastAsia="Arial" w:hAnsi="Arial"/>
          <w:sz w:val="22"/>
          <w:szCs w:val="22"/>
          <w:b w:val="1"/>
          <w:bCs w:val="1"/>
          <w:i w:val="1"/>
          <w:iCs w:val="1"/>
          <w:color w:val="auto"/>
        </w:rPr>
        <w:t>RTSR</w:t>
      </w:r>
      <w:r>
        <w:rPr>
          <w:rFonts w:ascii="Arial" w:cs="Arial" w:eastAsia="Arial" w:hAnsi="Arial"/>
          <w:sz w:val="22"/>
          <w:szCs w:val="22"/>
          <w:color w:val="auto"/>
        </w:rPr>
        <w:t>” means the percentile rank of the Corporation’s Total Shareholder Return among the Total Shareholder Returns of all members of the Peer Group, ranked in descending order, at the end of the Performance Period.</w:t>
      </w:r>
    </w:p>
    <w:p>
      <w:pPr>
        <w:spacing w:after="0" w:line="226" w:lineRule="exact"/>
        <w:rPr>
          <w:rFonts w:ascii="Arial" w:cs="Arial" w:eastAsia="Arial" w:hAnsi="Arial"/>
          <w:sz w:val="22"/>
          <w:szCs w:val="22"/>
          <w:color w:val="auto"/>
        </w:rPr>
      </w:pPr>
    </w:p>
    <w:p>
      <w:pPr>
        <w:jc w:val="both"/>
        <w:ind w:left="1300" w:right="20" w:hanging="644"/>
        <w:spacing w:after="0" w:line="290" w:lineRule="auto"/>
        <w:tabs>
          <w:tab w:leader="none" w:pos="1300" w:val="left"/>
        </w:tabs>
        <w:numPr>
          <w:ilvl w:val="1"/>
          <w:numId w:val="5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Total Shareholder Return</w:t>
      </w:r>
      <w:r>
        <w:rPr>
          <w:rFonts w:ascii="Arial" w:cs="Arial" w:eastAsia="Arial" w:hAnsi="Arial"/>
          <w:sz w:val="19"/>
          <w:szCs w:val="19"/>
          <w:color w:val="auto"/>
        </w:rPr>
        <w:t>” means, with respect to the Stock and the common stock of each of the members of the Peer Group, a rate of return reflecting stock price appreciation, plus the reinvestment of dividends in additional shares of stock, from the beginning of the Performance Period through the end of the Performance Period. For purposes of calculating Total Shareholder Return for each of the Corporation and the members of the Peer Group, the beginning stock price will be based on the average closing stock price for the 20 trading days immediately preceding January 1, 2016 on the principal stock exchange on which the stock then traded and the ending stock price will be based on the average closing stock price for the 20 trading days immediately preceding January 1, 2019 on the principal stock exchange on which the stock then trades.</w:t>
      </w:r>
    </w:p>
    <w:p>
      <w:pPr>
        <w:spacing w:after="0" w:line="197" w:lineRule="exact"/>
        <w:rPr>
          <w:rFonts w:ascii="Arial" w:cs="Arial" w:eastAsia="Arial" w:hAnsi="Arial"/>
          <w:sz w:val="19"/>
          <w:szCs w:val="19"/>
          <w:color w:val="auto"/>
        </w:rPr>
      </w:pPr>
    </w:p>
    <w:p>
      <w:pPr>
        <w:ind w:right="20" w:firstLine="8"/>
        <w:spacing w:after="0" w:line="263" w:lineRule="auto"/>
        <w:tabs>
          <w:tab w:leader="none" w:pos="432" w:val="left"/>
        </w:tabs>
        <w:numPr>
          <w:ilvl w:val="0"/>
          <w:numId w:val="53"/>
        </w:numPr>
        <w:rPr>
          <w:rFonts w:ascii="Arial" w:cs="Arial" w:eastAsia="Arial" w:hAnsi="Arial"/>
          <w:sz w:val="22"/>
          <w:szCs w:val="22"/>
          <w:color w:val="auto"/>
        </w:rPr>
      </w:pPr>
      <w:r>
        <w:rPr>
          <w:rFonts w:ascii="Arial" w:cs="Arial" w:eastAsia="Arial" w:hAnsi="Arial"/>
          <w:sz w:val="22"/>
          <w:szCs w:val="22"/>
          <w:u w:val="single" w:color="auto"/>
          <w:color w:val="auto"/>
        </w:rPr>
        <w:t>Performance Matrix</w:t>
      </w:r>
      <w:r>
        <w:rPr>
          <w:rFonts w:ascii="Arial" w:cs="Arial" w:eastAsia="Arial" w:hAnsi="Arial"/>
          <w:sz w:val="22"/>
          <w:szCs w:val="22"/>
          <w:color w:val="auto"/>
        </w:rPr>
        <w:t>. From 0% to 200% of the Target PSUs will be earned based on achievement of the RTSR Performance Goal during the Performance Period as follows:</w:t>
      </w:r>
    </w:p>
    <w:p>
      <w:pPr>
        <w:spacing w:after="0" w:line="338" w:lineRule="exact"/>
        <w:rPr>
          <w:sz w:val="20"/>
          <w:szCs w:val="20"/>
          <w:color w:val="auto"/>
        </w:rPr>
      </w:pPr>
    </w:p>
    <w:tbl>
      <w:tblPr>
        <w:tblLayout w:type="fixed"/>
        <w:tblInd w:w="710" w:type="dxa"/>
        <w:tblCellMar>
          <w:top w:w="0" w:type="dxa"/>
          <w:left w:w="0" w:type="dxa"/>
          <w:bottom w:w="0" w:type="dxa"/>
          <w:right w:w="0" w:type="dxa"/>
        </w:tblCellMar>
      </w:tblPr>
      <w:tr>
        <w:trPr>
          <w:trHeight w:val="304"/>
        </w:trPr>
        <w:tc>
          <w:tcPr>
            <w:tcW w:w="3140" w:type="dxa"/>
            <w:vAlign w:val="bottom"/>
            <w:tcBorders>
              <w:top w:val="single" w:sz="8" w:color="auto"/>
              <w:left w:val="single" w:sz="8" w:color="auto"/>
              <w:bottom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22"/>
                <w:szCs w:val="22"/>
                <w:b w:val="1"/>
                <w:bCs w:val="1"/>
                <w:color w:val="auto"/>
                <w:w w:val="89"/>
              </w:rPr>
              <w:t>Performance Level</w:t>
            </w:r>
          </w:p>
        </w:tc>
        <w:tc>
          <w:tcPr>
            <w:tcW w:w="5140" w:type="dxa"/>
            <w:vAlign w:val="bottom"/>
            <w:tcBorders>
              <w:top w:val="single" w:sz="8" w:color="auto"/>
              <w:bottom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22"/>
                <w:szCs w:val="22"/>
                <w:b w:val="1"/>
                <w:bCs w:val="1"/>
                <w:color w:val="auto"/>
                <w:w w:val="89"/>
              </w:rPr>
              <w:t>Relative Total Shareholder Return</w:t>
            </w:r>
          </w:p>
        </w:tc>
        <w:tc>
          <w:tcPr>
            <w:tcW w:w="2460" w:type="dxa"/>
            <w:vAlign w:val="bottom"/>
            <w:tcBorders>
              <w:top w:val="single" w:sz="8" w:color="auto"/>
              <w:bottom w:val="single" w:sz="8" w:color="auto"/>
              <w:right w:val="single" w:sz="8" w:color="auto"/>
            </w:tcBorders>
            <w:shd w:val="clear" w:color="auto" w:fill="BFBFBF"/>
          </w:tcPr>
          <w:p>
            <w:pPr>
              <w:ind w:left="280"/>
              <w:spacing w:after="0"/>
              <w:rPr>
                <w:sz w:val="20"/>
                <w:szCs w:val="20"/>
                <w:color w:val="auto"/>
              </w:rPr>
            </w:pPr>
            <w:r>
              <w:rPr>
                <w:rFonts w:ascii="Arial" w:cs="Arial" w:eastAsia="Arial" w:hAnsi="Arial"/>
                <w:sz w:val="22"/>
                <w:szCs w:val="22"/>
                <w:b w:val="1"/>
                <w:bCs w:val="1"/>
                <w:color w:val="auto"/>
              </w:rPr>
              <w:t>Target PSUs Earned</w:t>
            </w:r>
          </w:p>
        </w:tc>
      </w:tr>
      <w:tr>
        <w:trPr>
          <w:trHeight w:val="297"/>
        </w:trPr>
        <w:tc>
          <w:tcPr>
            <w:tcW w:w="31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Threshold</w:t>
            </w:r>
          </w:p>
        </w:tc>
        <w:tc>
          <w:tcPr>
            <w:tcW w:w="5140" w:type="dxa"/>
            <w:vAlign w:val="bottom"/>
            <w:tcBorders>
              <w:bottom w:val="single" w:sz="8" w:color="auto"/>
              <w:right w:val="single" w:sz="8" w:color="auto"/>
            </w:tcBorders>
          </w:tcPr>
          <w:p>
            <w:pPr>
              <w:jc w:val="center"/>
              <w:spacing w:after="0" w:line="297" w:lineRule="exact"/>
              <w:rPr>
                <w:sz w:val="20"/>
                <w:szCs w:val="20"/>
                <w:color w:val="auto"/>
              </w:rPr>
            </w:pPr>
            <w:r>
              <w:rPr>
                <w:rFonts w:ascii="Arial" w:cs="Arial" w:eastAsia="Arial" w:hAnsi="Arial"/>
                <w:sz w:val="22"/>
                <w:szCs w:val="22"/>
                <w:color w:val="auto"/>
                <w:w w:val="88"/>
              </w:rPr>
              <w:t>Ranked below or at 25</w:t>
            </w:r>
            <w:r>
              <w:rPr>
                <w:rFonts w:ascii="Arial" w:cs="Arial" w:eastAsia="Arial" w:hAnsi="Arial"/>
                <w:sz w:val="28"/>
                <w:szCs w:val="28"/>
                <w:color w:val="auto"/>
                <w:w w:val="88"/>
                <w:vertAlign w:val="superscript"/>
              </w:rPr>
              <w:t>th</w:t>
            </w:r>
            <w:r>
              <w:rPr>
                <w:rFonts w:ascii="Arial" w:cs="Arial" w:eastAsia="Arial" w:hAnsi="Arial"/>
                <w:sz w:val="22"/>
                <w:szCs w:val="22"/>
                <w:color w:val="auto"/>
                <w:w w:val="88"/>
              </w:rPr>
              <w:t xml:space="preserve"> percentile</w:t>
            </w:r>
          </w:p>
        </w:tc>
        <w:tc>
          <w:tcPr>
            <w:tcW w:w="2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0%</w:t>
            </w:r>
          </w:p>
        </w:tc>
      </w:tr>
      <w:tr>
        <w:trPr>
          <w:trHeight w:val="291"/>
        </w:trPr>
        <w:tc>
          <w:tcPr>
            <w:tcW w:w="31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Above Threshold</w:t>
            </w:r>
          </w:p>
        </w:tc>
        <w:tc>
          <w:tcPr>
            <w:tcW w:w="5140" w:type="dxa"/>
            <w:vAlign w:val="bottom"/>
            <w:tcBorders>
              <w:bottom w:val="single" w:sz="8" w:color="auto"/>
              <w:right w:val="single" w:sz="8" w:color="auto"/>
            </w:tcBorders>
          </w:tcPr>
          <w:p>
            <w:pPr>
              <w:jc w:val="center"/>
              <w:spacing w:after="0" w:line="290" w:lineRule="exact"/>
              <w:rPr>
                <w:sz w:val="20"/>
                <w:szCs w:val="20"/>
                <w:color w:val="auto"/>
              </w:rPr>
            </w:pPr>
            <w:r>
              <w:rPr>
                <w:rFonts w:ascii="Arial" w:cs="Arial" w:eastAsia="Arial" w:hAnsi="Arial"/>
                <w:sz w:val="22"/>
                <w:szCs w:val="22"/>
                <w:color w:val="auto"/>
                <w:w w:val="87"/>
              </w:rPr>
              <w:t>Ranked at 35</w:t>
            </w:r>
            <w:r>
              <w:rPr>
                <w:rFonts w:ascii="Arial" w:cs="Arial" w:eastAsia="Arial" w:hAnsi="Arial"/>
                <w:sz w:val="28"/>
                <w:szCs w:val="28"/>
                <w:color w:val="auto"/>
                <w:w w:val="87"/>
                <w:vertAlign w:val="superscript"/>
              </w:rPr>
              <w:t>th</w:t>
            </w:r>
            <w:r>
              <w:rPr>
                <w:rFonts w:ascii="Arial" w:cs="Arial" w:eastAsia="Arial" w:hAnsi="Arial"/>
                <w:sz w:val="22"/>
                <w:szCs w:val="22"/>
                <w:color w:val="auto"/>
                <w:w w:val="87"/>
              </w:rPr>
              <w:t xml:space="preserve"> percentile</w:t>
            </w:r>
          </w:p>
        </w:tc>
        <w:tc>
          <w:tcPr>
            <w:tcW w:w="2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50%</w:t>
            </w:r>
          </w:p>
        </w:tc>
      </w:tr>
      <w:tr>
        <w:trPr>
          <w:trHeight w:val="291"/>
        </w:trPr>
        <w:tc>
          <w:tcPr>
            <w:tcW w:w="31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4"/>
              </w:rPr>
              <w:t>Target</w:t>
            </w:r>
          </w:p>
        </w:tc>
        <w:tc>
          <w:tcPr>
            <w:tcW w:w="5140" w:type="dxa"/>
            <w:vAlign w:val="bottom"/>
            <w:tcBorders>
              <w:bottom w:val="single" w:sz="8" w:color="auto"/>
              <w:right w:val="single" w:sz="8" w:color="auto"/>
            </w:tcBorders>
          </w:tcPr>
          <w:p>
            <w:pPr>
              <w:jc w:val="center"/>
              <w:spacing w:after="0" w:line="290" w:lineRule="exact"/>
              <w:rPr>
                <w:sz w:val="20"/>
                <w:szCs w:val="20"/>
                <w:color w:val="auto"/>
              </w:rPr>
            </w:pPr>
            <w:r>
              <w:rPr>
                <w:rFonts w:ascii="Arial" w:cs="Arial" w:eastAsia="Arial" w:hAnsi="Arial"/>
                <w:sz w:val="22"/>
                <w:szCs w:val="22"/>
                <w:color w:val="auto"/>
                <w:w w:val="87"/>
              </w:rPr>
              <w:t>Ranked at 50</w:t>
            </w:r>
            <w:r>
              <w:rPr>
                <w:rFonts w:ascii="Arial" w:cs="Arial" w:eastAsia="Arial" w:hAnsi="Arial"/>
                <w:sz w:val="28"/>
                <w:szCs w:val="28"/>
                <w:color w:val="auto"/>
                <w:w w:val="87"/>
                <w:vertAlign w:val="superscript"/>
              </w:rPr>
              <w:t>th</w:t>
            </w:r>
            <w:r>
              <w:rPr>
                <w:rFonts w:ascii="Arial" w:cs="Arial" w:eastAsia="Arial" w:hAnsi="Arial"/>
                <w:sz w:val="22"/>
                <w:szCs w:val="22"/>
                <w:color w:val="auto"/>
                <w:w w:val="87"/>
              </w:rPr>
              <w:t xml:space="preserve"> percentile</w:t>
            </w:r>
          </w:p>
        </w:tc>
        <w:tc>
          <w:tcPr>
            <w:tcW w:w="2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100%</w:t>
            </w:r>
          </w:p>
        </w:tc>
      </w:tr>
      <w:tr>
        <w:trPr>
          <w:trHeight w:val="291"/>
        </w:trPr>
        <w:tc>
          <w:tcPr>
            <w:tcW w:w="31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Intermediate</w:t>
            </w:r>
          </w:p>
        </w:tc>
        <w:tc>
          <w:tcPr>
            <w:tcW w:w="5140" w:type="dxa"/>
            <w:vAlign w:val="bottom"/>
            <w:tcBorders>
              <w:bottom w:val="single" w:sz="8" w:color="auto"/>
              <w:right w:val="single" w:sz="8" w:color="auto"/>
            </w:tcBorders>
          </w:tcPr>
          <w:p>
            <w:pPr>
              <w:jc w:val="center"/>
              <w:spacing w:after="0" w:line="290" w:lineRule="exact"/>
              <w:rPr>
                <w:sz w:val="20"/>
                <w:szCs w:val="20"/>
                <w:color w:val="auto"/>
              </w:rPr>
            </w:pPr>
            <w:r>
              <w:rPr>
                <w:rFonts w:ascii="Arial" w:cs="Arial" w:eastAsia="Arial" w:hAnsi="Arial"/>
                <w:sz w:val="22"/>
                <w:szCs w:val="22"/>
                <w:color w:val="auto"/>
                <w:w w:val="87"/>
              </w:rPr>
              <w:t>Ranked at 65</w:t>
            </w:r>
            <w:r>
              <w:rPr>
                <w:rFonts w:ascii="Arial" w:cs="Arial" w:eastAsia="Arial" w:hAnsi="Arial"/>
                <w:sz w:val="28"/>
                <w:szCs w:val="28"/>
                <w:color w:val="auto"/>
                <w:w w:val="87"/>
                <w:vertAlign w:val="superscript"/>
              </w:rPr>
              <w:t>th</w:t>
            </w:r>
            <w:r>
              <w:rPr>
                <w:rFonts w:ascii="Arial" w:cs="Arial" w:eastAsia="Arial" w:hAnsi="Arial"/>
                <w:sz w:val="22"/>
                <w:szCs w:val="22"/>
                <w:color w:val="auto"/>
                <w:w w:val="87"/>
              </w:rPr>
              <w:t xml:space="preserve"> percentile</w:t>
            </w:r>
          </w:p>
        </w:tc>
        <w:tc>
          <w:tcPr>
            <w:tcW w:w="2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150%</w:t>
            </w:r>
          </w:p>
        </w:tc>
      </w:tr>
      <w:tr>
        <w:trPr>
          <w:trHeight w:val="291"/>
        </w:trPr>
        <w:tc>
          <w:tcPr>
            <w:tcW w:w="31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4"/>
              </w:rPr>
              <w:t>Maximum</w:t>
            </w:r>
          </w:p>
        </w:tc>
        <w:tc>
          <w:tcPr>
            <w:tcW w:w="5140" w:type="dxa"/>
            <w:vAlign w:val="bottom"/>
            <w:tcBorders>
              <w:bottom w:val="single" w:sz="8" w:color="auto"/>
              <w:right w:val="single" w:sz="8" w:color="auto"/>
            </w:tcBorders>
          </w:tcPr>
          <w:p>
            <w:pPr>
              <w:ind w:left="1140"/>
              <w:spacing w:after="0" w:line="290" w:lineRule="exact"/>
              <w:rPr>
                <w:sz w:val="20"/>
                <w:szCs w:val="20"/>
                <w:color w:val="auto"/>
              </w:rPr>
            </w:pPr>
            <w:r>
              <w:rPr>
                <w:rFonts w:ascii="Arial" w:cs="Arial" w:eastAsia="Arial" w:hAnsi="Arial"/>
                <w:sz w:val="22"/>
                <w:szCs w:val="22"/>
                <w:color w:val="auto"/>
              </w:rPr>
              <w:t>Ranked at or above 80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percentile</w:t>
            </w:r>
          </w:p>
        </w:tc>
        <w:tc>
          <w:tcPr>
            <w:tcW w:w="2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200%</w:t>
            </w:r>
          </w:p>
        </w:tc>
      </w:tr>
    </w:tbl>
    <w:p>
      <w:pPr>
        <w:spacing w:after="0" w:line="249" w:lineRule="exact"/>
        <w:rPr>
          <w:sz w:val="20"/>
          <w:szCs w:val="20"/>
          <w:color w:val="auto"/>
        </w:rPr>
      </w:pPr>
    </w:p>
    <w:p>
      <w:pPr>
        <w:ind w:right="520" w:firstLine="8"/>
        <w:spacing w:after="0" w:line="312" w:lineRule="auto"/>
        <w:tabs>
          <w:tab w:leader="none" w:pos="378" w:val="left"/>
        </w:tabs>
        <w:numPr>
          <w:ilvl w:val="0"/>
          <w:numId w:val="54"/>
        </w:numPr>
        <w:rPr>
          <w:rFonts w:ascii="Arial" w:cs="Arial" w:eastAsia="Arial" w:hAnsi="Arial"/>
          <w:sz w:val="19"/>
          <w:szCs w:val="19"/>
          <w:color w:val="auto"/>
        </w:rPr>
      </w:pPr>
      <w:r>
        <w:rPr>
          <w:rFonts w:ascii="Arial" w:cs="Arial" w:eastAsia="Arial" w:hAnsi="Arial"/>
          <w:sz w:val="19"/>
          <w:szCs w:val="19"/>
          <w:u w:val="single" w:color="auto"/>
          <w:color w:val="auto"/>
        </w:rPr>
        <w:t>Number of PSUs Earned</w:t>
      </w:r>
      <w:r>
        <w:rPr>
          <w:rFonts w:ascii="Arial" w:cs="Arial" w:eastAsia="Arial" w:hAnsi="Arial"/>
          <w:sz w:val="19"/>
          <w:szCs w:val="19"/>
          <w:color w:val="auto"/>
        </w:rPr>
        <w:t>. Following the Performance Period, on the Determination Date, the Committee shall determine whether and to what extent the RTSR Performance Goal has been satisfied for the Performance Period and shall determine the number of PSUs that shall become nonforfeitable hereunder and under the Agreement on the basis of the following:</w:t>
      </w:r>
    </w:p>
    <w:p>
      <w:pPr>
        <w:spacing w:after="0" w:line="174" w:lineRule="exact"/>
        <w:rPr>
          <w:rFonts w:ascii="Arial" w:cs="Arial" w:eastAsia="Arial" w:hAnsi="Arial"/>
          <w:sz w:val="19"/>
          <w:szCs w:val="19"/>
          <w:color w:val="auto"/>
        </w:rPr>
      </w:pPr>
    </w:p>
    <w:p>
      <w:pPr>
        <w:ind w:left="1300" w:right="320" w:hanging="644"/>
        <w:spacing w:after="0" w:line="343" w:lineRule="auto"/>
        <w:tabs>
          <w:tab w:leader="none" w:pos="1300" w:val="left"/>
        </w:tabs>
        <w:numPr>
          <w:ilvl w:val="1"/>
          <w:numId w:val="54"/>
        </w:numPr>
        <w:rPr>
          <w:rFonts w:ascii="Arial" w:cs="Arial" w:eastAsia="Arial" w:hAnsi="Arial"/>
          <w:sz w:val="19"/>
          <w:szCs w:val="19"/>
          <w:color w:val="auto"/>
        </w:rPr>
      </w:pPr>
      <w:r>
        <w:rPr>
          <w:rFonts w:ascii="Arial" w:cs="Arial" w:eastAsia="Arial" w:hAnsi="Arial"/>
          <w:sz w:val="19"/>
          <w:szCs w:val="19"/>
          <w:u w:val="single" w:color="auto"/>
          <w:color w:val="auto"/>
        </w:rPr>
        <w:t>Threshold</w:t>
      </w:r>
      <w:r>
        <w:rPr>
          <w:rFonts w:ascii="Arial" w:cs="Arial" w:eastAsia="Arial" w:hAnsi="Arial"/>
          <w:sz w:val="19"/>
          <w:szCs w:val="19"/>
          <w:color w:val="auto"/>
        </w:rPr>
        <w:t>. If, upon the conclusion of the Performance Period, RTSR for the Performance Period equals or falls below the “Threshold” level, as set forth in the Performance Matrix, no Target PSUs shall become nonforfeitable.</w:t>
      </w:r>
    </w:p>
    <w:p>
      <w:pPr>
        <w:spacing w:after="0" w:line="145" w:lineRule="exact"/>
        <w:rPr>
          <w:rFonts w:ascii="Arial" w:cs="Arial" w:eastAsia="Arial" w:hAnsi="Arial"/>
          <w:sz w:val="19"/>
          <w:szCs w:val="19"/>
          <w:color w:val="auto"/>
        </w:rPr>
      </w:pPr>
    </w:p>
    <w:p>
      <w:pPr>
        <w:jc w:val="both"/>
        <w:ind w:left="1300" w:right="20" w:hanging="644"/>
        <w:spacing w:after="0" w:line="302" w:lineRule="auto"/>
        <w:tabs>
          <w:tab w:leader="none" w:pos="1300" w:val="left"/>
        </w:tabs>
        <w:numPr>
          <w:ilvl w:val="1"/>
          <w:numId w:val="54"/>
        </w:numPr>
        <w:rPr>
          <w:rFonts w:ascii="Arial" w:cs="Arial" w:eastAsia="Arial" w:hAnsi="Arial"/>
          <w:sz w:val="19"/>
          <w:szCs w:val="19"/>
          <w:color w:val="auto"/>
        </w:rPr>
      </w:pPr>
      <w:r>
        <w:rPr>
          <w:rFonts w:ascii="Arial" w:cs="Arial" w:eastAsia="Arial" w:hAnsi="Arial"/>
          <w:sz w:val="19"/>
          <w:szCs w:val="19"/>
          <w:u w:val="single" w:color="auto"/>
          <w:color w:val="auto"/>
        </w:rPr>
        <w:t>Between Threshold and Above Threshold</w:t>
      </w:r>
      <w:r>
        <w:rPr>
          <w:rFonts w:ascii="Arial" w:cs="Arial" w:eastAsia="Arial" w:hAnsi="Arial"/>
          <w:sz w:val="19"/>
          <w:szCs w:val="19"/>
          <w:color w:val="auto"/>
        </w:rPr>
        <w:t>. If, upon the conclusion of the Performance Period, RTSR for the Performance Period exceeds the “Threshold” level, but is less than the “Above Threshold” level, as set forth in the Performance Matrix, a percentage between 0% and 50% (determined on the basis of straight-line mathematical interpolation) of the Target PSUs (rounded down to the nearest whole number of PSUs) shall become nonforfeitable.</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11440"/>
          </w:cols>
          <w:pgMar w:left="240" w:top="631" w:right="219" w:bottom="1440" w:gutter="0" w:footer="0" w:header="0"/>
        </w:sectPr>
      </w:pPr>
    </w:p>
    <w:bookmarkStart w:id="68" w:name="page69"/>
    <w:bookmarkEnd w:id="68"/>
    <w:p>
      <w:pPr>
        <w:jc w:val="both"/>
        <w:ind w:left="1300" w:hanging="644"/>
        <w:spacing w:after="0" w:line="253" w:lineRule="auto"/>
        <w:tabs>
          <w:tab w:leader="none" w:pos="1300" w:val="left"/>
        </w:tabs>
        <w:numPr>
          <w:ilvl w:val="0"/>
          <w:numId w:val="55"/>
        </w:numPr>
        <w:rPr>
          <w:rFonts w:ascii="Arial" w:cs="Arial" w:eastAsia="Arial" w:hAnsi="Arial"/>
          <w:sz w:val="22"/>
          <w:szCs w:val="22"/>
          <w:color w:val="auto"/>
        </w:rPr>
      </w:pPr>
      <w:r>
        <w:rPr>
          <w:rFonts w:ascii="Arial" w:cs="Arial" w:eastAsia="Arial" w:hAnsi="Arial"/>
          <w:sz w:val="22"/>
          <w:szCs w:val="22"/>
          <w:u w:val="single" w:color="auto"/>
          <w:color w:val="auto"/>
        </w:rPr>
        <w:t>Above Threshold</w:t>
      </w:r>
      <w:r>
        <w:rPr>
          <w:rFonts w:ascii="Arial" w:cs="Arial" w:eastAsia="Arial" w:hAnsi="Arial"/>
          <w:sz w:val="22"/>
          <w:szCs w:val="22"/>
          <w:color w:val="auto"/>
        </w:rPr>
        <w:t>. If, upon the conclusion of the Performance Period, RTSR for the Performance Period equals the “Above Threshold” level, as set forth in the Performance Matrix, 50% of the Target PSUs (rounded down to the nearest whole number of PSUs) shall become nonforfeitable.</w:t>
      </w:r>
    </w:p>
    <w:p>
      <w:pPr>
        <w:spacing w:after="0" w:line="226" w:lineRule="exact"/>
        <w:rPr>
          <w:rFonts w:ascii="Arial" w:cs="Arial" w:eastAsia="Arial" w:hAnsi="Arial"/>
          <w:sz w:val="22"/>
          <w:szCs w:val="22"/>
          <w:color w:val="auto"/>
        </w:rPr>
      </w:pPr>
    </w:p>
    <w:p>
      <w:pPr>
        <w:jc w:val="both"/>
        <w:ind w:left="1300" w:hanging="644"/>
        <w:spacing w:after="0" w:line="302" w:lineRule="auto"/>
        <w:tabs>
          <w:tab w:leader="none" w:pos="1300" w:val="left"/>
        </w:tabs>
        <w:numPr>
          <w:ilvl w:val="0"/>
          <w:numId w:val="55"/>
        </w:numPr>
        <w:rPr>
          <w:rFonts w:ascii="Arial" w:cs="Arial" w:eastAsia="Arial" w:hAnsi="Arial"/>
          <w:sz w:val="19"/>
          <w:szCs w:val="19"/>
          <w:color w:val="auto"/>
        </w:rPr>
      </w:pPr>
      <w:r>
        <w:rPr>
          <w:rFonts w:ascii="Arial" w:cs="Arial" w:eastAsia="Arial" w:hAnsi="Arial"/>
          <w:sz w:val="19"/>
          <w:szCs w:val="19"/>
          <w:u w:val="single" w:color="auto"/>
          <w:color w:val="auto"/>
        </w:rPr>
        <w:t>Between Above Threshold and Target</w:t>
      </w:r>
      <w:r>
        <w:rPr>
          <w:rFonts w:ascii="Arial" w:cs="Arial" w:eastAsia="Arial" w:hAnsi="Arial"/>
          <w:sz w:val="19"/>
          <w:szCs w:val="19"/>
          <w:color w:val="auto"/>
        </w:rPr>
        <w:t>. If, upon the conclusion of the Performance Period, RTSR for the Performance Period exceeds the “Above Threshold” level, but is less than the “Target” level, as set forth in the Performance Matrix, a percentage between 50% and 100% (determined on the basis of straight-line mathematical interpolation) of the Target PSUs (rounded down to the nearest whole number of PSUs) shall become nonforfeitable.</w:t>
      </w:r>
    </w:p>
    <w:p>
      <w:pPr>
        <w:spacing w:after="0" w:line="183" w:lineRule="exact"/>
        <w:rPr>
          <w:rFonts w:ascii="Arial" w:cs="Arial" w:eastAsia="Arial" w:hAnsi="Arial"/>
          <w:sz w:val="19"/>
          <w:szCs w:val="19"/>
          <w:color w:val="auto"/>
        </w:rPr>
      </w:pPr>
    </w:p>
    <w:p>
      <w:pPr>
        <w:ind w:left="1300" w:hanging="644"/>
        <w:spacing w:after="0" w:line="287" w:lineRule="auto"/>
        <w:tabs>
          <w:tab w:leader="none" w:pos="1300" w:val="left"/>
        </w:tabs>
        <w:numPr>
          <w:ilvl w:val="0"/>
          <w:numId w:val="55"/>
        </w:numPr>
        <w:rPr>
          <w:rFonts w:ascii="Arial" w:cs="Arial" w:eastAsia="Arial" w:hAnsi="Arial"/>
          <w:sz w:val="21"/>
          <w:szCs w:val="21"/>
          <w:color w:val="auto"/>
        </w:rPr>
      </w:pPr>
      <w:r>
        <w:rPr>
          <w:rFonts w:ascii="Arial" w:cs="Arial" w:eastAsia="Arial" w:hAnsi="Arial"/>
          <w:sz w:val="21"/>
          <w:szCs w:val="21"/>
          <w:u w:val="single" w:color="auto"/>
          <w:color w:val="auto"/>
        </w:rPr>
        <w:t>Target</w:t>
      </w:r>
      <w:r>
        <w:rPr>
          <w:rFonts w:ascii="Arial" w:cs="Arial" w:eastAsia="Arial" w:hAnsi="Arial"/>
          <w:sz w:val="21"/>
          <w:szCs w:val="21"/>
          <w:color w:val="auto"/>
        </w:rPr>
        <w:t>. If, upon the conclusion of the Performance Period, RTSR for the Performance Period equals the “Target” level, as set forth in the Performance Matrix, 100% of the Target PSUs shall become nonforfeitable.</w:t>
      </w:r>
    </w:p>
    <w:p>
      <w:pPr>
        <w:spacing w:after="0" w:line="192" w:lineRule="exact"/>
        <w:rPr>
          <w:rFonts w:ascii="Arial" w:cs="Arial" w:eastAsia="Arial" w:hAnsi="Arial"/>
          <w:sz w:val="21"/>
          <w:szCs w:val="21"/>
          <w:color w:val="auto"/>
        </w:rPr>
      </w:pPr>
    </w:p>
    <w:p>
      <w:pPr>
        <w:jc w:val="both"/>
        <w:ind w:left="1300" w:hanging="644"/>
        <w:spacing w:after="0" w:line="302" w:lineRule="auto"/>
        <w:tabs>
          <w:tab w:leader="none" w:pos="1300" w:val="left"/>
        </w:tabs>
        <w:numPr>
          <w:ilvl w:val="0"/>
          <w:numId w:val="55"/>
        </w:numPr>
        <w:rPr>
          <w:rFonts w:ascii="Arial" w:cs="Arial" w:eastAsia="Arial" w:hAnsi="Arial"/>
          <w:sz w:val="19"/>
          <w:szCs w:val="19"/>
          <w:color w:val="auto"/>
        </w:rPr>
      </w:pPr>
      <w:r>
        <w:rPr>
          <w:rFonts w:ascii="Arial" w:cs="Arial" w:eastAsia="Arial" w:hAnsi="Arial"/>
          <w:sz w:val="19"/>
          <w:szCs w:val="19"/>
          <w:u w:val="single" w:color="auto"/>
          <w:color w:val="auto"/>
        </w:rPr>
        <w:t>Between Target and Intermediate</w:t>
      </w:r>
      <w:r>
        <w:rPr>
          <w:rFonts w:ascii="Arial" w:cs="Arial" w:eastAsia="Arial" w:hAnsi="Arial"/>
          <w:sz w:val="19"/>
          <w:szCs w:val="19"/>
          <w:color w:val="auto"/>
        </w:rPr>
        <w:t>. If, upon the conclusion of the Performance Period, RTSR for the Performance Period exceeds the “Target” level, but is less than the “Intermediate” level, as set forth in the Performance Matrix, a percentage between 100% and 150% (determined on the basis of straight-line mathematical interpolation) of the Target PSUs (rounded down to the nearest whole number of PSUs) shall become nonforfeitable.</w:t>
      </w:r>
    </w:p>
    <w:p>
      <w:pPr>
        <w:spacing w:after="0" w:line="183" w:lineRule="exact"/>
        <w:rPr>
          <w:rFonts w:ascii="Arial" w:cs="Arial" w:eastAsia="Arial" w:hAnsi="Arial"/>
          <w:sz w:val="19"/>
          <w:szCs w:val="19"/>
          <w:color w:val="auto"/>
        </w:rPr>
      </w:pPr>
    </w:p>
    <w:p>
      <w:pPr>
        <w:ind w:left="1300" w:hanging="644"/>
        <w:spacing w:after="0" w:line="343" w:lineRule="auto"/>
        <w:tabs>
          <w:tab w:leader="none" w:pos="1300" w:val="left"/>
        </w:tabs>
        <w:numPr>
          <w:ilvl w:val="0"/>
          <w:numId w:val="55"/>
        </w:numPr>
        <w:rPr>
          <w:rFonts w:ascii="Arial" w:cs="Arial" w:eastAsia="Arial" w:hAnsi="Arial"/>
          <w:sz w:val="19"/>
          <w:szCs w:val="19"/>
          <w:color w:val="auto"/>
        </w:rPr>
      </w:pPr>
      <w:r>
        <w:rPr>
          <w:rFonts w:ascii="Arial" w:cs="Arial" w:eastAsia="Arial" w:hAnsi="Arial"/>
          <w:sz w:val="19"/>
          <w:szCs w:val="19"/>
          <w:u w:val="single" w:color="auto"/>
          <w:color w:val="auto"/>
        </w:rPr>
        <w:t>Intermediate</w:t>
      </w:r>
      <w:r>
        <w:rPr>
          <w:rFonts w:ascii="Arial" w:cs="Arial" w:eastAsia="Arial" w:hAnsi="Arial"/>
          <w:sz w:val="19"/>
          <w:szCs w:val="19"/>
          <w:color w:val="auto"/>
        </w:rPr>
        <w:t>. If, upon the conclusion of the Performance Period, RTSR for the Performance Period equals the “Intermediate” level, as set forth in the Performance Matrix, 150% of the Target PSUs shall become nonforfeitable.</w:t>
      </w:r>
    </w:p>
    <w:p>
      <w:pPr>
        <w:spacing w:after="0" w:line="145" w:lineRule="exact"/>
        <w:rPr>
          <w:rFonts w:ascii="Arial" w:cs="Arial" w:eastAsia="Arial" w:hAnsi="Arial"/>
          <w:sz w:val="19"/>
          <w:szCs w:val="19"/>
          <w:color w:val="auto"/>
        </w:rPr>
      </w:pPr>
    </w:p>
    <w:p>
      <w:pPr>
        <w:ind w:left="1300" w:right="40" w:hanging="644"/>
        <w:spacing w:after="0" w:line="302" w:lineRule="auto"/>
        <w:tabs>
          <w:tab w:leader="none" w:pos="1300" w:val="left"/>
        </w:tabs>
        <w:numPr>
          <w:ilvl w:val="0"/>
          <w:numId w:val="55"/>
        </w:numPr>
        <w:rPr>
          <w:rFonts w:ascii="Arial" w:cs="Arial" w:eastAsia="Arial" w:hAnsi="Arial"/>
          <w:sz w:val="19"/>
          <w:szCs w:val="19"/>
          <w:color w:val="auto"/>
        </w:rPr>
      </w:pPr>
      <w:r>
        <w:rPr>
          <w:rFonts w:ascii="Arial" w:cs="Arial" w:eastAsia="Arial" w:hAnsi="Arial"/>
          <w:sz w:val="19"/>
          <w:szCs w:val="19"/>
          <w:u w:val="single" w:color="auto"/>
          <w:color w:val="auto"/>
        </w:rPr>
        <w:t>Between Intermediate and Maximum</w:t>
      </w:r>
      <w:r>
        <w:rPr>
          <w:rFonts w:ascii="Arial" w:cs="Arial" w:eastAsia="Arial" w:hAnsi="Arial"/>
          <w:sz w:val="19"/>
          <w:szCs w:val="19"/>
          <w:color w:val="auto"/>
        </w:rPr>
        <w:t>. If, upon the conclusion of the Performance Period, RTSR for the Performance Period exceeds the “Intermediate” level, but is less than the “Maximum” level, as set forth in the Performance Matrix, a percentage between 150% and 200% (determined on the basis of straight-line mathematical interpolation) of the Target PSUs (rounded down to the nearest whole number of PSUs) shall become nonforfeitable.</w:t>
      </w:r>
    </w:p>
    <w:p>
      <w:pPr>
        <w:spacing w:after="0" w:line="183" w:lineRule="exact"/>
        <w:rPr>
          <w:rFonts w:ascii="Arial" w:cs="Arial" w:eastAsia="Arial" w:hAnsi="Arial"/>
          <w:sz w:val="19"/>
          <w:szCs w:val="19"/>
          <w:color w:val="auto"/>
        </w:rPr>
      </w:pPr>
    </w:p>
    <w:p>
      <w:pPr>
        <w:jc w:val="both"/>
        <w:ind w:left="1300" w:hanging="644"/>
        <w:spacing w:after="0" w:line="253" w:lineRule="auto"/>
        <w:tabs>
          <w:tab w:leader="none" w:pos="1300" w:val="left"/>
        </w:tabs>
        <w:numPr>
          <w:ilvl w:val="0"/>
          <w:numId w:val="55"/>
        </w:numPr>
        <w:rPr>
          <w:rFonts w:ascii="Arial" w:cs="Arial" w:eastAsia="Arial" w:hAnsi="Arial"/>
          <w:sz w:val="22"/>
          <w:szCs w:val="22"/>
          <w:color w:val="auto"/>
        </w:rPr>
      </w:pPr>
      <w:r>
        <w:rPr>
          <w:rFonts w:ascii="Arial" w:cs="Arial" w:eastAsia="Arial" w:hAnsi="Arial"/>
          <w:sz w:val="22"/>
          <w:szCs w:val="22"/>
          <w:u w:val="single" w:color="auto"/>
          <w:color w:val="auto"/>
        </w:rPr>
        <w:t>Equals or Exceeds Maximum</w:t>
      </w:r>
      <w:r>
        <w:rPr>
          <w:rFonts w:ascii="Arial" w:cs="Arial" w:eastAsia="Arial" w:hAnsi="Arial"/>
          <w:sz w:val="22"/>
          <w:szCs w:val="22"/>
          <w:color w:val="auto"/>
        </w:rPr>
        <w:t>. If, upon the conclusion of the Performance Period, RTSR for the Performance Period equals or exceeds the “Maximum” level, as set forth in the Performance Matrix, 200% of the Target PSUs shall become nonforfeitable.</w:t>
      </w:r>
    </w:p>
    <w:p>
      <w:pPr>
        <w:spacing w:after="0" w:line="22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 xml:space="preserve">Before all or any portion of any award of PSUs intended to qualify as “qualified performance-based compensation” for purposes of Section 162(m) of the Code shall become nonforfeitable or paid in accordance with this </w:t>
      </w:r>
      <w:r>
        <w:rPr>
          <w:rFonts w:ascii="Arial" w:cs="Arial" w:eastAsia="Arial" w:hAnsi="Arial"/>
          <w:sz w:val="21"/>
          <w:szCs w:val="21"/>
          <w:u w:val="single" w:color="auto"/>
          <w:color w:val="auto"/>
        </w:rPr>
        <w:t>Appendix A</w:t>
      </w:r>
      <w:r>
        <w:rPr>
          <w:rFonts w:ascii="Arial" w:cs="Arial" w:eastAsia="Arial" w:hAnsi="Arial"/>
          <w:sz w:val="21"/>
          <w:szCs w:val="21"/>
          <w:color w:val="auto"/>
        </w:rPr>
        <w:t xml:space="preserve"> or the Agreement, the Committee shall determine in writing that the Performance Goal has been satisfied.</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iii</w:t>
      </w:r>
    </w:p>
    <w:p>
      <w:pPr>
        <w:sectPr>
          <w:pgSz w:w="11900" w:h="16838" w:orient="portrait"/>
          <w:cols w:equalWidth="0" w:num="1">
            <w:col w:w="11420"/>
          </w:cols>
          <w:pgMar w:left="240" w:top="631" w:right="239" w:bottom="1440" w:gutter="0" w:footer="0" w:header="0"/>
        </w:sectPr>
      </w:pPr>
    </w:p>
    <w:bookmarkStart w:id="69" w:name="page70"/>
    <w:bookmarkEnd w:id="69"/>
    <w:p>
      <w:pPr>
        <w:jc w:val="center"/>
        <w:ind w:right="20"/>
        <w:spacing w:after="0"/>
        <w:rPr>
          <w:sz w:val="20"/>
          <w:szCs w:val="20"/>
          <w:color w:val="auto"/>
        </w:rPr>
      </w:pPr>
      <w:r>
        <w:rPr>
          <w:rFonts w:ascii="Arial" w:cs="Arial" w:eastAsia="Arial" w:hAnsi="Arial"/>
          <w:sz w:val="22"/>
          <w:szCs w:val="22"/>
          <w:b w:val="1"/>
          <w:bCs w:val="1"/>
          <w:u w:val="single" w:color="auto"/>
          <w:color w:val="auto"/>
        </w:rPr>
        <w:t>ANNEX A</w:t>
      </w:r>
    </w:p>
    <w:p>
      <w:pPr>
        <w:spacing w:after="0" w:line="260"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Peer Group</w:t>
      </w:r>
    </w:p>
    <w:p>
      <w:pPr>
        <w:spacing w:after="0" w:line="153" w:lineRule="exact"/>
        <w:rPr>
          <w:sz w:val="20"/>
          <w:szCs w:val="20"/>
          <w:color w:val="auto"/>
        </w:rPr>
      </w:pPr>
    </w:p>
    <w:tbl>
      <w:tblPr>
        <w:tblLayout w:type="fixed"/>
        <w:tblInd w:w="10" w:type="dxa"/>
        <w:tblCellMar>
          <w:top w:w="0" w:type="dxa"/>
          <w:left w:w="0" w:type="dxa"/>
          <w:bottom w:w="0" w:type="dxa"/>
          <w:right w:w="0" w:type="dxa"/>
        </w:tblCellMar>
      </w:tblPr>
      <w:tr>
        <w:trPr>
          <w:trHeight w:val="254"/>
        </w:trPr>
        <w:tc>
          <w:tcPr>
            <w:tcW w:w="3000" w:type="dxa"/>
            <w:vAlign w:val="bottom"/>
            <w:tcBorders>
              <w:left w:val="single" w:sz="8" w:color="006EBF"/>
              <w:right w:val="single" w:sz="8" w:color="006EBF"/>
            </w:tcBorders>
            <w:shd w:val="clear" w:color="auto" w:fill="006EBF"/>
          </w:tcPr>
          <w:p>
            <w:pPr>
              <w:spacing w:after="0"/>
              <w:rPr>
                <w:sz w:val="22"/>
                <w:szCs w:val="22"/>
                <w:color w:val="auto"/>
              </w:rPr>
            </w:pPr>
          </w:p>
        </w:tc>
        <w:tc>
          <w:tcPr>
            <w:tcW w:w="7640" w:type="dxa"/>
            <w:vAlign w:val="bottom"/>
            <w:tcBorders>
              <w:right w:val="single" w:sz="8" w:color="006EBF"/>
            </w:tcBorders>
            <w:gridSpan w:val="4"/>
            <w:shd w:val="clear" w:color="auto" w:fill="006EBF"/>
          </w:tcPr>
          <w:p>
            <w:pPr>
              <w:ind w:left="580"/>
              <w:spacing w:after="0"/>
              <w:rPr>
                <w:sz w:val="20"/>
                <w:szCs w:val="20"/>
                <w:color w:val="auto"/>
              </w:rPr>
            </w:pPr>
            <w:r>
              <w:rPr>
                <w:rFonts w:ascii="Arial" w:cs="Arial" w:eastAsia="Arial" w:hAnsi="Arial"/>
                <w:sz w:val="18"/>
                <w:szCs w:val="18"/>
                <w:b w:val="1"/>
                <w:bCs w:val="1"/>
                <w:color w:val="FFFFFF"/>
              </w:rPr>
              <w:t>S&amp;P SmallCap 600 Industrials (End of December 2015)</w:t>
            </w:r>
          </w:p>
        </w:tc>
        <w:tc>
          <w:tcPr>
            <w:tcW w:w="800" w:type="dxa"/>
            <w:vAlign w:val="bottom"/>
            <w:tcBorders>
              <w:right w:val="single" w:sz="8" w:color="006EBF"/>
            </w:tcBorders>
            <w:shd w:val="clear" w:color="auto" w:fill="006EBF"/>
          </w:tcPr>
          <w:p>
            <w:pPr>
              <w:spacing w:after="0"/>
              <w:rPr>
                <w:sz w:val="22"/>
                <w:szCs w:val="22"/>
                <w:color w:val="auto"/>
              </w:rPr>
            </w:pPr>
          </w:p>
        </w:tc>
      </w:tr>
      <w:tr>
        <w:trPr>
          <w:trHeight w:val="291"/>
        </w:trPr>
        <w:tc>
          <w:tcPr>
            <w:tcW w:w="3000" w:type="dxa"/>
            <w:vAlign w:val="bottom"/>
            <w:tcBorders>
              <w:left w:val="single" w:sz="8" w:color="006EBF"/>
              <w:bottom w:val="single" w:sz="8" w:color="006EBF"/>
              <w:right w:val="single" w:sz="8" w:color="006EBF"/>
            </w:tcBorders>
            <w:shd w:val="clear" w:color="auto" w:fill="006EBF"/>
          </w:tcPr>
          <w:p>
            <w:pPr>
              <w:ind w:left="40"/>
              <w:spacing w:after="0"/>
              <w:rPr>
                <w:sz w:val="20"/>
                <w:szCs w:val="20"/>
                <w:color w:val="auto"/>
              </w:rPr>
            </w:pPr>
            <w:r>
              <w:rPr>
                <w:rFonts w:ascii="Arial" w:cs="Arial" w:eastAsia="Arial" w:hAnsi="Arial"/>
                <w:sz w:val="18"/>
                <w:szCs w:val="18"/>
                <w:b w:val="1"/>
                <w:bCs w:val="1"/>
                <w:color w:val="FFFFFF"/>
              </w:rPr>
              <w:t>Company Name</w:t>
            </w:r>
          </w:p>
        </w:tc>
        <w:tc>
          <w:tcPr>
            <w:tcW w:w="800" w:type="dxa"/>
            <w:vAlign w:val="bottom"/>
            <w:tcBorders>
              <w:bottom w:val="single" w:sz="8" w:color="006EBF"/>
              <w:right w:val="single" w:sz="8" w:color="006EBF"/>
            </w:tcBorders>
            <w:shd w:val="clear" w:color="auto" w:fill="006EBF"/>
          </w:tcPr>
          <w:p>
            <w:pPr>
              <w:jc w:val="center"/>
              <w:spacing w:after="0"/>
              <w:rPr>
                <w:sz w:val="20"/>
                <w:szCs w:val="20"/>
                <w:color w:val="auto"/>
              </w:rPr>
            </w:pPr>
            <w:r>
              <w:rPr>
                <w:rFonts w:ascii="Arial" w:cs="Arial" w:eastAsia="Arial" w:hAnsi="Arial"/>
                <w:sz w:val="18"/>
                <w:szCs w:val="18"/>
                <w:b w:val="1"/>
                <w:bCs w:val="1"/>
                <w:color w:val="FFFFFF"/>
                <w:w w:val="94"/>
              </w:rPr>
              <w:t>Ticker</w:t>
            </w:r>
          </w:p>
        </w:tc>
        <w:tc>
          <w:tcPr>
            <w:tcW w:w="2860" w:type="dxa"/>
            <w:vAlign w:val="bottom"/>
            <w:tcBorders>
              <w:bottom w:val="single" w:sz="8" w:color="006EBF"/>
              <w:right w:val="single" w:sz="8" w:color="006EBF"/>
            </w:tcBorders>
            <w:shd w:val="clear" w:color="auto" w:fill="006EBF"/>
          </w:tcPr>
          <w:p>
            <w:pPr>
              <w:ind w:left="20"/>
              <w:spacing w:after="0"/>
              <w:rPr>
                <w:sz w:val="20"/>
                <w:szCs w:val="20"/>
                <w:color w:val="auto"/>
              </w:rPr>
            </w:pPr>
            <w:r>
              <w:rPr>
                <w:rFonts w:ascii="Arial" w:cs="Arial" w:eastAsia="Arial" w:hAnsi="Arial"/>
                <w:sz w:val="18"/>
                <w:szCs w:val="18"/>
                <w:b w:val="1"/>
                <w:bCs w:val="1"/>
                <w:color w:val="FFFFFF"/>
              </w:rPr>
              <w:t>Company Name</w:t>
            </w:r>
          </w:p>
        </w:tc>
        <w:tc>
          <w:tcPr>
            <w:tcW w:w="800" w:type="dxa"/>
            <w:vAlign w:val="bottom"/>
            <w:tcBorders>
              <w:bottom w:val="single" w:sz="8" w:color="006EBF"/>
              <w:right w:val="single" w:sz="8" w:color="006EBF"/>
            </w:tcBorders>
            <w:shd w:val="clear" w:color="auto" w:fill="006EBF"/>
          </w:tcPr>
          <w:p>
            <w:pPr>
              <w:jc w:val="center"/>
              <w:spacing w:after="0"/>
              <w:rPr>
                <w:sz w:val="20"/>
                <w:szCs w:val="20"/>
                <w:color w:val="auto"/>
              </w:rPr>
            </w:pPr>
            <w:r>
              <w:rPr>
                <w:rFonts w:ascii="Arial" w:cs="Arial" w:eastAsia="Arial" w:hAnsi="Arial"/>
                <w:sz w:val="18"/>
                <w:szCs w:val="18"/>
                <w:b w:val="1"/>
                <w:bCs w:val="1"/>
                <w:color w:val="FFFFFF"/>
                <w:w w:val="97"/>
              </w:rPr>
              <w:t>Ticker</w:t>
            </w:r>
          </w:p>
        </w:tc>
        <w:tc>
          <w:tcPr>
            <w:tcW w:w="3180" w:type="dxa"/>
            <w:vAlign w:val="bottom"/>
            <w:tcBorders>
              <w:bottom w:val="single" w:sz="8" w:color="006EBF"/>
              <w:right w:val="single" w:sz="8" w:color="006EBF"/>
            </w:tcBorders>
            <w:shd w:val="clear" w:color="auto" w:fill="006EBF"/>
          </w:tcPr>
          <w:p>
            <w:pPr>
              <w:spacing w:after="0"/>
              <w:rPr>
                <w:sz w:val="20"/>
                <w:szCs w:val="20"/>
                <w:color w:val="auto"/>
              </w:rPr>
            </w:pPr>
            <w:r>
              <w:rPr>
                <w:rFonts w:ascii="Arial" w:cs="Arial" w:eastAsia="Arial" w:hAnsi="Arial"/>
                <w:sz w:val="18"/>
                <w:szCs w:val="18"/>
                <w:b w:val="1"/>
                <w:bCs w:val="1"/>
                <w:color w:val="FFFFFF"/>
              </w:rPr>
              <w:t>Company Name</w:t>
            </w:r>
          </w:p>
        </w:tc>
        <w:tc>
          <w:tcPr>
            <w:tcW w:w="800" w:type="dxa"/>
            <w:vAlign w:val="bottom"/>
            <w:tcBorders>
              <w:bottom w:val="single" w:sz="8" w:color="006EBF"/>
              <w:right w:val="single" w:sz="8" w:color="006EBF"/>
            </w:tcBorders>
            <w:shd w:val="clear" w:color="auto" w:fill="006EBF"/>
          </w:tcPr>
          <w:p>
            <w:pPr>
              <w:jc w:val="center"/>
              <w:spacing w:after="0"/>
              <w:rPr>
                <w:sz w:val="20"/>
                <w:szCs w:val="20"/>
                <w:color w:val="auto"/>
              </w:rPr>
            </w:pPr>
            <w:r>
              <w:rPr>
                <w:rFonts w:ascii="Arial" w:cs="Arial" w:eastAsia="Arial" w:hAnsi="Arial"/>
                <w:sz w:val="18"/>
                <w:szCs w:val="18"/>
                <w:b w:val="1"/>
                <w:bCs w:val="1"/>
                <w:color w:val="FFFFFF"/>
                <w:w w:val="97"/>
              </w:rPr>
              <w:t>Ticker</w:t>
            </w:r>
          </w:p>
        </w:tc>
      </w:tr>
      <w:tr>
        <w:trPr>
          <w:trHeight w:val="237"/>
        </w:trPr>
        <w:tc>
          <w:tcPr>
            <w:tcW w:w="30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AAON INC</w:t>
            </w:r>
          </w:p>
        </w:tc>
        <w:tc>
          <w:tcPr>
            <w:tcW w:w="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AAON</w:t>
            </w:r>
          </w:p>
        </w:tc>
        <w:tc>
          <w:tcPr>
            <w:tcW w:w="286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ENPRO INDUSTRIES INC</w:t>
            </w:r>
          </w:p>
        </w:tc>
        <w:tc>
          <w:tcPr>
            <w:tcW w:w="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NPO</w:t>
            </w:r>
          </w:p>
        </w:tc>
        <w:tc>
          <w:tcPr>
            <w:tcW w:w="31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ENGILITY HOLDINGS INC</w:t>
            </w:r>
          </w:p>
        </w:tc>
        <w:tc>
          <w:tcPr>
            <w:tcW w:w="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EGL</w:t>
            </w:r>
          </w:p>
        </w:tc>
      </w:tr>
      <w:tr>
        <w:trPr>
          <w:trHeight w:val="27"/>
        </w:trPr>
        <w:tc>
          <w:tcPr>
            <w:tcW w:w="3000" w:type="dxa"/>
            <w:vAlign w:val="bottom"/>
            <w:tcBorders>
              <w:left w:val="single" w:sz="8" w:color="auto"/>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r>
      <w:tr>
        <w:trPr>
          <w:trHeight w:val="237"/>
        </w:trPr>
        <w:tc>
          <w:tcPr>
            <w:tcW w:w="3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AAR CORP</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AIR</w:t>
            </w:r>
          </w:p>
        </w:tc>
        <w:tc>
          <w:tcPr>
            <w:tcW w:w="28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ESCO TECHNOLOGIES INC</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ESE</w:t>
            </w:r>
          </w:p>
        </w:tc>
        <w:tc>
          <w:tcPr>
            <w:tcW w:w="3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MYR GROUP INC</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MYRG</w:t>
            </w:r>
          </w:p>
        </w:tc>
      </w:tr>
      <w:tr>
        <w:trPr>
          <w:trHeight w:val="27"/>
        </w:trPr>
        <w:tc>
          <w:tcPr>
            <w:tcW w:w="3000" w:type="dxa"/>
            <w:vAlign w:val="bottom"/>
            <w:tcBorders>
              <w:left w:val="single" w:sz="8" w:color="auto"/>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r>
      <w:tr>
        <w:trPr>
          <w:trHeight w:val="237"/>
        </w:trPr>
        <w:tc>
          <w:tcPr>
            <w:tcW w:w="3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ABM INDUSTRIES INC</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ABM</w:t>
            </w:r>
          </w:p>
        </w:tc>
        <w:tc>
          <w:tcPr>
            <w:tcW w:w="28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ESSENDANT INC</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ESND</w:t>
            </w:r>
          </w:p>
        </w:tc>
        <w:tc>
          <w:tcPr>
            <w:tcW w:w="3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NATIONAL PRESTO INDS INC</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NPK</w:t>
            </w:r>
          </w:p>
        </w:tc>
      </w:tr>
      <w:tr>
        <w:trPr>
          <w:trHeight w:val="27"/>
        </w:trPr>
        <w:tc>
          <w:tcPr>
            <w:tcW w:w="3000" w:type="dxa"/>
            <w:vAlign w:val="bottom"/>
            <w:tcBorders>
              <w:left w:val="single" w:sz="8" w:color="auto"/>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r>
      <w:tr>
        <w:trPr>
          <w:trHeight w:val="237"/>
        </w:trPr>
        <w:tc>
          <w:tcPr>
            <w:tcW w:w="3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ACTUANT CORP -CL A</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ATU</w:t>
            </w:r>
          </w:p>
        </w:tc>
        <w:tc>
          <w:tcPr>
            <w:tcW w:w="28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EXPONENT INC</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EXPO</w:t>
            </w:r>
          </w:p>
        </w:tc>
        <w:tc>
          <w:tcPr>
            <w:tcW w:w="3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NAVIGANT CONSULTING INC</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NCI</w:t>
            </w:r>
          </w:p>
        </w:tc>
      </w:tr>
      <w:tr>
        <w:trPr>
          <w:trHeight w:val="27"/>
        </w:trPr>
        <w:tc>
          <w:tcPr>
            <w:tcW w:w="3000" w:type="dxa"/>
            <w:vAlign w:val="bottom"/>
            <w:tcBorders>
              <w:left w:val="single" w:sz="8" w:color="auto"/>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r>
      <w:tr>
        <w:trPr>
          <w:trHeight w:val="237"/>
        </w:trPr>
        <w:tc>
          <w:tcPr>
            <w:tcW w:w="3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AEGION CORP</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AEGN</w:t>
            </w:r>
          </w:p>
        </w:tc>
        <w:tc>
          <w:tcPr>
            <w:tcW w:w="28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FEDERAL SIGNAL CORP</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5"/>
              </w:rPr>
              <w:t>FSS</w:t>
            </w:r>
          </w:p>
        </w:tc>
        <w:tc>
          <w:tcPr>
            <w:tcW w:w="3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ON ASSIGNMENT INC</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ASGN</w:t>
            </w:r>
          </w:p>
        </w:tc>
      </w:tr>
      <w:tr>
        <w:trPr>
          <w:trHeight w:val="27"/>
        </w:trPr>
        <w:tc>
          <w:tcPr>
            <w:tcW w:w="3000" w:type="dxa"/>
            <w:vAlign w:val="bottom"/>
            <w:tcBorders>
              <w:left w:val="single" w:sz="8" w:color="auto"/>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r>
      <w:tr>
        <w:trPr>
          <w:trHeight w:val="222"/>
        </w:trPr>
        <w:tc>
          <w:tcPr>
            <w:tcW w:w="3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AEROJET ROCKETDYNE</w:t>
            </w:r>
          </w:p>
        </w:tc>
        <w:tc>
          <w:tcPr>
            <w:tcW w:w="800" w:type="dxa"/>
            <w:vAlign w:val="bottom"/>
            <w:tcBorders>
              <w:right w:val="single" w:sz="8" w:color="auto"/>
            </w:tcBorders>
          </w:tcPr>
          <w:p>
            <w:pPr>
              <w:spacing w:after="0"/>
              <w:rPr>
                <w:sz w:val="19"/>
                <w:szCs w:val="19"/>
                <w:color w:val="auto"/>
              </w:rPr>
            </w:pPr>
          </w:p>
        </w:tc>
        <w:tc>
          <w:tcPr>
            <w:tcW w:w="2860" w:type="dxa"/>
            <w:vAlign w:val="bottom"/>
            <w:tcBorders>
              <w:right w:val="single" w:sz="8" w:color="auto"/>
            </w:tcBorders>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3180" w:type="dxa"/>
            <w:vAlign w:val="bottom"/>
            <w:tcBorders>
              <w:right w:val="single" w:sz="8" w:color="auto"/>
            </w:tcBorders>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r>
      <w:tr>
        <w:trPr>
          <w:trHeight w:val="230"/>
        </w:trPr>
        <w:tc>
          <w:tcPr>
            <w:tcW w:w="3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HOLDINGS</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AJRD</w:t>
            </w:r>
          </w:p>
        </w:tc>
        <w:tc>
          <w:tcPr>
            <w:tcW w:w="28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FORWARD AIR CORP</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FWRD</w:t>
            </w:r>
          </w:p>
        </w:tc>
        <w:tc>
          <w:tcPr>
            <w:tcW w:w="3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ORION MARINE GROUP INC</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ORN</w:t>
            </w:r>
          </w:p>
        </w:tc>
      </w:tr>
      <w:tr>
        <w:trPr>
          <w:trHeight w:val="27"/>
        </w:trPr>
        <w:tc>
          <w:tcPr>
            <w:tcW w:w="3000" w:type="dxa"/>
            <w:vAlign w:val="bottom"/>
            <w:tcBorders>
              <w:left w:val="single" w:sz="8" w:color="auto"/>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r>
      <w:tr>
        <w:trPr>
          <w:trHeight w:val="237"/>
        </w:trPr>
        <w:tc>
          <w:tcPr>
            <w:tcW w:w="3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AEROVIRONMENT INC</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AVAV</w:t>
            </w:r>
          </w:p>
        </w:tc>
        <w:tc>
          <w:tcPr>
            <w:tcW w:w="28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FRANKLIN ELECTRIC CO INC</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FELE</w:t>
            </w:r>
          </w:p>
        </w:tc>
        <w:tc>
          <w:tcPr>
            <w:tcW w:w="3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PGT INC</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PGTI</w:t>
            </w:r>
          </w:p>
        </w:tc>
      </w:tr>
      <w:tr>
        <w:trPr>
          <w:trHeight w:val="27"/>
        </w:trPr>
        <w:tc>
          <w:tcPr>
            <w:tcW w:w="3000" w:type="dxa"/>
            <w:vAlign w:val="bottom"/>
            <w:tcBorders>
              <w:left w:val="single" w:sz="8" w:color="auto"/>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r>
      <w:tr>
        <w:trPr>
          <w:trHeight w:val="237"/>
        </w:trPr>
        <w:tc>
          <w:tcPr>
            <w:tcW w:w="3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ALBANY INTL CORP -CL A</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AIN</w:t>
            </w:r>
          </w:p>
        </w:tc>
        <w:tc>
          <w:tcPr>
            <w:tcW w:w="28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G&amp;K SERVICES INC -CL A</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GK</w:t>
            </w:r>
          </w:p>
        </w:tc>
        <w:tc>
          <w:tcPr>
            <w:tcW w:w="3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POWELL INDUSTRIES INC</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POWL</w:t>
            </w:r>
          </w:p>
        </w:tc>
      </w:tr>
      <w:tr>
        <w:trPr>
          <w:trHeight w:val="27"/>
        </w:trPr>
        <w:tc>
          <w:tcPr>
            <w:tcW w:w="3000" w:type="dxa"/>
            <w:vAlign w:val="bottom"/>
            <w:tcBorders>
              <w:left w:val="single" w:sz="8" w:color="auto"/>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r>
      <w:tr>
        <w:trPr>
          <w:trHeight w:val="237"/>
        </w:trPr>
        <w:tc>
          <w:tcPr>
            <w:tcW w:w="3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ALLEGIANT TRAVEL CO</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ALGT</w:t>
            </w:r>
          </w:p>
        </w:tc>
        <w:tc>
          <w:tcPr>
            <w:tcW w:w="28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GENERAL CABLE CORP/DE</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BGC</w:t>
            </w:r>
          </w:p>
        </w:tc>
        <w:tc>
          <w:tcPr>
            <w:tcW w:w="3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QUANEX BUILDING PRODUCTS</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NX</w:t>
            </w:r>
          </w:p>
        </w:tc>
      </w:tr>
      <w:tr>
        <w:trPr>
          <w:trHeight w:val="27"/>
        </w:trPr>
        <w:tc>
          <w:tcPr>
            <w:tcW w:w="3000" w:type="dxa"/>
            <w:vAlign w:val="bottom"/>
            <w:tcBorders>
              <w:left w:val="single" w:sz="8" w:color="auto"/>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r>
      <w:tr>
        <w:trPr>
          <w:trHeight w:val="222"/>
        </w:trPr>
        <w:tc>
          <w:tcPr>
            <w:tcW w:w="3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AMERICAN SCIENCE</w:t>
            </w:r>
          </w:p>
        </w:tc>
        <w:tc>
          <w:tcPr>
            <w:tcW w:w="800" w:type="dxa"/>
            <w:vAlign w:val="bottom"/>
            <w:tcBorders>
              <w:right w:val="single" w:sz="8" w:color="auto"/>
            </w:tcBorders>
          </w:tcPr>
          <w:p>
            <w:pPr>
              <w:spacing w:after="0"/>
              <w:rPr>
                <w:sz w:val="19"/>
                <w:szCs w:val="19"/>
                <w:color w:val="auto"/>
              </w:rPr>
            </w:pPr>
          </w:p>
        </w:tc>
        <w:tc>
          <w:tcPr>
            <w:tcW w:w="2860" w:type="dxa"/>
            <w:vAlign w:val="bottom"/>
            <w:tcBorders>
              <w:right w:val="single" w:sz="8" w:color="auto"/>
            </w:tcBorders>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3180" w:type="dxa"/>
            <w:vAlign w:val="bottom"/>
            <w:tcBorders>
              <w:right w:val="single" w:sz="8" w:color="auto"/>
            </w:tcBorders>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r>
      <w:tr>
        <w:trPr>
          <w:trHeight w:val="230"/>
        </w:trPr>
        <w:tc>
          <w:tcPr>
            <w:tcW w:w="3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ENGINEERING</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ASEI</w:t>
            </w:r>
          </w:p>
        </w:tc>
        <w:tc>
          <w:tcPr>
            <w:tcW w:w="28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GIBRALTAR INDUSTRIES INC</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ROCK</w:t>
            </w:r>
          </w:p>
        </w:tc>
        <w:tc>
          <w:tcPr>
            <w:tcW w:w="3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REPUBLIC AIRWAYS HLDGS INC</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RJET</w:t>
            </w:r>
          </w:p>
        </w:tc>
      </w:tr>
      <w:tr>
        <w:trPr>
          <w:trHeight w:val="27"/>
        </w:trPr>
        <w:tc>
          <w:tcPr>
            <w:tcW w:w="3000" w:type="dxa"/>
            <w:vAlign w:val="bottom"/>
            <w:tcBorders>
              <w:left w:val="single" w:sz="8" w:color="auto"/>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r>
      <w:tr>
        <w:trPr>
          <w:trHeight w:val="237"/>
        </w:trPr>
        <w:tc>
          <w:tcPr>
            <w:tcW w:w="3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AMERICAN WOODMARK CORP</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AMWD</w:t>
            </w:r>
          </w:p>
        </w:tc>
        <w:tc>
          <w:tcPr>
            <w:tcW w:w="28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GREENBRIER COMPANIES INC</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GBX</w:t>
            </w:r>
          </w:p>
        </w:tc>
        <w:tc>
          <w:tcPr>
            <w:tcW w:w="3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RESOURCES CONNECTION INC</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RECN</w:t>
            </w:r>
          </w:p>
        </w:tc>
      </w:tr>
      <w:tr>
        <w:trPr>
          <w:trHeight w:val="27"/>
        </w:trPr>
        <w:tc>
          <w:tcPr>
            <w:tcW w:w="3000" w:type="dxa"/>
            <w:vAlign w:val="bottom"/>
            <w:tcBorders>
              <w:left w:val="single" w:sz="8" w:color="auto"/>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r>
      <w:tr>
        <w:trPr>
          <w:trHeight w:val="237"/>
        </w:trPr>
        <w:tc>
          <w:tcPr>
            <w:tcW w:w="3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APOGEE ENTERPRISES INC</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APOG</w:t>
            </w:r>
          </w:p>
        </w:tc>
        <w:tc>
          <w:tcPr>
            <w:tcW w:w="28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GRIFFON CORP</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GFF</w:t>
            </w:r>
          </w:p>
        </w:tc>
        <w:tc>
          <w:tcPr>
            <w:tcW w:w="3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ROADRUNNER TRANS SVCS HLDGS</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RRTS</w:t>
            </w:r>
          </w:p>
        </w:tc>
      </w:tr>
      <w:tr>
        <w:trPr>
          <w:trHeight w:val="27"/>
        </w:trPr>
        <w:tc>
          <w:tcPr>
            <w:tcW w:w="3000" w:type="dxa"/>
            <w:vAlign w:val="bottom"/>
            <w:tcBorders>
              <w:left w:val="single" w:sz="8" w:color="auto"/>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r>
      <w:tr>
        <w:trPr>
          <w:trHeight w:val="237"/>
        </w:trPr>
        <w:tc>
          <w:tcPr>
            <w:tcW w:w="3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APPLIED INDUSTRIAL TECH INC</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AIT</w:t>
            </w:r>
          </w:p>
        </w:tc>
        <w:tc>
          <w:tcPr>
            <w:tcW w:w="28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HARSCO CORP</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HSC</w:t>
            </w:r>
          </w:p>
        </w:tc>
        <w:tc>
          <w:tcPr>
            <w:tcW w:w="3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SAIA INC</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SAIA</w:t>
            </w:r>
          </w:p>
        </w:tc>
      </w:tr>
      <w:tr>
        <w:trPr>
          <w:trHeight w:val="27"/>
        </w:trPr>
        <w:tc>
          <w:tcPr>
            <w:tcW w:w="3000" w:type="dxa"/>
            <w:vAlign w:val="bottom"/>
            <w:tcBorders>
              <w:left w:val="single" w:sz="8" w:color="auto"/>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r>
      <w:tr>
        <w:trPr>
          <w:trHeight w:val="237"/>
        </w:trPr>
        <w:tc>
          <w:tcPr>
            <w:tcW w:w="3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ARCBEST CORP</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ARCB</w:t>
            </w:r>
          </w:p>
        </w:tc>
        <w:tc>
          <w:tcPr>
            <w:tcW w:w="28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HAWAIIAN HOLDINGS INC</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HA</w:t>
            </w:r>
          </w:p>
        </w:tc>
        <w:tc>
          <w:tcPr>
            <w:tcW w:w="3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SIMPSON MANUFACTURING INC</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SSD</w:t>
            </w:r>
          </w:p>
        </w:tc>
      </w:tr>
      <w:tr>
        <w:trPr>
          <w:trHeight w:val="27"/>
        </w:trPr>
        <w:tc>
          <w:tcPr>
            <w:tcW w:w="3000" w:type="dxa"/>
            <w:vAlign w:val="bottom"/>
            <w:tcBorders>
              <w:left w:val="single" w:sz="8" w:color="auto"/>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r>
      <w:tr>
        <w:trPr>
          <w:trHeight w:val="237"/>
        </w:trPr>
        <w:tc>
          <w:tcPr>
            <w:tcW w:w="3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ASTEC INDUSTRIES INC</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ASTE</w:t>
            </w:r>
          </w:p>
        </w:tc>
        <w:tc>
          <w:tcPr>
            <w:tcW w:w="28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6"/>
              </w:rPr>
              <w:t>HEALTHCARE SERVICES GROUP</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HCSG</w:t>
            </w:r>
          </w:p>
        </w:tc>
        <w:tc>
          <w:tcPr>
            <w:tcW w:w="3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SKYWEST INC</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SKYW</w:t>
            </w:r>
          </w:p>
        </w:tc>
      </w:tr>
      <w:tr>
        <w:trPr>
          <w:trHeight w:val="27"/>
        </w:trPr>
        <w:tc>
          <w:tcPr>
            <w:tcW w:w="3000" w:type="dxa"/>
            <w:vAlign w:val="bottom"/>
            <w:tcBorders>
              <w:left w:val="single" w:sz="8" w:color="auto"/>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r>
      <w:tr>
        <w:trPr>
          <w:trHeight w:val="222"/>
        </w:trPr>
        <w:tc>
          <w:tcPr>
            <w:tcW w:w="3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ATLAS AIR WORLDWIDE HLDG</w:t>
            </w:r>
          </w:p>
        </w:tc>
        <w:tc>
          <w:tcPr>
            <w:tcW w:w="800" w:type="dxa"/>
            <w:vAlign w:val="bottom"/>
            <w:tcBorders>
              <w:right w:val="single" w:sz="8" w:color="auto"/>
            </w:tcBorders>
          </w:tcPr>
          <w:p>
            <w:pPr>
              <w:spacing w:after="0"/>
              <w:rPr>
                <w:sz w:val="19"/>
                <w:szCs w:val="19"/>
                <w:color w:val="auto"/>
              </w:rPr>
            </w:pPr>
          </w:p>
        </w:tc>
        <w:tc>
          <w:tcPr>
            <w:tcW w:w="2860" w:type="dxa"/>
            <w:vAlign w:val="bottom"/>
            <w:tcBorders>
              <w:right w:val="single" w:sz="8" w:color="auto"/>
            </w:tcBorders>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c>
          <w:tcPr>
            <w:tcW w:w="3180" w:type="dxa"/>
            <w:vAlign w:val="bottom"/>
            <w:tcBorders>
              <w:right w:val="single" w:sz="8" w:color="auto"/>
            </w:tcBorders>
          </w:tcPr>
          <w:p>
            <w:pPr>
              <w:spacing w:after="0"/>
              <w:rPr>
                <w:sz w:val="19"/>
                <w:szCs w:val="19"/>
                <w:color w:val="auto"/>
              </w:rPr>
            </w:pPr>
          </w:p>
        </w:tc>
        <w:tc>
          <w:tcPr>
            <w:tcW w:w="800" w:type="dxa"/>
            <w:vAlign w:val="bottom"/>
            <w:tcBorders>
              <w:right w:val="single" w:sz="8" w:color="auto"/>
            </w:tcBorders>
          </w:tcPr>
          <w:p>
            <w:pPr>
              <w:spacing w:after="0"/>
              <w:rPr>
                <w:sz w:val="19"/>
                <w:szCs w:val="19"/>
                <w:color w:val="auto"/>
              </w:rPr>
            </w:pPr>
          </w:p>
        </w:tc>
      </w:tr>
      <w:tr>
        <w:trPr>
          <w:trHeight w:val="230"/>
        </w:trPr>
        <w:tc>
          <w:tcPr>
            <w:tcW w:w="3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INC</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AAWW</w:t>
            </w:r>
          </w:p>
        </w:tc>
        <w:tc>
          <w:tcPr>
            <w:tcW w:w="28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HEARTLAND EXPRESS INC</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HTLD</w:t>
            </w:r>
          </w:p>
        </w:tc>
        <w:tc>
          <w:tcPr>
            <w:tcW w:w="3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SPX CORP</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SPXC</w:t>
            </w:r>
          </w:p>
        </w:tc>
      </w:tr>
      <w:tr>
        <w:trPr>
          <w:trHeight w:val="27"/>
        </w:trPr>
        <w:tc>
          <w:tcPr>
            <w:tcW w:w="3000" w:type="dxa"/>
            <w:vAlign w:val="bottom"/>
            <w:tcBorders>
              <w:left w:val="single" w:sz="8" w:color="auto"/>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r>
      <w:tr>
        <w:trPr>
          <w:trHeight w:val="237"/>
        </w:trPr>
        <w:tc>
          <w:tcPr>
            <w:tcW w:w="3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AZZ INC</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AZZ</w:t>
            </w:r>
          </w:p>
        </w:tc>
        <w:tc>
          <w:tcPr>
            <w:tcW w:w="28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HEIDRICK &amp; STRUGGLES INTL</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HSII</w:t>
            </w:r>
          </w:p>
        </w:tc>
        <w:tc>
          <w:tcPr>
            <w:tcW w:w="3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SPX FLOW INC</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FLOW</w:t>
            </w:r>
          </w:p>
        </w:tc>
      </w:tr>
      <w:tr>
        <w:trPr>
          <w:trHeight w:val="27"/>
        </w:trPr>
        <w:tc>
          <w:tcPr>
            <w:tcW w:w="3000" w:type="dxa"/>
            <w:vAlign w:val="bottom"/>
            <w:tcBorders>
              <w:left w:val="single" w:sz="8" w:color="auto"/>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r>
      <w:tr>
        <w:trPr>
          <w:trHeight w:val="237"/>
        </w:trPr>
        <w:tc>
          <w:tcPr>
            <w:tcW w:w="3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BARNES GROUP INC</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B</w:t>
            </w:r>
          </w:p>
        </w:tc>
        <w:tc>
          <w:tcPr>
            <w:tcW w:w="28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HILLENBRAND INC</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HI</w:t>
            </w:r>
          </w:p>
        </w:tc>
        <w:tc>
          <w:tcPr>
            <w:tcW w:w="3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STANDEX INTERNATIONAL CORP</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SXI</w:t>
            </w:r>
          </w:p>
        </w:tc>
      </w:tr>
      <w:tr>
        <w:trPr>
          <w:trHeight w:val="27"/>
        </w:trPr>
        <w:tc>
          <w:tcPr>
            <w:tcW w:w="3000" w:type="dxa"/>
            <w:vAlign w:val="bottom"/>
            <w:tcBorders>
              <w:left w:val="single" w:sz="8" w:color="auto"/>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r>
      <w:tr>
        <w:trPr>
          <w:trHeight w:val="237"/>
        </w:trPr>
        <w:tc>
          <w:tcPr>
            <w:tcW w:w="3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BRADY CORP</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BRC</w:t>
            </w:r>
          </w:p>
        </w:tc>
        <w:tc>
          <w:tcPr>
            <w:tcW w:w="28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HUB GROUP INC -CL A</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HUBG</w:t>
            </w:r>
          </w:p>
        </w:tc>
        <w:tc>
          <w:tcPr>
            <w:tcW w:w="3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TASER INTERNATIONAL INC</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TASR</w:t>
            </w:r>
          </w:p>
        </w:tc>
      </w:tr>
      <w:tr>
        <w:trPr>
          <w:trHeight w:val="27"/>
        </w:trPr>
        <w:tc>
          <w:tcPr>
            <w:tcW w:w="3000" w:type="dxa"/>
            <w:vAlign w:val="bottom"/>
            <w:tcBorders>
              <w:left w:val="single" w:sz="8" w:color="auto"/>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r>
      <w:tr>
        <w:trPr>
          <w:trHeight w:val="237"/>
        </w:trPr>
        <w:tc>
          <w:tcPr>
            <w:tcW w:w="3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BRIGGS &amp; STRATTON</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BGG</w:t>
            </w:r>
          </w:p>
        </w:tc>
        <w:tc>
          <w:tcPr>
            <w:tcW w:w="28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INSPERITY INC</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NSP</w:t>
            </w:r>
          </w:p>
        </w:tc>
        <w:tc>
          <w:tcPr>
            <w:tcW w:w="3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TENNANT CO</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TNC</w:t>
            </w:r>
          </w:p>
        </w:tc>
      </w:tr>
      <w:tr>
        <w:trPr>
          <w:trHeight w:val="27"/>
        </w:trPr>
        <w:tc>
          <w:tcPr>
            <w:tcW w:w="3000" w:type="dxa"/>
            <w:vAlign w:val="bottom"/>
            <w:tcBorders>
              <w:left w:val="single" w:sz="8" w:color="auto"/>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r>
      <w:tr>
        <w:trPr>
          <w:trHeight w:val="237"/>
        </w:trPr>
        <w:tc>
          <w:tcPr>
            <w:tcW w:w="3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BRINKS CO</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BCO</w:t>
            </w:r>
          </w:p>
        </w:tc>
        <w:tc>
          <w:tcPr>
            <w:tcW w:w="28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INTERFACE INC</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TILE</w:t>
            </w:r>
          </w:p>
        </w:tc>
        <w:tc>
          <w:tcPr>
            <w:tcW w:w="3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TETRA TECH INC</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TTEK</w:t>
            </w:r>
          </w:p>
        </w:tc>
      </w:tr>
      <w:tr>
        <w:trPr>
          <w:trHeight w:val="27"/>
        </w:trPr>
        <w:tc>
          <w:tcPr>
            <w:tcW w:w="3000" w:type="dxa"/>
            <w:vAlign w:val="bottom"/>
            <w:tcBorders>
              <w:left w:val="single" w:sz="8" w:color="auto"/>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r>
      <w:tr>
        <w:trPr>
          <w:trHeight w:val="237"/>
        </w:trPr>
        <w:tc>
          <w:tcPr>
            <w:tcW w:w="3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CDI CORP</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CDI</w:t>
            </w:r>
          </w:p>
        </w:tc>
        <w:tc>
          <w:tcPr>
            <w:tcW w:w="28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JOHN BEAN TECHNOLOGIES</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JBT</w:t>
            </w:r>
          </w:p>
        </w:tc>
        <w:tc>
          <w:tcPr>
            <w:tcW w:w="3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TITAN INTERNATIONAL INC</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TWI</w:t>
            </w:r>
          </w:p>
        </w:tc>
      </w:tr>
      <w:tr>
        <w:trPr>
          <w:trHeight w:val="27"/>
        </w:trPr>
        <w:tc>
          <w:tcPr>
            <w:tcW w:w="3000" w:type="dxa"/>
            <w:vAlign w:val="bottom"/>
            <w:tcBorders>
              <w:left w:val="single" w:sz="8" w:color="auto"/>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r>
      <w:tr>
        <w:trPr>
          <w:trHeight w:val="237"/>
        </w:trPr>
        <w:tc>
          <w:tcPr>
            <w:tcW w:w="3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CELADON GROUP INC</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CGI</w:t>
            </w:r>
          </w:p>
        </w:tc>
        <w:tc>
          <w:tcPr>
            <w:tcW w:w="28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KAMAN CORP</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KAMN</w:t>
            </w:r>
          </w:p>
        </w:tc>
        <w:tc>
          <w:tcPr>
            <w:tcW w:w="3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TRUEBLUE INC</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TBI</w:t>
            </w:r>
          </w:p>
        </w:tc>
      </w:tr>
      <w:tr>
        <w:trPr>
          <w:trHeight w:val="27"/>
        </w:trPr>
        <w:tc>
          <w:tcPr>
            <w:tcW w:w="3000" w:type="dxa"/>
            <w:vAlign w:val="bottom"/>
            <w:tcBorders>
              <w:left w:val="single" w:sz="8" w:color="auto"/>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r>
      <w:tr>
        <w:trPr>
          <w:trHeight w:val="237"/>
        </w:trPr>
        <w:tc>
          <w:tcPr>
            <w:tcW w:w="3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CHART INDUSTRIES INC</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GTLS</w:t>
            </w:r>
          </w:p>
        </w:tc>
        <w:tc>
          <w:tcPr>
            <w:tcW w:w="28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KELLY SERVICES INC -CL A</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KELYA</w:t>
            </w:r>
          </w:p>
        </w:tc>
        <w:tc>
          <w:tcPr>
            <w:tcW w:w="3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UNIFIRST CORP</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UNF</w:t>
            </w:r>
          </w:p>
        </w:tc>
      </w:tr>
      <w:tr>
        <w:trPr>
          <w:trHeight w:val="27"/>
        </w:trPr>
        <w:tc>
          <w:tcPr>
            <w:tcW w:w="3000" w:type="dxa"/>
            <w:vAlign w:val="bottom"/>
            <w:tcBorders>
              <w:left w:val="single" w:sz="8" w:color="auto"/>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r>
      <w:tr>
        <w:trPr>
          <w:trHeight w:val="237"/>
        </w:trPr>
        <w:tc>
          <w:tcPr>
            <w:tcW w:w="3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CIRCOR INTL INC</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CIR</w:t>
            </w:r>
          </w:p>
        </w:tc>
        <w:tc>
          <w:tcPr>
            <w:tcW w:w="28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KNIGHT TRANSPORTATION INC</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KNX</w:t>
            </w:r>
          </w:p>
        </w:tc>
        <w:tc>
          <w:tcPr>
            <w:tcW w:w="3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UNIVERSAL FOREST PRODS INC</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UFPI</w:t>
            </w:r>
          </w:p>
        </w:tc>
      </w:tr>
      <w:tr>
        <w:trPr>
          <w:trHeight w:val="27"/>
        </w:trPr>
        <w:tc>
          <w:tcPr>
            <w:tcW w:w="3000" w:type="dxa"/>
            <w:vAlign w:val="bottom"/>
            <w:tcBorders>
              <w:left w:val="single" w:sz="8" w:color="auto"/>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r>
      <w:tr>
        <w:trPr>
          <w:trHeight w:val="237"/>
        </w:trPr>
        <w:tc>
          <w:tcPr>
            <w:tcW w:w="3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COMFORT SYSTEMS USA INC</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FIX</w:t>
            </w:r>
          </w:p>
        </w:tc>
        <w:tc>
          <w:tcPr>
            <w:tcW w:w="28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KORN/FERRY INTERNATIONAL</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KFY</w:t>
            </w:r>
          </w:p>
        </w:tc>
        <w:tc>
          <w:tcPr>
            <w:tcW w:w="3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US ECOLOGY INC</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ECOL</w:t>
            </w:r>
          </w:p>
        </w:tc>
      </w:tr>
      <w:tr>
        <w:trPr>
          <w:trHeight w:val="27"/>
        </w:trPr>
        <w:tc>
          <w:tcPr>
            <w:tcW w:w="3000" w:type="dxa"/>
            <w:vAlign w:val="bottom"/>
            <w:tcBorders>
              <w:left w:val="single" w:sz="8" w:color="auto"/>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r>
      <w:tr>
        <w:trPr>
          <w:trHeight w:val="237"/>
        </w:trPr>
        <w:tc>
          <w:tcPr>
            <w:tcW w:w="3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CUBIC CORP</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CUB</w:t>
            </w:r>
          </w:p>
        </w:tc>
        <w:tc>
          <w:tcPr>
            <w:tcW w:w="28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LINDSAY CORP</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LNN</w:t>
            </w:r>
          </w:p>
        </w:tc>
        <w:tc>
          <w:tcPr>
            <w:tcW w:w="3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UTI WORLDWIDE INC</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UTIW</w:t>
            </w:r>
          </w:p>
        </w:tc>
      </w:tr>
      <w:tr>
        <w:trPr>
          <w:trHeight w:val="27"/>
        </w:trPr>
        <w:tc>
          <w:tcPr>
            <w:tcW w:w="3000" w:type="dxa"/>
            <w:vAlign w:val="bottom"/>
            <w:tcBorders>
              <w:left w:val="single" w:sz="8" w:color="auto"/>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r>
      <w:tr>
        <w:trPr>
          <w:trHeight w:val="237"/>
        </w:trPr>
        <w:tc>
          <w:tcPr>
            <w:tcW w:w="3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CURTISS-WRIGHT CORP</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CW</w:t>
            </w:r>
          </w:p>
        </w:tc>
        <w:tc>
          <w:tcPr>
            <w:tcW w:w="28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LYDALL INC</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LDL</w:t>
            </w:r>
          </w:p>
        </w:tc>
        <w:tc>
          <w:tcPr>
            <w:tcW w:w="3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VERITIV CORP</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VRTV</w:t>
            </w:r>
          </w:p>
        </w:tc>
      </w:tr>
      <w:tr>
        <w:trPr>
          <w:trHeight w:val="27"/>
        </w:trPr>
        <w:tc>
          <w:tcPr>
            <w:tcW w:w="3000" w:type="dxa"/>
            <w:vAlign w:val="bottom"/>
            <w:tcBorders>
              <w:left w:val="single" w:sz="8" w:color="auto"/>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r>
      <w:tr>
        <w:trPr>
          <w:trHeight w:val="237"/>
        </w:trPr>
        <w:tc>
          <w:tcPr>
            <w:tcW w:w="3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DXP ENTERPRISES INC</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DXPE</w:t>
            </w:r>
          </w:p>
        </w:tc>
        <w:tc>
          <w:tcPr>
            <w:tcW w:w="28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MARTEN TRANSPORT LTD</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MRTN</w:t>
            </w:r>
          </w:p>
        </w:tc>
        <w:tc>
          <w:tcPr>
            <w:tcW w:w="3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VIAD CORP</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VVI</w:t>
            </w:r>
          </w:p>
        </w:tc>
      </w:tr>
      <w:tr>
        <w:trPr>
          <w:trHeight w:val="27"/>
        </w:trPr>
        <w:tc>
          <w:tcPr>
            <w:tcW w:w="3000" w:type="dxa"/>
            <w:vAlign w:val="bottom"/>
            <w:tcBorders>
              <w:left w:val="single" w:sz="8" w:color="auto"/>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r>
      <w:tr>
        <w:trPr>
          <w:trHeight w:val="237"/>
        </w:trPr>
        <w:tc>
          <w:tcPr>
            <w:tcW w:w="3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DYCOM INDUSTRIES INC</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DY</w:t>
            </w:r>
          </w:p>
        </w:tc>
        <w:tc>
          <w:tcPr>
            <w:tcW w:w="28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MATSON INC</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MATX</w:t>
            </w:r>
          </w:p>
        </w:tc>
        <w:tc>
          <w:tcPr>
            <w:tcW w:w="3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VICOR CORP</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VICR</w:t>
            </w:r>
          </w:p>
        </w:tc>
      </w:tr>
      <w:tr>
        <w:trPr>
          <w:trHeight w:val="27"/>
        </w:trPr>
        <w:tc>
          <w:tcPr>
            <w:tcW w:w="3000" w:type="dxa"/>
            <w:vAlign w:val="bottom"/>
            <w:tcBorders>
              <w:left w:val="single" w:sz="8" w:color="auto"/>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r>
      <w:tr>
        <w:trPr>
          <w:trHeight w:val="237"/>
        </w:trPr>
        <w:tc>
          <w:tcPr>
            <w:tcW w:w="3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ECHO GLOBAL LOGISTICS INC</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ECHO</w:t>
            </w:r>
          </w:p>
        </w:tc>
        <w:tc>
          <w:tcPr>
            <w:tcW w:w="28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MATTHEWS INTL CORP -CL A</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MATW</w:t>
            </w:r>
          </w:p>
        </w:tc>
        <w:tc>
          <w:tcPr>
            <w:tcW w:w="3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WAGEWORKS INC</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WAGE</w:t>
            </w:r>
          </w:p>
        </w:tc>
      </w:tr>
      <w:tr>
        <w:trPr>
          <w:trHeight w:val="27"/>
        </w:trPr>
        <w:tc>
          <w:tcPr>
            <w:tcW w:w="3000" w:type="dxa"/>
            <w:vAlign w:val="bottom"/>
            <w:tcBorders>
              <w:left w:val="single" w:sz="8" w:color="auto"/>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r>
      <w:tr>
        <w:trPr>
          <w:trHeight w:val="237"/>
        </w:trPr>
        <w:tc>
          <w:tcPr>
            <w:tcW w:w="3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EMCOR GROUP INC</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EME</w:t>
            </w:r>
          </w:p>
        </w:tc>
        <w:tc>
          <w:tcPr>
            <w:tcW w:w="28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MOBILE MINI INC</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MINI</w:t>
            </w:r>
          </w:p>
        </w:tc>
        <w:tc>
          <w:tcPr>
            <w:tcW w:w="31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WATTS WATER TECHNOLOGIES INC</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WTS</w:t>
            </w:r>
          </w:p>
        </w:tc>
      </w:tr>
      <w:tr>
        <w:trPr>
          <w:trHeight w:val="27"/>
        </w:trPr>
        <w:tc>
          <w:tcPr>
            <w:tcW w:w="3000" w:type="dxa"/>
            <w:vAlign w:val="bottom"/>
            <w:tcBorders>
              <w:left w:val="single" w:sz="8" w:color="auto"/>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r>
      <w:tr>
        <w:trPr>
          <w:trHeight w:val="237"/>
        </w:trPr>
        <w:tc>
          <w:tcPr>
            <w:tcW w:w="3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ENCORE WIRE CORP</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WIRE</w:t>
            </w:r>
          </w:p>
        </w:tc>
        <w:tc>
          <w:tcPr>
            <w:tcW w:w="28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MOOG INC -CL A</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MOG.A</w:t>
            </w:r>
          </w:p>
        </w:tc>
        <w:tc>
          <w:tcPr>
            <w:tcW w:w="318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r>
      <w:tr>
        <w:trPr>
          <w:trHeight w:val="27"/>
        </w:trPr>
        <w:tc>
          <w:tcPr>
            <w:tcW w:w="3000" w:type="dxa"/>
            <w:vAlign w:val="bottom"/>
            <w:tcBorders>
              <w:left w:val="single" w:sz="8" w:color="auto"/>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r>
      <w:tr>
        <w:trPr>
          <w:trHeight w:val="237"/>
        </w:trPr>
        <w:tc>
          <w:tcPr>
            <w:tcW w:w="30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ENERSYS INC</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ENS</w:t>
            </w:r>
          </w:p>
        </w:tc>
        <w:tc>
          <w:tcPr>
            <w:tcW w:w="28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MUELLER INDUSTRIES</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MLI</w:t>
            </w:r>
          </w:p>
        </w:tc>
        <w:tc>
          <w:tcPr>
            <w:tcW w:w="318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r>
      <w:tr>
        <w:trPr>
          <w:trHeight w:val="27"/>
        </w:trPr>
        <w:tc>
          <w:tcPr>
            <w:tcW w:w="3000" w:type="dxa"/>
            <w:vAlign w:val="bottom"/>
            <w:tcBorders>
              <w:left w:val="single" w:sz="8" w:color="auto"/>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318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2270760</wp:posOffset>
            </wp:positionH>
            <wp:positionV relativeFrom="paragraph">
              <wp:posOffset>-6757035</wp:posOffset>
            </wp:positionV>
            <wp:extent cx="27146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714625" cy="889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iv</w:t>
      </w:r>
    </w:p>
    <w:p>
      <w:pPr>
        <w:sectPr>
          <w:pgSz w:w="11900" w:h="16838" w:orient="portrait"/>
          <w:cols w:equalWidth="0" w:num="1">
            <w:col w:w="11440"/>
          </w:cols>
          <w:pgMar w:left="240" w:top="625" w:right="219" w:bottom="1440" w:gutter="0" w:footer="0" w:header="0"/>
        </w:sectPr>
      </w:pPr>
    </w:p>
    <w:bookmarkStart w:id="70" w:name="page71"/>
    <w:bookmarkEnd w:id="70"/>
    <w:p>
      <w:pPr>
        <w:jc w:val="center"/>
        <w:ind w:right="-79"/>
        <w:spacing w:after="0"/>
        <w:rPr>
          <w:sz w:val="20"/>
          <w:szCs w:val="20"/>
          <w:color w:val="auto"/>
        </w:rPr>
      </w:pPr>
      <w:r>
        <w:rPr>
          <w:rFonts w:ascii="Arial" w:cs="Arial" w:eastAsia="Arial" w:hAnsi="Arial"/>
          <w:sz w:val="22"/>
          <w:szCs w:val="22"/>
          <w:b w:val="1"/>
          <w:bCs w:val="1"/>
          <w:color w:val="auto"/>
        </w:rPr>
        <w:t>APPENDIX B</w:t>
      </w:r>
    </w:p>
    <w:p>
      <w:pPr>
        <w:spacing w:after="0" w:line="28"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TO</w:t>
      </w:r>
    </w:p>
    <w:p>
      <w:pPr>
        <w:spacing w:after="0" w:line="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PERFORMANCE STOCK UNITS AGREEMENT</w:t>
      </w:r>
    </w:p>
    <w:p>
      <w:pPr>
        <w:spacing w:after="0" w:line="236"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GLOSSARY</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For purposes of this Agreement:</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Beneficial Owner</w:t>
      </w:r>
      <w:r>
        <w:rPr>
          <w:rFonts w:ascii="Arial" w:cs="Arial" w:eastAsia="Arial" w:hAnsi="Arial"/>
          <w:sz w:val="22"/>
          <w:szCs w:val="22"/>
          <w:color w:val="auto"/>
        </w:rPr>
        <w:t>” shall have the meaning set forth in Rule 13d-3 under the Exchange Act.</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A “</w:t>
      </w:r>
      <w:r>
        <w:rPr>
          <w:rFonts w:ascii="Arial" w:cs="Arial" w:eastAsia="Arial" w:hAnsi="Arial"/>
          <w:sz w:val="22"/>
          <w:szCs w:val="22"/>
          <w:b w:val="1"/>
          <w:bCs w:val="1"/>
          <w:color w:val="auto"/>
        </w:rPr>
        <w:t>Change of Control</w:t>
      </w:r>
      <w:r>
        <w:rPr>
          <w:rFonts w:ascii="Arial" w:cs="Arial" w:eastAsia="Arial" w:hAnsi="Arial"/>
          <w:sz w:val="22"/>
          <w:szCs w:val="22"/>
          <w:color w:val="auto"/>
        </w:rPr>
        <w:t>” shall be deemed to have occurred upon the first of the following events to occur:</w:t>
      </w:r>
    </w:p>
    <w:p>
      <w:pPr>
        <w:spacing w:after="0" w:line="266" w:lineRule="exact"/>
        <w:rPr>
          <w:sz w:val="20"/>
          <w:szCs w:val="20"/>
          <w:color w:val="auto"/>
        </w:rPr>
      </w:pPr>
    </w:p>
    <w:p>
      <w:pPr>
        <w:ind w:left="660" w:hanging="4"/>
        <w:spacing w:after="0" w:line="248" w:lineRule="auto"/>
        <w:tabs>
          <w:tab w:leader="none" w:pos="1080" w:val="left"/>
        </w:tabs>
        <w:numPr>
          <w:ilvl w:val="0"/>
          <w:numId w:val="56"/>
        </w:numPr>
        <w:rPr>
          <w:rFonts w:ascii="Arial" w:cs="Arial" w:eastAsia="Arial" w:hAnsi="Arial"/>
          <w:sz w:val="22"/>
          <w:szCs w:val="22"/>
          <w:color w:val="auto"/>
        </w:rPr>
      </w:pPr>
      <w:r>
        <w:rPr>
          <w:rFonts w:ascii="Arial" w:cs="Arial" w:eastAsia="Arial" w:hAnsi="Arial"/>
          <w:sz w:val="22"/>
          <w:szCs w:val="22"/>
          <w:color w:val="auto"/>
        </w:rPr>
        <w:t>any Person is or becomes the Beneficial Owner, directly or indirectly, of securities of the Corporation (not including in the securities beneficially owned by such Person any securities acquired directly from the Corporation or its Affiliates) representing 35% or more of the combined voting power of the Corporation’s then outstanding securities, excluding any Person who becomes such a Beneficial Owner in connection with a transaction described in clause (A) of paragraph (iii) below;</w:t>
      </w:r>
    </w:p>
    <w:p>
      <w:pPr>
        <w:spacing w:after="0" w:line="232" w:lineRule="exact"/>
        <w:rPr>
          <w:rFonts w:ascii="Arial" w:cs="Arial" w:eastAsia="Arial" w:hAnsi="Arial"/>
          <w:sz w:val="22"/>
          <w:szCs w:val="22"/>
          <w:color w:val="auto"/>
        </w:rPr>
      </w:pPr>
    </w:p>
    <w:p>
      <w:pPr>
        <w:ind w:left="660" w:right="20" w:hanging="4"/>
        <w:spacing w:after="0" w:line="288" w:lineRule="auto"/>
        <w:tabs>
          <w:tab w:leader="none" w:pos="1140" w:val="left"/>
        </w:tabs>
        <w:numPr>
          <w:ilvl w:val="0"/>
          <w:numId w:val="56"/>
        </w:numPr>
        <w:rPr>
          <w:rFonts w:ascii="Arial" w:cs="Arial" w:eastAsia="Arial" w:hAnsi="Arial"/>
          <w:sz w:val="19"/>
          <w:szCs w:val="19"/>
          <w:color w:val="auto"/>
        </w:rPr>
      </w:pPr>
      <w:r>
        <w:rPr>
          <w:rFonts w:ascii="Arial" w:cs="Arial" w:eastAsia="Arial" w:hAnsi="Arial"/>
          <w:sz w:val="19"/>
          <w:szCs w:val="19"/>
          <w:color w:val="auto"/>
        </w:rPr>
        <w:t>the following individuals cease for any reason to constitute a majority of the number of directors then serving on the Board: individuals who, on the date hereof, constitute the Board and any new director (other than a director whose initial assumption of office is in connection with an actual or threatened election contest, including but not limited to a consent solicitation, relating to the election of directors of the Corporation) whose appointment or election by the Board or nomination for election by the Corporation’s stockholders was approved or recommended by a vote of at least two-thirds (2/3) of the directors then still in office who either were directors on the date hereof or whose appointment, election or nomination for election was previously so approved or recommended (the “Incumbent Board”); provided, however, that no individual shall be considered a member of the Incumbent Board if such individual initially assumed office as a result of either an actual or threatened election contest (an “Election Contest”) or other actual or threatened solicitation of proxies or consents by or on behalf of a Person other than the Board (a “Proxy Contest”), including by reason of any agreement intended to avoid or settle any Election Contest or Proxy Contest;</w:t>
      </w:r>
    </w:p>
    <w:p>
      <w:pPr>
        <w:spacing w:after="0" w:line="195" w:lineRule="exact"/>
        <w:rPr>
          <w:rFonts w:ascii="Arial" w:cs="Arial" w:eastAsia="Arial" w:hAnsi="Arial"/>
          <w:sz w:val="19"/>
          <w:szCs w:val="19"/>
          <w:color w:val="auto"/>
        </w:rPr>
      </w:pPr>
    </w:p>
    <w:p>
      <w:pPr>
        <w:ind w:left="660" w:right="40" w:hanging="4"/>
        <w:spacing w:after="0" w:line="292" w:lineRule="auto"/>
        <w:tabs>
          <w:tab w:leader="none" w:pos="1200" w:val="left"/>
        </w:tabs>
        <w:numPr>
          <w:ilvl w:val="0"/>
          <w:numId w:val="56"/>
        </w:numPr>
        <w:rPr>
          <w:rFonts w:ascii="Arial" w:cs="Arial" w:eastAsia="Arial" w:hAnsi="Arial"/>
          <w:sz w:val="19"/>
          <w:szCs w:val="19"/>
          <w:color w:val="auto"/>
        </w:rPr>
      </w:pPr>
      <w:r>
        <w:rPr>
          <w:rFonts w:ascii="Arial" w:cs="Arial" w:eastAsia="Arial" w:hAnsi="Arial"/>
          <w:sz w:val="19"/>
          <w:szCs w:val="19"/>
          <w:color w:val="auto"/>
        </w:rPr>
        <w:t>there is consummated a merger, consolidation, wind-up, reorganization or restructuring of the Corporation with or into any other entity, or a similar event or series of such events, other than (A) any such event or series of events which results in (1) the voting securities of the Corporation outstanding immediately prior to such event or series of events continuing to represent (either by remaining outstanding or by being converted into voting securities of the surviving entity or any parent thereof), in combination with the ownership of any trustee or other fiduciary holding securities under an employee benefit plan of the Corporation or any subsidiary of the Corporation, at least 51% of the combined voting power of the securities of the Corporation or such surviving entity or</w:t>
      </w:r>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v</w:t>
      </w:r>
    </w:p>
    <w:p>
      <w:pPr>
        <w:sectPr>
          <w:pgSz w:w="11900" w:h="16838" w:orient="portrait"/>
          <w:cols w:equalWidth="0" w:num="1">
            <w:col w:w="11340"/>
          </w:cols>
          <w:pgMar w:left="240" w:top="625" w:right="319" w:bottom="1440" w:gutter="0" w:footer="0" w:header="0"/>
        </w:sectPr>
      </w:pPr>
    </w:p>
    <w:bookmarkStart w:id="71" w:name="page72"/>
    <w:bookmarkEnd w:id="71"/>
    <w:p>
      <w:pPr>
        <w:ind w:left="660" w:right="60"/>
        <w:spacing w:after="0" w:line="259" w:lineRule="auto"/>
        <w:rPr>
          <w:sz w:val="20"/>
          <w:szCs w:val="20"/>
          <w:color w:val="auto"/>
        </w:rPr>
      </w:pPr>
      <w:r>
        <w:rPr>
          <w:rFonts w:ascii="Arial" w:cs="Arial" w:eastAsia="Arial" w:hAnsi="Arial"/>
          <w:sz w:val="21"/>
          <w:szCs w:val="21"/>
          <w:color w:val="auto"/>
        </w:rPr>
        <w:t>any parent thereof outstanding immediately after such merger or consolidation and (2) the individuals who comprise the Board immediately prior thereto constituting immediately thereafter at least a majority of the board of directors of the Corporation, the entity surviving such merger or consolidation or, if the Corporation or the entity surviving such merger is then a subsidiary, the ultimate parent thereof, or (B) any such event or series of events effected to implement a recapitalization of the Corporation (or similar transaction) in which no Person is or becomes the Beneficial Owner, directly or indirectly, of securities of the Corporation (not including in the securities Beneficially Owned by such Person any securities acquired directly from the Corporation or its Affiliates) representing 35% or more of the combined voting power of the Corporation’s then outstanding securities; or</w:t>
      </w:r>
    </w:p>
    <w:p>
      <w:pPr>
        <w:spacing w:after="0" w:line="225" w:lineRule="exact"/>
        <w:rPr>
          <w:sz w:val="20"/>
          <w:szCs w:val="20"/>
          <w:color w:val="auto"/>
        </w:rPr>
      </w:pPr>
    </w:p>
    <w:p>
      <w:pPr>
        <w:ind w:left="660" w:hanging="4"/>
        <w:spacing w:after="0" w:line="284" w:lineRule="auto"/>
        <w:tabs>
          <w:tab w:leader="none" w:pos="1188" w:val="left"/>
        </w:tabs>
        <w:numPr>
          <w:ilvl w:val="0"/>
          <w:numId w:val="57"/>
        </w:numPr>
        <w:rPr>
          <w:rFonts w:ascii="Arial" w:cs="Arial" w:eastAsia="Arial" w:hAnsi="Arial"/>
          <w:sz w:val="19"/>
          <w:szCs w:val="19"/>
          <w:color w:val="auto"/>
        </w:rPr>
      </w:pPr>
      <w:r>
        <w:rPr>
          <w:rFonts w:ascii="Arial" w:cs="Arial" w:eastAsia="Arial" w:hAnsi="Arial"/>
          <w:sz w:val="19"/>
          <w:szCs w:val="19"/>
          <w:color w:val="auto"/>
        </w:rPr>
        <w:t>the stockholders of the Corporation approve a plan of complete liquidation or dissolution of the Corporation or there is consummated an agreement for the sale or disposition by the Corporation of all or substantially all of the Corporation’s assets (it being conclusively presumed that any sale or disposition is a sale or disposition by the Corporation of all or substantially all of its assets if the consummation of the sale or disposition is contingent upon approval by the Corporation’s stockholders unless the Board expressly determines in writing that such approval is required solely by reason of any relationship between the Corporation and any other Person or an Affiliate of the Corporation and any other Person), other than a sale or disposition by the Corporation of all or substantially all of the Corporation’s assets to an entity (A) at least 51% of the combined voting power of the voting securities of which are owned by stockholders of the Corporation in substantially the same proportions as their ownership of the Corporation immediately prior to such sale or disposition and</w:t>
      </w:r>
    </w:p>
    <w:p>
      <w:pPr>
        <w:ind w:left="660" w:right="360"/>
        <w:spacing w:after="0" w:line="246" w:lineRule="auto"/>
        <w:rPr>
          <w:rFonts w:ascii="Arial" w:cs="Arial" w:eastAsia="Arial" w:hAnsi="Arial"/>
          <w:sz w:val="19"/>
          <w:szCs w:val="19"/>
          <w:color w:val="auto"/>
        </w:rPr>
      </w:pPr>
      <w:r>
        <w:rPr>
          <w:rFonts w:ascii="Arial" w:cs="Arial" w:eastAsia="Arial" w:hAnsi="Arial"/>
          <w:sz w:val="22"/>
          <w:szCs w:val="22"/>
          <w:color w:val="auto"/>
        </w:rPr>
        <w:t>(B) the majority of whose board of directors immediately following such sale or disposition consists of individuals who comprise the Board immediately prior thereto.</w:t>
      </w:r>
    </w:p>
    <w:p>
      <w:pPr>
        <w:spacing w:after="0" w:line="233" w:lineRule="exact"/>
        <w:rPr>
          <w:sz w:val="20"/>
          <w:szCs w:val="20"/>
          <w:color w:val="auto"/>
        </w:rPr>
      </w:pPr>
    </w:p>
    <w:p>
      <w:pPr>
        <w:ind w:right="80"/>
        <w:spacing w:after="0" w:line="290" w:lineRule="auto"/>
        <w:rPr>
          <w:sz w:val="20"/>
          <w:szCs w:val="20"/>
          <w:color w:val="auto"/>
        </w:rPr>
      </w:pPr>
      <w:r>
        <w:rPr>
          <w:rFonts w:ascii="Arial" w:cs="Arial" w:eastAsia="Arial" w:hAnsi="Arial"/>
          <w:sz w:val="19"/>
          <w:szCs w:val="19"/>
          <w:color w:val="auto"/>
        </w:rPr>
        <w:t>Notwithstanding the foregoing, (A) a “Change of Control” shall not be deemed to have occurred by virtue of the consummation of any transaction or series of integrated transactions immediately following which the record holders of the common stock of the Corporation immediately prior to such transaction or series of transactions continue to have substantially the same proportionate ownership in an entity which owns all or substantially all of the assets of the Corporation immediately following such transaction or series of transactions and (B) if required to avoid accelerated taxation and/or tax penalties under Section 409A of the Code, a “Change of Control” shall be deemed to have occurred only if a “change in the ownership of the corporation,” a “change in effective control of the corporation” or a “change in the ownership of a substantial portion of the assets of the corporation,” within the meaning of Section 409A(a)(2)(A)(v) of the Code shall also be deemed to have occurred under Section 409A of the Code.</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Good Reason</w:t>
      </w:r>
      <w:r>
        <w:rPr>
          <w:rFonts w:ascii="Arial" w:cs="Arial" w:eastAsia="Arial" w:hAnsi="Arial"/>
          <w:sz w:val="22"/>
          <w:szCs w:val="22"/>
          <w:color w:val="auto"/>
        </w:rPr>
        <w:t>” means:</w:t>
      </w:r>
    </w:p>
    <w:p>
      <w:pPr>
        <w:spacing w:after="0" w:line="266" w:lineRule="exact"/>
        <w:rPr>
          <w:sz w:val="20"/>
          <w:szCs w:val="20"/>
          <w:color w:val="auto"/>
        </w:rPr>
      </w:pPr>
    </w:p>
    <w:p>
      <w:pPr>
        <w:ind w:left="1300" w:hanging="644"/>
        <w:spacing w:after="0"/>
        <w:tabs>
          <w:tab w:leader="none" w:pos="1300" w:val="left"/>
        </w:tabs>
        <w:numPr>
          <w:ilvl w:val="0"/>
          <w:numId w:val="58"/>
        </w:numPr>
        <w:rPr>
          <w:rFonts w:ascii="Arial" w:cs="Arial" w:eastAsia="Arial" w:hAnsi="Arial"/>
          <w:sz w:val="22"/>
          <w:szCs w:val="22"/>
          <w:color w:val="auto"/>
        </w:rPr>
      </w:pPr>
      <w:r>
        <w:rPr>
          <w:rFonts w:ascii="Arial" w:cs="Arial" w:eastAsia="Arial" w:hAnsi="Arial"/>
          <w:sz w:val="22"/>
          <w:szCs w:val="22"/>
          <w:color w:val="auto"/>
        </w:rPr>
        <w:t>A material and permanent diminution in Grantee’s duties or responsibilities;</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19" w:lineRule="exact"/>
        <w:rPr>
          <w:rFonts w:ascii="Arial" w:cs="Arial" w:eastAsia="Arial" w:hAnsi="Arial"/>
          <w:sz w:val="22"/>
          <w:szCs w:val="22"/>
          <w:color w:val="auto"/>
        </w:rPr>
      </w:pPr>
    </w:p>
    <w:p>
      <w:pPr>
        <w:ind w:left="5640"/>
        <w:spacing w:after="0"/>
        <w:rPr>
          <w:rFonts w:ascii="Arial" w:cs="Arial" w:eastAsia="Arial" w:hAnsi="Arial"/>
          <w:sz w:val="22"/>
          <w:szCs w:val="22"/>
          <w:color w:val="auto"/>
        </w:rPr>
      </w:pPr>
      <w:r>
        <w:rPr>
          <w:rFonts w:ascii="Arial" w:cs="Arial" w:eastAsia="Arial" w:hAnsi="Arial"/>
          <w:sz w:val="22"/>
          <w:szCs w:val="22"/>
          <w:color w:val="auto"/>
        </w:rPr>
        <w:t>vi</w:t>
      </w:r>
    </w:p>
    <w:p>
      <w:pPr>
        <w:sectPr>
          <w:pgSz w:w="11900" w:h="16838" w:orient="portrait"/>
          <w:cols w:equalWidth="0" w:num="1">
            <w:col w:w="11360"/>
          </w:cols>
          <w:pgMar w:left="240" w:top="631" w:right="299" w:bottom="1440" w:gutter="0" w:footer="0" w:header="0"/>
        </w:sectPr>
      </w:pPr>
    </w:p>
    <w:bookmarkStart w:id="72" w:name="page73"/>
    <w:bookmarkEnd w:id="72"/>
    <w:p>
      <w:pPr>
        <w:ind w:left="1300" w:hanging="644"/>
        <w:spacing w:after="0" w:line="263" w:lineRule="auto"/>
        <w:tabs>
          <w:tab w:leader="none" w:pos="1300" w:val="left"/>
        </w:tabs>
        <w:numPr>
          <w:ilvl w:val="0"/>
          <w:numId w:val="59"/>
        </w:numPr>
        <w:rPr>
          <w:rFonts w:ascii="Arial" w:cs="Arial" w:eastAsia="Arial" w:hAnsi="Arial"/>
          <w:sz w:val="22"/>
          <w:szCs w:val="22"/>
          <w:color w:val="auto"/>
        </w:rPr>
      </w:pPr>
      <w:r>
        <w:rPr>
          <w:rFonts w:ascii="Arial" w:cs="Arial" w:eastAsia="Arial" w:hAnsi="Arial"/>
          <w:sz w:val="22"/>
          <w:szCs w:val="22"/>
          <w:color w:val="auto"/>
        </w:rPr>
        <w:t>A material reduction in the aggregate value of base salary and bonus opportunity provided to Grantee by the Corporation; or</w:t>
      </w:r>
    </w:p>
    <w:p>
      <w:pPr>
        <w:spacing w:after="0" w:line="174" w:lineRule="exact"/>
        <w:rPr>
          <w:rFonts w:ascii="Arial" w:cs="Arial" w:eastAsia="Arial" w:hAnsi="Arial"/>
          <w:sz w:val="22"/>
          <w:szCs w:val="22"/>
          <w:color w:val="auto"/>
        </w:rPr>
      </w:pPr>
    </w:p>
    <w:p>
      <w:pPr>
        <w:ind w:left="1300" w:hanging="644"/>
        <w:spacing w:after="0"/>
        <w:tabs>
          <w:tab w:leader="none" w:pos="1300" w:val="left"/>
        </w:tabs>
        <w:numPr>
          <w:ilvl w:val="0"/>
          <w:numId w:val="59"/>
        </w:numPr>
        <w:rPr>
          <w:rFonts w:ascii="Arial" w:cs="Arial" w:eastAsia="Arial" w:hAnsi="Arial"/>
          <w:sz w:val="19"/>
          <w:szCs w:val="19"/>
          <w:color w:val="auto"/>
        </w:rPr>
      </w:pPr>
      <w:r>
        <w:rPr>
          <w:rFonts w:ascii="Arial" w:cs="Arial" w:eastAsia="Arial" w:hAnsi="Arial"/>
          <w:sz w:val="19"/>
          <w:szCs w:val="19"/>
          <w:color w:val="auto"/>
        </w:rPr>
        <w:t>A permanent reassignment of Grantee to another primary office more than 50 miles from the current office location.</w:t>
      </w:r>
    </w:p>
    <w:p>
      <w:pPr>
        <w:spacing w:after="0" w:line="254" w:lineRule="exact"/>
        <w:rPr>
          <w:sz w:val="20"/>
          <w:szCs w:val="20"/>
          <w:color w:val="auto"/>
        </w:rPr>
      </w:pPr>
    </w:p>
    <w:p>
      <w:pPr>
        <w:ind w:right="20"/>
        <w:spacing w:after="0" w:line="312" w:lineRule="auto"/>
        <w:rPr>
          <w:sz w:val="20"/>
          <w:szCs w:val="20"/>
          <w:color w:val="auto"/>
        </w:rPr>
      </w:pPr>
      <w:r>
        <w:rPr>
          <w:rFonts w:ascii="Arial" w:cs="Arial" w:eastAsia="Arial" w:hAnsi="Arial"/>
          <w:sz w:val="19"/>
          <w:szCs w:val="19"/>
          <w:color w:val="auto"/>
        </w:rPr>
        <w:t>Grantee must notify the Corporation of Grantee’s intention to invoke termination for Good Reason within 90 days after Grantee has knowledge of such event and provide the Corporation 30 days’ opportunity for cure, or such event shall not constitute Good Reason. Grantee may not invoke termination for Good Reason if Cause exists at the time of such termination.</w:t>
      </w:r>
    </w:p>
    <w:p>
      <w:pPr>
        <w:spacing w:after="0" w:line="168" w:lineRule="exact"/>
        <w:rPr>
          <w:sz w:val="20"/>
          <w:szCs w:val="20"/>
          <w:color w:val="auto"/>
        </w:rPr>
      </w:pPr>
    </w:p>
    <w:p>
      <w:pPr>
        <w:ind w:right="100"/>
        <w:spacing w:after="0" w:line="29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Person</w:t>
      </w:r>
      <w:r>
        <w:rPr>
          <w:rFonts w:ascii="Arial" w:cs="Arial" w:eastAsia="Arial" w:hAnsi="Arial"/>
          <w:sz w:val="19"/>
          <w:szCs w:val="19"/>
          <w:color w:val="auto"/>
        </w:rPr>
        <w:t>” shall have the meaning given in Section 3(a)(9) of the Exchange Act, as modified and used in Sections 13(d) and 14(d) thereof, except that such term shall not include (i) the Corporation or any of its subsidiaries, (ii) a trustee or other fiduciary holding securities under an employee benefit plan of the Corporation or any of its Affiliates, (iii) an underwriter temporarily holding securities pursuant to an offering of such securities, or (iv) a corporation owned, directly or indirectly, by the stockholders of the Corporation in substantially the same proportions as their ownership of stock of the Corporation.</w:t>
      </w:r>
    </w:p>
    <w:p>
      <w:pPr>
        <w:spacing w:after="0" w:line="18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“Qualifying Termination” </w:t>
      </w:r>
      <w:r>
        <w:rPr>
          <w:rFonts w:ascii="Arial" w:cs="Arial" w:eastAsia="Arial" w:hAnsi="Arial"/>
          <w:sz w:val="19"/>
          <w:szCs w:val="19"/>
          <w:color w:val="auto"/>
        </w:rPr>
        <w:t>means a termination of Grantee’s Service with the Corporation or a Subsidiary or an Affiliate of the</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color w:val="auto"/>
        </w:rPr>
        <w:t>Corporation for any reason other than:</w:t>
      </w:r>
    </w:p>
    <w:p>
      <w:pPr>
        <w:spacing w:after="0" w:line="242" w:lineRule="exact"/>
        <w:rPr>
          <w:sz w:val="20"/>
          <w:szCs w:val="20"/>
          <w:color w:val="auto"/>
        </w:rPr>
      </w:pPr>
    </w:p>
    <w:p>
      <w:pPr>
        <w:ind w:left="1080" w:hanging="424"/>
        <w:spacing w:after="0"/>
        <w:tabs>
          <w:tab w:leader="none" w:pos="1080" w:val="left"/>
        </w:tabs>
        <w:numPr>
          <w:ilvl w:val="0"/>
          <w:numId w:val="60"/>
        </w:numPr>
        <w:rPr>
          <w:rFonts w:ascii="Arial" w:cs="Arial" w:eastAsia="Arial" w:hAnsi="Arial"/>
          <w:sz w:val="22"/>
          <w:szCs w:val="22"/>
          <w:color w:val="auto"/>
        </w:rPr>
      </w:pPr>
      <w:r>
        <w:rPr>
          <w:rFonts w:ascii="Arial" w:cs="Arial" w:eastAsia="Arial" w:hAnsi="Arial"/>
          <w:sz w:val="22"/>
          <w:szCs w:val="22"/>
          <w:color w:val="auto"/>
        </w:rPr>
        <w:t>death;</w:t>
      </w:r>
    </w:p>
    <w:p>
      <w:pPr>
        <w:spacing w:after="0" w:line="219" w:lineRule="exact"/>
        <w:rPr>
          <w:rFonts w:ascii="Arial" w:cs="Arial" w:eastAsia="Arial" w:hAnsi="Arial"/>
          <w:sz w:val="22"/>
          <w:szCs w:val="22"/>
          <w:color w:val="auto"/>
        </w:rPr>
      </w:pPr>
    </w:p>
    <w:p>
      <w:pPr>
        <w:ind w:left="1140" w:hanging="484"/>
        <w:spacing w:after="0"/>
        <w:tabs>
          <w:tab w:leader="none" w:pos="1140" w:val="left"/>
        </w:tabs>
        <w:numPr>
          <w:ilvl w:val="0"/>
          <w:numId w:val="60"/>
        </w:numPr>
        <w:rPr>
          <w:rFonts w:ascii="Arial" w:cs="Arial" w:eastAsia="Arial" w:hAnsi="Arial"/>
          <w:sz w:val="22"/>
          <w:szCs w:val="22"/>
          <w:color w:val="auto"/>
        </w:rPr>
      </w:pPr>
      <w:r>
        <w:rPr>
          <w:rFonts w:ascii="Arial" w:cs="Arial" w:eastAsia="Arial" w:hAnsi="Arial"/>
          <w:sz w:val="22"/>
          <w:szCs w:val="22"/>
          <w:color w:val="auto"/>
        </w:rPr>
        <w:t>Disability;</w:t>
      </w:r>
    </w:p>
    <w:p>
      <w:pPr>
        <w:spacing w:after="0" w:line="219" w:lineRule="exact"/>
        <w:rPr>
          <w:rFonts w:ascii="Arial" w:cs="Arial" w:eastAsia="Arial" w:hAnsi="Arial"/>
          <w:sz w:val="22"/>
          <w:szCs w:val="22"/>
          <w:color w:val="auto"/>
        </w:rPr>
      </w:pPr>
    </w:p>
    <w:p>
      <w:pPr>
        <w:ind w:left="1200" w:hanging="544"/>
        <w:spacing w:after="0"/>
        <w:tabs>
          <w:tab w:leader="none" w:pos="1200" w:val="left"/>
        </w:tabs>
        <w:numPr>
          <w:ilvl w:val="0"/>
          <w:numId w:val="60"/>
        </w:numPr>
        <w:rPr>
          <w:rFonts w:ascii="Arial" w:cs="Arial" w:eastAsia="Arial" w:hAnsi="Arial"/>
          <w:sz w:val="22"/>
          <w:szCs w:val="22"/>
          <w:color w:val="auto"/>
        </w:rPr>
      </w:pPr>
      <w:r>
        <w:rPr>
          <w:rFonts w:ascii="Arial" w:cs="Arial" w:eastAsia="Arial" w:hAnsi="Arial"/>
          <w:sz w:val="22"/>
          <w:szCs w:val="22"/>
          <w:color w:val="auto"/>
        </w:rPr>
        <w:t>Cause; or</w:t>
      </w:r>
    </w:p>
    <w:p>
      <w:pPr>
        <w:spacing w:after="0" w:line="219" w:lineRule="exact"/>
        <w:rPr>
          <w:rFonts w:ascii="Arial" w:cs="Arial" w:eastAsia="Arial" w:hAnsi="Arial"/>
          <w:sz w:val="22"/>
          <w:szCs w:val="22"/>
          <w:color w:val="auto"/>
        </w:rPr>
      </w:pPr>
    </w:p>
    <w:p>
      <w:pPr>
        <w:ind w:left="1180" w:hanging="524"/>
        <w:spacing w:after="0"/>
        <w:tabs>
          <w:tab w:leader="none" w:pos="1180" w:val="left"/>
        </w:tabs>
        <w:numPr>
          <w:ilvl w:val="0"/>
          <w:numId w:val="60"/>
        </w:numPr>
        <w:rPr>
          <w:rFonts w:ascii="Arial" w:cs="Arial" w:eastAsia="Arial" w:hAnsi="Arial"/>
          <w:sz w:val="22"/>
          <w:szCs w:val="22"/>
          <w:color w:val="auto"/>
        </w:rPr>
      </w:pPr>
      <w:r>
        <w:rPr>
          <w:rFonts w:ascii="Arial" w:cs="Arial" w:eastAsia="Arial" w:hAnsi="Arial"/>
          <w:sz w:val="22"/>
          <w:szCs w:val="22"/>
          <w:color w:val="auto"/>
        </w:rPr>
        <w:t>a termination of Service by Grantee without Good Reason (as defined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vii</w:t>
      </w:r>
    </w:p>
    <w:p>
      <w:pPr>
        <w:sectPr>
          <w:pgSz w:w="11900" w:h="16838" w:orient="portrait"/>
          <w:cols w:equalWidth="0" w:num="1">
            <w:col w:w="11420"/>
          </w:cols>
          <w:pgMar w:left="240" w:top="631" w:right="239" w:bottom="1440" w:gutter="0" w:footer="0" w:header="0"/>
        </w:sectPr>
      </w:pPr>
    </w:p>
    <w:bookmarkStart w:id="73" w:name="page74"/>
    <w:bookmarkEnd w:id="73"/>
    <w:p>
      <w:pPr>
        <w:jc w:val="center"/>
        <w:spacing w:after="0"/>
        <w:rPr>
          <w:sz w:val="20"/>
          <w:szCs w:val="20"/>
          <w:color w:val="auto"/>
        </w:rPr>
      </w:pPr>
      <w:r>
        <w:rPr>
          <w:rFonts w:ascii="Arial" w:cs="Arial" w:eastAsia="Arial" w:hAnsi="Arial"/>
          <w:sz w:val="22"/>
          <w:szCs w:val="22"/>
          <w:b w:val="1"/>
          <w:bCs w:val="1"/>
          <w:color w:val="auto"/>
        </w:rPr>
        <w:t>APPENDIX 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PERFORMANCE STOCK UNIT AGREEMENT</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NON-U.S. ADDENDUM</w:t>
      </w:r>
    </w:p>
    <w:p>
      <w:pPr>
        <w:spacing w:after="0" w:line="260" w:lineRule="exact"/>
        <w:rPr>
          <w:sz w:val="20"/>
          <w:szCs w:val="20"/>
          <w:color w:val="auto"/>
        </w:rPr>
      </w:pPr>
    </w:p>
    <w:p>
      <w:pPr>
        <w:jc w:val="center"/>
        <w:ind w:left="260"/>
        <w:spacing w:after="0" w:line="269" w:lineRule="auto"/>
        <w:rPr>
          <w:sz w:val="20"/>
          <w:szCs w:val="20"/>
          <w:color w:val="auto"/>
        </w:rPr>
      </w:pPr>
      <w:r>
        <w:rPr>
          <w:rFonts w:ascii="Arial" w:cs="Arial" w:eastAsia="Arial" w:hAnsi="Arial"/>
          <w:sz w:val="22"/>
          <w:szCs w:val="22"/>
          <w:b w:val="1"/>
          <w:bCs w:val="1"/>
          <w:color w:val="auto"/>
        </w:rPr>
        <w:t>Additional Terms and Conditions for Equity Grants Under the TriMas Corporation 2011 Omnibus Incentive Compensation Plan, as amended</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January 2016</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Terms and Conditions</w:t>
      </w:r>
    </w:p>
    <w:p>
      <w:pPr>
        <w:spacing w:after="0" w:line="242"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This Addendum includes additional terms and conditions that govern the performance stock units (“</w:t>
      </w:r>
      <w:r>
        <w:rPr>
          <w:rFonts w:ascii="Arial" w:cs="Arial" w:eastAsia="Arial" w:hAnsi="Arial"/>
          <w:sz w:val="21"/>
          <w:szCs w:val="21"/>
          <w:u w:val="single" w:color="auto"/>
          <w:color w:val="auto"/>
        </w:rPr>
        <w:t>PSUs</w:t>
      </w:r>
      <w:r>
        <w:rPr>
          <w:rFonts w:ascii="Arial" w:cs="Arial" w:eastAsia="Arial" w:hAnsi="Arial"/>
          <w:sz w:val="21"/>
          <w:szCs w:val="21"/>
          <w:color w:val="auto"/>
        </w:rPr>
        <w:t>”) granted to you under the TriMas Corporation 2011 Omnibus Incentive Compensation Plan, as amended (referred to as the “</w:t>
      </w:r>
      <w:r>
        <w:rPr>
          <w:rFonts w:ascii="Arial" w:cs="Arial" w:eastAsia="Arial" w:hAnsi="Arial"/>
          <w:sz w:val="21"/>
          <w:szCs w:val="21"/>
          <w:u w:val="single" w:color="auto"/>
          <w:color w:val="auto"/>
        </w:rPr>
        <w:t>Plan</w:t>
      </w:r>
      <w:r>
        <w:rPr>
          <w:rFonts w:ascii="Arial" w:cs="Arial" w:eastAsia="Arial" w:hAnsi="Arial"/>
          <w:sz w:val="21"/>
          <w:szCs w:val="21"/>
          <w:color w:val="auto"/>
        </w:rPr>
        <w:t>”) if you reside in one of the countries listed below. Certain capitalized terms used but not defined in this Addendum have the meanings set forth in the Plan and/or your award agreement (the “</w:t>
      </w:r>
      <w:r>
        <w:rPr>
          <w:rFonts w:ascii="Arial" w:cs="Arial" w:eastAsia="Arial" w:hAnsi="Arial"/>
          <w:sz w:val="21"/>
          <w:szCs w:val="21"/>
          <w:u w:val="single" w:color="auto"/>
          <w:color w:val="auto"/>
        </w:rPr>
        <w:t>Agreement</w:t>
      </w:r>
      <w:r>
        <w:rPr>
          <w:rFonts w:ascii="Arial" w:cs="Arial" w:eastAsia="Arial" w:hAnsi="Arial"/>
          <w:sz w:val="21"/>
          <w:szCs w:val="21"/>
          <w:color w:val="auto"/>
        </w:rPr>
        <w:t>”) that relates to your award. By accepting your award, you agree to be bound by the terms and conditions contained in the paragraphs below in addition to the terms of the Plan, the Agreement, and the terms of any other document that may apply to you and your award.</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Notifications</w:t>
      </w:r>
    </w:p>
    <w:p>
      <w:pPr>
        <w:spacing w:after="0" w:line="266"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This Addendum also includes information regarding exchange controls and certain other issues of which you should be aware with respect to participation in the Plan. The information is based on the securities, exchange control, and other laws in effect in the respective countries as of January 2016. Such laws are often complex and change frequently. As a result, it is strongly recommended that you not rely on the information in this Addendum as the only source of information relating to the consequences of your participation in the Plan because the information may be out of date at the time you vest in your PSUs or sell shares acquired under the Plan.</w:t>
      </w:r>
    </w:p>
    <w:p>
      <w:pPr>
        <w:spacing w:after="0" w:line="234"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In addition, the information contained herein is general in nature and may not apply to your particular situation, and TriMas Corporation (the “</w:t>
      </w:r>
      <w:r>
        <w:rPr>
          <w:rFonts w:ascii="Arial" w:cs="Arial" w:eastAsia="Arial" w:hAnsi="Arial"/>
          <w:sz w:val="21"/>
          <w:szCs w:val="21"/>
          <w:u w:val="single" w:color="auto"/>
          <w:color w:val="auto"/>
        </w:rPr>
        <w:t>Corporation</w:t>
      </w:r>
      <w:r>
        <w:rPr>
          <w:rFonts w:ascii="Arial" w:cs="Arial" w:eastAsia="Arial" w:hAnsi="Arial"/>
          <w:sz w:val="21"/>
          <w:szCs w:val="21"/>
          <w:color w:val="auto"/>
        </w:rPr>
        <w:t>”) is not in a position to assure you of a particular result. Accordingly, you are advised to seek appropriate professional advice as to how the relevant laws in your country may apply to your situation.</w:t>
      </w:r>
    </w:p>
    <w:p>
      <w:pPr>
        <w:spacing w:after="0" w:line="208"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Finally, if you are a citizen or resident of a country other than the one in which you are currently working, transferred employment after the PSUs were granted to you, or are considered a resident of another country for local law purposes, the information contained herein may not apply.</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COUNTRY-SPECIFIC LANGUAGE</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color w:val="auto"/>
        </w:rPr>
        <w:t>Below please find country specific language that applies to Grantees in the following countries: the United Kingdom.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viii</w:t>
      </w:r>
    </w:p>
    <w:p>
      <w:pPr>
        <w:sectPr>
          <w:pgSz w:w="11900" w:h="16838" w:orient="portrait"/>
          <w:cols w:equalWidth="0" w:num="1">
            <w:col w:w="11420"/>
          </w:cols>
          <w:pgMar w:left="240" w:top="625" w:right="239" w:bottom="1440" w:gutter="0" w:footer="0" w:header="0"/>
        </w:sectPr>
      </w:pPr>
    </w:p>
    <w:bookmarkStart w:id="74" w:name="page75"/>
    <w:bookmarkEnd w:id="74"/>
    <w:p>
      <w:pPr>
        <w:jc w:val="center"/>
        <w:spacing w:after="0"/>
        <w:rPr>
          <w:sz w:val="20"/>
          <w:szCs w:val="20"/>
          <w:color w:val="auto"/>
        </w:rPr>
      </w:pPr>
      <w:r>
        <w:rPr>
          <w:rFonts w:ascii="Arial" w:cs="Arial" w:eastAsia="Arial" w:hAnsi="Arial"/>
          <w:sz w:val="22"/>
          <w:szCs w:val="22"/>
          <w:b w:val="1"/>
          <w:bCs w:val="1"/>
          <w:i w:val="1"/>
          <w:iCs w:val="1"/>
          <w:u w:val="single" w:color="auto"/>
          <w:color w:val="auto"/>
        </w:rPr>
        <w:t>UNITED KINGDOM</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Terms and Conditions</w:t>
      </w:r>
    </w:p>
    <w:p>
      <w:pPr>
        <w:spacing w:after="0" w:line="260" w:lineRule="exact"/>
        <w:rPr>
          <w:sz w:val="20"/>
          <w:szCs w:val="20"/>
          <w:color w:val="auto"/>
        </w:rPr>
      </w:pPr>
    </w:p>
    <w:p>
      <w:pPr>
        <w:jc w:val="both"/>
        <w:spacing w:after="0" w:line="315" w:lineRule="auto"/>
        <w:rPr>
          <w:sz w:val="20"/>
          <w:szCs w:val="20"/>
          <w:color w:val="auto"/>
        </w:rPr>
      </w:pPr>
      <w:r>
        <w:rPr>
          <w:rFonts w:ascii="Arial" w:cs="Arial" w:eastAsia="Arial" w:hAnsi="Arial"/>
          <w:sz w:val="19"/>
          <w:szCs w:val="19"/>
          <w:b w:val="1"/>
          <w:bCs w:val="1"/>
          <w:color w:val="auto"/>
        </w:rPr>
        <w:t xml:space="preserve">Retirement. </w:t>
      </w:r>
      <w:r>
        <w:rPr>
          <w:rFonts w:ascii="Arial" w:cs="Arial" w:eastAsia="Arial" w:hAnsi="Arial"/>
          <w:sz w:val="19"/>
          <w:szCs w:val="19"/>
          <w:color w:val="auto"/>
        </w:rPr>
        <w:t>For purposes of the Agreement, “Retirement” shall mean the termination of Grantee’s services with the Corporation or</w:t>
      </w:r>
      <w:r>
        <w:rPr>
          <w:rFonts w:ascii="Arial" w:cs="Arial" w:eastAsia="Arial" w:hAnsi="Arial"/>
          <w:sz w:val="19"/>
          <w:szCs w:val="19"/>
          <w:b w:val="1"/>
          <w:bCs w:val="1"/>
          <w:color w:val="auto"/>
        </w:rPr>
        <w:t xml:space="preserve"> </w:t>
      </w:r>
      <w:r>
        <w:rPr>
          <w:rFonts w:ascii="Arial" w:cs="Arial" w:eastAsia="Arial" w:hAnsi="Arial"/>
          <w:sz w:val="19"/>
          <w:szCs w:val="19"/>
          <w:color w:val="auto"/>
        </w:rPr>
        <w:t>a Subsidiary or an Affiliate in circumstances determined by the Committee (in its reasonable discretion, provided that, for the avoidance of doubt, the Committee shall not be obliged to exercise its discretion in favor of the Grantee) to be retirement.</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Dividend Equivalent Rights</w:t>
      </w:r>
      <w:r>
        <w:rPr>
          <w:rFonts w:ascii="Arial" w:cs="Arial" w:eastAsia="Arial" w:hAnsi="Arial"/>
          <w:sz w:val="22"/>
          <w:szCs w:val="22"/>
          <w:color w:val="auto"/>
        </w:rPr>
        <w:t>. Section II.A.3 of the Agreement is hereby amended in its entirety to read as follows:</w:t>
      </w:r>
    </w:p>
    <w:p>
      <w:pPr>
        <w:spacing w:after="0" w:line="266" w:lineRule="exact"/>
        <w:rPr>
          <w:sz w:val="20"/>
          <w:szCs w:val="20"/>
          <w:color w:val="auto"/>
        </w:rPr>
      </w:pPr>
    </w:p>
    <w:p>
      <w:pPr>
        <w:jc w:val="both"/>
        <w:spacing w:after="0" w:line="286" w:lineRule="auto"/>
        <w:rPr>
          <w:sz w:val="20"/>
          <w:szCs w:val="20"/>
          <w:color w:val="auto"/>
        </w:rPr>
      </w:pPr>
      <w:r>
        <w:rPr>
          <w:rFonts w:ascii="Arial" w:cs="Arial" w:eastAsia="Arial" w:hAnsi="Arial"/>
          <w:sz w:val="19"/>
          <w:szCs w:val="19"/>
          <w:color w:val="auto"/>
        </w:rPr>
        <w:t>From and after the Grant Date and until the earlier of (a) the time when the Restricted Stock Units vest and are settled in accordance with Section II.A.2 hereof or (b) the time when Grantee’s rights to the Restricted Stock Units are forfeited in accordance with Section II.A.1(b) hereof, on the date that the Corporation pays a cash dividend (if any) to holders of Common Stock generally, Grantee shall be notionally credited with cash per Restricted Stock Unit equal to the amount of such dividend. Any amounts notionally credited pursuant to the immediately preceding sentence shall be subject to the same applicable terms and conditions (including vesting, payment or forfeitability) as apply to the Restricted Stock Units based on which the dividend equivalents were notionally credited, and such amounts shall be paid in either cash or Common Stock, as determined by the Administrator in its sole discretion, at the same time as the Restricted Stock Units to which they relate. If such amounts are paid in Common Stock, the number of shares so paid shall be rounded down to the nearest whole number and shall be determined by dividing such credited amounts by the Fair Market Value per share of Common Stock on the payment date. Notwithstanding the foregoing provisions of this Section II.A.3, Grantee shall not be entitled to the cash notionally credited at any time to the Restricted Stock Units (or the Common Stock representing the same, as the case may be) either legally or beneficially unless and until Grantee becomes entitled to receive the actual Common Stock in respect of the Award pursuant to Section II.A.2 of this Agreement.</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Non-Transferability of Award</w:t>
      </w:r>
      <w:r>
        <w:rPr>
          <w:rFonts w:ascii="Arial" w:cs="Arial" w:eastAsia="Arial" w:hAnsi="Arial"/>
          <w:sz w:val="22"/>
          <w:szCs w:val="22"/>
          <w:color w:val="auto"/>
        </w:rPr>
        <w:t>. Section II.B.1 of the Agreement is hereby amended in its entirety to read as follows:</w:t>
      </w:r>
    </w:p>
    <w:p>
      <w:pPr>
        <w:spacing w:after="0" w:line="266" w:lineRule="exact"/>
        <w:rPr>
          <w:sz w:val="20"/>
          <w:szCs w:val="20"/>
          <w:color w:val="auto"/>
        </w:rPr>
      </w:pPr>
    </w:p>
    <w:p>
      <w:pPr>
        <w:jc w:val="both"/>
        <w:ind w:left="660" w:firstLine="648"/>
        <w:spacing w:after="0" w:line="297" w:lineRule="auto"/>
        <w:rPr>
          <w:sz w:val="20"/>
          <w:szCs w:val="20"/>
          <w:color w:val="auto"/>
        </w:rPr>
      </w:pPr>
      <w:r>
        <w:rPr>
          <w:rFonts w:ascii="Arial" w:cs="Arial" w:eastAsia="Arial" w:hAnsi="Arial"/>
          <w:sz w:val="19"/>
          <w:szCs w:val="19"/>
          <w:color w:val="auto"/>
        </w:rPr>
        <w:t>“Except as described below, this Award and the PSUs subject to this Award may not be sold, pledged, assigned, hypothecated, transferred, or disposed of in any manner other than by will or by the laws of descent or distribution and the Award shall lapse and any unvested PSUs subject to this Award shall be forfeited if a bankruptcy order is made in respect of Grantee. For the avoidance of doubt, the provisions contained in Section 10.2 of the Plan which allow each Participant to designate a beneficiary for the PSUs awarded to him or her under the Plan shall not apply to this Award.”</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Withholding</w:t>
      </w:r>
      <w:r>
        <w:rPr>
          <w:rFonts w:ascii="Arial" w:cs="Arial" w:eastAsia="Arial" w:hAnsi="Arial"/>
          <w:sz w:val="22"/>
          <w:szCs w:val="22"/>
          <w:color w:val="auto"/>
        </w:rPr>
        <w:t>. Section II.B.2 of the Agreement is hereby amended in its entirety to read as follows:</w:t>
      </w:r>
    </w:p>
    <w:p>
      <w:pPr>
        <w:spacing w:after="0" w:line="2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“Grantee hereby indemnifies the Corporation, Grantee’s employer or any other person in respect of:</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ix</w:t>
      </w:r>
    </w:p>
    <w:p>
      <w:pPr>
        <w:sectPr>
          <w:pgSz w:w="11900" w:h="16838" w:orient="portrait"/>
          <w:cols w:equalWidth="0" w:num="1">
            <w:col w:w="11420"/>
          </w:cols>
          <w:pgMar w:left="240" w:top="631" w:right="239" w:bottom="1440" w:gutter="0" w:footer="0" w:header="0"/>
        </w:sectPr>
      </w:pPr>
    </w:p>
    <w:bookmarkStart w:id="75" w:name="page76"/>
    <w:bookmarkEnd w:id="75"/>
    <w:p>
      <w:pPr>
        <w:jc w:val="both"/>
        <w:ind w:left="1960" w:hanging="655"/>
        <w:spacing w:after="0" w:line="250" w:lineRule="auto"/>
        <w:tabs>
          <w:tab w:leader="none" w:pos="1960" w:val="left"/>
        </w:tabs>
        <w:numPr>
          <w:ilvl w:val="0"/>
          <w:numId w:val="61"/>
        </w:numPr>
        <w:rPr>
          <w:rFonts w:ascii="Arial" w:cs="Arial" w:eastAsia="Arial" w:hAnsi="Arial"/>
          <w:sz w:val="22"/>
          <w:szCs w:val="22"/>
          <w:color w:val="auto"/>
        </w:rPr>
      </w:pPr>
      <w:r>
        <w:rPr>
          <w:rFonts w:ascii="Arial" w:cs="Arial" w:eastAsia="Arial" w:hAnsi="Arial"/>
          <w:sz w:val="22"/>
          <w:szCs w:val="22"/>
          <w:color w:val="auto"/>
        </w:rPr>
        <w:t>any amount of income tax for which the Corporation, Grantee’s employer or any other person is obliged to account under the Pay-As-You-Earn system and any amounts of employee’s national insurance contributions arising from the vesting of the Award (or which would not otherwise have arisen but for the grant of the Award to Grantee); and</w:t>
      </w:r>
    </w:p>
    <w:p>
      <w:pPr>
        <w:spacing w:after="0" w:line="228" w:lineRule="exact"/>
        <w:rPr>
          <w:rFonts w:ascii="Arial" w:cs="Arial" w:eastAsia="Arial" w:hAnsi="Arial"/>
          <w:sz w:val="22"/>
          <w:szCs w:val="22"/>
          <w:color w:val="auto"/>
        </w:rPr>
      </w:pPr>
    </w:p>
    <w:p>
      <w:pPr>
        <w:jc w:val="both"/>
        <w:ind w:left="1960" w:hanging="655"/>
        <w:spacing w:after="0" w:line="248" w:lineRule="auto"/>
        <w:tabs>
          <w:tab w:leader="none" w:pos="1960" w:val="left"/>
        </w:tabs>
        <w:numPr>
          <w:ilvl w:val="0"/>
          <w:numId w:val="61"/>
        </w:numPr>
        <w:rPr>
          <w:rFonts w:ascii="Arial" w:cs="Arial" w:eastAsia="Arial" w:hAnsi="Arial"/>
          <w:sz w:val="22"/>
          <w:szCs w:val="22"/>
          <w:color w:val="auto"/>
        </w:rPr>
      </w:pPr>
      <w:r>
        <w:rPr>
          <w:rFonts w:ascii="Arial" w:cs="Arial" w:eastAsia="Arial" w:hAnsi="Arial"/>
          <w:sz w:val="22"/>
          <w:szCs w:val="22"/>
          <w:color w:val="auto"/>
        </w:rPr>
        <w:t>any amount of income tax for which the Corporation, Grantee’s employer or any other person is obliged to account under the Pay-As-You-Earn system and any amounts of employee’s national insurance contributions arising in respect of, or in connection with the holding or disposal by Grantee of the shares of Stock acquired pursuant to the Award or the conversion of such shares of Stock into securities of another description whilst such shares of Stock are held by Grantee,</w:t>
      </w:r>
    </w:p>
    <w:p>
      <w:pPr>
        <w:spacing w:after="0" w:line="233" w:lineRule="exact"/>
        <w:rPr>
          <w:sz w:val="20"/>
          <w:szCs w:val="20"/>
          <w:color w:val="auto"/>
        </w:rPr>
      </w:pPr>
    </w:p>
    <w:p>
      <w:pPr>
        <w:jc w:val="both"/>
        <w:ind w:left="660" w:firstLine="648"/>
        <w:spacing w:after="0" w:line="287" w:lineRule="auto"/>
        <w:rPr>
          <w:sz w:val="20"/>
          <w:szCs w:val="20"/>
          <w:color w:val="auto"/>
        </w:rPr>
      </w:pPr>
      <w:r>
        <w:rPr>
          <w:rFonts w:ascii="Arial" w:cs="Arial" w:eastAsia="Arial" w:hAnsi="Arial"/>
          <w:sz w:val="19"/>
          <w:szCs w:val="19"/>
          <w:color w:val="auto"/>
        </w:rPr>
        <w:t>and in pursuance of such indemnity, Grantee hereby agrees that he or she shall pay to the Corporation (or to such other entity as directed by it) such amount as shall be notified to Grantee by the Corporation as being due on any occasion under such indemnity, within seven days after being so notified. To the extent that Grantee fails to pay any amount so notified to him or her by the Corporation within seven days after such notification, Grantee hereby agrees that the Corporation may withhold, or procure the withholding, from any salary, wages, payment or payments due to Grantee from the Corporation or Grantee’s employer an amount which is equal to the amount notified to Grantee, sell or procure the sale of sufficient of the shares of Stock acquired by Grantee pursuant to the Award on behalf of Grantee to produce a sum which after any costs of sale is sufficient to discharge the amount so notified to Grantee and retain such sum or make such other arrangements, by which Grantee hereby agrees to be bound, so as to ensure that the amount notified to Grantee is discharged in full. The Corporation will not be obliged to deliver any shares of Stock to Grantee pursuant to the Award, if Grantee fails to comply with his or her obligations under the foregoing provisions of this Section II.B.2 and Grantee shall not be entitled to receive the delivery of such shares of Stock.”</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Clawback Policy</w:t>
      </w:r>
      <w:r>
        <w:rPr>
          <w:rFonts w:ascii="Arial" w:cs="Arial" w:eastAsia="Arial" w:hAnsi="Arial"/>
          <w:sz w:val="22"/>
          <w:szCs w:val="22"/>
          <w:color w:val="auto"/>
        </w:rPr>
        <w:t>. Section II.B.13 of the Agreement shall not apply.</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Data Privacy</w:t>
      </w:r>
      <w:r>
        <w:rPr>
          <w:rFonts w:ascii="Arial" w:cs="Arial" w:eastAsia="Arial" w:hAnsi="Arial"/>
          <w:sz w:val="22"/>
          <w:szCs w:val="22"/>
          <w:color w:val="auto"/>
        </w:rPr>
        <w:t>. A new Section II.B.14 is added to the Agreement to read as follows:</w:t>
      </w:r>
    </w:p>
    <w:p>
      <w:pPr>
        <w:spacing w:after="0" w:line="266" w:lineRule="exact"/>
        <w:rPr>
          <w:sz w:val="20"/>
          <w:szCs w:val="20"/>
          <w:color w:val="auto"/>
        </w:rPr>
      </w:pPr>
    </w:p>
    <w:p>
      <w:pPr>
        <w:jc w:val="both"/>
        <w:ind w:left="1300"/>
        <w:spacing w:after="0" w:line="250" w:lineRule="auto"/>
        <w:rPr>
          <w:sz w:val="20"/>
          <w:szCs w:val="20"/>
          <w:color w:val="auto"/>
        </w:rPr>
      </w:pPr>
      <w:r>
        <w:rPr>
          <w:rFonts w:ascii="Arial" w:cs="Arial" w:eastAsia="Arial" w:hAnsi="Arial"/>
          <w:sz w:val="22"/>
          <w:szCs w:val="22"/>
          <w:color w:val="auto"/>
        </w:rPr>
        <w:t>“The Corporation and Grantee’s employer (together the “Data Processors”) will process the Grantee’s personal data and each may transfer the Grantee’s personal data to their Subsidiaries, HM Revenue and Customs and third party service providers, for the purposes of managing and administering the Award and the operation of the Plan including but not limited to:</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x</w:t>
      </w:r>
    </w:p>
    <w:p>
      <w:pPr>
        <w:sectPr>
          <w:pgSz w:w="11900" w:h="16838" w:orient="portrait"/>
          <w:cols w:equalWidth="0" w:num="1">
            <w:col w:w="11420"/>
          </w:cols>
          <w:pgMar w:left="240" w:top="888" w:right="239" w:bottom="1440" w:gutter="0" w:footer="0" w:header="0"/>
        </w:sectPr>
      </w:pPr>
    </w:p>
    <w:bookmarkStart w:id="76" w:name="page77"/>
    <w:bookmarkEnd w:id="76"/>
    <w:p>
      <w:pPr>
        <w:ind w:left="1960" w:hanging="655"/>
        <w:spacing w:after="0"/>
        <w:tabs>
          <w:tab w:leader="none" w:pos="1960" w:val="left"/>
        </w:tabs>
        <w:numPr>
          <w:ilvl w:val="0"/>
          <w:numId w:val="62"/>
        </w:numPr>
        <w:rPr>
          <w:rFonts w:ascii="Arial" w:cs="Arial" w:eastAsia="Arial" w:hAnsi="Arial"/>
          <w:sz w:val="22"/>
          <w:szCs w:val="22"/>
          <w:color w:val="auto"/>
        </w:rPr>
      </w:pPr>
      <w:r>
        <w:rPr>
          <w:rFonts w:ascii="Arial" w:cs="Arial" w:eastAsia="Arial" w:hAnsi="Arial"/>
          <w:sz w:val="22"/>
          <w:szCs w:val="22"/>
          <w:color w:val="auto"/>
        </w:rPr>
        <w:t>administering and maintaining records relating to Grantee;</w:t>
      </w:r>
    </w:p>
    <w:p>
      <w:pPr>
        <w:spacing w:after="0" w:line="260" w:lineRule="exact"/>
        <w:rPr>
          <w:rFonts w:ascii="Arial" w:cs="Arial" w:eastAsia="Arial" w:hAnsi="Arial"/>
          <w:sz w:val="22"/>
          <w:szCs w:val="22"/>
          <w:color w:val="auto"/>
        </w:rPr>
      </w:pPr>
    </w:p>
    <w:p>
      <w:pPr>
        <w:ind w:left="1960" w:right="20" w:hanging="655"/>
        <w:spacing w:after="0" w:line="263" w:lineRule="auto"/>
        <w:tabs>
          <w:tab w:leader="none" w:pos="1960" w:val="left"/>
        </w:tabs>
        <w:numPr>
          <w:ilvl w:val="0"/>
          <w:numId w:val="62"/>
        </w:numPr>
        <w:rPr>
          <w:rFonts w:ascii="Arial" w:cs="Arial" w:eastAsia="Arial" w:hAnsi="Arial"/>
          <w:sz w:val="22"/>
          <w:szCs w:val="22"/>
          <w:color w:val="auto"/>
        </w:rPr>
      </w:pPr>
      <w:r>
        <w:rPr>
          <w:rFonts w:ascii="Arial" w:cs="Arial" w:eastAsia="Arial" w:hAnsi="Arial"/>
          <w:sz w:val="22"/>
          <w:szCs w:val="22"/>
          <w:color w:val="auto"/>
        </w:rPr>
        <w:t>providing information to (i) trustees of any employee benefit trust or (ii) other third party administrators involved directly or indirectly in the operation of the Plan;</w:t>
      </w:r>
    </w:p>
    <w:p>
      <w:pPr>
        <w:spacing w:after="0" w:line="215" w:lineRule="exact"/>
        <w:rPr>
          <w:rFonts w:ascii="Arial" w:cs="Arial" w:eastAsia="Arial" w:hAnsi="Arial"/>
          <w:sz w:val="22"/>
          <w:szCs w:val="22"/>
          <w:color w:val="auto"/>
        </w:rPr>
      </w:pPr>
    </w:p>
    <w:p>
      <w:pPr>
        <w:ind w:left="1960" w:hanging="655"/>
        <w:spacing w:after="0" w:line="263" w:lineRule="auto"/>
        <w:tabs>
          <w:tab w:leader="none" w:pos="1960" w:val="left"/>
        </w:tabs>
        <w:numPr>
          <w:ilvl w:val="0"/>
          <w:numId w:val="62"/>
        </w:numPr>
        <w:rPr>
          <w:rFonts w:ascii="Arial" w:cs="Arial" w:eastAsia="Arial" w:hAnsi="Arial"/>
          <w:sz w:val="22"/>
          <w:szCs w:val="22"/>
          <w:color w:val="auto"/>
        </w:rPr>
      </w:pPr>
      <w:r>
        <w:rPr>
          <w:rFonts w:ascii="Arial" w:cs="Arial" w:eastAsia="Arial" w:hAnsi="Arial"/>
          <w:sz w:val="22"/>
          <w:szCs w:val="22"/>
          <w:color w:val="auto"/>
        </w:rPr>
        <w:t>providing information relating to Grantee in connection with the operation of the Plan to HM Revenue and Customs;</w:t>
      </w:r>
    </w:p>
    <w:p>
      <w:pPr>
        <w:spacing w:after="0" w:line="215" w:lineRule="exact"/>
        <w:rPr>
          <w:rFonts w:ascii="Arial" w:cs="Arial" w:eastAsia="Arial" w:hAnsi="Arial"/>
          <w:sz w:val="22"/>
          <w:szCs w:val="22"/>
          <w:color w:val="auto"/>
        </w:rPr>
      </w:pPr>
    </w:p>
    <w:p>
      <w:pPr>
        <w:ind w:left="1960" w:hanging="655"/>
        <w:spacing w:after="0"/>
        <w:tabs>
          <w:tab w:leader="none" w:pos="1960" w:val="left"/>
        </w:tabs>
        <w:numPr>
          <w:ilvl w:val="0"/>
          <w:numId w:val="62"/>
        </w:numPr>
        <w:rPr>
          <w:rFonts w:ascii="Arial" w:cs="Arial" w:eastAsia="Arial" w:hAnsi="Arial"/>
          <w:sz w:val="22"/>
          <w:szCs w:val="22"/>
          <w:color w:val="auto"/>
        </w:rPr>
      </w:pPr>
      <w:r>
        <w:rPr>
          <w:rFonts w:ascii="Arial" w:cs="Arial" w:eastAsia="Arial" w:hAnsi="Arial"/>
          <w:sz w:val="22"/>
          <w:szCs w:val="22"/>
          <w:color w:val="auto"/>
        </w:rPr>
        <w:t>providing information to potential purchasers of one or more of the Data Processors; and</w:t>
      </w:r>
    </w:p>
    <w:p>
      <w:pPr>
        <w:spacing w:after="0" w:line="260" w:lineRule="exact"/>
        <w:rPr>
          <w:rFonts w:ascii="Arial" w:cs="Arial" w:eastAsia="Arial" w:hAnsi="Arial"/>
          <w:sz w:val="22"/>
          <w:szCs w:val="22"/>
          <w:color w:val="auto"/>
        </w:rPr>
      </w:pPr>
    </w:p>
    <w:p>
      <w:pPr>
        <w:jc w:val="both"/>
        <w:ind w:left="1960" w:hanging="655"/>
        <w:spacing w:after="0" w:line="253" w:lineRule="auto"/>
        <w:tabs>
          <w:tab w:leader="none" w:pos="1960" w:val="left"/>
        </w:tabs>
        <w:numPr>
          <w:ilvl w:val="0"/>
          <w:numId w:val="62"/>
        </w:numPr>
        <w:rPr>
          <w:rFonts w:ascii="Arial" w:cs="Arial" w:eastAsia="Arial" w:hAnsi="Arial"/>
          <w:sz w:val="22"/>
          <w:szCs w:val="22"/>
          <w:color w:val="auto"/>
        </w:rPr>
      </w:pPr>
      <w:r>
        <w:rPr>
          <w:rFonts w:ascii="Arial" w:cs="Arial" w:eastAsia="Arial" w:hAnsi="Arial"/>
          <w:sz w:val="22"/>
          <w:szCs w:val="22"/>
          <w:color w:val="auto"/>
        </w:rPr>
        <w:t>allowing any personal data provided by Grantee to be sent to and kept and used by any third party engaged by the Corporation to administer the Plan, including but not limited to the maintenance by such a third party of a database of Participants in the Plan.</w:t>
      </w:r>
    </w:p>
    <w:p>
      <w:pPr>
        <w:spacing w:after="0" w:line="226" w:lineRule="exact"/>
        <w:rPr>
          <w:sz w:val="20"/>
          <w:szCs w:val="20"/>
          <w:color w:val="auto"/>
        </w:rPr>
      </w:pPr>
    </w:p>
    <w:p>
      <w:pPr>
        <w:jc w:val="both"/>
        <w:ind w:left="1300"/>
        <w:spacing w:after="0" w:line="294" w:lineRule="auto"/>
        <w:rPr>
          <w:sz w:val="20"/>
          <w:szCs w:val="20"/>
          <w:color w:val="auto"/>
        </w:rPr>
      </w:pPr>
      <w:r>
        <w:rPr>
          <w:rFonts w:ascii="Arial" w:cs="Arial" w:eastAsia="Arial" w:hAnsi="Arial"/>
          <w:sz w:val="19"/>
          <w:szCs w:val="19"/>
          <w:color w:val="auto"/>
        </w:rPr>
        <w:t>Such personal data includes (without limitation) Grantee’s name, home address and telephone number; date of birth; social insurance or national insurance number or other identification number; salary; nationality; job title; any Stock or directorships held in the any of the Data Processors; alleged, proven and convicted offences, felonies and/or wilful misconduct; wilful failure or refusal to follow directions from the board of the Corporation; breach of fiduciary duty to the Corporation or a Subsidiary; and details of all Awards or any other entitlement to Stock awarded, cancelled, exercised, vested, unvested or outstanding in Grantee’s favour.</w:t>
      </w:r>
    </w:p>
    <w:p>
      <w:pPr>
        <w:spacing w:after="0" w:line="150" w:lineRule="exact"/>
        <w:rPr>
          <w:sz w:val="20"/>
          <w:szCs w:val="20"/>
          <w:color w:val="auto"/>
        </w:rPr>
      </w:pPr>
    </w:p>
    <w:p>
      <w:pPr>
        <w:jc w:val="both"/>
        <w:ind w:left="1300"/>
        <w:spacing w:after="0" w:line="263" w:lineRule="auto"/>
        <w:rPr>
          <w:sz w:val="20"/>
          <w:szCs w:val="20"/>
          <w:color w:val="auto"/>
        </w:rPr>
      </w:pPr>
      <w:r>
        <w:rPr>
          <w:rFonts w:ascii="Arial" w:cs="Arial" w:eastAsia="Arial" w:hAnsi="Arial"/>
          <w:sz w:val="21"/>
          <w:szCs w:val="21"/>
          <w:color w:val="auto"/>
        </w:rPr>
        <w:t>Grantee’s personal data may be transferred to the Data Processors or to any third parties assisting in the implementation, administration and management of the Plan and/or the Award which are based outside of the UK. Grantee’s employer and the Corporation (as appropriate) will implement safeguards to ensure the appropriate levels of protection for all such personal data. Grantee may request a list with the names and addresses of any potential recipients of the data by contacting their local human resources representative.</w:t>
      </w:r>
    </w:p>
    <w:p>
      <w:pPr>
        <w:spacing w:after="0" w:line="176" w:lineRule="exact"/>
        <w:rPr>
          <w:sz w:val="20"/>
          <w:szCs w:val="20"/>
          <w:color w:val="auto"/>
        </w:rPr>
      </w:pPr>
    </w:p>
    <w:p>
      <w:pPr>
        <w:jc w:val="both"/>
        <w:ind w:left="1300"/>
        <w:spacing w:after="0" w:line="302" w:lineRule="auto"/>
        <w:rPr>
          <w:sz w:val="20"/>
          <w:szCs w:val="20"/>
          <w:color w:val="auto"/>
        </w:rPr>
      </w:pPr>
      <w:r>
        <w:rPr>
          <w:rFonts w:ascii="Arial" w:cs="Arial" w:eastAsia="Arial" w:hAnsi="Arial"/>
          <w:sz w:val="19"/>
          <w:szCs w:val="19"/>
          <w:color w:val="auto"/>
        </w:rPr>
        <w:t>Grantee’s personal data will be held only as long as is necessary for the purpose for which it was collected. Grantee may (without cost) by contacting in writing their local human resources representative (i) view or request additional information about the storage and processing of their personal data, and/or (ii) request that any personal data that the Data Processors hold about Grantee which is inaccurate or out of date is corrected where appropriate.”</w:t>
      </w:r>
    </w:p>
    <w:p>
      <w:pPr>
        <w:spacing w:after="0" w:line="39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Loss of Office or Employment</w:t>
      </w:r>
      <w:r>
        <w:rPr>
          <w:rFonts w:ascii="Arial" w:cs="Arial" w:eastAsia="Arial" w:hAnsi="Arial"/>
          <w:sz w:val="22"/>
          <w:szCs w:val="22"/>
          <w:color w:val="auto"/>
        </w:rPr>
        <w:t>. A new Section II.B.15 is added to the Agreement to read as follows:</w:t>
      </w:r>
    </w:p>
    <w:p>
      <w:pPr>
        <w:spacing w:after="0" w:line="2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“In no circumstances shall Grantee, on ceasing to hold the office or</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xi</w:t>
      </w:r>
    </w:p>
    <w:p>
      <w:pPr>
        <w:sectPr>
          <w:pgSz w:w="11900" w:h="16838" w:orient="portrait"/>
          <w:cols w:equalWidth="0" w:num="1">
            <w:col w:w="11420"/>
          </w:cols>
          <w:pgMar w:left="240" w:top="631" w:right="239" w:bottom="1440" w:gutter="0" w:footer="0" w:header="0"/>
        </w:sectPr>
      </w:pPr>
    </w:p>
    <w:bookmarkStart w:id="77" w:name="page78"/>
    <w:bookmarkEnd w:id="77"/>
    <w:p>
      <w:pPr>
        <w:jc w:val="both"/>
        <w:ind w:left="1300"/>
        <w:spacing w:after="0" w:line="250" w:lineRule="auto"/>
        <w:rPr>
          <w:sz w:val="20"/>
          <w:szCs w:val="20"/>
          <w:color w:val="auto"/>
        </w:rPr>
      </w:pPr>
      <w:r>
        <w:rPr>
          <w:rFonts w:ascii="Arial" w:cs="Arial" w:eastAsia="Arial" w:hAnsi="Arial"/>
          <w:sz w:val="22"/>
          <w:szCs w:val="22"/>
          <w:color w:val="auto"/>
        </w:rPr>
        <w:t>employment by virtue of which he has been granted this Award, be entitled to any compensation for any loss of any right or benefit or prospective right or benefit under the Award or the Plan which he might otherwise have enjoyed whether such compensation is claimed by way of damages for wrongful dismissal or other breach of contract or by way of compensation for loss of office or otherwise.”</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Notifications</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There are no country-specific notifications.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xii</w:t>
      </w:r>
    </w:p>
    <w:p>
      <w:pPr>
        <w:sectPr>
          <w:pgSz w:w="11900" w:h="16838" w:orient="portrait"/>
          <w:cols w:equalWidth="0" w:num="1">
            <w:col w:w="11420"/>
          </w:cols>
          <w:pgMar w:left="240" w:top="631" w:right="239" w:bottom="1440" w:gutter="0" w:footer="0" w:header="0"/>
        </w:sectPr>
      </w:pPr>
    </w:p>
    <w:bookmarkStart w:id="78" w:name="page79"/>
    <w:bookmarkEnd w:id="78"/>
    <w:p>
      <w:pPr>
        <w:jc w:val="right"/>
        <w:spacing w:after="0"/>
        <w:rPr>
          <w:sz w:val="20"/>
          <w:szCs w:val="20"/>
          <w:color w:val="auto"/>
        </w:rPr>
      </w:pPr>
      <w:r>
        <w:rPr>
          <w:rFonts w:ascii="Arial" w:cs="Arial" w:eastAsia="Arial" w:hAnsi="Arial"/>
          <w:sz w:val="22"/>
          <w:szCs w:val="22"/>
          <w:b w:val="1"/>
          <w:bCs w:val="1"/>
          <w:color w:val="auto"/>
        </w:rPr>
        <w:t>Exhibit 10.3</w:t>
      </w:r>
    </w:p>
    <w:p>
      <w:pPr>
        <w:spacing w:after="0" w:line="26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Restricted Stock Unit</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Three-Year Vest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TRIMAS CORPORATION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2006 LONG TERM EQUITY INCENTIVE PLAN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UNITS AGREEMENT</w:t>
      </w:r>
    </w:p>
    <w:p>
      <w:pPr>
        <w:spacing w:after="0" w:line="266"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TriMas Corporation (the “Corporation”), as permitted by the TriMas Corporation 2006 Long Term Equity Incentive Plan (“Plan”), and as approved by the Administrator, hereby grants to the individual listed below (“Grantee”), a Restricted Stock Units Award (“Award”) for the number of Restricted Stock Units set forth below (“Restricted Stock Units”), subject to the terms and conditions of the Plan and this Restricted Stock Units Agreement (“Agreement”).</w:t>
      </w:r>
    </w:p>
    <w:p>
      <w:pPr>
        <w:spacing w:after="0" w:line="17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Unless otherwise defined in this Agreement or in Appendix A to this Agreement, the terms used in this Agreement have the same meaning as defined in the Plan. The term “Service Provider” as used in this Agreement means an individual actively providing services to the Corporation or a Subsidiary or “Affiliate” (as defined in Appendix A).</w:t>
      </w:r>
    </w:p>
    <w:p>
      <w:pPr>
        <w:spacing w:after="0" w:line="162" w:lineRule="exact"/>
        <w:rPr>
          <w:sz w:val="20"/>
          <w:szCs w:val="20"/>
          <w:color w:val="auto"/>
        </w:rPr>
      </w:pPr>
    </w:p>
    <w:p>
      <w:pPr>
        <w:ind w:left="360" w:hanging="352"/>
        <w:spacing w:after="0"/>
        <w:tabs>
          <w:tab w:leader="none" w:pos="360" w:val="left"/>
        </w:tabs>
        <w:numPr>
          <w:ilvl w:val="0"/>
          <w:numId w:val="6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NOTICE OF RESTRICTED STOCK UNITS AWARD</w:t>
      </w:r>
    </w:p>
    <w:p>
      <w:pPr>
        <w:spacing w:after="0" w:line="368" w:lineRule="exact"/>
        <w:rPr>
          <w:sz w:val="20"/>
          <w:szCs w:val="20"/>
          <w:color w:val="auto"/>
        </w:rPr>
      </w:pPr>
    </w:p>
    <w:tbl>
      <w:tblPr>
        <w:tblLayout w:type="fixed"/>
        <w:tblInd w:w="420" w:type="dxa"/>
        <w:tblCellMar>
          <w:top w:w="0" w:type="dxa"/>
          <w:left w:w="0" w:type="dxa"/>
          <w:bottom w:w="0" w:type="dxa"/>
          <w:right w:w="0" w:type="dxa"/>
        </w:tblCellMar>
      </w:tblPr>
      <w:tr>
        <w:trPr>
          <w:trHeight w:val="335"/>
        </w:trPr>
        <w:tc>
          <w:tcPr>
            <w:tcW w:w="4800" w:type="dxa"/>
            <w:vAlign w:val="bottom"/>
          </w:tcPr>
          <w:p>
            <w:pPr>
              <w:spacing w:after="0"/>
              <w:rPr>
                <w:sz w:val="20"/>
                <w:szCs w:val="20"/>
                <w:color w:val="auto"/>
              </w:rPr>
            </w:pPr>
            <w:r>
              <w:rPr>
                <w:rFonts w:ascii="Arial" w:cs="Arial" w:eastAsia="Arial" w:hAnsi="Arial"/>
                <w:sz w:val="22"/>
                <w:szCs w:val="22"/>
                <w:b w:val="1"/>
                <w:bCs w:val="1"/>
                <w:color w:val="auto"/>
              </w:rPr>
              <w:t>Grantee:</w:t>
            </w:r>
          </w:p>
        </w:tc>
        <w:tc>
          <w:tcPr>
            <w:tcW w:w="4700" w:type="dxa"/>
            <w:vAlign w:val="bottom"/>
          </w:tcPr>
          <w:p>
            <w:pPr>
              <w:ind w:left="1600"/>
              <w:spacing w:after="0"/>
              <w:rPr>
                <w:sz w:val="20"/>
                <w:szCs w:val="20"/>
                <w:color w:val="auto"/>
              </w:rPr>
            </w:pPr>
            <w:r>
              <w:rPr>
                <w:rFonts w:ascii="Arial" w:cs="Arial" w:eastAsia="Arial" w:hAnsi="Arial"/>
                <w:sz w:val="22"/>
                <w:szCs w:val="22"/>
                <w:b w:val="1"/>
                <w:bCs w:val="1"/>
                <w:i w:val="1"/>
                <w:iCs w:val="1"/>
                <w:color w:val="auto"/>
              </w:rPr>
              <w:t>[specify Grantee’s name]</w:t>
            </w:r>
          </w:p>
        </w:tc>
      </w:tr>
      <w:tr>
        <w:trPr>
          <w:trHeight w:val="405"/>
        </w:trPr>
        <w:tc>
          <w:tcPr>
            <w:tcW w:w="4800" w:type="dxa"/>
            <w:vAlign w:val="bottom"/>
          </w:tcPr>
          <w:p>
            <w:pPr>
              <w:spacing w:after="0"/>
              <w:rPr>
                <w:sz w:val="20"/>
                <w:szCs w:val="20"/>
                <w:color w:val="auto"/>
              </w:rPr>
            </w:pPr>
            <w:r>
              <w:rPr>
                <w:rFonts w:ascii="Arial" w:cs="Arial" w:eastAsia="Arial" w:hAnsi="Arial"/>
                <w:sz w:val="22"/>
                <w:szCs w:val="22"/>
                <w:b w:val="1"/>
                <w:bCs w:val="1"/>
                <w:color w:val="auto"/>
              </w:rPr>
              <w:t>Date of Agreement:</w:t>
            </w:r>
          </w:p>
        </w:tc>
        <w:tc>
          <w:tcPr>
            <w:tcW w:w="4700" w:type="dxa"/>
            <w:vAlign w:val="bottom"/>
          </w:tcPr>
          <w:p>
            <w:pPr>
              <w:ind w:left="1600"/>
              <w:spacing w:after="0"/>
              <w:rPr>
                <w:sz w:val="20"/>
                <w:szCs w:val="20"/>
                <w:color w:val="auto"/>
              </w:rPr>
            </w:pPr>
            <w:r>
              <w:rPr>
                <w:rFonts w:ascii="Arial" w:cs="Arial" w:eastAsia="Arial" w:hAnsi="Arial"/>
                <w:sz w:val="22"/>
                <w:szCs w:val="22"/>
                <w:b w:val="1"/>
                <w:bCs w:val="1"/>
                <w:i w:val="1"/>
                <w:iCs w:val="1"/>
                <w:color w:val="auto"/>
              </w:rPr>
              <w:t>[grant date]</w:t>
            </w:r>
          </w:p>
        </w:tc>
      </w:tr>
      <w:tr>
        <w:trPr>
          <w:trHeight w:val="351"/>
        </w:trPr>
        <w:tc>
          <w:tcPr>
            <w:tcW w:w="4800" w:type="dxa"/>
            <w:vAlign w:val="bottom"/>
          </w:tcPr>
          <w:p>
            <w:pPr>
              <w:spacing w:after="0"/>
              <w:rPr>
                <w:sz w:val="20"/>
                <w:szCs w:val="20"/>
                <w:color w:val="auto"/>
              </w:rPr>
            </w:pPr>
            <w:r>
              <w:rPr>
                <w:rFonts w:ascii="Arial" w:cs="Arial" w:eastAsia="Arial" w:hAnsi="Arial"/>
                <w:sz w:val="22"/>
                <w:szCs w:val="22"/>
                <w:b w:val="1"/>
                <w:bCs w:val="1"/>
                <w:color w:val="auto"/>
              </w:rPr>
              <w:t>Grant Date:</w:t>
            </w:r>
          </w:p>
        </w:tc>
        <w:tc>
          <w:tcPr>
            <w:tcW w:w="4700" w:type="dxa"/>
            <w:vAlign w:val="bottom"/>
          </w:tcPr>
          <w:p>
            <w:pPr>
              <w:ind w:left="1600"/>
              <w:spacing w:after="0"/>
              <w:rPr>
                <w:sz w:val="20"/>
                <w:szCs w:val="20"/>
                <w:color w:val="auto"/>
              </w:rPr>
            </w:pPr>
            <w:r>
              <w:rPr>
                <w:rFonts w:ascii="Arial" w:cs="Arial" w:eastAsia="Arial" w:hAnsi="Arial"/>
                <w:sz w:val="22"/>
                <w:szCs w:val="22"/>
                <w:b w:val="1"/>
                <w:bCs w:val="1"/>
                <w:color w:val="auto"/>
              </w:rPr>
              <w:t>March 1, 2016</w:t>
            </w:r>
          </w:p>
        </w:tc>
      </w:tr>
      <w:tr>
        <w:trPr>
          <w:trHeight w:val="351"/>
        </w:trPr>
        <w:tc>
          <w:tcPr>
            <w:tcW w:w="4800" w:type="dxa"/>
            <w:vAlign w:val="bottom"/>
          </w:tcPr>
          <w:p>
            <w:pPr>
              <w:spacing w:after="0"/>
              <w:rPr>
                <w:sz w:val="20"/>
                <w:szCs w:val="20"/>
                <w:color w:val="auto"/>
              </w:rPr>
            </w:pPr>
            <w:r>
              <w:rPr>
                <w:rFonts w:ascii="Arial" w:cs="Arial" w:eastAsia="Arial" w:hAnsi="Arial"/>
                <w:sz w:val="22"/>
                <w:szCs w:val="22"/>
                <w:b w:val="1"/>
                <w:bCs w:val="1"/>
                <w:color w:val="auto"/>
              </w:rPr>
              <w:t>Number of Restricted Stock Units:</w:t>
            </w:r>
          </w:p>
        </w:tc>
        <w:tc>
          <w:tcPr>
            <w:tcW w:w="4700" w:type="dxa"/>
            <w:vAlign w:val="bottom"/>
          </w:tcPr>
          <w:p>
            <w:pPr>
              <w:ind w:left="1600"/>
              <w:spacing w:after="0"/>
              <w:rPr>
                <w:sz w:val="20"/>
                <w:szCs w:val="20"/>
                <w:color w:val="auto"/>
              </w:rPr>
            </w:pPr>
            <w:r>
              <w:rPr>
                <w:rFonts w:ascii="Arial" w:cs="Arial" w:eastAsia="Arial" w:hAnsi="Arial"/>
                <w:sz w:val="22"/>
                <w:szCs w:val="22"/>
                <w:b w:val="1"/>
                <w:bCs w:val="1"/>
                <w:i w:val="1"/>
                <w:iCs w:val="1"/>
                <w:color w:val="auto"/>
                <w:w w:val="84"/>
              </w:rPr>
              <w:t>[number of Restricted Stock Units]</w:t>
            </w:r>
          </w:p>
        </w:tc>
      </w:tr>
    </w:tbl>
    <w:p>
      <w:pPr>
        <w:spacing w:after="0" w:line="314" w:lineRule="exact"/>
        <w:rPr>
          <w:sz w:val="20"/>
          <w:szCs w:val="20"/>
          <w:color w:val="auto"/>
        </w:rPr>
      </w:pPr>
    </w:p>
    <w:p>
      <w:pPr>
        <w:ind w:left="420" w:hanging="412"/>
        <w:spacing w:after="0"/>
        <w:tabs>
          <w:tab w:leader="none" w:pos="420" w:val="left"/>
        </w:tabs>
        <w:numPr>
          <w:ilvl w:val="0"/>
          <w:numId w:val="64"/>
        </w:numPr>
        <w:rPr>
          <w:rFonts w:ascii="Arial" w:cs="Arial" w:eastAsia="Arial" w:hAnsi="Arial"/>
          <w:sz w:val="22"/>
          <w:szCs w:val="22"/>
          <w:color w:val="auto"/>
        </w:rPr>
      </w:pPr>
      <w:r>
        <w:rPr>
          <w:rFonts w:ascii="Arial" w:cs="Arial" w:eastAsia="Arial" w:hAnsi="Arial"/>
          <w:sz w:val="22"/>
          <w:szCs w:val="22"/>
          <w:b w:val="1"/>
          <w:bCs w:val="1"/>
          <w:u w:val="single" w:color="auto"/>
          <w:color w:val="auto"/>
        </w:rPr>
        <w:t>AGREEMENT</w:t>
      </w:r>
    </w:p>
    <w:p>
      <w:pPr>
        <w:spacing w:after="0" w:line="219" w:lineRule="exact"/>
        <w:rPr>
          <w:rFonts w:ascii="Arial" w:cs="Arial" w:eastAsia="Arial" w:hAnsi="Arial"/>
          <w:sz w:val="22"/>
          <w:szCs w:val="22"/>
          <w:color w:val="auto"/>
        </w:rPr>
      </w:pPr>
    </w:p>
    <w:p>
      <w:pPr>
        <w:jc w:val="both"/>
        <w:ind w:firstLine="648"/>
        <w:spacing w:after="0" w:line="298" w:lineRule="auto"/>
        <w:rPr>
          <w:rFonts w:ascii="Arial" w:cs="Arial" w:eastAsia="Arial" w:hAnsi="Arial"/>
          <w:sz w:val="22"/>
          <w:szCs w:val="22"/>
          <w:color w:val="auto"/>
        </w:rPr>
      </w:pPr>
      <w:r>
        <w:rPr>
          <w:rFonts w:ascii="Arial" w:cs="Arial" w:eastAsia="Arial" w:hAnsi="Arial"/>
          <w:sz w:val="19"/>
          <w:szCs w:val="19"/>
          <w:b w:val="1"/>
          <w:bCs w:val="1"/>
          <w:color w:val="auto"/>
        </w:rPr>
        <w:t xml:space="preserve">A. </w:t>
      </w:r>
      <w:r>
        <w:rPr>
          <w:rFonts w:ascii="Arial" w:cs="Arial" w:eastAsia="Arial" w:hAnsi="Arial"/>
          <w:sz w:val="19"/>
          <w:szCs w:val="19"/>
          <w:b w:val="1"/>
          <w:bCs w:val="1"/>
          <w:u w:val="single" w:color="auto"/>
          <w:color w:val="auto"/>
        </w:rPr>
        <w:t>Grant of Restricted Stock Units.</w:t>
      </w:r>
      <w:r>
        <w:rPr>
          <w:rFonts w:ascii="Arial" w:cs="Arial" w:eastAsia="Arial" w:hAnsi="Arial"/>
          <w:sz w:val="19"/>
          <w:szCs w:val="19"/>
          <w:b w:val="1"/>
          <w:bCs w:val="1"/>
          <w:color w:val="auto"/>
        </w:rPr>
        <w:t xml:space="preserve"> </w:t>
      </w:r>
      <w:r>
        <w:rPr>
          <w:rFonts w:ascii="Arial" w:cs="Arial" w:eastAsia="Arial" w:hAnsi="Arial"/>
          <w:sz w:val="19"/>
          <w:szCs w:val="19"/>
          <w:color w:val="auto"/>
        </w:rPr>
        <w:t>The Corporation hereby grants to Grantee (who, pursuant to this Award is a</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Participant in the Plan) the number of Restricted Stock Units set forth above, subject to adjustment as provided in this Agreement. The Restricted Stock Units granted under this Agreement are payable only in shares of Common Stock as described in Section II.A.2. Notwithstanding anything to the contrary anywhere else in this Agreement, the Restricted Stock Units subject to this Award are subject to the terms and provisions of the Plan, which are incorporated by reference into this Agreement.</w:t>
      </w:r>
    </w:p>
    <w:p>
      <w:pPr>
        <w:spacing w:after="0" w:line="142" w:lineRule="exact"/>
        <w:rPr>
          <w:rFonts w:ascii="Arial" w:cs="Arial" w:eastAsia="Arial" w:hAnsi="Arial"/>
          <w:sz w:val="22"/>
          <w:szCs w:val="22"/>
          <w:color w:val="auto"/>
        </w:rPr>
      </w:pPr>
    </w:p>
    <w:p>
      <w:pPr>
        <w:ind w:left="1680" w:hanging="375"/>
        <w:spacing w:after="0"/>
        <w:tabs>
          <w:tab w:leader="none" w:pos="1680" w:val="left"/>
        </w:tabs>
        <w:numPr>
          <w:ilvl w:val="2"/>
          <w:numId w:val="6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Vesting</w:t>
      </w:r>
      <w:r>
        <w:rPr>
          <w:rFonts w:ascii="Arial" w:cs="Arial" w:eastAsia="Arial" w:hAnsi="Arial"/>
          <w:sz w:val="22"/>
          <w:szCs w:val="22"/>
          <w:color w:val="auto"/>
        </w:rPr>
        <w:t>.</w:t>
      </w:r>
    </w:p>
    <w:p>
      <w:pPr>
        <w:sectPr>
          <w:pgSz w:w="11900" w:h="16838" w:orient="portrait"/>
          <w:cols w:equalWidth="0" w:num="1">
            <w:col w:w="11420"/>
          </w:cols>
          <w:pgMar w:left="240" w:top="625" w:right="239" w:bottom="1440" w:gutter="0" w:footer="0" w:header="0"/>
        </w:sectPr>
      </w:pPr>
    </w:p>
    <w:bookmarkStart w:id="79" w:name="page80"/>
    <w:bookmarkEnd w:id="79"/>
    <w:p>
      <w:pPr>
        <w:jc w:val="both"/>
        <w:ind w:firstLine="645"/>
        <w:spacing w:after="0" w:line="251" w:lineRule="auto"/>
        <w:tabs>
          <w:tab w:leader="none" w:pos="1536" w:val="left"/>
        </w:tabs>
        <w:numPr>
          <w:ilvl w:val="0"/>
          <w:numId w:val="65"/>
        </w:numPr>
        <w:rPr>
          <w:rFonts w:ascii="Arial" w:cs="Arial" w:eastAsia="Arial" w:hAnsi="Arial"/>
          <w:sz w:val="22"/>
          <w:szCs w:val="22"/>
          <w:color w:val="auto"/>
        </w:rPr>
      </w:pPr>
      <w:r>
        <w:rPr>
          <w:rFonts w:ascii="Arial" w:cs="Arial" w:eastAsia="Arial" w:hAnsi="Arial"/>
          <w:sz w:val="22"/>
          <w:szCs w:val="22"/>
          <w:b w:val="1"/>
          <w:bCs w:val="1"/>
          <w:color w:val="auto"/>
        </w:rPr>
        <w:t>General</w:t>
      </w:r>
      <w:r>
        <w:rPr>
          <w:rFonts w:ascii="Arial" w:cs="Arial" w:eastAsia="Arial" w:hAnsi="Arial"/>
          <w:sz w:val="22"/>
          <w:szCs w:val="22"/>
          <w:color w:val="auto"/>
        </w:rPr>
        <w:t>. Subject to Section II.A.1(b), the Restricted Stock Units will vest in three equal installments on</w:t>
      </w:r>
      <w:r>
        <w:rPr>
          <w:rFonts w:ascii="Arial" w:cs="Arial" w:eastAsia="Arial" w:hAnsi="Arial"/>
          <w:sz w:val="22"/>
          <w:szCs w:val="22"/>
          <w:b w:val="1"/>
          <w:bCs w:val="1"/>
          <w:color w:val="auto"/>
        </w:rPr>
        <w:t xml:space="preserve"> </w:t>
      </w:r>
      <w:r>
        <w:rPr>
          <w:rFonts w:ascii="Arial" w:cs="Arial" w:eastAsia="Arial" w:hAnsi="Arial"/>
          <w:sz w:val="22"/>
          <w:szCs w:val="22"/>
          <w:color w:val="auto"/>
        </w:rPr>
        <w:t>the first three anniversaries of the Grant Date (each, a “Vesting Date”), subject to Grantee’s continued status as a Service Provider through each such Vesting Date.</w:t>
      </w:r>
    </w:p>
    <w:p>
      <w:pPr>
        <w:ind w:left="1540" w:hanging="895"/>
        <w:spacing w:after="0"/>
        <w:tabs>
          <w:tab w:leader="none" w:pos="1540" w:val="left"/>
        </w:tabs>
        <w:numPr>
          <w:ilvl w:val="0"/>
          <w:numId w:val="65"/>
        </w:numPr>
        <w:rPr>
          <w:rFonts w:ascii="Arial" w:cs="Arial" w:eastAsia="Arial" w:hAnsi="Arial"/>
          <w:sz w:val="22"/>
          <w:szCs w:val="22"/>
          <w:color w:val="auto"/>
        </w:rPr>
      </w:pPr>
      <w:r>
        <w:rPr>
          <w:rFonts w:ascii="Arial" w:cs="Arial" w:eastAsia="Arial" w:hAnsi="Arial"/>
          <w:sz w:val="22"/>
          <w:szCs w:val="22"/>
          <w:b w:val="1"/>
          <w:bCs w:val="1"/>
          <w:color w:val="auto"/>
        </w:rPr>
        <w:t>Termination of Service; Forfeiture</w:t>
      </w:r>
      <w:r>
        <w:rPr>
          <w:rFonts w:ascii="Arial" w:cs="Arial" w:eastAsia="Arial" w:hAnsi="Arial"/>
          <w:sz w:val="22"/>
          <w:szCs w:val="22"/>
          <w:color w:val="auto"/>
        </w:rPr>
        <w:t>. Notwithstanding any other provision of this Agreement:</w:t>
      </w:r>
    </w:p>
    <w:p>
      <w:pPr>
        <w:spacing w:after="0" w:line="236" w:lineRule="exact"/>
        <w:rPr>
          <w:rFonts w:ascii="Arial" w:cs="Arial" w:eastAsia="Arial" w:hAnsi="Arial"/>
          <w:sz w:val="22"/>
          <w:szCs w:val="22"/>
          <w:color w:val="auto"/>
        </w:rPr>
      </w:pPr>
    </w:p>
    <w:p>
      <w:pPr>
        <w:jc w:val="both"/>
        <w:ind w:left="640" w:firstLine="653"/>
        <w:spacing w:after="0" w:line="290" w:lineRule="auto"/>
        <w:tabs>
          <w:tab w:leader="none" w:pos="2140" w:val="left"/>
        </w:tabs>
        <w:numPr>
          <w:ilvl w:val="1"/>
          <w:numId w:val="65"/>
        </w:numPr>
        <w:rPr>
          <w:rFonts w:ascii="Arial" w:cs="Arial" w:eastAsia="Arial" w:hAnsi="Arial"/>
          <w:sz w:val="19"/>
          <w:szCs w:val="19"/>
          <w:color w:val="auto"/>
        </w:rPr>
      </w:pPr>
      <w:r>
        <w:rPr>
          <w:rFonts w:ascii="Arial" w:cs="Arial" w:eastAsia="Arial" w:hAnsi="Arial"/>
          <w:sz w:val="19"/>
          <w:szCs w:val="19"/>
          <w:b w:val="1"/>
          <w:bCs w:val="1"/>
          <w:color w:val="auto"/>
        </w:rPr>
        <w:t>Voluntary Termination; Termination for Cause</w:t>
      </w:r>
      <w:r>
        <w:rPr>
          <w:rFonts w:ascii="Arial" w:cs="Arial" w:eastAsia="Arial" w:hAnsi="Arial"/>
          <w:sz w:val="19"/>
          <w:szCs w:val="19"/>
          <w:color w:val="auto"/>
        </w:rPr>
        <w:t>. Any unvested Restricted Stock Units subject to</w:t>
      </w:r>
      <w:r>
        <w:rPr>
          <w:rFonts w:ascii="Arial" w:cs="Arial" w:eastAsia="Arial" w:hAnsi="Arial"/>
          <w:sz w:val="19"/>
          <w:szCs w:val="19"/>
          <w:b w:val="1"/>
          <w:bCs w:val="1"/>
          <w:color w:val="auto"/>
        </w:rPr>
        <w:t xml:space="preserve"> </w:t>
      </w:r>
      <w:r>
        <w:rPr>
          <w:rFonts w:ascii="Arial" w:cs="Arial" w:eastAsia="Arial" w:hAnsi="Arial"/>
          <w:sz w:val="19"/>
          <w:szCs w:val="19"/>
          <w:color w:val="auto"/>
        </w:rPr>
        <w:t>the Award will be canceled and forfeited if Grantee voluntarily terminates as a Service Provider (other than for Good Reason as provided below), or if Grantee’s status as a Service Provider is involuntarily terminated by the Corporation or a Subsidiary or Affiliate for Cause. Notwithstanding the foregoing, no termination of Grantee’s employment shall qualify as a termination for Cause unless (x) the Corporation notifies Grantee in writing of the Corporation’s intention to terminate Grantee’s employment for Cause within 90 days following the initial existence of the occurrence or event giving rise to Cause, (y) Grantee fails to cure such occurrence or event within 30 days after receipt of such notice from the Corporation and (z) the Corporation terminates Grantee’s employment within 45 days after the expiration of Grantee’s cure period in subsection (y).</w:t>
      </w:r>
    </w:p>
    <w:p>
      <w:pPr>
        <w:spacing w:after="0" w:line="189" w:lineRule="exact"/>
        <w:rPr>
          <w:rFonts w:ascii="Arial" w:cs="Arial" w:eastAsia="Arial" w:hAnsi="Arial"/>
          <w:sz w:val="19"/>
          <w:szCs w:val="19"/>
          <w:color w:val="auto"/>
        </w:rPr>
      </w:pPr>
    </w:p>
    <w:p>
      <w:pPr>
        <w:jc w:val="both"/>
        <w:ind w:left="640" w:firstLine="653"/>
        <w:spacing w:after="0" w:line="252" w:lineRule="auto"/>
        <w:tabs>
          <w:tab w:leader="none" w:pos="2200" w:val="left"/>
        </w:tabs>
        <w:numPr>
          <w:ilvl w:val="1"/>
          <w:numId w:val="65"/>
        </w:numPr>
        <w:rPr>
          <w:rFonts w:ascii="Arial" w:cs="Arial" w:eastAsia="Arial" w:hAnsi="Arial"/>
          <w:sz w:val="22"/>
          <w:szCs w:val="22"/>
          <w:color w:val="auto"/>
        </w:rPr>
      </w:pPr>
      <w:r>
        <w:rPr>
          <w:rFonts w:ascii="Arial" w:cs="Arial" w:eastAsia="Arial" w:hAnsi="Arial"/>
          <w:sz w:val="22"/>
          <w:szCs w:val="22"/>
          <w:b w:val="1"/>
          <w:bCs w:val="1"/>
          <w:color w:val="auto"/>
        </w:rPr>
        <w:t>Death; Disability</w:t>
      </w:r>
      <w:r>
        <w:rPr>
          <w:rFonts w:ascii="Arial" w:cs="Arial" w:eastAsia="Arial" w:hAnsi="Arial"/>
          <w:sz w:val="22"/>
          <w:szCs w:val="22"/>
          <w:color w:val="auto"/>
        </w:rPr>
        <w:t>. If Grantee ceases to be a Service Provider prior to any Vesting Date as a result</w:t>
      </w:r>
      <w:r>
        <w:rPr>
          <w:rFonts w:ascii="Arial" w:cs="Arial" w:eastAsia="Arial" w:hAnsi="Arial"/>
          <w:sz w:val="22"/>
          <w:szCs w:val="22"/>
          <w:b w:val="1"/>
          <w:bCs w:val="1"/>
          <w:color w:val="auto"/>
        </w:rPr>
        <w:t xml:space="preserve"> </w:t>
      </w:r>
      <w:r>
        <w:rPr>
          <w:rFonts w:ascii="Arial" w:cs="Arial" w:eastAsia="Arial" w:hAnsi="Arial"/>
          <w:sz w:val="22"/>
          <w:szCs w:val="22"/>
          <w:color w:val="auto"/>
        </w:rPr>
        <w:t>of Grantee’s death or Disability, Grantee shall fully vest in the Restricted Stock Units subject to the Award that have not already vested as of the date on which Grantee ceases to be a Service Provider due to Grantee’s death or Disability.</w:t>
      </w:r>
    </w:p>
    <w:p>
      <w:pPr>
        <w:spacing w:after="0" w:line="220" w:lineRule="exact"/>
        <w:rPr>
          <w:rFonts w:ascii="Arial" w:cs="Arial" w:eastAsia="Arial" w:hAnsi="Arial"/>
          <w:sz w:val="22"/>
          <w:szCs w:val="22"/>
          <w:color w:val="auto"/>
        </w:rPr>
      </w:pPr>
    </w:p>
    <w:p>
      <w:pPr>
        <w:jc w:val="both"/>
        <w:ind w:left="640" w:firstLine="653"/>
        <w:spacing w:after="0" w:line="258" w:lineRule="auto"/>
        <w:tabs>
          <w:tab w:leader="none" w:pos="2260" w:val="left"/>
        </w:tabs>
        <w:numPr>
          <w:ilvl w:val="1"/>
          <w:numId w:val="65"/>
        </w:numPr>
        <w:rPr>
          <w:rFonts w:ascii="Arial" w:cs="Arial" w:eastAsia="Arial" w:hAnsi="Arial"/>
          <w:sz w:val="21"/>
          <w:szCs w:val="21"/>
          <w:color w:val="auto"/>
        </w:rPr>
      </w:pPr>
      <w:r>
        <w:rPr>
          <w:rFonts w:ascii="Arial" w:cs="Arial" w:eastAsia="Arial" w:hAnsi="Arial"/>
          <w:sz w:val="21"/>
          <w:szCs w:val="21"/>
          <w:b w:val="1"/>
          <w:bCs w:val="1"/>
          <w:color w:val="auto"/>
        </w:rPr>
        <w:t>Qualifying Termination Prior to a Change of Control</w:t>
      </w:r>
      <w:r>
        <w:rPr>
          <w:rFonts w:ascii="Arial" w:cs="Arial" w:eastAsia="Arial" w:hAnsi="Arial"/>
          <w:sz w:val="21"/>
          <w:szCs w:val="21"/>
          <w:color w:val="auto"/>
        </w:rPr>
        <w:t>. If Grantee has a “Qualifying</w:t>
      </w:r>
      <w:r>
        <w:rPr>
          <w:rFonts w:ascii="Arial" w:cs="Arial" w:eastAsia="Arial" w:hAnsi="Arial"/>
          <w:sz w:val="21"/>
          <w:szCs w:val="21"/>
          <w:b w:val="1"/>
          <w:bCs w:val="1"/>
          <w:color w:val="auto"/>
        </w:rPr>
        <w:t xml:space="preserve"> </w:t>
      </w:r>
      <w:r>
        <w:rPr>
          <w:rFonts w:ascii="Arial" w:cs="Arial" w:eastAsia="Arial" w:hAnsi="Arial"/>
          <w:sz w:val="21"/>
          <w:szCs w:val="21"/>
          <w:color w:val="auto"/>
        </w:rPr>
        <w:t>Termination” (as defined in Appendix A) that occurs prior to a “Change of Control” (as defined in Appendix A) and before the final Vesting Date, Grantee shall vest in a pro-rata portion of Grantee’s unvested Restricted Stock Units, with the pro-rata amount calculated by (x) multiplying the total number of Restricted Stock Units subject to this Award by a fraction with (i) a numerator equaling the number of whole calendar months that have elapsed from the Grant Date to the date of Grantee’s termination, and (ii) a denominator equal to 36, and then (y) subtracting the number of Restricted Stock Units that have already vested under this Award.</w:t>
      </w:r>
    </w:p>
    <w:p>
      <w:pPr>
        <w:spacing w:after="0" w:line="2" w:lineRule="exact"/>
        <w:rPr>
          <w:rFonts w:ascii="Arial" w:cs="Arial" w:eastAsia="Arial" w:hAnsi="Arial"/>
          <w:sz w:val="21"/>
          <w:szCs w:val="21"/>
          <w:color w:val="auto"/>
        </w:rPr>
      </w:pPr>
    </w:p>
    <w:p>
      <w:pPr>
        <w:jc w:val="both"/>
        <w:ind w:left="640" w:firstLine="653"/>
        <w:spacing w:after="0" w:line="245" w:lineRule="auto"/>
        <w:tabs>
          <w:tab w:leader="none" w:pos="2248" w:val="left"/>
        </w:tabs>
        <w:numPr>
          <w:ilvl w:val="1"/>
          <w:numId w:val="65"/>
        </w:numPr>
        <w:rPr>
          <w:rFonts w:ascii="Arial" w:cs="Arial" w:eastAsia="Arial" w:hAnsi="Arial"/>
          <w:sz w:val="22"/>
          <w:szCs w:val="22"/>
          <w:color w:val="auto"/>
        </w:rPr>
      </w:pPr>
      <w:r>
        <w:rPr>
          <w:rFonts w:ascii="Arial" w:cs="Arial" w:eastAsia="Arial" w:hAnsi="Arial"/>
          <w:sz w:val="22"/>
          <w:szCs w:val="22"/>
          <w:b w:val="1"/>
          <w:bCs w:val="1"/>
          <w:color w:val="auto"/>
        </w:rPr>
        <w:t>Qualifying Termination Following a Change of Control</w:t>
      </w:r>
      <w:r>
        <w:rPr>
          <w:rFonts w:ascii="Arial" w:cs="Arial" w:eastAsia="Arial" w:hAnsi="Arial"/>
          <w:sz w:val="22"/>
          <w:szCs w:val="22"/>
          <w:color w:val="auto"/>
        </w:rPr>
        <w:t>. If Grantee has a Qualifying</w:t>
      </w:r>
      <w:r>
        <w:rPr>
          <w:rFonts w:ascii="Arial" w:cs="Arial" w:eastAsia="Arial" w:hAnsi="Arial"/>
          <w:sz w:val="22"/>
          <w:szCs w:val="22"/>
          <w:b w:val="1"/>
          <w:bCs w:val="1"/>
          <w:color w:val="auto"/>
        </w:rPr>
        <w:t xml:space="preserve"> </w:t>
      </w:r>
      <w:r>
        <w:rPr>
          <w:rFonts w:ascii="Arial" w:cs="Arial" w:eastAsia="Arial" w:hAnsi="Arial"/>
          <w:sz w:val="22"/>
          <w:szCs w:val="22"/>
          <w:color w:val="auto"/>
        </w:rPr>
        <w:t>Termination within two years following a Change of Control, Grantee shall fully vest in the Restricted Stock Units subject to this Award.</w:t>
      </w:r>
    </w:p>
    <w:p>
      <w:pPr>
        <w:spacing w:after="0" w:line="200" w:lineRule="exact"/>
        <w:rPr>
          <w:sz w:val="20"/>
          <w:szCs w:val="20"/>
          <w:color w:val="auto"/>
        </w:rPr>
      </w:pPr>
    </w:p>
    <w:p>
      <w:pPr>
        <w:spacing w:after="0" w:line="250"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Any Restricted Stock Units that do not vest in accordance with Section II.A.1(a) or this Section II.A.1(b) shall be canceled and forfeited as of the date of Grantee’s termination of services. Further, subject to Code Section 409A, the Corporation retains the right to accelerate the vesting of all or a portion of the Restricted Stock Units subject to this Award.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0760"/>
          </w:cols>
          <w:pgMar w:left="900" w:top="625" w:right="239" w:bottom="1440" w:gutter="0" w:footer="0" w:header="0"/>
        </w:sectPr>
      </w:pPr>
    </w:p>
    <w:bookmarkStart w:id="80" w:name="page81"/>
    <w:bookmarkEnd w:id="80"/>
    <w:p>
      <w:pPr>
        <w:ind w:left="1660" w:hanging="375"/>
        <w:spacing w:after="0"/>
        <w:tabs>
          <w:tab w:leader="none" w:pos="1660" w:val="left"/>
        </w:tabs>
        <w:numPr>
          <w:ilvl w:val="0"/>
          <w:numId w:val="6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Settlement</w:t>
      </w:r>
      <w:r>
        <w:rPr>
          <w:rFonts w:ascii="Arial" w:cs="Arial" w:eastAsia="Arial" w:hAnsi="Arial"/>
          <w:sz w:val="22"/>
          <w:szCs w:val="22"/>
          <w:color w:val="auto"/>
        </w:rPr>
        <w:t>.</w:t>
      </w:r>
    </w:p>
    <w:p>
      <w:pPr>
        <w:spacing w:after="0" w:line="220" w:lineRule="exact"/>
        <w:rPr>
          <w:sz w:val="20"/>
          <w:szCs w:val="20"/>
          <w:color w:val="auto"/>
        </w:rPr>
      </w:pPr>
    </w:p>
    <w:p>
      <w:pPr>
        <w:jc w:val="both"/>
        <w:ind w:left="640" w:firstLine="645"/>
        <w:spacing w:after="0" w:line="256" w:lineRule="auto"/>
        <w:tabs>
          <w:tab w:leader="none" w:pos="1744" w:val="left"/>
        </w:tabs>
        <w:numPr>
          <w:ilvl w:val="0"/>
          <w:numId w:val="67"/>
        </w:numPr>
        <w:rPr>
          <w:rFonts w:ascii="Arial" w:cs="Arial" w:eastAsia="Arial" w:hAnsi="Arial"/>
          <w:sz w:val="22"/>
          <w:szCs w:val="22"/>
          <w:color w:val="auto"/>
        </w:rPr>
      </w:pPr>
      <w:r>
        <w:rPr>
          <w:rFonts w:ascii="Arial" w:cs="Arial" w:eastAsia="Arial" w:hAnsi="Arial"/>
          <w:sz w:val="22"/>
          <w:szCs w:val="22"/>
          <w:b w:val="1"/>
          <w:bCs w:val="1"/>
          <w:color w:val="auto"/>
        </w:rPr>
        <w:t>General</w:t>
      </w:r>
      <w:r>
        <w:rPr>
          <w:rFonts w:ascii="Arial" w:cs="Arial" w:eastAsia="Arial" w:hAnsi="Arial"/>
          <w:sz w:val="22"/>
          <w:szCs w:val="22"/>
          <w:color w:val="auto"/>
        </w:rPr>
        <w:t>. Subject to Section II.A.2(b) below, and as soon as administratively practicable following (but no later</w:t>
      </w:r>
      <w:r>
        <w:rPr>
          <w:rFonts w:ascii="Arial" w:cs="Arial" w:eastAsia="Arial" w:hAnsi="Arial"/>
          <w:sz w:val="22"/>
          <w:szCs w:val="22"/>
          <w:b w:val="1"/>
          <w:bCs w:val="1"/>
          <w:color w:val="auto"/>
        </w:rPr>
        <w:t xml:space="preserve"> </w:t>
      </w:r>
      <w:r>
        <w:rPr>
          <w:rFonts w:ascii="Arial" w:cs="Arial" w:eastAsia="Arial" w:hAnsi="Arial"/>
          <w:sz w:val="22"/>
          <w:szCs w:val="22"/>
          <w:color w:val="auto"/>
        </w:rPr>
        <w:t>than thirty (30) days following) each applicable Vesting Date, the Corporation shall issue Grantee one share of Common Stock for each Restricted Stock Unit that is vested on such Vesting Date.</w:t>
      </w:r>
    </w:p>
    <w:p>
      <w:pPr>
        <w:spacing w:after="0" w:line="176" w:lineRule="exact"/>
        <w:rPr>
          <w:rFonts w:ascii="Arial" w:cs="Arial" w:eastAsia="Arial" w:hAnsi="Arial"/>
          <w:sz w:val="22"/>
          <w:szCs w:val="22"/>
          <w:color w:val="auto"/>
        </w:rPr>
      </w:pPr>
    </w:p>
    <w:p>
      <w:pPr>
        <w:jc w:val="both"/>
        <w:ind w:left="640" w:firstLine="645"/>
        <w:spacing w:after="0" w:line="248" w:lineRule="auto"/>
        <w:tabs>
          <w:tab w:leader="none" w:pos="1797" w:val="left"/>
        </w:tabs>
        <w:numPr>
          <w:ilvl w:val="0"/>
          <w:numId w:val="67"/>
        </w:numPr>
        <w:rPr>
          <w:rFonts w:ascii="Arial" w:cs="Arial" w:eastAsia="Arial" w:hAnsi="Arial"/>
          <w:sz w:val="22"/>
          <w:szCs w:val="22"/>
          <w:color w:val="auto"/>
        </w:rPr>
      </w:pPr>
      <w:r>
        <w:rPr>
          <w:rFonts w:ascii="Arial" w:cs="Arial" w:eastAsia="Arial" w:hAnsi="Arial"/>
          <w:sz w:val="22"/>
          <w:szCs w:val="22"/>
          <w:b w:val="1"/>
          <w:bCs w:val="1"/>
          <w:color w:val="auto"/>
        </w:rPr>
        <w:t>Other Payment Events</w:t>
      </w:r>
      <w:r>
        <w:rPr>
          <w:rFonts w:ascii="Arial" w:cs="Arial" w:eastAsia="Arial" w:hAnsi="Arial"/>
          <w:sz w:val="22"/>
          <w:szCs w:val="22"/>
          <w:color w:val="auto"/>
        </w:rPr>
        <w:t>. Notwithstanding Section II.A.2(a), to the extent the Restricted Stock Units have not</w:t>
      </w:r>
      <w:r>
        <w:rPr>
          <w:rFonts w:ascii="Arial" w:cs="Arial" w:eastAsia="Arial" w:hAnsi="Arial"/>
          <w:sz w:val="22"/>
          <w:szCs w:val="22"/>
          <w:b w:val="1"/>
          <w:bCs w:val="1"/>
          <w:color w:val="auto"/>
        </w:rPr>
        <w:t xml:space="preserve"> </w:t>
      </w:r>
      <w:r>
        <w:rPr>
          <w:rFonts w:ascii="Arial" w:cs="Arial" w:eastAsia="Arial" w:hAnsi="Arial"/>
          <w:sz w:val="22"/>
          <w:szCs w:val="22"/>
          <w:color w:val="auto"/>
        </w:rPr>
        <w:t>previously been settled, if Grantee ceases to be a Service Provider prior to any Vesting Date as a result of Grantee’s death, Disability, or Qualifying Termination, and such cessation to be a Service Provider constitutes a separation from service (within the meaning of Treasury Regulation Section 1.409A-1(h)), the Corporation shall issue Grantee one share of Common Stock for each vested Restricted Stock Unit as soon as practicable following (but no later than thirty (30) days following) the date of such cessation.</w:t>
      </w:r>
    </w:p>
    <w:p>
      <w:pPr>
        <w:spacing w:after="0" w:line="187" w:lineRule="exact"/>
        <w:rPr>
          <w:sz w:val="20"/>
          <w:szCs w:val="20"/>
          <w:color w:val="auto"/>
        </w:rPr>
      </w:pPr>
    </w:p>
    <w:p>
      <w:pPr>
        <w:jc w:val="both"/>
        <w:ind w:left="-20" w:firstLine="1305"/>
        <w:spacing w:after="0" w:line="290" w:lineRule="auto"/>
        <w:tabs>
          <w:tab w:leader="none" w:pos="1763" w:val="left"/>
        </w:tabs>
        <w:numPr>
          <w:ilvl w:val="1"/>
          <w:numId w:val="68"/>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Dividend Equivalent Rights</w:t>
      </w:r>
      <w:r>
        <w:rPr>
          <w:rFonts w:ascii="Arial" w:cs="Arial" w:eastAsia="Arial" w:hAnsi="Arial"/>
          <w:sz w:val="19"/>
          <w:szCs w:val="19"/>
          <w:color w:val="auto"/>
        </w:rPr>
        <w:t>. From and after the Grant Date and until the earlier of (a) the time when the</w:t>
      </w:r>
      <w:r>
        <w:rPr>
          <w:rFonts w:ascii="Arial" w:cs="Arial" w:eastAsia="Arial" w:hAnsi="Arial"/>
          <w:sz w:val="19"/>
          <w:szCs w:val="19"/>
          <w:b w:val="1"/>
          <w:bCs w:val="1"/>
          <w:color w:val="auto"/>
        </w:rPr>
        <w:t xml:space="preserve"> </w:t>
      </w:r>
      <w:r>
        <w:rPr>
          <w:rFonts w:ascii="Arial" w:cs="Arial" w:eastAsia="Arial" w:hAnsi="Arial"/>
          <w:sz w:val="19"/>
          <w:szCs w:val="19"/>
          <w:color w:val="auto"/>
        </w:rPr>
        <w:t>Restricted Stock Units vest and are settled in accordance with Section II.A.2 hereof or (b) the time when Grantee’s rights to the Restricted Stock Units are forfeited in accordance with Section II.A.1(b) hereof, on the date that the Corporation pays a cash dividend (if any) to holders of Common Stock generally, Grantee shall be credited with an additional number of whole Restricted Stock Units, determined (rounding down to the nearest whole number) by dividing (x) the product of (I) the full number of Restricted Stock Units covered by this Award, multiplied by (II) the amount of cash dividend paid on such date with respect to each share of Common Stock, by (y) the Fair Market Value per share of Common Stock on that date. Such additional Restricted Stock Units shall be subject to the same applicable terms and conditions (including vesting, payment or forfeitability) as apply to the Restricted Stock Units based on which the dividend equivalents were credited.</w:t>
      </w:r>
    </w:p>
    <w:p>
      <w:pPr>
        <w:spacing w:after="0" w:line="149" w:lineRule="exact"/>
        <w:rPr>
          <w:rFonts w:ascii="Arial" w:cs="Arial" w:eastAsia="Arial" w:hAnsi="Arial"/>
          <w:sz w:val="19"/>
          <w:szCs w:val="19"/>
          <w:b w:val="1"/>
          <w:bCs w:val="1"/>
          <w:color w:val="auto"/>
        </w:rPr>
      </w:pPr>
    </w:p>
    <w:p>
      <w:pPr>
        <w:ind w:left="-20" w:firstLine="1305"/>
        <w:spacing w:after="0" w:line="350" w:lineRule="auto"/>
        <w:tabs>
          <w:tab w:leader="none" w:pos="1749" w:val="left"/>
        </w:tabs>
        <w:numPr>
          <w:ilvl w:val="1"/>
          <w:numId w:val="68"/>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Rights as a Shareholder</w:t>
      </w:r>
      <w:r>
        <w:rPr>
          <w:rFonts w:ascii="Arial" w:cs="Arial" w:eastAsia="Arial" w:hAnsi="Arial"/>
          <w:sz w:val="19"/>
          <w:szCs w:val="19"/>
          <w:b w:val="1"/>
          <w:bCs w:val="1"/>
          <w:color w:val="auto"/>
        </w:rPr>
        <w:t xml:space="preserve">. </w:t>
      </w:r>
      <w:r>
        <w:rPr>
          <w:rFonts w:ascii="Arial" w:cs="Arial" w:eastAsia="Arial" w:hAnsi="Arial"/>
          <w:sz w:val="19"/>
          <w:szCs w:val="19"/>
          <w:color w:val="auto"/>
        </w:rPr>
        <w:t>Grantee will not have any rights of a stockholder (including voting and dividend</w:t>
      </w:r>
      <w:r>
        <w:rPr>
          <w:rFonts w:ascii="Arial" w:cs="Arial" w:eastAsia="Arial" w:hAnsi="Arial"/>
          <w:sz w:val="19"/>
          <w:szCs w:val="19"/>
          <w:b w:val="1"/>
          <w:bCs w:val="1"/>
          <w:color w:val="auto"/>
        </w:rPr>
        <w:t xml:space="preserve"> </w:t>
      </w:r>
      <w:r>
        <w:rPr>
          <w:rFonts w:ascii="Arial" w:cs="Arial" w:eastAsia="Arial" w:hAnsi="Arial"/>
          <w:sz w:val="19"/>
          <w:szCs w:val="19"/>
          <w:color w:val="auto"/>
        </w:rPr>
        <w:t>rights) with respect to the Restricted Stock Units covered by this Award (except as otherwise provided in Section II.A.3).</w:t>
      </w:r>
    </w:p>
    <w:p>
      <w:pPr>
        <w:spacing w:after="0" w:line="92" w:lineRule="exact"/>
        <w:rPr>
          <w:rFonts w:ascii="Arial" w:cs="Arial" w:eastAsia="Arial" w:hAnsi="Arial"/>
          <w:sz w:val="19"/>
          <w:szCs w:val="19"/>
          <w:b w:val="1"/>
          <w:bCs w:val="1"/>
          <w:color w:val="auto"/>
        </w:rPr>
      </w:pPr>
    </w:p>
    <w:p>
      <w:pPr>
        <w:ind w:left="-20" w:firstLine="1305"/>
        <w:spacing w:after="0" w:line="269" w:lineRule="auto"/>
        <w:tabs>
          <w:tab w:leader="none" w:pos="1709" w:val="left"/>
        </w:tabs>
        <w:numPr>
          <w:ilvl w:val="1"/>
          <w:numId w:val="6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Adjustments</w:t>
      </w:r>
      <w:r>
        <w:rPr>
          <w:rFonts w:ascii="Arial" w:cs="Arial" w:eastAsia="Arial" w:hAnsi="Arial"/>
          <w:sz w:val="22"/>
          <w:szCs w:val="22"/>
          <w:b w:val="1"/>
          <w:bCs w:val="1"/>
          <w:color w:val="auto"/>
        </w:rPr>
        <w:t xml:space="preserve">. </w:t>
      </w:r>
      <w:r>
        <w:rPr>
          <w:rFonts w:ascii="Arial" w:cs="Arial" w:eastAsia="Arial" w:hAnsi="Arial"/>
          <w:sz w:val="22"/>
          <w:szCs w:val="22"/>
          <w:color w:val="auto"/>
        </w:rPr>
        <w:t>The Restricted Stock Units covered by this Award will be subject to adjustment as provided in</w:t>
      </w:r>
      <w:r>
        <w:rPr>
          <w:rFonts w:ascii="Arial" w:cs="Arial" w:eastAsia="Arial" w:hAnsi="Arial"/>
          <w:sz w:val="22"/>
          <w:szCs w:val="22"/>
          <w:b w:val="1"/>
          <w:bCs w:val="1"/>
          <w:color w:val="auto"/>
        </w:rPr>
        <w:t xml:space="preserve"> </w:t>
      </w:r>
      <w:r>
        <w:rPr>
          <w:rFonts w:ascii="Arial" w:cs="Arial" w:eastAsia="Arial" w:hAnsi="Arial"/>
          <w:sz w:val="22"/>
          <w:szCs w:val="22"/>
          <w:color w:val="auto"/>
        </w:rPr>
        <w:t>Article X of the Plan.</w:t>
      </w:r>
    </w:p>
    <w:p>
      <w:pPr>
        <w:spacing w:after="0" w:line="162" w:lineRule="exact"/>
        <w:rPr>
          <w:rFonts w:ascii="Arial" w:cs="Arial" w:eastAsia="Arial" w:hAnsi="Arial"/>
          <w:sz w:val="22"/>
          <w:szCs w:val="22"/>
          <w:b w:val="1"/>
          <w:bCs w:val="1"/>
          <w:color w:val="auto"/>
        </w:rPr>
      </w:pPr>
    </w:p>
    <w:p>
      <w:pPr>
        <w:ind w:left="1060" w:hanging="424"/>
        <w:spacing w:after="0"/>
        <w:tabs>
          <w:tab w:leader="none" w:pos="1060" w:val="left"/>
        </w:tabs>
        <w:numPr>
          <w:ilvl w:val="0"/>
          <w:numId w:val="6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Other Terms and Conditions</w:t>
      </w:r>
      <w:r>
        <w:rPr>
          <w:rFonts w:ascii="Arial" w:cs="Arial" w:eastAsia="Arial" w:hAnsi="Arial"/>
          <w:sz w:val="22"/>
          <w:szCs w:val="22"/>
          <w:b w:val="1"/>
          <w:bCs w:val="1"/>
          <w:color w:val="auto"/>
        </w:rPr>
        <w:t>.</w:t>
      </w:r>
    </w:p>
    <w:p>
      <w:pPr>
        <w:spacing w:after="0" w:line="219" w:lineRule="exact"/>
        <w:rPr>
          <w:rFonts w:ascii="Arial" w:cs="Arial" w:eastAsia="Arial" w:hAnsi="Arial"/>
          <w:sz w:val="22"/>
          <w:szCs w:val="22"/>
          <w:b w:val="1"/>
          <w:bCs w:val="1"/>
          <w:color w:val="auto"/>
        </w:rPr>
      </w:pPr>
    </w:p>
    <w:p>
      <w:pPr>
        <w:jc w:val="both"/>
        <w:ind w:left="-20" w:firstLine="1305"/>
        <w:spacing w:after="0" w:line="252" w:lineRule="auto"/>
        <w:tabs>
          <w:tab w:leader="none" w:pos="1695" w:val="left"/>
        </w:tabs>
        <w:numPr>
          <w:ilvl w:val="1"/>
          <w:numId w:val="6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Non-Transferability of Award</w:t>
      </w:r>
      <w:r>
        <w:rPr>
          <w:rFonts w:ascii="Arial" w:cs="Arial" w:eastAsia="Arial" w:hAnsi="Arial"/>
          <w:sz w:val="22"/>
          <w:szCs w:val="22"/>
          <w:color w:val="auto"/>
        </w:rPr>
        <w:t>. Except as described below, this Award and the Restricted Stock Units subject</w:t>
      </w:r>
      <w:r>
        <w:rPr>
          <w:rFonts w:ascii="Arial" w:cs="Arial" w:eastAsia="Arial" w:hAnsi="Arial"/>
          <w:sz w:val="22"/>
          <w:szCs w:val="22"/>
          <w:b w:val="1"/>
          <w:bCs w:val="1"/>
          <w:color w:val="auto"/>
        </w:rPr>
        <w:t xml:space="preserve"> </w:t>
      </w:r>
      <w:r>
        <w:rPr>
          <w:rFonts w:ascii="Arial" w:cs="Arial" w:eastAsia="Arial" w:hAnsi="Arial"/>
          <w:sz w:val="22"/>
          <w:szCs w:val="22"/>
          <w:color w:val="auto"/>
        </w:rPr>
        <w:t>to this Award may not be sold, pledged, assigned, hypothecated, transferred, or disposed of in any manner other than by will or by the laws of descent or distribution. The terms of this Award are binding on the executors, administrators, heirs, successors and assigns of Grantee.</w:t>
      </w:r>
    </w:p>
    <w:p>
      <w:pPr>
        <w:spacing w:after="0" w:line="180" w:lineRule="exact"/>
        <w:rPr>
          <w:rFonts w:ascii="Arial" w:cs="Arial" w:eastAsia="Arial" w:hAnsi="Arial"/>
          <w:sz w:val="22"/>
          <w:szCs w:val="22"/>
          <w:b w:val="1"/>
          <w:bCs w:val="1"/>
          <w:color w:val="auto"/>
        </w:rPr>
      </w:pPr>
    </w:p>
    <w:p>
      <w:pPr>
        <w:jc w:val="both"/>
        <w:ind w:left="-20" w:firstLine="1305"/>
        <w:spacing w:after="0" w:line="256" w:lineRule="auto"/>
        <w:tabs>
          <w:tab w:leader="none" w:pos="1830" w:val="left"/>
        </w:tabs>
        <w:numPr>
          <w:ilvl w:val="1"/>
          <w:numId w:val="6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Withholding</w:t>
      </w:r>
      <w:r>
        <w:rPr>
          <w:rFonts w:ascii="Arial" w:cs="Arial" w:eastAsia="Arial" w:hAnsi="Arial"/>
          <w:sz w:val="22"/>
          <w:szCs w:val="22"/>
          <w:b w:val="1"/>
          <w:bCs w:val="1"/>
          <w:color w:val="auto"/>
        </w:rPr>
        <w:t xml:space="preserve">. </w:t>
      </w:r>
      <w:r>
        <w:rPr>
          <w:rFonts w:ascii="Arial" w:cs="Arial" w:eastAsia="Arial" w:hAnsi="Arial"/>
          <w:sz w:val="22"/>
          <w:szCs w:val="22"/>
          <w:color w:val="auto"/>
        </w:rPr>
        <w:t>Grantee authorizes the Corporation or Grantee’s employer to withhold from the shares of</w:t>
      </w:r>
      <w:r>
        <w:rPr>
          <w:rFonts w:ascii="Arial" w:cs="Arial" w:eastAsia="Arial" w:hAnsi="Arial"/>
          <w:sz w:val="22"/>
          <w:szCs w:val="22"/>
          <w:b w:val="1"/>
          <w:bCs w:val="1"/>
          <w:color w:val="auto"/>
        </w:rPr>
        <w:t xml:space="preserve"> </w:t>
      </w:r>
      <w:r>
        <w:rPr>
          <w:rFonts w:ascii="Arial" w:cs="Arial" w:eastAsia="Arial" w:hAnsi="Arial"/>
          <w:sz w:val="22"/>
          <w:szCs w:val="22"/>
          <w:color w:val="auto"/>
        </w:rPr>
        <w:t>Common Stock to be delivered as payment the number of shares of Common Stock needed to satisfy any applicable minimum income and employment tax withholding</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00"/>
          </w:cols>
          <w:pgMar w:left="260" w:top="625" w:right="239" w:bottom="1440" w:gutter="0" w:footer="0" w:header="0"/>
        </w:sectPr>
      </w:pPr>
    </w:p>
    <w:bookmarkStart w:id="81" w:name="page82"/>
    <w:bookmarkEnd w:id="81"/>
    <w:p>
      <w:pPr>
        <w:jc w:val="both"/>
        <w:spacing w:after="0" w:line="248" w:lineRule="auto"/>
        <w:rPr>
          <w:sz w:val="20"/>
          <w:szCs w:val="20"/>
          <w:color w:val="auto"/>
        </w:rPr>
      </w:pPr>
      <w:r>
        <w:rPr>
          <w:rFonts w:ascii="Arial" w:cs="Arial" w:eastAsia="Arial" w:hAnsi="Arial"/>
          <w:sz w:val="22"/>
          <w:szCs w:val="22"/>
          <w:color w:val="auto"/>
        </w:rPr>
        <w:t>obligations, or Grantee agrees to tender sufficient funds to satisfy any applicable income and employment tax withholding obligations in connection with the vesting of the Restricted Stock Units under this Award. Notwithstanding any other provision of this Agreement or the Plan, the Corporation shall not be obligated to guarantee any particular tax result for Grantee with respect to any payment provided to Grantee hereunder, and Grantee shall be responsible for any taxes imposed on Grantee with respect to any such payment.</w:t>
      </w:r>
    </w:p>
    <w:p>
      <w:pPr>
        <w:spacing w:after="0" w:line="186" w:lineRule="exact"/>
        <w:rPr>
          <w:sz w:val="20"/>
          <w:szCs w:val="20"/>
          <w:color w:val="auto"/>
        </w:rPr>
      </w:pPr>
    </w:p>
    <w:p>
      <w:pPr>
        <w:jc w:val="both"/>
        <w:ind w:firstLine="1305"/>
        <w:spacing w:after="0" w:line="267" w:lineRule="auto"/>
        <w:tabs>
          <w:tab w:leader="none" w:pos="1729" w:val="left"/>
        </w:tabs>
        <w:numPr>
          <w:ilvl w:val="0"/>
          <w:numId w:val="70"/>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Dispute Resolution</w:t>
      </w:r>
      <w:r>
        <w:rPr>
          <w:rFonts w:ascii="Arial" w:cs="Arial" w:eastAsia="Arial" w:hAnsi="Arial"/>
          <w:sz w:val="21"/>
          <w:szCs w:val="21"/>
          <w:color w:val="auto"/>
        </w:rPr>
        <w:t>. Grantee and the Corporation agree that any disagreement, dispute, controversy, or claim</w:t>
      </w:r>
      <w:r>
        <w:rPr>
          <w:rFonts w:ascii="Arial" w:cs="Arial" w:eastAsia="Arial" w:hAnsi="Arial"/>
          <w:sz w:val="21"/>
          <w:szCs w:val="21"/>
          <w:b w:val="1"/>
          <w:bCs w:val="1"/>
          <w:color w:val="auto"/>
        </w:rPr>
        <w:t xml:space="preserve"> </w:t>
      </w:r>
      <w:r>
        <w:rPr>
          <w:rFonts w:ascii="Arial" w:cs="Arial" w:eastAsia="Arial" w:hAnsi="Arial"/>
          <w:sz w:val="21"/>
          <w:szCs w:val="21"/>
          <w:color w:val="auto"/>
        </w:rPr>
        <w:t>arising out of or relating to this Agreement, its interpretation, validity, or the alleged breach of this Agreement, will be settled exclusively and, consistent with the procedures specified in this Section II.B.3, irrespective of its magnitude, the amount in controversy, or the nature of the relief sought, in accordance with the following:</w:t>
      </w:r>
    </w:p>
    <w:p>
      <w:pPr>
        <w:spacing w:after="0" w:line="168" w:lineRule="exact"/>
        <w:rPr>
          <w:sz w:val="20"/>
          <w:szCs w:val="20"/>
          <w:color w:val="auto"/>
        </w:rPr>
      </w:pPr>
    </w:p>
    <w:p>
      <w:pPr>
        <w:jc w:val="both"/>
        <w:ind w:left="660" w:firstLine="645"/>
        <w:spacing w:after="0" w:line="256" w:lineRule="auto"/>
        <w:tabs>
          <w:tab w:leader="none" w:pos="1845" w:val="left"/>
        </w:tabs>
        <w:numPr>
          <w:ilvl w:val="0"/>
          <w:numId w:val="71"/>
        </w:numPr>
        <w:rPr>
          <w:rFonts w:ascii="Arial" w:cs="Arial" w:eastAsia="Arial" w:hAnsi="Arial"/>
          <w:sz w:val="22"/>
          <w:szCs w:val="22"/>
          <w:color w:val="auto"/>
        </w:rPr>
      </w:pPr>
      <w:r>
        <w:rPr>
          <w:rFonts w:ascii="Arial" w:cs="Arial" w:eastAsia="Arial" w:hAnsi="Arial"/>
          <w:sz w:val="22"/>
          <w:szCs w:val="22"/>
          <w:b w:val="1"/>
          <w:bCs w:val="1"/>
          <w:color w:val="auto"/>
        </w:rPr>
        <w:t>Negotiation</w:t>
      </w:r>
      <w:r>
        <w:rPr>
          <w:rFonts w:ascii="Arial" w:cs="Arial" w:eastAsia="Arial" w:hAnsi="Arial"/>
          <w:sz w:val="22"/>
          <w:szCs w:val="22"/>
          <w:color w:val="auto"/>
        </w:rPr>
        <w:t>. Grantee and the Corporation will use their best efforts to settle the dispute, claim, question or</w:t>
      </w:r>
      <w:r>
        <w:rPr>
          <w:rFonts w:ascii="Arial" w:cs="Arial" w:eastAsia="Arial" w:hAnsi="Arial"/>
          <w:sz w:val="22"/>
          <w:szCs w:val="22"/>
          <w:b w:val="1"/>
          <w:bCs w:val="1"/>
          <w:color w:val="auto"/>
        </w:rPr>
        <w:t xml:space="preserve"> </w:t>
      </w:r>
      <w:r>
        <w:rPr>
          <w:rFonts w:ascii="Arial" w:cs="Arial" w:eastAsia="Arial" w:hAnsi="Arial"/>
          <w:sz w:val="22"/>
          <w:szCs w:val="22"/>
          <w:color w:val="auto"/>
        </w:rPr>
        <w:t>disagreement. To this effect, they will consult and negotiate with each other in good faith and, recognizing their mutual interests, attempt to reach a just and equitable solution satisfactory to both parties.</w:t>
      </w:r>
    </w:p>
    <w:p>
      <w:pPr>
        <w:spacing w:after="0" w:line="176" w:lineRule="exact"/>
        <w:rPr>
          <w:rFonts w:ascii="Arial" w:cs="Arial" w:eastAsia="Arial" w:hAnsi="Arial"/>
          <w:sz w:val="22"/>
          <w:szCs w:val="22"/>
          <w:color w:val="auto"/>
        </w:rPr>
      </w:pPr>
    </w:p>
    <w:p>
      <w:pPr>
        <w:jc w:val="both"/>
        <w:ind w:left="660" w:firstLine="645"/>
        <w:spacing w:after="0" w:line="249" w:lineRule="auto"/>
        <w:tabs>
          <w:tab w:leader="none" w:pos="1817" w:val="left"/>
        </w:tabs>
        <w:numPr>
          <w:ilvl w:val="0"/>
          <w:numId w:val="71"/>
        </w:numPr>
        <w:rPr>
          <w:rFonts w:ascii="Arial" w:cs="Arial" w:eastAsia="Arial" w:hAnsi="Arial"/>
          <w:sz w:val="22"/>
          <w:szCs w:val="22"/>
          <w:color w:val="auto"/>
        </w:rPr>
      </w:pPr>
      <w:r>
        <w:rPr>
          <w:rFonts w:ascii="Arial" w:cs="Arial" w:eastAsia="Arial" w:hAnsi="Arial"/>
          <w:sz w:val="22"/>
          <w:szCs w:val="22"/>
          <w:b w:val="1"/>
          <w:bCs w:val="1"/>
          <w:color w:val="auto"/>
        </w:rPr>
        <w:t>Arbitration</w:t>
      </w:r>
      <w:r>
        <w:rPr>
          <w:rFonts w:ascii="Arial" w:cs="Arial" w:eastAsia="Arial" w:hAnsi="Arial"/>
          <w:sz w:val="22"/>
          <w:szCs w:val="22"/>
          <w:color w:val="auto"/>
        </w:rPr>
        <w:t>. If Grantee and the Corporation do not reach a solution within a period of 30 days from the date</w:t>
      </w:r>
      <w:r>
        <w:rPr>
          <w:rFonts w:ascii="Arial" w:cs="Arial" w:eastAsia="Arial" w:hAnsi="Arial"/>
          <w:sz w:val="22"/>
          <w:szCs w:val="22"/>
          <w:b w:val="1"/>
          <w:bCs w:val="1"/>
          <w:color w:val="auto"/>
        </w:rPr>
        <w:t xml:space="preserve"> </w:t>
      </w:r>
      <w:r>
        <w:rPr>
          <w:rFonts w:ascii="Arial" w:cs="Arial" w:eastAsia="Arial" w:hAnsi="Arial"/>
          <w:sz w:val="22"/>
          <w:szCs w:val="22"/>
          <w:color w:val="auto"/>
        </w:rPr>
        <w:t>on which the dispute, claim, disagreement, or controversy arises, then, upon written notice by Grantee to the Corporation or the Corporation to Grantee, all disputes, claims, questions, controversies, or differences will be submitted to arbitration administered by the American Arbitration Association (the “AAA”) in accordance with the provisions of its Employment Arbitration Rules (the “Arbitration Rules”).</w:t>
      </w:r>
    </w:p>
    <w:p>
      <w:pPr>
        <w:spacing w:after="0" w:line="186" w:lineRule="exact"/>
        <w:rPr>
          <w:rFonts w:ascii="Arial" w:cs="Arial" w:eastAsia="Arial" w:hAnsi="Arial"/>
          <w:sz w:val="22"/>
          <w:szCs w:val="22"/>
          <w:color w:val="auto"/>
        </w:rPr>
      </w:pPr>
    </w:p>
    <w:p>
      <w:pPr>
        <w:jc w:val="both"/>
        <w:ind w:left="1300" w:firstLine="653"/>
        <w:spacing w:after="0" w:line="247" w:lineRule="auto"/>
        <w:tabs>
          <w:tab w:leader="none" w:pos="2470" w:val="left"/>
        </w:tabs>
        <w:numPr>
          <w:ilvl w:val="1"/>
          <w:numId w:val="71"/>
        </w:numPr>
        <w:rPr>
          <w:rFonts w:ascii="Arial" w:cs="Arial" w:eastAsia="Arial" w:hAnsi="Arial"/>
          <w:sz w:val="22"/>
          <w:szCs w:val="22"/>
          <w:color w:val="auto"/>
        </w:rPr>
      </w:pPr>
      <w:r>
        <w:rPr>
          <w:rFonts w:ascii="Arial" w:cs="Arial" w:eastAsia="Arial" w:hAnsi="Arial"/>
          <w:sz w:val="22"/>
          <w:szCs w:val="22"/>
          <w:b w:val="1"/>
          <w:bCs w:val="1"/>
          <w:color w:val="auto"/>
        </w:rPr>
        <w:t>Arbitrator</w:t>
      </w:r>
      <w:r>
        <w:rPr>
          <w:rFonts w:ascii="Arial" w:cs="Arial" w:eastAsia="Arial" w:hAnsi="Arial"/>
          <w:sz w:val="22"/>
          <w:szCs w:val="22"/>
          <w:color w:val="auto"/>
        </w:rPr>
        <w:t>. The arbitration will be conducted by one arbitrator skilled in the arbitration of executive</w:t>
      </w:r>
      <w:r>
        <w:rPr>
          <w:rFonts w:ascii="Arial" w:cs="Arial" w:eastAsia="Arial" w:hAnsi="Arial"/>
          <w:sz w:val="22"/>
          <w:szCs w:val="22"/>
          <w:b w:val="1"/>
          <w:bCs w:val="1"/>
          <w:color w:val="auto"/>
        </w:rPr>
        <w:t xml:space="preserve"> </w:t>
      </w:r>
      <w:r>
        <w:rPr>
          <w:rFonts w:ascii="Arial" w:cs="Arial" w:eastAsia="Arial" w:hAnsi="Arial"/>
          <w:sz w:val="22"/>
          <w:szCs w:val="22"/>
          <w:color w:val="auto"/>
        </w:rPr>
        <w:t>employment matters. The parties to the arbitration will jointly appoint the arbitrator within 30 days after initiation of the arbitration. If the parties fail to appoint an arbitrator as provided above, an arbitrator with substantial experience in executive employment matters will be appointed by the AAA as provided in the Arbitration Rules. The Corporation will pay all of the fees, if any, and expenses of the arbitrator and the arbitration, unless otherwise determined by the arbitrator. Each party to the arbitration will be responsible for his/its respective attorneys fees or other costs of representation.</w:t>
      </w:r>
    </w:p>
    <w:p>
      <w:pPr>
        <w:spacing w:after="0" w:line="189" w:lineRule="exact"/>
        <w:rPr>
          <w:rFonts w:ascii="Arial" w:cs="Arial" w:eastAsia="Arial" w:hAnsi="Arial"/>
          <w:sz w:val="22"/>
          <w:szCs w:val="22"/>
          <w:color w:val="auto"/>
        </w:rPr>
      </w:pPr>
    </w:p>
    <w:p>
      <w:pPr>
        <w:ind w:left="2420" w:hanging="467"/>
        <w:spacing w:after="0"/>
        <w:tabs>
          <w:tab w:leader="none" w:pos="2420" w:val="left"/>
        </w:tabs>
        <w:numPr>
          <w:ilvl w:val="1"/>
          <w:numId w:val="71"/>
        </w:numPr>
        <w:rPr>
          <w:rFonts w:ascii="Arial" w:cs="Arial" w:eastAsia="Arial" w:hAnsi="Arial"/>
          <w:sz w:val="22"/>
          <w:szCs w:val="22"/>
          <w:color w:val="auto"/>
        </w:rPr>
      </w:pPr>
      <w:r>
        <w:rPr>
          <w:rFonts w:ascii="Arial" w:cs="Arial" w:eastAsia="Arial" w:hAnsi="Arial"/>
          <w:sz w:val="22"/>
          <w:szCs w:val="22"/>
          <w:b w:val="1"/>
          <w:bCs w:val="1"/>
          <w:color w:val="auto"/>
        </w:rPr>
        <w:t>Location</w:t>
      </w:r>
      <w:r>
        <w:rPr>
          <w:rFonts w:ascii="Arial" w:cs="Arial" w:eastAsia="Arial" w:hAnsi="Arial"/>
          <w:sz w:val="22"/>
          <w:szCs w:val="22"/>
          <w:color w:val="auto"/>
        </w:rPr>
        <w:t>. The arbitration will be conducted in Oakland County, Michigan.</w:t>
      </w:r>
    </w:p>
    <w:p>
      <w:pPr>
        <w:spacing w:after="0" w:line="219" w:lineRule="exact"/>
        <w:rPr>
          <w:rFonts w:ascii="Arial" w:cs="Arial" w:eastAsia="Arial" w:hAnsi="Arial"/>
          <w:sz w:val="22"/>
          <w:szCs w:val="22"/>
          <w:color w:val="auto"/>
        </w:rPr>
      </w:pPr>
    </w:p>
    <w:p>
      <w:pPr>
        <w:jc w:val="both"/>
        <w:ind w:left="1300" w:firstLine="653"/>
        <w:spacing w:after="0" w:line="249" w:lineRule="auto"/>
        <w:tabs>
          <w:tab w:leader="none" w:pos="2470" w:val="left"/>
        </w:tabs>
        <w:numPr>
          <w:ilvl w:val="1"/>
          <w:numId w:val="71"/>
        </w:numPr>
        <w:rPr>
          <w:rFonts w:ascii="Arial" w:cs="Arial" w:eastAsia="Arial" w:hAnsi="Arial"/>
          <w:sz w:val="22"/>
          <w:szCs w:val="22"/>
          <w:color w:val="auto"/>
        </w:rPr>
      </w:pPr>
      <w:r>
        <w:rPr>
          <w:rFonts w:ascii="Arial" w:cs="Arial" w:eastAsia="Arial" w:hAnsi="Arial"/>
          <w:sz w:val="22"/>
          <w:szCs w:val="22"/>
          <w:b w:val="1"/>
          <w:bCs w:val="1"/>
          <w:color w:val="auto"/>
        </w:rPr>
        <w:t>Procedure</w:t>
      </w:r>
      <w:r>
        <w:rPr>
          <w:rFonts w:ascii="Arial" w:cs="Arial" w:eastAsia="Arial" w:hAnsi="Arial"/>
          <w:sz w:val="22"/>
          <w:szCs w:val="22"/>
          <w:color w:val="auto"/>
        </w:rPr>
        <w:t>. At any oral hearing of evidence in connection with the arbitration, each party or its legal</w:t>
      </w:r>
      <w:r>
        <w:rPr>
          <w:rFonts w:ascii="Arial" w:cs="Arial" w:eastAsia="Arial" w:hAnsi="Arial"/>
          <w:sz w:val="22"/>
          <w:szCs w:val="22"/>
          <w:b w:val="1"/>
          <w:bCs w:val="1"/>
          <w:color w:val="auto"/>
        </w:rPr>
        <w:t xml:space="preserve"> </w:t>
      </w:r>
      <w:r>
        <w:rPr>
          <w:rFonts w:ascii="Arial" w:cs="Arial" w:eastAsia="Arial" w:hAnsi="Arial"/>
          <w:sz w:val="22"/>
          <w:szCs w:val="22"/>
          <w:color w:val="auto"/>
        </w:rPr>
        <w:t>counsel will have the right to examine its witnesses and cross-examine the witnesses of any opposing party. No evidence of any witness may be presented in any form unless the opposing party or parties has the opportunity to cross-examine the witness, except under extraordinary circumstances in which the arbitrator determines that the interests of justice require a different procedure.</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631" w:right="239" w:bottom="1440" w:gutter="0" w:footer="0" w:header="0"/>
        </w:sectPr>
      </w:pPr>
    </w:p>
    <w:bookmarkStart w:id="82" w:name="page83"/>
    <w:bookmarkEnd w:id="82"/>
    <w:p>
      <w:pPr>
        <w:jc w:val="both"/>
        <w:ind w:left="1300" w:firstLine="653"/>
        <w:spacing w:after="0" w:line="252" w:lineRule="auto"/>
        <w:tabs>
          <w:tab w:leader="none" w:pos="2470" w:val="left"/>
        </w:tabs>
        <w:numPr>
          <w:ilvl w:val="0"/>
          <w:numId w:val="72"/>
        </w:numPr>
        <w:rPr>
          <w:rFonts w:ascii="Arial" w:cs="Arial" w:eastAsia="Arial" w:hAnsi="Arial"/>
          <w:sz w:val="22"/>
          <w:szCs w:val="22"/>
          <w:color w:val="auto"/>
        </w:rPr>
      </w:pPr>
      <w:r>
        <w:rPr>
          <w:rFonts w:ascii="Arial" w:cs="Arial" w:eastAsia="Arial" w:hAnsi="Arial"/>
          <w:sz w:val="22"/>
          <w:szCs w:val="22"/>
          <w:b w:val="1"/>
          <w:bCs w:val="1"/>
          <w:color w:val="auto"/>
        </w:rPr>
        <w:t>Decision</w:t>
      </w:r>
      <w:r>
        <w:rPr>
          <w:rFonts w:ascii="Arial" w:cs="Arial" w:eastAsia="Arial" w:hAnsi="Arial"/>
          <w:sz w:val="22"/>
          <w:szCs w:val="22"/>
          <w:color w:val="auto"/>
        </w:rPr>
        <w:t>. Any decision or award of the arbitrator is final and binding on the parties to the arbitration</w:t>
      </w:r>
      <w:r>
        <w:rPr>
          <w:rFonts w:ascii="Arial" w:cs="Arial" w:eastAsia="Arial" w:hAnsi="Arial"/>
          <w:sz w:val="22"/>
          <w:szCs w:val="22"/>
          <w:b w:val="1"/>
          <w:bCs w:val="1"/>
          <w:color w:val="auto"/>
        </w:rPr>
        <w:t xml:space="preserve"> </w:t>
      </w:r>
      <w:r>
        <w:rPr>
          <w:rFonts w:ascii="Arial" w:cs="Arial" w:eastAsia="Arial" w:hAnsi="Arial"/>
          <w:sz w:val="22"/>
          <w:szCs w:val="22"/>
          <w:color w:val="auto"/>
        </w:rPr>
        <w:t>proceeding. The parties agree that the arbitration award may be enforced against the parties to the arbitration proceeding or their assets wherever they may be found and that a judgment upon the arbitration award may be entered in any court having jurisdiction.</w:t>
      </w:r>
    </w:p>
    <w:p>
      <w:pPr>
        <w:spacing w:after="0" w:line="180" w:lineRule="exact"/>
        <w:rPr>
          <w:rFonts w:ascii="Arial" w:cs="Arial" w:eastAsia="Arial" w:hAnsi="Arial"/>
          <w:sz w:val="22"/>
          <w:szCs w:val="22"/>
          <w:color w:val="auto"/>
        </w:rPr>
      </w:pPr>
    </w:p>
    <w:p>
      <w:pPr>
        <w:ind w:left="1300" w:firstLine="653"/>
        <w:spacing w:after="0" w:line="350" w:lineRule="auto"/>
        <w:tabs>
          <w:tab w:leader="none" w:pos="2551" w:val="left"/>
        </w:tabs>
        <w:numPr>
          <w:ilvl w:val="0"/>
          <w:numId w:val="72"/>
        </w:numPr>
        <w:rPr>
          <w:rFonts w:ascii="Arial" w:cs="Arial" w:eastAsia="Arial" w:hAnsi="Arial"/>
          <w:sz w:val="19"/>
          <w:szCs w:val="19"/>
          <w:color w:val="auto"/>
        </w:rPr>
      </w:pPr>
      <w:r>
        <w:rPr>
          <w:rFonts w:ascii="Arial" w:cs="Arial" w:eastAsia="Arial" w:hAnsi="Arial"/>
          <w:sz w:val="19"/>
          <w:szCs w:val="19"/>
          <w:b w:val="1"/>
          <w:bCs w:val="1"/>
          <w:color w:val="auto"/>
        </w:rPr>
        <w:t>Power</w:t>
      </w:r>
      <w:r>
        <w:rPr>
          <w:rFonts w:ascii="Arial" w:cs="Arial" w:eastAsia="Arial" w:hAnsi="Arial"/>
          <w:sz w:val="19"/>
          <w:szCs w:val="19"/>
          <w:color w:val="auto"/>
        </w:rPr>
        <w:t>. Nothing contained in this Agreement may be deemed to give the arbitrator any authority,</w:t>
      </w:r>
      <w:r>
        <w:rPr>
          <w:rFonts w:ascii="Arial" w:cs="Arial" w:eastAsia="Arial" w:hAnsi="Arial"/>
          <w:sz w:val="19"/>
          <w:szCs w:val="19"/>
          <w:b w:val="1"/>
          <w:bCs w:val="1"/>
          <w:color w:val="auto"/>
        </w:rPr>
        <w:t xml:space="preserve"> </w:t>
      </w:r>
      <w:r>
        <w:rPr>
          <w:rFonts w:ascii="Arial" w:cs="Arial" w:eastAsia="Arial" w:hAnsi="Arial"/>
          <w:sz w:val="19"/>
          <w:szCs w:val="19"/>
          <w:color w:val="auto"/>
        </w:rPr>
        <w:t>power, or right to alter, change, amend, modify, add to, or subtract from any of the provisions of this Agreement.</w:t>
      </w:r>
    </w:p>
    <w:p>
      <w:pPr>
        <w:spacing w:after="0" w:line="98"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The provisions of this Section II.B.3 survive the termination or expiration of this Agreement, are binding on the Corporation’s and Grantee’s respective successors, heirs, personal representatives, designated beneficiaries and any other person asserting a claim described above, and may not be modified without the consent of the Corporation. To the extent arbitration is required, no person asserting a claim has the right to resort to any federal, state or local court or administrative agency concerning the claim unless expressly provided by federal statute, and the decision of the arbitrator is a complete defense to any action or proceeding instituted in any tribunal or agency with respect to any dispute, unless precluded by federal statute.</w:t>
      </w:r>
    </w:p>
    <w:p>
      <w:pPr>
        <w:spacing w:after="0" w:line="144" w:lineRule="exact"/>
        <w:rPr>
          <w:sz w:val="20"/>
          <w:szCs w:val="20"/>
          <w:color w:val="auto"/>
        </w:rPr>
      </w:pPr>
    </w:p>
    <w:p>
      <w:pPr>
        <w:ind w:firstLine="1305"/>
        <w:spacing w:after="0" w:line="350" w:lineRule="auto"/>
        <w:tabs>
          <w:tab w:leader="none" w:pos="1688" w:val="left"/>
        </w:tabs>
        <w:numPr>
          <w:ilvl w:val="0"/>
          <w:numId w:val="73"/>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Code Section 409A</w:t>
      </w:r>
      <w:r>
        <w:rPr>
          <w:rFonts w:ascii="Arial" w:cs="Arial" w:eastAsia="Arial" w:hAnsi="Arial"/>
          <w:sz w:val="19"/>
          <w:szCs w:val="19"/>
          <w:u w:val="single" w:color="auto"/>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Without limiting the generality of any other provision of this Agreement, and to the extent</w:t>
      </w:r>
      <w:r>
        <w:rPr>
          <w:rFonts w:ascii="Arial" w:cs="Arial" w:eastAsia="Arial" w:hAnsi="Arial"/>
          <w:sz w:val="19"/>
          <w:szCs w:val="19"/>
          <w:b w:val="1"/>
          <w:bCs w:val="1"/>
          <w:color w:val="auto"/>
        </w:rPr>
        <w:t xml:space="preserve"> </w:t>
      </w:r>
      <w:r>
        <w:rPr>
          <w:rFonts w:ascii="Arial" w:cs="Arial" w:eastAsia="Arial" w:hAnsi="Arial"/>
          <w:sz w:val="19"/>
          <w:szCs w:val="19"/>
          <w:color w:val="auto"/>
        </w:rPr>
        <w:t>applicable, Section 11.9 of the Plan pertaining to Code Section 409A is hereby explicitly incorporated into this Agreement.</w:t>
      </w:r>
    </w:p>
    <w:p>
      <w:pPr>
        <w:spacing w:after="0" w:line="92" w:lineRule="exact"/>
        <w:rPr>
          <w:rFonts w:ascii="Arial" w:cs="Arial" w:eastAsia="Arial" w:hAnsi="Arial"/>
          <w:sz w:val="19"/>
          <w:szCs w:val="19"/>
          <w:b w:val="1"/>
          <w:bCs w:val="1"/>
          <w:color w:val="auto"/>
        </w:rPr>
      </w:pPr>
    </w:p>
    <w:p>
      <w:pPr>
        <w:jc w:val="both"/>
        <w:ind w:firstLine="1305"/>
        <w:spacing w:after="0" w:line="249" w:lineRule="auto"/>
        <w:tabs>
          <w:tab w:leader="none" w:pos="1742" w:val="left"/>
        </w:tabs>
        <w:numPr>
          <w:ilvl w:val="0"/>
          <w:numId w:val="7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 Continued Right as Service Provider.</w:t>
      </w:r>
      <w:r>
        <w:rPr>
          <w:rFonts w:ascii="Arial" w:cs="Arial" w:eastAsia="Arial" w:hAnsi="Arial"/>
          <w:sz w:val="22"/>
          <w:szCs w:val="22"/>
          <w:b w:val="1"/>
          <w:bCs w:val="1"/>
          <w:color w:val="auto"/>
        </w:rPr>
        <w:t xml:space="preserve"> </w:t>
      </w:r>
      <w:r>
        <w:rPr>
          <w:rFonts w:ascii="Arial" w:cs="Arial" w:eastAsia="Arial" w:hAnsi="Arial"/>
          <w:sz w:val="22"/>
          <w:szCs w:val="22"/>
          <w:color w:val="auto"/>
        </w:rPr>
        <w:t>Nothing in the Plan or in this Agreement confers on Grantee any</w:t>
      </w:r>
      <w:r>
        <w:rPr>
          <w:rFonts w:ascii="Arial" w:cs="Arial" w:eastAsia="Arial" w:hAnsi="Arial"/>
          <w:sz w:val="22"/>
          <w:szCs w:val="22"/>
          <w:b w:val="1"/>
          <w:bCs w:val="1"/>
          <w:color w:val="auto"/>
        </w:rPr>
        <w:t xml:space="preserve"> </w:t>
      </w:r>
      <w:r>
        <w:rPr>
          <w:rFonts w:ascii="Arial" w:cs="Arial" w:eastAsia="Arial" w:hAnsi="Arial"/>
          <w:sz w:val="22"/>
          <w:szCs w:val="22"/>
          <w:color w:val="auto"/>
        </w:rPr>
        <w:t>right to continue as a Service Provider, or interferes with or restricts in any way the rights of the Corporation or any Subsidiary or Affiliate, which are hereby expressly reserved, to discharge Grantee at any time for any reason whatsoever, with or without Cause, except to the extent expressly provided otherwise in a written employment agreement between Grantee and the Corporation or any Subsidiary or Affiliate.</w:t>
      </w:r>
    </w:p>
    <w:p>
      <w:pPr>
        <w:spacing w:after="0" w:line="186" w:lineRule="exact"/>
        <w:rPr>
          <w:rFonts w:ascii="Arial" w:cs="Arial" w:eastAsia="Arial" w:hAnsi="Arial"/>
          <w:sz w:val="22"/>
          <w:szCs w:val="22"/>
          <w:b w:val="1"/>
          <w:bCs w:val="1"/>
          <w:color w:val="auto"/>
        </w:rPr>
      </w:pPr>
    </w:p>
    <w:p>
      <w:pPr>
        <w:jc w:val="both"/>
        <w:ind w:firstLine="1305"/>
        <w:spacing w:after="0" w:line="252" w:lineRule="auto"/>
        <w:tabs>
          <w:tab w:leader="none" w:pos="1742" w:val="left"/>
        </w:tabs>
        <w:numPr>
          <w:ilvl w:val="0"/>
          <w:numId w:val="7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Effect on Other Benefits</w:t>
      </w:r>
      <w:r>
        <w:rPr>
          <w:rFonts w:ascii="Arial" w:cs="Arial" w:eastAsia="Arial" w:hAnsi="Arial"/>
          <w:sz w:val="22"/>
          <w:szCs w:val="22"/>
          <w:u w:val="single" w:color="auto"/>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In no event will the value, at any time, of the Restricted Stock Units or any other</w:t>
      </w:r>
      <w:r>
        <w:rPr>
          <w:rFonts w:ascii="Arial" w:cs="Arial" w:eastAsia="Arial" w:hAnsi="Arial"/>
          <w:sz w:val="22"/>
          <w:szCs w:val="22"/>
          <w:b w:val="1"/>
          <w:bCs w:val="1"/>
          <w:color w:val="auto"/>
        </w:rPr>
        <w:t xml:space="preserve"> </w:t>
      </w:r>
      <w:r>
        <w:rPr>
          <w:rFonts w:ascii="Arial" w:cs="Arial" w:eastAsia="Arial" w:hAnsi="Arial"/>
          <w:sz w:val="22"/>
          <w:szCs w:val="22"/>
          <w:color w:val="auto"/>
        </w:rPr>
        <w:t>payment or right to payment under this Agreement be included as compensation or earnings for purposes of any other compensation, retirement, or benefit plan offered to employees of, or other Service Providers to, the Corporation or any Subsidiary or Affiliate unless otherwise specifically provided for in such plan.</w:t>
      </w:r>
    </w:p>
    <w:p>
      <w:pPr>
        <w:spacing w:after="0" w:line="180" w:lineRule="exact"/>
        <w:rPr>
          <w:rFonts w:ascii="Arial" w:cs="Arial" w:eastAsia="Arial" w:hAnsi="Arial"/>
          <w:sz w:val="22"/>
          <w:szCs w:val="22"/>
          <w:b w:val="1"/>
          <w:bCs w:val="1"/>
          <w:color w:val="auto"/>
        </w:rPr>
      </w:pPr>
    </w:p>
    <w:p>
      <w:pPr>
        <w:jc w:val="both"/>
        <w:ind w:firstLine="1305"/>
        <w:spacing w:after="0" w:line="252" w:lineRule="auto"/>
        <w:tabs>
          <w:tab w:leader="none" w:pos="1756" w:val="left"/>
        </w:tabs>
        <w:numPr>
          <w:ilvl w:val="0"/>
          <w:numId w:val="7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Severability</w:t>
      </w:r>
      <w:r>
        <w:rPr>
          <w:rFonts w:ascii="Arial" w:cs="Arial" w:eastAsia="Arial" w:hAnsi="Arial"/>
          <w:sz w:val="22"/>
          <w:szCs w:val="22"/>
          <w:color w:val="auto"/>
        </w:rPr>
        <w:t>. If any provision of this Agreement or the application of any provision hereof to any person or</w:t>
      </w:r>
      <w:r>
        <w:rPr>
          <w:rFonts w:ascii="Arial" w:cs="Arial" w:eastAsia="Arial" w:hAnsi="Arial"/>
          <w:sz w:val="22"/>
          <w:szCs w:val="22"/>
          <w:b w:val="1"/>
          <w:bCs w:val="1"/>
          <w:color w:val="auto"/>
        </w:rPr>
        <w:t xml:space="preserve"> </w:t>
      </w:r>
      <w:r>
        <w:rPr>
          <w:rFonts w:ascii="Arial" w:cs="Arial" w:eastAsia="Arial" w:hAnsi="Arial"/>
          <w:sz w:val="22"/>
          <w:szCs w:val="22"/>
          <w:color w:val="auto"/>
        </w:rPr>
        <w:t>circumstances is held invalid or unenforceable, the remainder of this Agreement and the application of such provision to any other person or circumstances shall not be affected, and the provisions so held to be invalid or unenforceable shall be reformed to the extent (and only to the extent) necessary to make it enforceable and valid.</w:t>
      </w:r>
    </w:p>
    <w:p>
      <w:pPr>
        <w:spacing w:after="0" w:line="180" w:lineRule="exact"/>
        <w:rPr>
          <w:rFonts w:ascii="Arial" w:cs="Arial" w:eastAsia="Arial" w:hAnsi="Arial"/>
          <w:sz w:val="22"/>
          <w:szCs w:val="22"/>
          <w:b w:val="1"/>
          <w:bCs w:val="1"/>
          <w:color w:val="auto"/>
        </w:rPr>
      </w:pPr>
    </w:p>
    <w:p>
      <w:pPr>
        <w:jc w:val="both"/>
        <w:ind w:firstLine="1305"/>
        <w:spacing w:after="0" w:line="252" w:lineRule="auto"/>
        <w:tabs>
          <w:tab w:leader="none" w:pos="1877" w:val="left"/>
        </w:tabs>
        <w:numPr>
          <w:ilvl w:val="0"/>
          <w:numId w:val="7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Electronic Delivery</w:t>
      </w:r>
      <w:r>
        <w:rPr>
          <w:rFonts w:ascii="Arial" w:cs="Arial" w:eastAsia="Arial" w:hAnsi="Arial"/>
          <w:sz w:val="22"/>
          <w:szCs w:val="22"/>
          <w:color w:val="auto"/>
        </w:rPr>
        <w:t>. The Corporation may, in its sole discretion, deliver any documents related to the</w:t>
      </w:r>
      <w:r>
        <w:rPr>
          <w:rFonts w:ascii="Arial" w:cs="Arial" w:eastAsia="Arial" w:hAnsi="Arial"/>
          <w:sz w:val="22"/>
          <w:szCs w:val="22"/>
          <w:b w:val="1"/>
          <w:bCs w:val="1"/>
          <w:color w:val="auto"/>
        </w:rPr>
        <w:t xml:space="preserve"> </w:t>
      </w:r>
      <w:r>
        <w:rPr>
          <w:rFonts w:ascii="Arial" w:cs="Arial" w:eastAsia="Arial" w:hAnsi="Arial"/>
          <w:sz w:val="22"/>
          <w:szCs w:val="22"/>
          <w:color w:val="auto"/>
        </w:rPr>
        <w:t>Restricted Stock Units and Grantee’s participation in the Plan, or future awards that may be granted under the Plan, by electronic means or request Grantee’s consent to participate in the Plan by electronic means. Grantee hereby consents to receive such documents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625" w:right="239" w:bottom="1440" w:gutter="0" w:footer="0" w:header="0"/>
        </w:sectPr>
      </w:pPr>
    </w:p>
    <w:bookmarkStart w:id="83" w:name="page84"/>
    <w:bookmarkEnd w:id="83"/>
    <w:p>
      <w:pPr>
        <w:ind w:right="20"/>
        <w:spacing w:after="0" w:line="263" w:lineRule="auto"/>
        <w:rPr>
          <w:sz w:val="20"/>
          <w:szCs w:val="20"/>
          <w:color w:val="auto"/>
        </w:rPr>
      </w:pPr>
      <w:r>
        <w:rPr>
          <w:rFonts w:ascii="Arial" w:cs="Arial" w:eastAsia="Arial" w:hAnsi="Arial"/>
          <w:sz w:val="22"/>
          <w:szCs w:val="22"/>
          <w:color w:val="auto"/>
        </w:rPr>
        <w:t>by electronic delivery and, if requested, agrees to participate in the Plan through an on-line or electronic system established and maintained by the Corporation or another third party designated by the Corporation.</w:t>
      </w:r>
    </w:p>
    <w:p>
      <w:pPr>
        <w:spacing w:after="0" w:line="169" w:lineRule="exact"/>
        <w:rPr>
          <w:sz w:val="20"/>
          <w:szCs w:val="20"/>
          <w:color w:val="auto"/>
        </w:rPr>
      </w:pPr>
    </w:p>
    <w:p>
      <w:pPr>
        <w:ind w:left="1680" w:hanging="375"/>
        <w:spacing w:after="0"/>
        <w:tabs>
          <w:tab w:leader="none" w:pos="1680" w:val="left"/>
        </w:tabs>
        <w:numPr>
          <w:ilvl w:val="0"/>
          <w:numId w:val="7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Nature of Grant</w:t>
      </w:r>
      <w:r>
        <w:rPr>
          <w:rFonts w:ascii="Arial" w:cs="Arial" w:eastAsia="Arial" w:hAnsi="Arial"/>
          <w:sz w:val="22"/>
          <w:szCs w:val="22"/>
          <w:b w:val="1"/>
          <w:bCs w:val="1"/>
          <w:color w:val="auto"/>
        </w:rPr>
        <w:t xml:space="preserve">. </w:t>
      </w:r>
      <w:r>
        <w:rPr>
          <w:rFonts w:ascii="Arial" w:cs="Arial" w:eastAsia="Arial" w:hAnsi="Arial"/>
          <w:sz w:val="22"/>
          <w:szCs w:val="22"/>
          <w:color w:val="auto"/>
        </w:rPr>
        <w:t>In accepting the Award, Grantee acknowledges that:</w:t>
      </w:r>
    </w:p>
    <w:p>
      <w:pPr>
        <w:spacing w:after="0" w:line="226" w:lineRule="exact"/>
        <w:rPr>
          <w:sz w:val="20"/>
          <w:szCs w:val="20"/>
          <w:color w:val="auto"/>
        </w:rPr>
      </w:pPr>
    </w:p>
    <w:p>
      <w:pPr>
        <w:ind w:left="660" w:firstLine="645"/>
        <w:spacing w:after="0" w:line="343" w:lineRule="auto"/>
        <w:tabs>
          <w:tab w:leader="none" w:pos="1862" w:val="left"/>
        </w:tabs>
        <w:numPr>
          <w:ilvl w:val="0"/>
          <w:numId w:val="75"/>
        </w:numPr>
        <w:rPr>
          <w:rFonts w:ascii="Arial" w:cs="Arial" w:eastAsia="Arial" w:hAnsi="Arial"/>
          <w:sz w:val="19"/>
          <w:szCs w:val="19"/>
          <w:color w:val="auto"/>
        </w:rPr>
      </w:pPr>
      <w:r>
        <w:rPr>
          <w:rFonts w:ascii="Arial" w:cs="Arial" w:eastAsia="Arial" w:hAnsi="Arial"/>
          <w:sz w:val="19"/>
          <w:szCs w:val="19"/>
          <w:color w:val="auto"/>
        </w:rPr>
        <w:t>the Plan is established voluntarily by the Corporation, it is discretionary in nature and it may be modified, amended, suspended or terminated by the Corporation at any time unless otherwise provided in the Plan or this Agreement;</w:t>
      </w:r>
    </w:p>
    <w:p>
      <w:pPr>
        <w:spacing w:after="0" w:line="104" w:lineRule="exact"/>
        <w:rPr>
          <w:rFonts w:ascii="Arial" w:cs="Arial" w:eastAsia="Arial" w:hAnsi="Arial"/>
          <w:sz w:val="19"/>
          <w:szCs w:val="19"/>
          <w:color w:val="auto"/>
        </w:rPr>
      </w:pPr>
    </w:p>
    <w:p>
      <w:pPr>
        <w:jc w:val="both"/>
        <w:ind w:left="660" w:firstLine="645"/>
        <w:spacing w:after="0" w:line="253" w:lineRule="auto"/>
        <w:tabs>
          <w:tab w:leader="none" w:pos="1794" w:val="left"/>
        </w:tabs>
        <w:numPr>
          <w:ilvl w:val="0"/>
          <w:numId w:val="75"/>
        </w:numPr>
        <w:rPr>
          <w:rFonts w:ascii="Arial" w:cs="Arial" w:eastAsia="Arial" w:hAnsi="Arial"/>
          <w:sz w:val="22"/>
          <w:szCs w:val="22"/>
          <w:color w:val="auto"/>
        </w:rPr>
      </w:pPr>
      <w:r>
        <w:rPr>
          <w:rFonts w:ascii="Arial" w:cs="Arial" w:eastAsia="Arial" w:hAnsi="Arial"/>
          <w:sz w:val="22"/>
          <w:szCs w:val="22"/>
          <w:color w:val="auto"/>
        </w:rPr>
        <w:t>the grant of the Restricted Stock Units is voluntary and occasional and does not create any contractual or other right to receive future grants of restricted stock units, or benefits in lieu of restricted stock units, even if restricted stock units have been granted repeatedly in the past;</w:t>
      </w:r>
    </w:p>
    <w:p>
      <w:pPr>
        <w:spacing w:after="0" w:line="185" w:lineRule="exact"/>
        <w:rPr>
          <w:rFonts w:ascii="Arial" w:cs="Arial" w:eastAsia="Arial" w:hAnsi="Arial"/>
          <w:sz w:val="22"/>
          <w:szCs w:val="22"/>
          <w:color w:val="auto"/>
        </w:rPr>
      </w:pPr>
    </w:p>
    <w:p>
      <w:pPr>
        <w:ind w:left="1880" w:hanging="575"/>
        <w:spacing w:after="0"/>
        <w:tabs>
          <w:tab w:leader="none" w:pos="1880" w:val="left"/>
        </w:tabs>
        <w:numPr>
          <w:ilvl w:val="0"/>
          <w:numId w:val="75"/>
        </w:numPr>
        <w:rPr>
          <w:rFonts w:ascii="Arial" w:cs="Arial" w:eastAsia="Arial" w:hAnsi="Arial"/>
          <w:sz w:val="19"/>
          <w:szCs w:val="19"/>
          <w:color w:val="auto"/>
        </w:rPr>
      </w:pPr>
      <w:r>
        <w:rPr>
          <w:rFonts w:ascii="Arial" w:cs="Arial" w:eastAsia="Arial" w:hAnsi="Arial"/>
          <w:sz w:val="19"/>
          <w:szCs w:val="19"/>
          <w:color w:val="auto"/>
        </w:rPr>
        <w:t>all decisions with respect to future restricted stock unit grants, if any, will be at the sole discretion of the</w:t>
      </w:r>
    </w:p>
    <w:p>
      <w:pPr>
        <w:spacing w:after="0" w:line="56"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Corporation;</w:t>
      </w:r>
    </w:p>
    <w:p>
      <w:pPr>
        <w:spacing w:after="0" w:line="201" w:lineRule="exact"/>
        <w:rPr>
          <w:rFonts w:ascii="Arial" w:cs="Arial" w:eastAsia="Arial" w:hAnsi="Arial"/>
          <w:sz w:val="19"/>
          <w:szCs w:val="19"/>
          <w:color w:val="auto"/>
        </w:rPr>
      </w:pPr>
    </w:p>
    <w:p>
      <w:pPr>
        <w:ind w:left="1780" w:hanging="475"/>
        <w:spacing w:after="0"/>
        <w:tabs>
          <w:tab w:leader="none" w:pos="1780" w:val="left"/>
        </w:tabs>
        <w:numPr>
          <w:ilvl w:val="0"/>
          <w:numId w:val="75"/>
        </w:numPr>
        <w:rPr>
          <w:rFonts w:ascii="Arial" w:cs="Arial" w:eastAsia="Arial" w:hAnsi="Arial"/>
          <w:sz w:val="22"/>
          <w:szCs w:val="22"/>
          <w:color w:val="auto"/>
        </w:rPr>
      </w:pPr>
      <w:r>
        <w:rPr>
          <w:rFonts w:ascii="Arial" w:cs="Arial" w:eastAsia="Arial" w:hAnsi="Arial"/>
          <w:sz w:val="22"/>
          <w:szCs w:val="22"/>
          <w:color w:val="auto"/>
        </w:rPr>
        <w:t>Grantee is voluntarily participating in the Plan;</w:t>
      </w:r>
    </w:p>
    <w:p>
      <w:pPr>
        <w:spacing w:after="0" w:line="219" w:lineRule="exact"/>
        <w:rPr>
          <w:rFonts w:ascii="Arial" w:cs="Arial" w:eastAsia="Arial" w:hAnsi="Arial"/>
          <w:sz w:val="22"/>
          <w:szCs w:val="22"/>
          <w:color w:val="auto"/>
        </w:rPr>
      </w:pPr>
    </w:p>
    <w:p>
      <w:pPr>
        <w:jc w:val="both"/>
        <w:ind w:left="660" w:right="20" w:firstLine="645"/>
        <w:spacing w:after="0" w:line="253" w:lineRule="auto"/>
        <w:tabs>
          <w:tab w:leader="none" w:pos="1824" w:val="left"/>
        </w:tabs>
        <w:numPr>
          <w:ilvl w:val="0"/>
          <w:numId w:val="75"/>
        </w:numPr>
        <w:rPr>
          <w:rFonts w:ascii="Arial" w:cs="Arial" w:eastAsia="Arial" w:hAnsi="Arial"/>
          <w:sz w:val="22"/>
          <w:szCs w:val="22"/>
          <w:color w:val="auto"/>
        </w:rPr>
      </w:pPr>
      <w:r>
        <w:rPr>
          <w:rFonts w:ascii="Arial" w:cs="Arial" w:eastAsia="Arial" w:hAnsi="Arial"/>
          <w:sz w:val="22"/>
          <w:szCs w:val="22"/>
          <w:color w:val="auto"/>
        </w:rPr>
        <w:t>the Restricted Stock Units and the Common Stock subject to the Restricted Stock Units are an extraordinary item that does not constitute compensation of any kind for services of any kind rendered to the Corporation or Grantee’s employer, and which is outside the scope of Grantee’s employment contract, if any;</w:t>
      </w:r>
    </w:p>
    <w:p>
      <w:pPr>
        <w:spacing w:after="0" w:line="185" w:lineRule="exact"/>
        <w:rPr>
          <w:rFonts w:ascii="Arial" w:cs="Arial" w:eastAsia="Arial" w:hAnsi="Arial"/>
          <w:sz w:val="22"/>
          <w:szCs w:val="22"/>
          <w:color w:val="auto"/>
        </w:rPr>
      </w:pPr>
    </w:p>
    <w:p>
      <w:pPr>
        <w:ind w:left="660" w:firstLine="645"/>
        <w:spacing w:after="0" w:line="263" w:lineRule="auto"/>
        <w:tabs>
          <w:tab w:leader="none" w:pos="1828" w:val="left"/>
        </w:tabs>
        <w:numPr>
          <w:ilvl w:val="0"/>
          <w:numId w:val="75"/>
        </w:numPr>
        <w:rPr>
          <w:rFonts w:ascii="Arial" w:cs="Arial" w:eastAsia="Arial" w:hAnsi="Arial"/>
          <w:sz w:val="22"/>
          <w:szCs w:val="22"/>
          <w:color w:val="auto"/>
        </w:rPr>
      </w:pPr>
      <w:r>
        <w:rPr>
          <w:rFonts w:ascii="Arial" w:cs="Arial" w:eastAsia="Arial" w:hAnsi="Arial"/>
          <w:sz w:val="22"/>
          <w:szCs w:val="22"/>
          <w:color w:val="auto"/>
        </w:rPr>
        <w:t>the Restricted Stock Units and the Common Stock subject to the Restricted Stock Units are not intended to replace any pension rights or compensation;</w:t>
      </w:r>
    </w:p>
    <w:p>
      <w:pPr>
        <w:spacing w:after="0" w:line="174" w:lineRule="exact"/>
        <w:rPr>
          <w:rFonts w:ascii="Arial" w:cs="Arial" w:eastAsia="Arial" w:hAnsi="Arial"/>
          <w:sz w:val="22"/>
          <w:szCs w:val="22"/>
          <w:color w:val="auto"/>
        </w:rPr>
      </w:pPr>
    </w:p>
    <w:p>
      <w:pPr>
        <w:ind w:left="1780" w:hanging="475"/>
        <w:spacing w:after="0"/>
        <w:tabs>
          <w:tab w:leader="none" w:pos="1780" w:val="left"/>
        </w:tabs>
        <w:numPr>
          <w:ilvl w:val="0"/>
          <w:numId w:val="75"/>
        </w:numPr>
        <w:rPr>
          <w:rFonts w:ascii="Arial" w:cs="Arial" w:eastAsia="Arial" w:hAnsi="Arial"/>
          <w:sz w:val="21"/>
          <w:szCs w:val="21"/>
          <w:color w:val="auto"/>
        </w:rPr>
      </w:pPr>
      <w:r>
        <w:rPr>
          <w:rFonts w:ascii="Arial" w:cs="Arial" w:eastAsia="Arial" w:hAnsi="Arial"/>
          <w:sz w:val="21"/>
          <w:szCs w:val="21"/>
          <w:color w:val="auto"/>
        </w:rPr>
        <w:t>the future value of the underlying Common Stock is unknown and cannot be predicted with certainty;</w:t>
      </w:r>
    </w:p>
    <w:p>
      <w:pPr>
        <w:spacing w:after="0" w:line="231" w:lineRule="exact"/>
        <w:rPr>
          <w:rFonts w:ascii="Arial" w:cs="Arial" w:eastAsia="Arial" w:hAnsi="Arial"/>
          <w:sz w:val="21"/>
          <w:szCs w:val="21"/>
          <w:color w:val="auto"/>
        </w:rPr>
      </w:pPr>
    </w:p>
    <w:p>
      <w:pPr>
        <w:jc w:val="both"/>
        <w:ind w:left="660" w:firstLine="645"/>
        <w:spacing w:after="0" w:line="312" w:lineRule="auto"/>
        <w:tabs>
          <w:tab w:leader="none" w:pos="1862" w:val="left"/>
        </w:tabs>
        <w:numPr>
          <w:ilvl w:val="0"/>
          <w:numId w:val="75"/>
        </w:numPr>
        <w:rPr>
          <w:rFonts w:ascii="Arial" w:cs="Arial" w:eastAsia="Arial" w:hAnsi="Arial"/>
          <w:sz w:val="19"/>
          <w:szCs w:val="19"/>
          <w:color w:val="auto"/>
        </w:rPr>
      </w:pPr>
      <w:r>
        <w:rPr>
          <w:rFonts w:ascii="Arial" w:cs="Arial" w:eastAsia="Arial" w:hAnsi="Arial"/>
          <w:sz w:val="19"/>
          <w:szCs w:val="19"/>
          <w:color w:val="auto"/>
        </w:rPr>
        <w:t>Awards and resulting benefits are not part of normal or expected compensation or salary for any purposes, including, but not limited to, calculating any severance, resignation, termination, redundancy, end of service payments, bonuses, long-service awards, pension or retirement benefits or similar payments insofar as permitted by law;</w:t>
      </w:r>
    </w:p>
    <w:p>
      <w:pPr>
        <w:spacing w:after="0" w:line="134" w:lineRule="exact"/>
        <w:rPr>
          <w:sz w:val="20"/>
          <w:szCs w:val="20"/>
          <w:color w:val="auto"/>
        </w:rPr>
      </w:pPr>
    </w:p>
    <w:p>
      <w:pPr>
        <w:jc w:val="both"/>
        <w:ind w:left="660" w:firstLine="645"/>
        <w:spacing w:after="0" w:line="261" w:lineRule="auto"/>
        <w:tabs>
          <w:tab w:leader="none" w:pos="1741" w:val="left"/>
        </w:tabs>
        <w:numPr>
          <w:ilvl w:val="0"/>
          <w:numId w:val="76"/>
        </w:numPr>
        <w:rPr>
          <w:rFonts w:ascii="Arial" w:cs="Arial" w:eastAsia="Arial" w:hAnsi="Arial"/>
          <w:sz w:val="21"/>
          <w:szCs w:val="21"/>
          <w:color w:val="auto"/>
        </w:rPr>
      </w:pPr>
      <w:r>
        <w:rPr>
          <w:rFonts w:ascii="Arial" w:cs="Arial" w:eastAsia="Arial" w:hAnsi="Arial"/>
          <w:sz w:val="21"/>
          <w:szCs w:val="21"/>
          <w:color w:val="auto"/>
        </w:rPr>
        <w:t>in consideration of the grant of the Restricted Stock Units, no claim or entitlement to compensation or damages shall arise from forfeiture of the Restricted Stock Units resulting from termination of Grantee’s employment with the Corporation or Grantee’s employer (for any reason whatsoever and whether or not in breach of local labor laws) and Grantee irrevocably releases the Corporation and Grantee’s employer from any such claim that may arise; if, notwithstanding the foregoing, any such claim is found by a court of competent jurisdiction to have arisen, Grantee shall be deemed irrevocably to have waive any entitlement to pursue such claim; and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631" w:right="239" w:bottom="1440" w:gutter="0" w:footer="0" w:header="0"/>
        </w:sectPr>
      </w:pPr>
    </w:p>
    <w:bookmarkStart w:id="84" w:name="page85"/>
    <w:bookmarkEnd w:id="84"/>
    <w:p>
      <w:pPr>
        <w:jc w:val="both"/>
        <w:ind w:left="640" w:firstLine="645"/>
        <w:spacing w:after="0" w:line="297" w:lineRule="auto"/>
        <w:tabs>
          <w:tab w:leader="none" w:pos="1801" w:val="left"/>
        </w:tabs>
        <w:numPr>
          <w:ilvl w:val="0"/>
          <w:numId w:val="77"/>
        </w:numPr>
        <w:rPr>
          <w:rFonts w:ascii="Arial" w:cs="Arial" w:eastAsia="Arial" w:hAnsi="Arial"/>
          <w:sz w:val="19"/>
          <w:szCs w:val="19"/>
          <w:color w:val="auto"/>
        </w:rPr>
      </w:pPr>
      <w:r>
        <w:rPr>
          <w:rFonts w:ascii="Arial" w:cs="Arial" w:eastAsia="Arial" w:hAnsi="Arial"/>
          <w:sz w:val="19"/>
          <w:szCs w:val="19"/>
          <w:color w:val="auto"/>
        </w:rPr>
        <w:t>in the event Grantee ceases to be a Service Provider (whether or not in breach of local labor laws), Grantee’s right to vest in the Restricted Stock Units under the Plan, if any, will terminate effective as of the date that Grantee is no longer a Service Provider and will not be extended by any notice period mandated under local law (e.g., active service would not include a period of “garden leave” or similar period pursuant to local law); the Administrator shall have the exclusive discretion to determine when Grantee is no longer a Service Provider for purposes of the Restricted Stock Units.</w:t>
      </w:r>
    </w:p>
    <w:p>
      <w:pPr>
        <w:spacing w:after="0" w:line="141" w:lineRule="exact"/>
        <w:rPr>
          <w:sz w:val="20"/>
          <w:szCs w:val="20"/>
          <w:color w:val="auto"/>
        </w:rPr>
      </w:pPr>
    </w:p>
    <w:p>
      <w:pPr>
        <w:jc w:val="both"/>
        <w:ind w:left="-20" w:firstLine="1305"/>
        <w:spacing w:after="0" w:line="295" w:lineRule="auto"/>
        <w:tabs>
          <w:tab w:leader="none" w:pos="1857" w:val="left"/>
        </w:tabs>
        <w:numPr>
          <w:ilvl w:val="0"/>
          <w:numId w:val="78"/>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Non-U.S. Addendum</w:t>
      </w:r>
      <w:r>
        <w:rPr>
          <w:rFonts w:ascii="Arial" w:cs="Arial" w:eastAsia="Arial" w:hAnsi="Arial"/>
          <w:sz w:val="19"/>
          <w:szCs w:val="19"/>
          <w:b w:val="1"/>
          <w:bCs w:val="1"/>
          <w:color w:val="auto"/>
        </w:rPr>
        <w:t xml:space="preserve">. </w:t>
      </w:r>
      <w:r>
        <w:rPr>
          <w:rFonts w:ascii="Arial" w:cs="Arial" w:eastAsia="Arial" w:hAnsi="Arial"/>
          <w:sz w:val="19"/>
          <w:szCs w:val="19"/>
          <w:color w:val="auto"/>
        </w:rPr>
        <w:t>Notwithstanding any provisions in this Agreement, the Restricted Stock Units shall</w:t>
      </w:r>
      <w:r>
        <w:rPr>
          <w:rFonts w:ascii="Arial" w:cs="Arial" w:eastAsia="Arial" w:hAnsi="Arial"/>
          <w:sz w:val="19"/>
          <w:szCs w:val="19"/>
          <w:b w:val="1"/>
          <w:bCs w:val="1"/>
          <w:color w:val="auto"/>
        </w:rPr>
        <w:t xml:space="preserve"> </w:t>
      </w:r>
      <w:r>
        <w:rPr>
          <w:rFonts w:ascii="Arial" w:cs="Arial" w:eastAsia="Arial" w:hAnsi="Arial"/>
          <w:sz w:val="19"/>
          <w:szCs w:val="19"/>
          <w:color w:val="auto"/>
        </w:rPr>
        <w:t>also be subject to the special terms and conditions set forth in the Non-U.S. Addendum attached as Appendix B to this Agreement for Grantee’s country. Moreover, if Grantee relocates to one of the countries included in the Non-U.S. Addendum, the special terms and conditions for such country will apply to Grantee to the extent the Corporation determines that the application of such terms and conditions are necessary or advisable in order to comply with local law or facilitate the administration of the Plan. The Non-U.S. Addendum attached hereto as Appendix B constitutes part of this Agreement.</w:t>
      </w:r>
    </w:p>
    <w:p>
      <w:pPr>
        <w:spacing w:after="0" w:line="144" w:lineRule="exact"/>
        <w:rPr>
          <w:rFonts w:ascii="Arial" w:cs="Arial" w:eastAsia="Arial" w:hAnsi="Arial"/>
          <w:sz w:val="19"/>
          <w:szCs w:val="19"/>
          <w:b w:val="1"/>
          <w:bCs w:val="1"/>
          <w:color w:val="auto"/>
        </w:rPr>
      </w:pPr>
    </w:p>
    <w:p>
      <w:pPr>
        <w:ind w:left="-20" w:right="20" w:firstLine="1305"/>
        <w:spacing w:after="0" w:line="269" w:lineRule="auto"/>
        <w:tabs>
          <w:tab w:leader="none" w:pos="1818" w:val="left"/>
        </w:tabs>
        <w:numPr>
          <w:ilvl w:val="0"/>
          <w:numId w:val="7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Governing Law</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is governed by and construed in accordance with the laws of the State of</w:t>
      </w:r>
      <w:r>
        <w:rPr>
          <w:rFonts w:ascii="Arial" w:cs="Arial" w:eastAsia="Arial" w:hAnsi="Arial"/>
          <w:sz w:val="22"/>
          <w:szCs w:val="22"/>
          <w:b w:val="1"/>
          <w:bCs w:val="1"/>
          <w:color w:val="auto"/>
        </w:rPr>
        <w:t xml:space="preserve"> </w:t>
      </w:r>
      <w:r>
        <w:rPr>
          <w:rFonts w:ascii="Arial" w:cs="Arial" w:eastAsia="Arial" w:hAnsi="Arial"/>
          <w:sz w:val="22"/>
          <w:szCs w:val="22"/>
          <w:color w:val="auto"/>
        </w:rPr>
        <w:t>Michigan, notwithstanding conflict of law provisions.</w:t>
      </w:r>
    </w:p>
    <w:p>
      <w:pPr>
        <w:spacing w:after="0" w:line="162" w:lineRule="exact"/>
        <w:rPr>
          <w:rFonts w:ascii="Arial" w:cs="Arial" w:eastAsia="Arial" w:hAnsi="Arial"/>
          <w:sz w:val="22"/>
          <w:szCs w:val="22"/>
          <w:b w:val="1"/>
          <w:bCs w:val="1"/>
          <w:color w:val="auto"/>
        </w:rPr>
      </w:pPr>
    </w:p>
    <w:p>
      <w:pPr>
        <w:ind w:left="-20" w:right="1000" w:firstLine="1305"/>
        <w:spacing w:after="0" w:line="269" w:lineRule="auto"/>
        <w:tabs>
          <w:tab w:leader="none" w:pos="1763" w:val="left"/>
        </w:tabs>
        <w:numPr>
          <w:ilvl w:val="0"/>
          <w:numId w:val="7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Clawback Policy</w:t>
      </w:r>
      <w:r>
        <w:rPr>
          <w:rFonts w:ascii="Arial" w:cs="Arial" w:eastAsia="Arial" w:hAnsi="Arial"/>
          <w:sz w:val="22"/>
          <w:szCs w:val="22"/>
          <w:b w:val="1"/>
          <w:bCs w:val="1"/>
          <w:color w:val="auto"/>
        </w:rPr>
        <w:t xml:space="preserve">. </w:t>
      </w:r>
      <w:r>
        <w:rPr>
          <w:rFonts w:ascii="Arial" w:cs="Arial" w:eastAsia="Arial" w:hAnsi="Arial"/>
          <w:sz w:val="22"/>
          <w:szCs w:val="22"/>
          <w:color w:val="auto"/>
        </w:rPr>
        <w:t>Any Restricted Stock Units that have vested shall be subject to the Corporation’s</w:t>
      </w:r>
      <w:r>
        <w:rPr>
          <w:rFonts w:ascii="Arial" w:cs="Arial" w:eastAsia="Arial" w:hAnsi="Arial"/>
          <w:sz w:val="22"/>
          <w:szCs w:val="22"/>
          <w:b w:val="1"/>
          <w:bCs w:val="1"/>
          <w:color w:val="auto"/>
        </w:rPr>
        <w:t xml:space="preserve"> </w:t>
      </w:r>
      <w:r>
        <w:rPr>
          <w:rFonts w:ascii="Arial" w:cs="Arial" w:eastAsia="Arial" w:hAnsi="Arial"/>
          <w:sz w:val="22"/>
          <w:szCs w:val="22"/>
          <w:color w:val="auto"/>
        </w:rPr>
        <w:t>recoupment policy, as in effect from time to time.</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00"/>
          </w:cols>
          <w:pgMar w:left="260" w:top="631" w:right="239" w:bottom="1440" w:gutter="0" w:footer="0" w:header="0"/>
        </w:sectPr>
      </w:pPr>
    </w:p>
    <w:bookmarkStart w:id="85" w:name="page86"/>
    <w:bookmarkEnd w:id="85"/>
    <w:p>
      <w:pPr>
        <w:ind w:firstLine="648"/>
        <w:spacing w:after="0" w:line="263" w:lineRule="auto"/>
        <w:rPr>
          <w:sz w:val="20"/>
          <w:szCs w:val="20"/>
          <w:color w:val="auto"/>
        </w:rPr>
      </w:pPr>
      <w:r>
        <w:rPr>
          <w:rFonts w:ascii="Arial" w:cs="Arial" w:eastAsia="Arial" w:hAnsi="Arial"/>
          <w:sz w:val="22"/>
          <w:szCs w:val="22"/>
          <w:color w:val="auto"/>
        </w:rPr>
        <w:t>This Agreement may be executed in two or more counterparts, each of which is deemed an original and all of which constitute one document.</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281"/>
        </w:trPr>
        <w:tc>
          <w:tcPr>
            <w:tcW w:w="2820" w:type="dxa"/>
            <w:vAlign w:val="bottom"/>
          </w:tcPr>
          <w:p>
            <w:pPr>
              <w:spacing w:after="0"/>
              <w:rPr>
                <w:sz w:val="24"/>
                <w:szCs w:val="24"/>
                <w:color w:val="auto"/>
              </w:rPr>
            </w:pPr>
          </w:p>
        </w:tc>
        <w:tc>
          <w:tcPr>
            <w:tcW w:w="8240" w:type="dxa"/>
            <w:vAlign w:val="bottom"/>
            <w:gridSpan w:val="3"/>
          </w:tcPr>
          <w:p>
            <w:pPr>
              <w:ind w:left="880"/>
              <w:spacing w:after="0"/>
              <w:rPr>
                <w:sz w:val="20"/>
                <w:szCs w:val="20"/>
                <w:color w:val="auto"/>
              </w:rPr>
            </w:pPr>
            <w:r>
              <w:rPr>
                <w:rFonts w:ascii="Arial" w:cs="Arial" w:eastAsia="Arial" w:hAnsi="Arial"/>
                <w:sz w:val="22"/>
                <w:szCs w:val="22"/>
                <w:b w:val="1"/>
                <w:bCs w:val="1"/>
                <w:color w:val="auto"/>
              </w:rPr>
              <w:t>TRIMAS CORPORATION</w:t>
            </w:r>
          </w:p>
        </w:tc>
      </w:tr>
      <w:tr>
        <w:trPr>
          <w:trHeight w:val="571"/>
        </w:trPr>
        <w:tc>
          <w:tcPr>
            <w:tcW w:w="2820" w:type="dxa"/>
            <w:vAlign w:val="bottom"/>
          </w:tcPr>
          <w:p>
            <w:pPr>
              <w:spacing w:after="0"/>
              <w:rPr>
                <w:sz w:val="20"/>
                <w:szCs w:val="20"/>
                <w:color w:val="auto"/>
              </w:rPr>
            </w:pPr>
            <w:r>
              <w:rPr>
                <w:rFonts w:ascii="Arial" w:cs="Arial" w:eastAsia="Arial" w:hAnsi="Arial"/>
                <w:sz w:val="22"/>
                <w:szCs w:val="22"/>
                <w:color w:val="auto"/>
              </w:rPr>
              <w:t xml:space="preserve">Dated: </w:t>
            </w:r>
            <w:r>
              <w:rPr>
                <w:rFonts w:ascii="Arial" w:cs="Arial" w:eastAsia="Arial" w:hAnsi="Arial"/>
                <w:sz w:val="22"/>
                <w:szCs w:val="22"/>
                <w:b w:val="1"/>
                <w:bCs w:val="1"/>
                <w:color w:val="auto"/>
              </w:rPr>
              <w:t>March 1, 2016</w:t>
            </w:r>
          </w:p>
        </w:tc>
        <w:tc>
          <w:tcPr>
            <w:tcW w:w="8240" w:type="dxa"/>
            <w:vAlign w:val="bottom"/>
            <w:gridSpan w:val="3"/>
          </w:tcPr>
          <w:p>
            <w:pPr>
              <w:ind w:left="2200"/>
              <w:spacing w:after="0"/>
              <w:rPr>
                <w:sz w:val="20"/>
                <w:szCs w:val="20"/>
                <w:color w:val="auto"/>
              </w:rPr>
            </w:pPr>
            <w:r>
              <w:rPr>
                <w:rFonts w:ascii="Arial" w:cs="Arial" w:eastAsia="Arial" w:hAnsi="Arial"/>
                <w:sz w:val="22"/>
                <w:szCs w:val="22"/>
                <w:color w:val="auto"/>
              </w:rPr>
              <w:t>By: /s/ Joshua A. Sherbin</w:t>
            </w:r>
          </w:p>
        </w:tc>
      </w:tr>
      <w:tr>
        <w:trPr>
          <w:trHeight w:val="20"/>
        </w:trPr>
        <w:tc>
          <w:tcPr>
            <w:tcW w:w="28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r>
      <w:tr>
        <w:trPr>
          <w:trHeight w:val="242"/>
        </w:trPr>
        <w:tc>
          <w:tcPr>
            <w:tcW w:w="2820" w:type="dxa"/>
            <w:vAlign w:val="bottom"/>
          </w:tcPr>
          <w:p>
            <w:pPr>
              <w:spacing w:after="0"/>
              <w:rPr>
                <w:sz w:val="21"/>
                <w:szCs w:val="21"/>
                <w:color w:val="auto"/>
              </w:rPr>
            </w:pPr>
          </w:p>
        </w:tc>
        <w:tc>
          <w:tcPr>
            <w:tcW w:w="8240" w:type="dxa"/>
            <w:vAlign w:val="bottom"/>
            <w:gridSpan w:val="3"/>
          </w:tcPr>
          <w:p>
            <w:pPr>
              <w:ind w:left="2200"/>
              <w:spacing w:after="0" w:line="242" w:lineRule="exact"/>
              <w:rPr>
                <w:sz w:val="20"/>
                <w:szCs w:val="20"/>
                <w:color w:val="auto"/>
              </w:rPr>
            </w:pPr>
            <w:r>
              <w:rPr>
                <w:rFonts w:ascii="Arial" w:cs="Arial" w:eastAsia="Arial" w:hAnsi="Arial"/>
                <w:sz w:val="22"/>
                <w:szCs w:val="22"/>
                <w:color w:val="auto"/>
              </w:rPr>
              <w:t>Name: Joshua A. Sherbin</w:t>
            </w:r>
          </w:p>
        </w:tc>
      </w:tr>
      <w:tr>
        <w:trPr>
          <w:trHeight w:val="243"/>
        </w:trPr>
        <w:tc>
          <w:tcPr>
            <w:tcW w:w="2820" w:type="dxa"/>
            <w:vAlign w:val="bottom"/>
          </w:tcPr>
          <w:p>
            <w:pPr>
              <w:spacing w:after="0"/>
              <w:rPr>
                <w:sz w:val="21"/>
                <w:szCs w:val="21"/>
                <w:color w:val="auto"/>
              </w:rPr>
            </w:pPr>
          </w:p>
        </w:tc>
        <w:tc>
          <w:tcPr>
            <w:tcW w:w="8240" w:type="dxa"/>
            <w:vAlign w:val="bottom"/>
            <w:gridSpan w:val="3"/>
          </w:tcPr>
          <w:p>
            <w:pPr>
              <w:ind w:left="2200"/>
              <w:spacing w:after="0" w:line="243" w:lineRule="exact"/>
              <w:rPr>
                <w:sz w:val="20"/>
                <w:szCs w:val="20"/>
                <w:color w:val="auto"/>
              </w:rPr>
            </w:pPr>
            <w:r>
              <w:rPr>
                <w:rFonts w:ascii="Arial" w:cs="Arial" w:eastAsia="Arial" w:hAnsi="Arial"/>
                <w:sz w:val="22"/>
                <w:szCs w:val="22"/>
                <w:color w:val="auto"/>
                <w:w w:val="89"/>
              </w:rPr>
              <w:t>Title: Vice President, General Counsel, Chief Compliance Officer and</w:t>
            </w:r>
          </w:p>
        </w:tc>
      </w:tr>
      <w:tr>
        <w:trPr>
          <w:trHeight w:val="275"/>
        </w:trPr>
        <w:tc>
          <w:tcPr>
            <w:tcW w:w="2820" w:type="dxa"/>
            <w:vAlign w:val="bottom"/>
          </w:tcPr>
          <w:p>
            <w:pPr>
              <w:spacing w:after="0"/>
              <w:rPr>
                <w:sz w:val="23"/>
                <w:szCs w:val="23"/>
                <w:color w:val="auto"/>
              </w:rPr>
            </w:pPr>
          </w:p>
        </w:tc>
        <w:tc>
          <w:tcPr>
            <w:tcW w:w="8240" w:type="dxa"/>
            <w:vAlign w:val="bottom"/>
            <w:gridSpan w:val="3"/>
          </w:tcPr>
          <w:p>
            <w:pPr>
              <w:ind w:left="2200"/>
              <w:spacing w:after="0"/>
              <w:rPr>
                <w:sz w:val="20"/>
                <w:szCs w:val="20"/>
                <w:color w:val="auto"/>
              </w:rPr>
            </w:pPr>
            <w:r>
              <w:rPr>
                <w:rFonts w:ascii="Arial" w:cs="Arial" w:eastAsia="Arial" w:hAnsi="Arial"/>
                <w:sz w:val="22"/>
                <w:szCs w:val="22"/>
                <w:color w:val="auto"/>
              </w:rPr>
              <w:t>Corporate Secretary</w:t>
            </w:r>
          </w:p>
        </w:tc>
      </w:tr>
    </w:tbl>
    <w:p>
      <w:pPr>
        <w:spacing w:after="0" w:line="200" w:lineRule="exact"/>
        <w:rPr>
          <w:sz w:val="20"/>
          <w:szCs w:val="20"/>
          <w:color w:val="auto"/>
        </w:rPr>
      </w:pPr>
    </w:p>
    <w:p>
      <w:pPr>
        <w:spacing w:after="0" w:line="316" w:lineRule="exact"/>
        <w:rPr>
          <w:sz w:val="20"/>
          <w:szCs w:val="20"/>
          <w:color w:val="auto"/>
        </w:rPr>
      </w:pPr>
    </w:p>
    <w:p>
      <w:pPr>
        <w:jc w:val="both"/>
        <w:ind w:left="660"/>
        <w:spacing w:after="0" w:line="247" w:lineRule="auto"/>
        <w:rPr>
          <w:sz w:val="20"/>
          <w:szCs w:val="20"/>
          <w:color w:val="auto"/>
        </w:rPr>
      </w:pPr>
      <w:r>
        <w:rPr>
          <w:rFonts w:ascii="Arial" w:cs="Arial" w:eastAsia="Arial" w:hAnsi="Arial"/>
          <w:sz w:val="22"/>
          <w:szCs w:val="22"/>
          <w:b w:val="1"/>
          <w:bCs w:val="1"/>
          <w:color w:val="auto"/>
        </w:rPr>
        <w:t>GRANTEE ACKNOWLEDGES AND AGREES THAT NOTHING IN THIS RESTRICTED STOCK UNITS AGREEMENT, NOR IN THE CORPORATION’S 2006 LONG TERM EQUITY INCENTIVE PLAN, WHICH IS INCORPORATED INTO THIS AGREEMENT BY REFERENCE, CONFERS ON GRANTEE ANY RIGHT WITH RESPECT TO CONTINUATION AS A SERVICE PROVIDER OF THE CORPORATION OR ANY PARENT OR SUBSIDIARY OR AFFILIATE, NOR INTERFERES IN ANY WAY WITH GRANTEE’S RIGHT OR THE CORPORATION’S RIGHT TO TERMINATE GRANTEE’S SERVICE PROVIDER RELATIONSHIP AT ANY TIME, WITH OR WITHOUT CAUSE AND WITH OR WITHOUT PRIOR NOTICE.</w:t>
      </w:r>
    </w:p>
    <w:p>
      <w:pPr>
        <w:spacing w:after="0" w:line="190" w:lineRule="exact"/>
        <w:rPr>
          <w:sz w:val="20"/>
          <w:szCs w:val="20"/>
          <w:color w:val="auto"/>
        </w:rPr>
      </w:pPr>
    </w:p>
    <w:p>
      <w:pPr>
        <w:jc w:val="both"/>
        <w:ind w:left="660"/>
        <w:spacing w:after="0" w:line="247" w:lineRule="auto"/>
        <w:rPr>
          <w:sz w:val="20"/>
          <w:szCs w:val="20"/>
          <w:color w:val="auto"/>
        </w:rPr>
      </w:pPr>
      <w:r>
        <w:rPr>
          <w:rFonts w:ascii="Arial" w:cs="Arial" w:eastAsia="Arial" w:hAnsi="Arial"/>
          <w:sz w:val="22"/>
          <w:szCs w:val="22"/>
          <w:b w:val="1"/>
          <w:bCs w:val="1"/>
          <w:color w:val="auto"/>
        </w:rPr>
        <w:t>BY CLICKING THE “ACCEPT” BUTTON BELOW, GRANTEE ACKNOWLEDGES RECEIPT OF A COPY OF THE PLAN AND REPRESENTS THAT GRANTEE IS FAMILIAR WITH THE TERMS AND PROVISIONS OF THE PLAN. GRANTEE ACCEPTS THIS RESTRICTED STOCK UNIT AWARD SUBJECT TO ALL OF THE TERMS AND PROVISIONS OF THIS AGREEMENT AND THE PLAN. GRANTEE HAS REVIEWED THE PLAN AND THIS AGREEMENT IN THEIR ENTIRETY. GRANTEE AGREES TO ACCEPT AS BINDING, CONCLUSIVE AND FINAL ALL DECISIONS OR INTERPRETATIONS OF THE ADMINISTRATOR UPON ANY QUESTIONS ARISING UNDER THE PLAN OR THIS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631" w:right="239" w:bottom="1440" w:gutter="0" w:footer="0" w:header="0"/>
        </w:sectPr>
      </w:pPr>
    </w:p>
    <w:bookmarkStart w:id="86" w:name="page87"/>
    <w:bookmarkEnd w:id="86"/>
    <w:p>
      <w:pPr>
        <w:jc w:val="center"/>
        <w:spacing w:after="0"/>
        <w:rPr>
          <w:sz w:val="20"/>
          <w:szCs w:val="20"/>
          <w:color w:val="auto"/>
        </w:rPr>
      </w:pPr>
      <w:r>
        <w:rPr>
          <w:rFonts w:ascii="Arial" w:cs="Arial" w:eastAsia="Arial" w:hAnsi="Arial"/>
          <w:sz w:val="22"/>
          <w:szCs w:val="22"/>
          <w:b w:val="1"/>
          <w:bCs w:val="1"/>
          <w:color w:val="auto"/>
        </w:rPr>
        <w:t>APPENDIX A</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UNITS AGREEMENT</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GLOSSARY</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For purposes of this Agreement:</w:t>
      </w:r>
    </w:p>
    <w:p>
      <w:pPr>
        <w:spacing w:after="0" w:line="214"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Affiliate</w:t>
      </w:r>
      <w:r>
        <w:rPr>
          <w:rFonts w:ascii="Arial" w:cs="Arial" w:eastAsia="Arial" w:hAnsi="Arial"/>
          <w:sz w:val="21"/>
          <w:szCs w:val="21"/>
          <w:color w:val="auto"/>
        </w:rPr>
        <w:t>” means any person or entity which controls, is controlled by, or is under common control with the Corporation.</w:t>
      </w: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Beneficial Owner</w:t>
      </w:r>
      <w:r>
        <w:rPr>
          <w:rFonts w:ascii="Arial" w:cs="Arial" w:eastAsia="Arial" w:hAnsi="Arial"/>
          <w:sz w:val="22"/>
          <w:szCs w:val="22"/>
          <w:color w:val="auto"/>
        </w:rPr>
        <w:t>” shall have the meaning set forth in Rule 13d-3 under the Exchange Act.</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A “</w:t>
      </w:r>
      <w:r>
        <w:rPr>
          <w:rFonts w:ascii="Arial" w:cs="Arial" w:eastAsia="Arial" w:hAnsi="Arial"/>
          <w:sz w:val="22"/>
          <w:szCs w:val="22"/>
          <w:b w:val="1"/>
          <w:bCs w:val="1"/>
          <w:color w:val="auto"/>
        </w:rPr>
        <w:t>Change of Control</w:t>
      </w:r>
      <w:r>
        <w:rPr>
          <w:rFonts w:ascii="Arial" w:cs="Arial" w:eastAsia="Arial" w:hAnsi="Arial"/>
          <w:sz w:val="22"/>
          <w:szCs w:val="22"/>
          <w:color w:val="auto"/>
        </w:rPr>
        <w:t>” shall be deemed to have occurred upon the first of the following events to occur:</w:t>
      </w:r>
    </w:p>
    <w:p>
      <w:pPr>
        <w:spacing w:after="0" w:line="266" w:lineRule="exact"/>
        <w:rPr>
          <w:sz w:val="20"/>
          <w:szCs w:val="20"/>
          <w:color w:val="auto"/>
        </w:rPr>
      </w:pPr>
    </w:p>
    <w:p>
      <w:pPr>
        <w:jc w:val="both"/>
        <w:ind w:left="1300" w:hanging="644"/>
        <w:spacing w:after="0" w:line="286" w:lineRule="auto"/>
        <w:tabs>
          <w:tab w:leader="none" w:pos="1300" w:val="left"/>
        </w:tabs>
        <w:numPr>
          <w:ilvl w:val="0"/>
          <w:numId w:val="79"/>
        </w:numPr>
        <w:rPr>
          <w:rFonts w:ascii="Arial" w:cs="Arial" w:eastAsia="Arial" w:hAnsi="Arial"/>
          <w:sz w:val="19"/>
          <w:szCs w:val="19"/>
          <w:color w:val="auto"/>
        </w:rPr>
      </w:pPr>
      <w:r>
        <w:rPr>
          <w:rFonts w:ascii="Arial" w:cs="Arial" w:eastAsia="Arial" w:hAnsi="Arial"/>
          <w:sz w:val="19"/>
          <w:szCs w:val="19"/>
          <w:color w:val="auto"/>
        </w:rPr>
        <w:t>any Person is or becomes the Beneficial Owner, directly or indirectly, of securities of the Corporation (not including in the securities beneficially owned by such Person any securities acquired directly from the Corporation or its Affiliates) representing 35% or more of the combined voting power of the Corporation’s then outstanding securities, excluding any Person who becomes such a Beneficial Owner in connection with a transaction described in clause</w:t>
      </w:r>
    </w:p>
    <w:p>
      <w:pPr>
        <w:spacing w:after="0" w:line="2" w:lineRule="exact"/>
        <w:rPr>
          <w:rFonts w:ascii="Arial" w:cs="Arial" w:eastAsia="Arial" w:hAnsi="Arial"/>
          <w:sz w:val="19"/>
          <w:szCs w:val="19"/>
          <w:color w:val="auto"/>
        </w:rPr>
      </w:pPr>
    </w:p>
    <w:p>
      <w:pPr>
        <w:ind w:left="1300"/>
        <w:spacing w:after="0"/>
        <w:rPr>
          <w:rFonts w:ascii="Arial" w:cs="Arial" w:eastAsia="Arial" w:hAnsi="Arial"/>
          <w:sz w:val="19"/>
          <w:szCs w:val="19"/>
          <w:color w:val="auto"/>
        </w:rPr>
      </w:pPr>
      <w:r>
        <w:rPr>
          <w:rFonts w:ascii="Arial" w:cs="Arial" w:eastAsia="Arial" w:hAnsi="Arial"/>
          <w:sz w:val="22"/>
          <w:szCs w:val="22"/>
          <w:color w:val="auto"/>
        </w:rPr>
        <w:t>(A) of paragraph (iii) below;</w:t>
      </w:r>
    </w:p>
    <w:p>
      <w:pPr>
        <w:spacing w:after="0" w:line="242" w:lineRule="exact"/>
        <w:rPr>
          <w:rFonts w:ascii="Arial" w:cs="Arial" w:eastAsia="Arial" w:hAnsi="Arial"/>
          <w:sz w:val="19"/>
          <w:szCs w:val="19"/>
          <w:color w:val="auto"/>
        </w:rPr>
      </w:pPr>
    </w:p>
    <w:p>
      <w:pPr>
        <w:jc w:val="both"/>
        <w:ind w:left="1300" w:hanging="644"/>
        <w:spacing w:after="0" w:line="258" w:lineRule="auto"/>
        <w:tabs>
          <w:tab w:leader="none" w:pos="1300" w:val="left"/>
        </w:tabs>
        <w:numPr>
          <w:ilvl w:val="0"/>
          <w:numId w:val="79"/>
        </w:numPr>
        <w:rPr>
          <w:rFonts w:ascii="Arial" w:cs="Arial" w:eastAsia="Arial" w:hAnsi="Arial"/>
          <w:sz w:val="21"/>
          <w:szCs w:val="21"/>
          <w:color w:val="auto"/>
        </w:rPr>
      </w:pPr>
      <w:r>
        <w:rPr>
          <w:rFonts w:ascii="Arial" w:cs="Arial" w:eastAsia="Arial" w:hAnsi="Arial"/>
          <w:sz w:val="21"/>
          <w:szCs w:val="21"/>
          <w:color w:val="auto"/>
        </w:rPr>
        <w:t>the following individuals cease for any reason to constitute a majority of the number of directors then serving on the Board: individuals who, on the date hereof, constitute the Board and any new director (other than a director whose initial assumption of office is in connection with an actual or threatened election contest, including but not limited to a consent solicitation, relating to the election of directors of the Corporation) whose appointment or election by the Board or nomination for election by the Corporation’s stockholders was approved or recommended by a vote of at least two-thirds (2/3) of the directors then still in office who either were directors on the date hereof or whose appointment, election or nomination for election was previously so approved or recommended (the “Incumbent Board”); provided, however, that no individual shall be considered a member of the Incumbent Board if such individual initially assumed office as a result of either an actual or threatened election contest (an “Election Contest”) or other actual or threatened solicitation of proxies or consents by or on behalf of a Person other than the Board (a “Proxy Contest”), including by reason of any agreement intended to avoid or settle any Election Contest or Proxy Contest;</w:t>
      </w:r>
    </w:p>
    <w:p>
      <w:pPr>
        <w:spacing w:after="0" w:line="220" w:lineRule="exact"/>
        <w:rPr>
          <w:rFonts w:ascii="Arial" w:cs="Arial" w:eastAsia="Arial" w:hAnsi="Arial"/>
          <w:sz w:val="21"/>
          <w:szCs w:val="21"/>
          <w:color w:val="auto"/>
        </w:rPr>
      </w:pPr>
    </w:p>
    <w:p>
      <w:pPr>
        <w:jc w:val="both"/>
        <w:ind w:left="1300" w:hanging="644"/>
        <w:spacing w:after="0" w:line="265" w:lineRule="auto"/>
        <w:tabs>
          <w:tab w:leader="none" w:pos="1300" w:val="left"/>
        </w:tabs>
        <w:numPr>
          <w:ilvl w:val="0"/>
          <w:numId w:val="79"/>
        </w:numPr>
        <w:rPr>
          <w:rFonts w:ascii="Arial" w:cs="Arial" w:eastAsia="Arial" w:hAnsi="Arial"/>
          <w:sz w:val="21"/>
          <w:szCs w:val="21"/>
          <w:color w:val="auto"/>
        </w:rPr>
      </w:pPr>
      <w:r>
        <w:rPr>
          <w:rFonts w:ascii="Arial" w:cs="Arial" w:eastAsia="Arial" w:hAnsi="Arial"/>
          <w:sz w:val="21"/>
          <w:szCs w:val="21"/>
          <w:color w:val="auto"/>
        </w:rPr>
        <w:t>there is consummated a merger, consolidation, wind-up, reorganization or restructuring of the Corporation with or into any other entity, or a similar event or series of such events, other than (A) any such event or series of events which results in (1) the voting securities of the Corporation outstanding immediately prior to such event or series of events continuing to represent (either by remaining outstanding or</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1420"/>
          </w:cols>
          <w:pgMar w:left="240" w:top="625" w:right="239" w:bottom="1440" w:gutter="0" w:footer="0" w:header="0"/>
        </w:sectPr>
      </w:pPr>
    </w:p>
    <w:bookmarkStart w:id="87" w:name="page88"/>
    <w:bookmarkEnd w:id="87"/>
    <w:p>
      <w:pPr>
        <w:jc w:val="both"/>
        <w:ind w:left="1300"/>
        <w:spacing w:after="0" w:line="288" w:lineRule="auto"/>
        <w:rPr>
          <w:sz w:val="20"/>
          <w:szCs w:val="20"/>
          <w:color w:val="auto"/>
        </w:rPr>
      </w:pPr>
      <w:r>
        <w:rPr>
          <w:rFonts w:ascii="Arial" w:cs="Arial" w:eastAsia="Arial" w:hAnsi="Arial"/>
          <w:sz w:val="19"/>
          <w:szCs w:val="19"/>
          <w:color w:val="auto"/>
        </w:rPr>
        <w:t>by being converted into voting securities of the surviving entity or any parent thereof), in combination with the ownership of any trustee or other fiduciary holding securities under an employee benefit plan of the Corporation or any subsidiary of the Corporation, at least 51% of the combined voting power of the securities of the Corporation or such surviving entity or any parent thereof outstanding immediately after such merger or consolidation and (2) the individuals who comprise the Board immediately prior thereto constituting immediately thereafter at least a majority of the board of directors of the Corporation, the entity surviving such merger or consolidation or, if the Corporation or the entity surviving such merger is then a subsidiary, the ultimate parent thereof, or (B) any such event or series of events effected to implement a recapitalization of the Corporation (or similar transaction) in which no Person is or becomes the Beneficial Owner, directly or indirectly, of securities of the Corporation (not including in the securities Beneficially Owned by such Person any securities acquired directly from the Corporation or its Affiliates) representing 35% or more of the combined voting power of the Corporation’s then outstanding securities; or</w:t>
      </w:r>
    </w:p>
    <w:p>
      <w:pPr>
        <w:spacing w:after="0" w:line="195" w:lineRule="exact"/>
        <w:rPr>
          <w:sz w:val="20"/>
          <w:szCs w:val="20"/>
          <w:color w:val="auto"/>
        </w:rPr>
      </w:pPr>
    </w:p>
    <w:p>
      <w:pPr>
        <w:jc w:val="both"/>
        <w:ind w:left="1300" w:hanging="644"/>
        <w:spacing w:after="0" w:line="258" w:lineRule="auto"/>
        <w:tabs>
          <w:tab w:leader="none" w:pos="1300" w:val="left"/>
        </w:tabs>
        <w:numPr>
          <w:ilvl w:val="0"/>
          <w:numId w:val="80"/>
        </w:numPr>
        <w:rPr>
          <w:rFonts w:ascii="Arial" w:cs="Arial" w:eastAsia="Arial" w:hAnsi="Arial"/>
          <w:sz w:val="21"/>
          <w:szCs w:val="21"/>
          <w:color w:val="auto"/>
        </w:rPr>
      </w:pPr>
      <w:r>
        <w:rPr>
          <w:rFonts w:ascii="Arial" w:cs="Arial" w:eastAsia="Arial" w:hAnsi="Arial"/>
          <w:sz w:val="21"/>
          <w:szCs w:val="21"/>
          <w:color w:val="auto"/>
        </w:rPr>
        <w:t>the stockholders of the Corporation approve a plan of complete liquidation or dissolution of the Corporation or there is consummated an agreement for the sale or disposition by the Corporation of all or substantially all of the Corporation’s assets (it being conclusively presumed that any sale or disposition is a sale or disposition by the Corporation of all or substantially all of its assets if the consummation of the sale or disposition is contingent upon approval by the Corporation’s stockholders unless the Board expressly determines in writing that such approval is required solely by reason of any relationship between the Corporation and any other Person or an Affiliate of the Corporation and any other Person), other than a sale or disposition by the Corporation of all or substantially all of the Corporation’s assets to an entity (A) at least 51% of the combined voting power of the voting securities of which are owned by stockholders of the Corporation in substantially the same proportions as their ownership of the Corporation immediately prior to such sale or disposition and (B) the majority of whose board of directors immediately following such sale or disposition consists of individuals who comprise the Board immediately prior thereto.</w:t>
      </w:r>
    </w:p>
    <w:p>
      <w:pPr>
        <w:spacing w:after="0" w:line="221"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Notwithstanding the foregoing, (A) a “Change of Control” shall not be deemed to have occurred by virtue of the consummation of any transaction or series of integrated transactions immediately following which the record holders of the common stock of the Corporation immediately prior to such transaction or series of transactions continue to have substantially the same proportionate ownership in an entity which owns all or substantially all of the assets of the Corporation immediately following such transaction or series of transactions and (B) if required to avoid accelerated taxation and/or tax penalties under Section 409A of the Code, a “Change of Control” shall be deemed to have occurred only if a “change in the ownership of the corporation,” a “change in effective control of the corporation” or a “change in the ownership of a substantial portion of the assets of the corporation,” within the meaning of Section 409A(a)(2)(A)(v) of the Code shall also be deemed to have occurred under Section 409A of the Code.</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11420"/>
          </w:cols>
          <w:pgMar w:left="240" w:top="631" w:right="239" w:bottom="1440" w:gutter="0" w:footer="0" w:header="0"/>
        </w:sectPr>
      </w:pPr>
    </w:p>
    <w:bookmarkStart w:id="88" w:name="page89"/>
    <w:bookmarkEnd w:id="88"/>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Good Reason</w:t>
      </w:r>
      <w:r>
        <w:rPr>
          <w:rFonts w:ascii="Arial" w:cs="Arial" w:eastAsia="Arial" w:hAnsi="Arial"/>
          <w:sz w:val="22"/>
          <w:szCs w:val="22"/>
          <w:color w:val="auto"/>
        </w:rPr>
        <w:t>” means:</w:t>
      </w:r>
    </w:p>
    <w:p>
      <w:pPr>
        <w:spacing w:after="0" w:line="266" w:lineRule="exact"/>
        <w:rPr>
          <w:sz w:val="20"/>
          <w:szCs w:val="20"/>
          <w:color w:val="auto"/>
        </w:rPr>
      </w:pPr>
    </w:p>
    <w:p>
      <w:pPr>
        <w:ind w:left="1300" w:hanging="644"/>
        <w:spacing w:after="0"/>
        <w:tabs>
          <w:tab w:leader="none" w:pos="1300" w:val="left"/>
        </w:tabs>
        <w:numPr>
          <w:ilvl w:val="0"/>
          <w:numId w:val="81"/>
        </w:numPr>
        <w:rPr>
          <w:rFonts w:ascii="Arial" w:cs="Arial" w:eastAsia="Arial" w:hAnsi="Arial"/>
          <w:sz w:val="22"/>
          <w:szCs w:val="22"/>
          <w:color w:val="auto"/>
        </w:rPr>
      </w:pPr>
      <w:r>
        <w:rPr>
          <w:rFonts w:ascii="Arial" w:cs="Arial" w:eastAsia="Arial" w:hAnsi="Arial"/>
          <w:sz w:val="22"/>
          <w:szCs w:val="22"/>
          <w:color w:val="auto"/>
        </w:rPr>
        <w:t>A material and permanent diminution in Grantee’s duties or responsibilities;</w:t>
      </w:r>
    </w:p>
    <w:p>
      <w:pPr>
        <w:spacing w:after="0" w:line="219" w:lineRule="exact"/>
        <w:rPr>
          <w:rFonts w:ascii="Arial" w:cs="Arial" w:eastAsia="Arial" w:hAnsi="Arial"/>
          <w:sz w:val="22"/>
          <w:szCs w:val="22"/>
          <w:color w:val="auto"/>
        </w:rPr>
      </w:pPr>
    </w:p>
    <w:p>
      <w:pPr>
        <w:ind w:left="1300" w:hanging="644"/>
        <w:spacing w:after="0" w:line="263" w:lineRule="auto"/>
        <w:tabs>
          <w:tab w:leader="none" w:pos="1300" w:val="left"/>
        </w:tabs>
        <w:numPr>
          <w:ilvl w:val="0"/>
          <w:numId w:val="81"/>
        </w:numPr>
        <w:rPr>
          <w:rFonts w:ascii="Arial" w:cs="Arial" w:eastAsia="Arial" w:hAnsi="Arial"/>
          <w:sz w:val="22"/>
          <w:szCs w:val="22"/>
          <w:color w:val="auto"/>
        </w:rPr>
      </w:pPr>
      <w:r>
        <w:rPr>
          <w:rFonts w:ascii="Arial" w:cs="Arial" w:eastAsia="Arial" w:hAnsi="Arial"/>
          <w:sz w:val="22"/>
          <w:szCs w:val="22"/>
          <w:color w:val="auto"/>
        </w:rPr>
        <w:t>A material reduction in the aggregate value of base salary and bonus opportunity provided to Grantee by the Corporation; or</w:t>
      </w:r>
    </w:p>
    <w:p>
      <w:pPr>
        <w:spacing w:after="0" w:line="174" w:lineRule="exact"/>
        <w:rPr>
          <w:rFonts w:ascii="Arial" w:cs="Arial" w:eastAsia="Arial" w:hAnsi="Arial"/>
          <w:sz w:val="22"/>
          <w:szCs w:val="22"/>
          <w:color w:val="auto"/>
        </w:rPr>
      </w:pPr>
    </w:p>
    <w:p>
      <w:pPr>
        <w:ind w:left="1300" w:hanging="644"/>
        <w:spacing w:after="0"/>
        <w:tabs>
          <w:tab w:leader="none" w:pos="1300" w:val="left"/>
        </w:tabs>
        <w:numPr>
          <w:ilvl w:val="0"/>
          <w:numId w:val="81"/>
        </w:numPr>
        <w:rPr>
          <w:rFonts w:ascii="Arial" w:cs="Arial" w:eastAsia="Arial" w:hAnsi="Arial"/>
          <w:sz w:val="19"/>
          <w:szCs w:val="19"/>
          <w:color w:val="auto"/>
        </w:rPr>
      </w:pPr>
      <w:r>
        <w:rPr>
          <w:rFonts w:ascii="Arial" w:cs="Arial" w:eastAsia="Arial" w:hAnsi="Arial"/>
          <w:sz w:val="19"/>
          <w:szCs w:val="19"/>
          <w:color w:val="auto"/>
        </w:rPr>
        <w:t>A permanent reassignment of Grantee to another primary office more than 50 miles from the current office location.</w:t>
      </w:r>
    </w:p>
    <w:p>
      <w:pPr>
        <w:spacing w:after="0" w:line="254" w:lineRule="exact"/>
        <w:rPr>
          <w:sz w:val="20"/>
          <w:szCs w:val="20"/>
          <w:color w:val="auto"/>
        </w:rPr>
      </w:pPr>
    </w:p>
    <w:p>
      <w:pPr>
        <w:jc w:val="both"/>
        <w:ind w:left="720"/>
        <w:spacing w:after="0" w:line="302" w:lineRule="auto"/>
        <w:rPr>
          <w:sz w:val="20"/>
          <w:szCs w:val="20"/>
          <w:color w:val="auto"/>
        </w:rPr>
      </w:pPr>
      <w:r>
        <w:rPr>
          <w:rFonts w:ascii="Arial" w:cs="Arial" w:eastAsia="Arial" w:hAnsi="Arial"/>
          <w:sz w:val="19"/>
          <w:szCs w:val="19"/>
          <w:color w:val="auto"/>
        </w:rPr>
        <w:t>Grantee must notify the Corporation of Grantee’s intention to invoke termination for Good Reason within 90 days after Grantee has knowledge of such event, provide the Corporation 30 days’ opportunity for cure, and actually terminate employment within 45 days of the expiration of the Company’s cure period or such event shall not constitute Good Reason. Grantee may not invoke termination for Good Reason if Cause exists at the time of such termination.</w:t>
      </w:r>
    </w:p>
    <w:p>
      <w:pPr>
        <w:spacing w:after="0" w:line="137" w:lineRule="exact"/>
        <w:rPr>
          <w:sz w:val="20"/>
          <w:szCs w:val="20"/>
          <w:color w:val="auto"/>
        </w:rPr>
      </w:pPr>
    </w:p>
    <w:p>
      <w:pPr>
        <w:jc w:val="both"/>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Person</w:t>
      </w:r>
      <w:r>
        <w:rPr>
          <w:rFonts w:ascii="Arial" w:cs="Arial" w:eastAsia="Arial" w:hAnsi="Arial"/>
          <w:sz w:val="21"/>
          <w:szCs w:val="21"/>
          <w:color w:val="auto"/>
        </w:rPr>
        <w:t>” shall have the meaning given in Section 3(a)(9) of the Exchange Act, as modified and used in Sections 13(d) and 14(d) thereof, except that such term shall not include (i) the Corporation or any of its subsidiaries, (ii) a trustee or other fiduciary holding securities under an employee benefit plan of the Corporation or any of its Affiliates, (iii) an underwriter temporarily holding securities pursuant to an offering of such securities, or (iv) a corporation owned, directly or indirectly, by the stockholders of the Corporation in substantially the same proportions as their ownership of stock of the Corporation.</w:t>
      </w:r>
    </w:p>
    <w:p>
      <w:pPr>
        <w:spacing w:after="0" w:line="21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“Qualifying Termination” </w:t>
      </w:r>
      <w:r>
        <w:rPr>
          <w:rFonts w:ascii="Arial" w:cs="Arial" w:eastAsia="Arial" w:hAnsi="Arial"/>
          <w:sz w:val="19"/>
          <w:szCs w:val="19"/>
          <w:color w:val="auto"/>
        </w:rPr>
        <w:t>means a termination of Grantee’s services with the Corporation or a Subsidiary or an Affiliate of the</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color w:val="auto"/>
        </w:rPr>
        <w:t>Corporation for any reason other than:</w:t>
      </w:r>
    </w:p>
    <w:p>
      <w:pPr>
        <w:spacing w:after="0" w:line="202" w:lineRule="exact"/>
        <w:rPr>
          <w:sz w:val="20"/>
          <w:szCs w:val="20"/>
          <w:color w:val="auto"/>
        </w:rPr>
      </w:pPr>
    </w:p>
    <w:p>
      <w:pPr>
        <w:ind w:left="1080" w:hanging="424"/>
        <w:spacing w:after="0"/>
        <w:tabs>
          <w:tab w:leader="none" w:pos="1080" w:val="left"/>
        </w:tabs>
        <w:numPr>
          <w:ilvl w:val="0"/>
          <w:numId w:val="82"/>
        </w:numPr>
        <w:rPr>
          <w:rFonts w:ascii="Arial" w:cs="Arial" w:eastAsia="Arial" w:hAnsi="Arial"/>
          <w:sz w:val="22"/>
          <w:szCs w:val="22"/>
          <w:color w:val="auto"/>
        </w:rPr>
      </w:pPr>
      <w:r>
        <w:rPr>
          <w:rFonts w:ascii="Arial" w:cs="Arial" w:eastAsia="Arial" w:hAnsi="Arial"/>
          <w:sz w:val="22"/>
          <w:szCs w:val="22"/>
          <w:color w:val="auto"/>
        </w:rPr>
        <w:t>death;</w:t>
      </w:r>
    </w:p>
    <w:p>
      <w:pPr>
        <w:spacing w:after="0" w:line="219" w:lineRule="exact"/>
        <w:rPr>
          <w:rFonts w:ascii="Arial" w:cs="Arial" w:eastAsia="Arial" w:hAnsi="Arial"/>
          <w:sz w:val="22"/>
          <w:szCs w:val="22"/>
          <w:color w:val="auto"/>
        </w:rPr>
      </w:pPr>
    </w:p>
    <w:p>
      <w:pPr>
        <w:ind w:left="1140" w:hanging="484"/>
        <w:spacing w:after="0"/>
        <w:tabs>
          <w:tab w:leader="none" w:pos="1140" w:val="left"/>
        </w:tabs>
        <w:numPr>
          <w:ilvl w:val="0"/>
          <w:numId w:val="82"/>
        </w:numPr>
        <w:rPr>
          <w:rFonts w:ascii="Arial" w:cs="Arial" w:eastAsia="Arial" w:hAnsi="Arial"/>
          <w:sz w:val="22"/>
          <w:szCs w:val="22"/>
          <w:color w:val="auto"/>
        </w:rPr>
      </w:pPr>
      <w:r>
        <w:rPr>
          <w:rFonts w:ascii="Arial" w:cs="Arial" w:eastAsia="Arial" w:hAnsi="Arial"/>
          <w:sz w:val="22"/>
          <w:szCs w:val="22"/>
          <w:color w:val="auto"/>
        </w:rPr>
        <w:t>Disability;</w:t>
      </w:r>
    </w:p>
    <w:p>
      <w:pPr>
        <w:spacing w:after="0" w:line="219" w:lineRule="exact"/>
        <w:rPr>
          <w:rFonts w:ascii="Arial" w:cs="Arial" w:eastAsia="Arial" w:hAnsi="Arial"/>
          <w:sz w:val="22"/>
          <w:szCs w:val="22"/>
          <w:color w:val="auto"/>
        </w:rPr>
      </w:pPr>
    </w:p>
    <w:p>
      <w:pPr>
        <w:ind w:left="1200" w:hanging="544"/>
        <w:spacing w:after="0"/>
        <w:tabs>
          <w:tab w:leader="none" w:pos="1200" w:val="left"/>
        </w:tabs>
        <w:numPr>
          <w:ilvl w:val="0"/>
          <w:numId w:val="82"/>
        </w:numPr>
        <w:rPr>
          <w:rFonts w:ascii="Arial" w:cs="Arial" w:eastAsia="Arial" w:hAnsi="Arial"/>
          <w:sz w:val="22"/>
          <w:szCs w:val="22"/>
          <w:color w:val="auto"/>
        </w:rPr>
      </w:pPr>
      <w:r>
        <w:rPr>
          <w:rFonts w:ascii="Arial" w:cs="Arial" w:eastAsia="Arial" w:hAnsi="Arial"/>
          <w:sz w:val="22"/>
          <w:szCs w:val="22"/>
          <w:color w:val="auto"/>
        </w:rPr>
        <w:t>Cause; or</w:t>
      </w:r>
    </w:p>
    <w:p>
      <w:pPr>
        <w:spacing w:after="0" w:line="219" w:lineRule="exact"/>
        <w:rPr>
          <w:rFonts w:ascii="Arial" w:cs="Arial" w:eastAsia="Arial" w:hAnsi="Arial"/>
          <w:sz w:val="22"/>
          <w:szCs w:val="22"/>
          <w:color w:val="auto"/>
        </w:rPr>
      </w:pPr>
    </w:p>
    <w:p>
      <w:pPr>
        <w:ind w:left="1240" w:hanging="584"/>
        <w:spacing w:after="0"/>
        <w:tabs>
          <w:tab w:leader="none" w:pos="1240" w:val="left"/>
        </w:tabs>
        <w:numPr>
          <w:ilvl w:val="0"/>
          <w:numId w:val="82"/>
        </w:numPr>
        <w:rPr>
          <w:rFonts w:ascii="Arial" w:cs="Arial" w:eastAsia="Arial" w:hAnsi="Arial"/>
          <w:sz w:val="22"/>
          <w:szCs w:val="22"/>
          <w:color w:val="auto"/>
        </w:rPr>
      </w:pPr>
      <w:r>
        <w:rPr>
          <w:rFonts w:ascii="Arial" w:cs="Arial" w:eastAsia="Arial" w:hAnsi="Arial"/>
          <w:sz w:val="22"/>
          <w:szCs w:val="22"/>
          <w:color w:val="auto"/>
        </w:rPr>
        <w:t>a termination of services by Grantee without Good Reason (as defined above).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iii</w:t>
      </w:r>
    </w:p>
    <w:p>
      <w:pPr>
        <w:sectPr>
          <w:pgSz w:w="11900" w:h="16838" w:orient="portrait"/>
          <w:cols w:equalWidth="0" w:num="1">
            <w:col w:w="11420"/>
          </w:cols>
          <w:pgMar w:left="240" w:top="882" w:right="239" w:bottom="1440" w:gutter="0" w:footer="0" w:header="0"/>
        </w:sectPr>
      </w:pPr>
    </w:p>
    <w:bookmarkStart w:id="89" w:name="page90"/>
    <w:bookmarkEnd w:id="89"/>
    <w:p>
      <w:pPr>
        <w:jc w:val="center"/>
        <w:spacing w:after="0"/>
        <w:rPr>
          <w:sz w:val="20"/>
          <w:szCs w:val="20"/>
          <w:color w:val="auto"/>
        </w:rPr>
      </w:pPr>
      <w:r>
        <w:rPr>
          <w:rFonts w:ascii="Arial" w:cs="Arial" w:eastAsia="Arial" w:hAnsi="Arial"/>
          <w:sz w:val="22"/>
          <w:szCs w:val="22"/>
          <w:b w:val="1"/>
          <w:bCs w:val="1"/>
          <w:color w:val="auto"/>
        </w:rPr>
        <w:t>APPENDIX B</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UNITS AGREEMENT</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NON-U.S. ADDENDUM</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Additional Terms and Conditions for Equity Grants Under the TriMas Corporation 2006 Long Term Equity Incentive Plan</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January 2016</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Terms and Conditions</w:t>
      </w:r>
    </w:p>
    <w:p>
      <w:pPr>
        <w:spacing w:after="0" w:line="266"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This Addendum includes additional terms and conditions that govern the restricted stock units (“</w:t>
      </w:r>
      <w:r>
        <w:rPr>
          <w:rFonts w:ascii="Arial" w:cs="Arial" w:eastAsia="Arial" w:hAnsi="Arial"/>
          <w:sz w:val="21"/>
          <w:szCs w:val="21"/>
          <w:u w:val="single" w:color="auto"/>
          <w:color w:val="auto"/>
        </w:rPr>
        <w:t>RSUs</w:t>
      </w:r>
      <w:r>
        <w:rPr>
          <w:rFonts w:ascii="Arial" w:cs="Arial" w:eastAsia="Arial" w:hAnsi="Arial"/>
          <w:sz w:val="21"/>
          <w:szCs w:val="21"/>
          <w:color w:val="auto"/>
        </w:rPr>
        <w:t>”) granted to you under the TriMas Corporation 2006 Long Term Equity Incentive Plan (referred to as the “</w:t>
      </w:r>
      <w:r>
        <w:rPr>
          <w:rFonts w:ascii="Arial" w:cs="Arial" w:eastAsia="Arial" w:hAnsi="Arial"/>
          <w:sz w:val="21"/>
          <w:szCs w:val="21"/>
          <w:u w:val="single" w:color="auto"/>
          <w:color w:val="auto"/>
        </w:rPr>
        <w:t>Plan</w:t>
      </w:r>
      <w:r>
        <w:rPr>
          <w:rFonts w:ascii="Arial" w:cs="Arial" w:eastAsia="Arial" w:hAnsi="Arial"/>
          <w:sz w:val="21"/>
          <w:szCs w:val="21"/>
          <w:color w:val="auto"/>
        </w:rPr>
        <w:t>”) if you reside in one of the countries listed below. Certain capitalized terms used but not defined in this Addendum have the meanings set forth in the Plan and/or your award agreement (the “</w:t>
      </w:r>
      <w:r>
        <w:rPr>
          <w:rFonts w:ascii="Arial" w:cs="Arial" w:eastAsia="Arial" w:hAnsi="Arial"/>
          <w:sz w:val="21"/>
          <w:szCs w:val="21"/>
          <w:u w:val="single" w:color="auto"/>
          <w:color w:val="auto"/>
        </w:rPr>
        <w:t>Agreement</w:t>
      </w:r>
      <w:r>
        <w:rPr>
          <w:rFonts w:ascii="Arial" w:cs="Arial" w:eastAsia="Arial" w:hAnsi="Arial"/>
          <w:sz w:val="21"/>
          <w:szCs w:val="21"/>
          <w:color w:val="auto"/>
        </w:rPr>
        <w:t>”) that relates to your award. By accepting your award, you agree to be bound by the terms and conditions contained in the paragraphs below in addition to the terms of the Plan, the Agreement, and the terms of any other document that may apply to you and your award.</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Notifications</w:t>
      </w:r>
    </w:p>
    <w:p>
      <w:pPr>
        <w:spacing w:after="0" w:line="266"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This Addendum also includes information regarding exchange controls and certain other issues of which you should be aware with respect to participation in the Plan. The information is based on the securities, exchange control, and other laws in effect in the respective countries as of January 2016. Such laws are often complex and change frequently. As a result, it is strongly recommended that you not rely on the information in this Addendum as the only source of information relating to the consequences of your participation in the Plan because the information may be out of date at the time you vest in your RSUs or sell shares acquired under the Plan.</w:t>
      </w:r>
    </w:p>
    <w:p>
      <w:pPr>
        <w:spacing w:after="0" w:line="234"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In addition, the information contained herein is general in nature and may not apply to your particular situation, and TriMas Corporation (the “</w:t>
      </w:r>
      <w:r>
        <w:rPr>
          <w:rFonts w:ascii="Arial" w:cs="Arial" w:eastAsia="Arial" w:hAnsi="Arial"/>
          <w:sz w:val="21"/>
          <w:szCs w:val="21"/>
          <w:u w:val="single" w:color="auto"/>
          <w:color w:val="auto"/>
        </w:rPr>
        <w:t>Corporation</w:t>
      </w:r>
      <w:r>
        <w:rPr>
          <w:rFonts w:ascii="Arial" w:cs="Arial" w:eastAsia="Arial" w:hAnsi="Arial"/>
          <w:sz w:val="21"/>
          <w:szCs w:val="21"/>
          <w:color w:val="auto"/>
        </w:rPr>
        <w:t>”) is not in a position to assure you of a particular result. Accordingly, you are advised to seek appropriate professional advice as to how the relevant laws in your country may apply to your situation.</w:t>
      </w:r>
    </w:p>
    <w:p>
      <w:pPr>
        <w:spacing w:after="0" w:line="208"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Finally, if you are a citizen or resident of a country other than the one in which you are currently working, transferred employment after the RSUs were granted to you, or are considered a resident of another country for local law purposes, the information contained herein may not apply.</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COUNTRY-SPECIFIC LANGUAGE</w:t>
      </w:r>
    </w:p>
    <w:p>
      <w:pPr>
        <w:spacing w:after="0" w:line="28" w:lineRule="exact"/>
        <w:rPr>
          <w:sz w:val="20"/>
          <w:szCs w:val="20"/>
          <w:color w:val="auto"/>
        </w:rPr>
      </w:pPr>
    </w:p>
    <w:p>
      <w:pPr>
        <w:spacing w:after="0"/>
        <w:rPr>
          <w:sz w:val="20"/>
          <w:szCs w:val="20"/>
          <w:color w:val="auto"/>
        </w:rPr>
      </w:pPr>
      <w:r>
        <w:rPr>
          <w:rFonts w:ascii="Arial" w:cs="Arial" w:eastAsia="Arial" w:hAnsi="Arial"/>
          <w:sz w:val="21"/>
          <w:szCs w:val="21"/>
          <w:color w:val="auto"/>
        </w:rPr>
        <w:t>Below please find country specific language that applies to Participants in the following countries: the United Kingdom.</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iv</w:t>
      </w:r>
    </w:p>
    <w:p>
      <w:pPr>
        <w:sectPr>
          <w:pgSz w:w="11900" w:h="16838" w:orient="portrait"/>
          <w:cols w:equalWidth="0" w:num="1">
            <w:col w:w="11420"/>
          </w:cols>
          <w:pgMar w:left="240" w:top="625" w:right="239" w:bottom="1440" w:gutter="0" w:footer="0" w:header="0"/>
        </w:sectPr>
      </w:pPr>
    </w:p>
    <w:bookmarkStart w:id="90" w:name="page91"/>
    <w:bookmarkEnd w:id="90"/>
    <w:p>
      <w:pPr>
        <w:jc w:val="center"/>
        <w:spacing w:after="0"/>
        <w:rPr>
          <w:sz w:val="20"/>
          <w:szCs w:val="20"/>
          <w:color w:val="auto"/>
        </w:rPr>
      </w:pPr>
      <w:r>
        <w:rPr>
          <w:rFonts w:ascii="Arial" w:cs="Arial" w:eastAsia="Arial" w:hAnsi="Arial"/>
          <w:sz w:val="22"/>
          <w:szCs w:val="22"/>
          <w:b w:val="1"/>
          <w:bCs w:val="1"/>
          <w:i w:val="1"/>
          <w:iCs w:val="1"/>
          <w:u w:val="single" w:color="auto"/>
          <w:color w:val="auto"/>
        </w:rPr>
        <w:t>UNITED KINGDOM</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Terms and Conditions</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Non-Transferability of Award</w:t>
      </w:r>
      <w:r>
        <w:rPr>
          <w:rFonts w:ascii="Arial" w:cs="Arial" w:eastAsia="Arial" w:hAnsi="Arial"/>
          <w:sz w:val="22"/>
          <w:szCs w:val="22"/>
          <w:color w:val="auto"/>
        </w:rPr>
        <w:t>. Section II.B.1 of the Agreement is hereby amended in its entirety to read as follows:</w:t>
      </w:r>
    </w:p>
    <w:p>
      <w:pPr>
        <w:spacing w:after="0" w:line="266" w:lineRule="exact"/>
        <w:rPr>
          <w:sz w:val="20"/>
          <w:szCs w:val="20"/>
          <w:color w:val="auto"/>
        </w:rPr>
      </w:pPr>
    </w:p>
    <w:p>
      <w:pPr>
        <w:jc w:val="both"/>
        <w:ind w:left="660" w:firstLine="648"/>
        <w:spacing w:after="0" w:line="247" w:lineRule="auto"/>
        <w:rPr>
          <w:sz w:val="20"/>
          <w:szCs w:val="20"/>
          <w:color w:val="auto"/>
        </w:rPr>
      </w:pPr>
      <w:r>
        <w:rPr>
          <w:rFonts w:ascii="Arial" w:cs="Arial" w:eastAsia="Arial" w:hAnsi="Arial"/>
          <w:sz w:val="22"/>
          <w:szCs w:val="22"/>
          <w:color w:val="auto"/>
        </w:rPr>
        <w:t>“Except as described below, this Award and the Restricted Stock Units subject to this Award may not be sold, pledged, assigned, hypothecated, transferred, or disposed of in any manner other than by will or by the laws of descent or distribution and the Award shall lapse and any unvested Restricted Stock Units subject to this Award shall be forfeited if a bankruptcy order is made in respect of Grantee. For the avoidance of doubt, the provisions contained in Section 11.13 of the Plan which allow each Participant to designate a beneficiary for the Restricted Stock Units awarded to him or her under the Plan shall not apply to this Award.”</w:t>
      </w: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Withholding</w:t>
      </w:r>
      <w:r>
        <w:rPr>
          <w:rFonts w:ascii="Arial" w:cs="Arial" w:eastAsia="Arial" w:hAnsi="Arial"/>
          <w:sz w:val="22"/>
          <w:szCs w:val="22"/>
          <w:color w:val="auto"/>
        </w:rPr>
        <w:t>. Section II.B.2 of the Agreement is hereby amended in its entirety to read as follows:</w:t>
      </w:r>
    </w:p>
    <w:p>
      <w:pPr>
        <w:spacing w:after="0" w:line="2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“Grantee hereby indemnifies the Corporation, Grantee’s employer or any other person in respect of:</w:t>
      </w:r>
    </w:p>
    <w:p>
      <w:pPr>
        <w:spacing w:after="0" w:line="260" w:lineRule="exact"/>
        <w:rPr>
          <w:sz w:val="20"/>
          <w:szCs w:val="20"/>
          <w:color w:val="auto"/>
        </w:rPr>
      </w:pPr>
    </w:p>
    <w:p>
      <w:pPr>
        <w:jc w:val="both"/>
        <w:ind w:left="1960" w:hanging="655"/>
        <w:spacing w:after="0" w:line="250" w:lineRule="auto"/>
        <w:tabs>
          <w:tab w:leader="none" w:pos="1960" w:val="left"/>
        </w:tabs>
        <w:numPr>
          <w:ilvl w:val="0"/>
          <w:numId w:val="83"/>
        </w:numPr>
        <w:rPr>
          <w:rFonts w:ascii="Arial" w:cs="Arial" w:eastAsia="Arial" w:hAnsi="Arial"/>
          <w:sz w:val="22"/>
          <w:szCs w:val="22"/>
          <w:color w:val="auto"/>
        </w:rPr>
      </w:pPr>
      <w:r>
        <w:rPr>
          <w:rFonts w:ascii="Arial" w:cs="Arial" w:eastAsia="Arial" w:hAnsi="Arial"/>
          <w:sz w:val="22"/>
          <w:szCs w:val="22"/>
          <w:color w:val="auto"/>
        </w:rPr>
        <w:t>any amount of income tax for which the Corporation, Grantee’s employer or any other person is obliged to account under the Pay-As-You-Earn system and any amounts of employee’s national insurance contributions arising from the vesting of the Award (or which would not otherwise have arisen but for the grant of the Award to Grantee); and</w:t>
      </w:r>
    </w:p>
    <w:p>
      <w:pPr>
        <w:spacing w:after="0" w:line="228" w:lineRule="exact"/>
        <w:rPr>
          <w:rFonts w:ascii="Arial" w:cs="Arial" w:eastAsia="Arial" w:hAnsi="Arial"/>
          <w:sz w:val="22"/>
          <w:szCs w:val="22"/>
          <w:color w:val="auto"/>
        </w:rPr>
      </w:pPr>
    </w:p>
    <w:p>
      <w:pPr>
        <w:jc w:val="both"/>
        <w:ind w:left="1960" w:hanging="655"/>
        <w:spacing w:after="0" w:line="297" w:lineRule="auto"/>
        <w:tabs>
          <w:tab w:leader="none" w:pos="1960" w:val="left"/>
        </w:tabs>
        <w:numPr>
          <w:ilvl w:val="0"/>
          <w:numId w:val="83"/>
        </w:numPr>
        <w:rPr>
          <w:rFonts w:ascii="Arial" w:cs="Arial" w:eastAsia="Arial" w:hAnsi="Arial"/>
          <w:sz w:val="19"/>
          <w:szCs w:val="19"/>
          <w:color w:val="auto"/>
        </w:rPr>
      </w:pPr>
      <w:r>
        <w:rPr>
          <w:rFonts w:ascii="Arial" w:cs="Arial" w:eastAsia="Arial" w:hAnsi="Arial"/>
          <w:sz w:val="19"/>
          <w:szCs w:val="19"/>
          <w:color w:val="auto"/>
        </w:rPr>
        <w:t>any amount of income tax for which the Corporation, Grantee’s employer or any other person is obliged to account under the Pay-As-You-Earn system and any amounts of employee’s national insurance contributions arising in respect of, or in connection with the holding or disposal by Grantee of the shares of Common Stock acquired pursuant to the Award or the conversion of such shares of Common Stock into securities of another description whilst such shares of Common Stock are held by Grantee,</w:t>
      </w:r>
    </w:p>
    <w:p>
      <w:pPr>
        <w:spacing w:after="0" w:line="188" w:lineRule="exact"/>
        <w:rPr>
          <w:sz w:val="20"/>
          <w:szCs w:val="20"/>
          <w:color w:val="auto"/>
        </w:rPr>
      </w:pPr>
    </w:p>
    <w:p>
      <w:pPr>
        <w:jc w:val="both"/>
        <w:ind w:left="660" w:firstLine="648"/>
        <w:spacing w:after="0" w:line="261" w:lineRule="auto"/>
        <w:rPr>
          <w:sz w:val="20"/>
          <w:szCs w:val="20"/>
          <w:color w:val="auto"/>
        </w:rPr>
      </w:pPr>
      <w:r>
        <w:rPr>
          <w:rFonts w:ascii="Arial" w:cs="Arial" w:eastAsia="Arial" w:hAnsi="Arial"/>
          <w:sz w:val="21"/>
          <w:szCs w:val="21"/>
          <w:color w:val="auto"/>
        </w:rPr>
        <w:t>and in pursuance of such indemnity, Grantee hereby agrees that he or she shall pay to the Corporation (or to such other entity as directed by it) such amount as shall be notified to Grantee by the Corporation as being due on any occasion under such indemnity, within seven days after being so notified. To the extent that Grantee fails to pay any amount so notified to him or by the Corporation within seven days after such notification, Grantee hereby agrees that the Corporation may withhold, or procure the withholding, from any salary, wages, payment or payments due to Grantee from the Corporation or the Employer an amount which is equal to the</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v</w:t>
      </w:r>
    </w:p>
    <w:p>
      <w:pPr>
        <w:sectPr>
          <w:pgSz w:w="11900" w:h="16838" w:orient="portrait"/>
          <w:cols w:equalWidth="0" w:num="1">
            <w:col w:w="11420"/>
          </w:cols>
          <w:pgMar w:left="240" w:top="631" w:right="239" w:bottom="1440" w:gutter="0" w:footer="0" w:header="0"/>
        </w:sectPr>
      </w:pPr>
    </w:p>
    <w:bookmarkStart w:id="91" w:name="page92"/>
    <w:bookmarkEnd w:id="91"/>
    <w:p>
      <w:pPr>
        <w:jc w:val="both"/>
        <w:ind w:left="660"/>
        <w:spacing w:after="0" w:line="260" w:lineRule="auto"/>
        <w:rPr>
          <w:sz w:val="20"/>
          <w:szCs w:val="20"/>
          <w:color w:val="auto"/>
        </w:rPr>
      </w:pPr>
      <w:r>
        <w:rPr>
          <w:rFonts w:ascii="Arial" w:cs="Arial" w:eastAsia="Arial" w:hAnsi="Arial"/>
          <w:sz w:val="21"/>
          <w:szCs w:val="21"/>
          <w:color w:val="auto"/>
        </w:rPr>
        <w:t>amount notified to Grantee, sell or procure the sale of sufficient of the shares of Common Stock acquired by Grantee pursuant to the Award on behalf of Grantee to produce a sum which after any costs of sale is sufficient to discharge the amount so notified to Grantee and retain such sum or make such other arrangements, by which Grantee hereby agrees to be bound, so as to ensure that the amount notified to Grantee is discharged in full. The Corporation will not be obliged to deliver any shares of Common Stock to Grantee pursuant to the Award if Grantee fails to comply with his or her obligations under the foregoing provisions of this Section II.B.2 and Grantee shall not be entitled to receive the delivery of such shares of Common Stock.”</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Clawback Policy</w:t>
      </w:r>
      <w:r>
        <w:rPr>
          <w:rFonts w:ascii="Arial" w:cs="Arial" w:eastAsia="Arial" w:hAnsi="Arial"/>
          <w:sz w:val="22"/>
          <w:szCs w:val="22"/>
          <w:color w:val="auto"/>
        </w:rPr>
        <w:t>. Section II.B.12 of the Agreement shall not apply.</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Data Privacy</w:t>
      </w:r>
      <w:r>
        <w:rPr>
          <w:rFonts w:ascii="Arial" w:cs="Arial" w:eastAsia="Arial" w:hAnsi="Arial"/>
          <w:sz w:val="22"/>
          <w:szCs w:val="22"/>
          <w:color w:val="auto"/>
        </w:rPr>
        <w:t>. A new Section II.B.13 is added to the Agreement to read as follows:</w:t>
      </w:r>
    </w:p>
    <w:p>
      <w:pPr>
        <w:spacing w:after="0" w:line="266" w:lineRule="exact"/>
        <w:rPr>
          <w:sz w:val="20"/>
          <w:szCs w:val="20"/>
          <w:color w:val="auto"/>
        </w:rPr>
      </w:pPr>
    </w:p>
    <w:p>
      <w:pPr>
        <w:jc w:val="both"/>
        <w:ind w:left="1300"/>
        <w:spacing w:after="0" w:line="250" w:lineRule="auto"/>
        <w:rPr>
          <w:sz w:val="20"/>
          <w:szCs w:val="20"/>
          <w:color w:val="auto"/>
        </w:rPr>
      </w:pPr>
      <w:r>
        <w:rPr>
          <w:rFonts w:ascii="Arial" w:cs="Arial" w:eastAsia="Arial" w:hAnsi="Arial"/>
          <w:sz w:val="22"/>
          <w:szCs w:val="22"/>
          <w:color w:val="auto"/>
        </w:rPr>
        <w:t>“The Corporation and Grantee’s employer (together the “Data Processors”) will process the Grantee’s personal data and each may transfer the Grantee’s personal data to their Subsidiaries, HM Revenue and Customs and third party service providers, for the purposes of managing and administering the Award and the operation of the Plan including but not limited to:</w:t>
      </w:r>
    </w:p>
    <w:p>
      <w:pPr>
        <w:spacing w:after="0" w:line="188" w:lineRule="exact"/>
        <w:rPr>
          <w:sz w:val="20"/>
          <w:szCs w:val="20"/>
          <w:color w:val="auto"/>
        </w:rPr>
      </w:pPr>
    </w:p>
    <w:p>
      <w:pPr>
        <w:ind w:left="1960" w:hanging="655"/>
        <w:spacing w:after="0"/>
        <w:tabs>
          <w:tab w:leader="none" w:pos="1960" w:val="left"/>
        </w:tabs>
        <w:numPr>
          <w:ilvl w:val="0"/>
          <w:numId w:val="84"/>
        </w:numPr>
        <w:rPr>
          <w:rFonts w:ascii="Arial" w:cs="Arial" w:eastAsia="Arial" w:hAnsi="Arial"/>
          <w:sz w:val="22"/>
          <w:szCs w:val="22"/>
          <w:color w:val="auto"/>
        </w:rPr>
      </w:pPr>
      <w:r>
        <w:rPr>
          <w:rFonts w:ascii="Arial" w:cs="Arial" w:eastAsia="Arial" w:hAnsi="Arial"/>
          <w:sz w:val="22"/>
          <w:szCs w:val="22"/>
          <w:color w:val="auto"/>
        </w:rPr>
        <w:t>administering and maintaining records relating to Grantee;</w:t>
      </w:r>
    </w:p>
    <w:p>
      <w:pPr>
        <w:spacing w:after="0" w:line="260" w:lineRule="exact"/>
        <w:rPr>
          <w:rFonts w:ascii="Arial" w:cs="Arial" w:eastAsia="Arial" w:hAnsi="Arial"/>
          <w:sz w:val="22"/>
          <w:szCs w:val="22"/>
          <w:color w:val="auto"/>
        </w:rPr>
      </w:pPr>
    </w:p>
    <w:p>
      <w:pPr>
        <w:ind w:left="1960" w:right="20" w:hanging="655"/>
        <w:spacing w:after="0" w:line="263" w:lineRule="auto"/>
        <w:tabs>
          <w:tab w:leader="none" w:pos="1960" w:val="left"/>
        </w:tabs>
        <w:numPr>
          <w:ilvl w:val="0"/>
          <w:numId w:val="84"/>
        </w:numPr>
        <w:rPr>
          <w:rFonts w:ascii="Arial" w:cs="Arial" w:eastAsia="Arial" w:hAnsi="Arial"/>
          <w:sz w:val="22"/>
          <w:szCs w:val="22"/>
          <w:color w:val="auto"/>
        </w:rPr>
      </w:pPr>
      <w:r>
        <w:rPr>
          <w:rFonts w:ascii="Arial" w:cs="Arial" w:eastAsia="Arial" w:hAnsi="Arial"/>
          <w:sz w:val="22"/>
          <w:szCs w:val="22"/>
          <w:color w:val="auto"/>
        </w:rPr>
        <w:t>providing information to (i) trustees of any employee benefit trust or (ii) other third party administrators involved directly or indirectly in the operation of the Plan;</w:t>
      </w:r>
    </w:p>
    <w:p>
      <w:pPr>
        <w:spacing w:after="0" w:line="215" w:lineRule="exact"/>
        <w:rPr>
          <w:rFonts w:ascii="Arial" w:cs="Arial" w:eastAsia="Arial" w:hAnsi="Arial"/>
          <w:sz w:val="22"/>
          <w:szCs w:val="22"/>
          <w:color w:val="auto"/>
        </w:rPr>
      </w:pPr>
    </w:p>
    <w:p>
      <w:pPr>
        <w:ind w:left="1960" w:hanging="655"/>
        <w:spacing w:after="0" w:line="263" w:lineRule="auto"/>
        <w:tabs>
          <w:tab w:leader="none" w:pos="1960" w:val="left"/>
        </w:tabs>
        <w:numPr>
          <w:ilvl w:val="0"/>
          <w:numId w:val="84"/>
        </w:numPr>
        <w:rPr>
          <w:rFonts w:ascii="Arial" w:cs="Arial" w:eastAsia="Arial" w:hAnsi="Arial"/>
          <w:sz w:val="22"/>
          <w:szCs w:val="22"/>
          <w:color w:val="auto"/>
        </w:rPr>
      </w:pPr>
      <w:r>
        <w:rPr>
          <w:rFonts w:ascii="Arial" w:cs="Arial" w:eastAsia="Arial" w:hAnsi="Arial"/>
          <w:sz w:val="22"/>
          <w:szCs w:val="22"/>
          <w:color w:val="auto"/>
        </w:rPr>
        <w:t>providing information relating to the Grantee in connection with the operation of the Plan to HM Revenue and Customs;</w:t>
      </w:r>
    </w:p>
    <w:p>
      <w:pPr>
        <w:spacing w:after="0" w:line="215" w:lineRule="exact"/>
        <w:rPr>
          <w:rFonts w:ascii="Arial" w:cs="Arial" w:eastAsia="Arial" w:hAnsi="Arial"/>
          <w:sz w:val="22"/>
          <w:szCs w:val="22"/>
          <w:color w:val="auto"/>
        </w:rPr>
      </w:pPr>
    </w:p>
    <w:p>
      <w:pPr>
        <w:ind w:left="1960" w:hanging="655"/>
        <w:spacing w:after="0"/>
        <w:tabs>
          <w:tab w:leader="none" w:pos="1960" w:val="left"/>
        </w:tabs>
        <w:numPr>
          <w:ilvl w:val="0"/>
          <w:numId w:val="84"/>
        </w:numPr>
        <w:rPr>
          <w:rFonts w:ascii="Arial" w:cs="Arial" w:eastAsia="Arial" w:hAnsi="Arial"/>
          <w:sz w:val="22"/>
          <w:szCs w:val="22"/>
          <w:color w:val="auto"/>
        </w:rPr>
      </w:pPr>
      <w:r>
        <w:rPr>
          <w:rFonts w:ascii="Arial" w:cs="Arial" w:eastAsia="Arial" w:hAnsi="Arial"/>
          <w:sz w:val="22"/>
          <w:szCs w:val="22"/>
          <w:color w:val="auto"/>
        </w:rPr>
        <w:t>providing information to potential purchasers of one or more of the Data Processors; and</w:t>
      </w:r>
    </w:p>
    <w:p>
      <w:pPr>
        <w:spacing w:after="0" w:line="260" w:lineRule="exact"/>
        <w:rPr>
          <w:rFonts w:ascii="Arial" w:cs="Arial" w:eastAsia="Arial" w:hAnsi="Arial"/>
          <w:sz w:val="22"/>
          <w:szCs w:val="22"/>
          <w:color w:val="auto"/>
        </w:rPr>
      </w:pPr>
    </w:p>
    <w:p>
      <w:pPr>
        <w:jc w:val="both"/>
        <w:ind w:left="1960" w:hanging="655"/>
        <w:spacing w:after="0" w:line="253" w:lineRule="auto"/>
        <w:tabs>
          <w:tab w:leader="none" w:pos="1960" w:val="left"/>
        </w:tabs>
        <w:numPr>
          <w:ilvl w:val="0"/>
          <w:numId w:val="84"/>
        </w:numPr>
        <w:rPr>
          <w:rFonts w:ascii="Arial" w:cs="Arial" w:eastAsia="Arial" w:hAnsi="Arial"/>
          <w:sz w:val="22"/>
          <w:szCs w:val="22"/>
          <w:color w:val="auto"/>
        </w:rPr>
      </w:pPr>
      <w:r>
        <w:rPr>
          <w:rFonts w:ascii="Arial" w:cs="Arial" w:eastAsia="Arial" w:hAnsi="Arial"/>
          <w:sz w:val="22"/>
          <w:szCs w:val="22"/>
          <w:color w:val="auto"/>
        </w:rPr>
        <w:t>allowing any personal data provided by Grantee to be sent to and kept and used by any third party engaged by the Corporation to administer the Plan, including but not limited to the maintenance by such a third party of a database of Participants in the Plan.</w:t>
      </w:r>
    </w:p>
    <w:p>
      <w:pPr>
        <w:spacing w:after="0" w:line="226" w:lineRule="exact"/>
        <w:rPr>
          <w:sz w:val="20"/>
          <w:szCs w:val="20"/>
          <w:color w:val="auto"/>
        </w:rPr>
      </w:pPr>
    </w:p>
    <w:p>
      <w:pPr>
        <w:jc w:val="both"/>
        <w:ind w:left="1300"/>
        <w:spacing w:after="0" w:line="297" w:lineRule="auto"/>
        <w:rPr>
          <w:sz w:val="20"/>
          <w:szCs w:val="20"/>
          <w:color w:val="auto"/>
        </w:rPr>
      </w:pPr>
      <w:r>
        <w:rPr>
          <w:rFonts w:ascii="Arial" w:cs="Arial" w:eastAsia="Arial" w:hAnsi="Arial"/>
          <w:sz w:val="19"/>
          <w:szCs w:val="19"/>
          <w:color w:val="auto"/>
        </w:rPr>
        <w:t>Such personal data includes (without limitation) Grantee’s name, home address and telephone number; date of birth; social insurance or national insurance number or other identification number; salary; nationality; job title; any Common Stock or directorships held in the any of the Data Processors; alleged, proven and convicted offences, felonies and/or wilful misconduct; wilful failure or refusal to follow directions from the board of the Corporation; breach of fiduciary duty to the Corporation or a Subsidiary; and details of all Awards or any other entitlement to</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vi</w:t>
      </w:r>
    </w:p>
    <w:p>
      <w:pPr>
        <w:sectPr>
          <w:pgSz w:w="11900" w:h="16838" w:orient="portrait"/>
          <w:cols w:equalWidth="0" w:num="1">
            <w:col w:w="11420"/>
          </w:cols>
          <w:pgMar w:left="240" w:top="631" w:right="239" w:bottom="1440" w:gutter="0" w:footer="0" w:header="0"/>
        </w:sectPr>
      </w:pPr>
    </w:p>
    <w:bookmarkStart w:id="92" w:name="page93"/>
    <w:bookmarkEnd w:id="92"/>
    <w:p>
      <w:pPr>
        <w:ind w:left="1300"/>
        <w:spacing w:after="0"/>
        <w:rPr>
          <w:sz w:val="20"/>
          <w:szCs w:val="20"/>
          <w:color w:val="auto"/>
        </w:rPr>
      </w:pPr>
      <w:r>
        <w:rPr>
          <w:rFonts w:ascii="Arial" w:cs="Arial" w:eastAsia="Arial" w:hAnsi="Arial"/>
          <w:sz w:val="22"/>
          <w:szCs w:val="22"/>
          <w:color w:val="auto"/>
        </w:rPr>
        <w:t>Common Stock awarded, cancelled, exercised, vested, unvested or outstanding in Grantee’s favour.</w:t>
      </w:r>
    </w:p>
    <w:p>
      <w:pPr>
        <w:spacing w:after="0" w:line="220" w:lineRule="exact"/>
        <w:rPr>
          <w:sz w:val="20"/>
          <w:szCs w:val="20"/>
          <w:color w:val="auto"/>
        </w:rPr>
      </w:pPr>
    </w:p>
    <w:p>
      <w:pPr>
        <w:jc w:val="both"/>
        <w:ind w:left="1300"/>
        <w:spacing w:after="0" w:line="263" w:lineRule="auto"/>
        <w:rPr>
          <w:sz w:val="20"/>
          <w:szCs w:val="20"/>
          <w:color w:val="auto"/>
        </w:rPr>
      </w:pPr>
      <w:r>
        <w:rPr>
          <w:rFonts w:ascii="Arial" w:cs="Arial" w:eastAsia="Arial" w:hAnsi="Arial"/>
          <w:sz w:val="21"/>
          <w:szCs w:val="21"/>
          <w:color w:val="auto"/>
        </w:rPr>
        <w:t>Grantee’s personal data may be transferred to the Data Processors or to any third parties assisting in the implementation, administration and management of the Plan and/or the Award which are based outside of the UK. Grantee’s employer and the Corporation (as appropriate) will implement safeguards to ensure the appropriate levels of protection for all such personal data. Grantee may request a list with the names and addresses of any potential recipients of the data by contacting their local human resources representative.</w:t>
      </w:r>
    </w:p>
    <w:p>
      <w:pPr>
        <w:spacing w:after="0" w:line="176" w:lineRule="exact"/>
        <w:rPr>
          <w:sz w:val="20"/>
          <w:szCs w:val="20"/>
          <w:color w:val="auto"/>
        </w:rPr>
      </w:pPr>
    </w:p>
    <w:p>
      <w:pPr>
        <w:jc w:val="both"/>
        <w:ind w:left="1300"/>
        <w:spacing w:after="0" w:line="302" w:lineRule="auto"/>
        <w:rPr>
          <w:sz w:val="20"/>
          <w:szCs w:val="20"/>
          <w:color w:val="auto"/>
        </w:rPr>
      </w:pPr>
      <w:r>
        <w:rPr>
          <w:rFonts w:ascii="Arial" w:cs="Arial" w:eastAsia="Arial" w:hAnsi="Arial"/>
          <w:sz w:val="19"/>
          <w:szCs w:val="19"/>
          <w:color w:val="auto"/>
        </w:rPr>
        <w:t>Grantee’s personal data will be held only as long as is necessary for the purpose for which it was collected. Grantee may (without cost) by contacting in writing their local human resources representative (i) view or request additional information about the storage and processing of their personal data, and/or (ii) request that any personal data that the Data Processors hold about Grantee which is inaccurate or out of date is corrected where appropriate.”</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Loss of Office or Employment</w:t>
      </w:r>
      <w:r>
        <w:rPr>
          <w:rFonts w:ascii="Arial" w:cs="Arial" w:eastAsia="Arial" w:hAnsi="Arial"/>
          <w:sz w:val="22"/>
          <w:szCs w:val="22"/>
          <w:color w:val="auto"/>
        </w:rPr>
        <w:t>. A new Section II.B.14 is added to the Agreement to read as follows:</w:t>
      </w:r>
    </w:p>
    <w:p>
      <w:pPr>
        <w:spacing w:after="0" w:line="266" w:lineRule="exact"/>
        <w:rPr>
          <w:sz w:val="20"/>
          <w:szCs w:val="20"/>
          <w:color w:val="auto"/>
        </w:rPr>
      </w:pPr>
    </w:p>
    <w:p>
      <w:pPr>
        <w:jc w:val="both"/>
        <w:ind w:left="1300"/>
        <w:spacing w:after="0" w:line="248" w:lineRule="auto"/>
        <w:rPr>
          <w:sz w:val="20"/>
          <w:szCs w:val="20"/>
          <w:color w:val="auto"/>
        </w:rPr>
      </w:pPr>
      <w:r>
        <w:rPr>
          <w:rFonts w:ascii="Arial" w:cs="Arial" w:eastAsia="Arial" w:hAnsi="Arial"/>
          <w:sz w:val="22"/>
          <w:szCs w:val="22"/>
          <w:color w:val="auto"/>
        </w:rPr>
        <w:t>“In no circumstances shall Grantee, on ceasing to hold the office or employment by virtue of which he has been granted this Award, be entitled to any compensation for any loss of any right or benefit or prospective right or benefit under the Award or the Plan which he might otherwise have enjoyed whether such compensation is claimed by way of damages for wrongful dismissal or other breach of contract or by way of compensation for loss of office or otherwise.”</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Notifications</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There are no country-specific notifications.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vii</w:t>
      </w:r>
    </w:p>
    <w:p>
      <w:pPr>
        <w:sectPr>
          <w:pgSz w:w="11900" w:h="16838" w:orient="portrait"/>
          <w:cols w:equalWidth="0" w:num="1">
            <w:col w:w="11420"/>
          </w:cols>
          <w:pgMar w:left="240" w:top="631" w:right="239" w:bottom="1440" w:gutter="0" w:footer="0" w:header="0"/>
        </w:sectPr>
      </w:pPr>
    </w:p>
    <w:bookmarkStart w:id="93" w:name="page94"/>
    <w:bookmarkEnd w:id="93"/>
    <w:p>
      <w:pPr>
        <w:jc w:val="right"/>
        <w:spacing w:after="0"/>
        <w:rPr>
          <w:sz w:val="20"/>
          <w:szCs w:val="20"/>
          <w:color w:val="auto"/>
        </w:rPr>
      </w:pPr>
      <w:r>
        <w:rPr>
          <w:rFonts w:ascii="Arial" w:cs="Arial" w:eastAsia="Arial" w:hAnsi="Arial"/>
          <w:sz w:val="22"/>
          <w:szCs w:val="22"/>
          <w:b w:val="1"/>
          <w:bCs w:val="1"/>
          <w:color w:val="auto"/>
        </w:rPr>
        <w:t>Exhibit 10.4</w:t>
      </w:r>
    </w:p>
    <w:p>
      <w:pPr>
        <w:spacing w:after="0" w:line="26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Restricted Stock Unit</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Three-Year Vest</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TRIMAS CORPORATION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2011 OMNIBUS INCENTIVE COMPENSATION PLAN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UNITS AGREEMENT</w:t>
      </w:r>
    </w:p>
    <w:p>
      <w:pPr>
        <w:spacing w:after="0" w:line="266"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TriMas Corporation (the “Corporation”), as permitted by the TriMas Corporation 2011 Omnibus Incentive Compensation Plan, as amended (“Plan”), and as approved by the Committee, grants to the individual listed below (“Grantee”), a Restricted Stock Units Award (“Award”) for the number of Restricted Stock Units set forth below (“Restricted Stock Units”), subject to the terms and conditions of the Plan and this Restricted Stock Units Agreement (“Agreement”).</w:t>
      </w:r>
    </w:p>
    <w:p>
      <w:pPr>
        <w:spacing w:after="0" w:line="17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Unless otherwise defined in this Agreement or in Appendix A to this Agreement, the terms used in this Agreement have the same meaning as defined in the Plan. The term “Service Provider” as used in this Agreement means an individual actively providing services to the Corporation or a Subsidiary or Affiliate of the Corporation.</w:t>
      </w:r>
    </w:p>
    <w:p>
      <w:pPr>
        <w:spacing w:after="0" w:line="180" w:lineRule="exact"/>
        <w:rPr>
          <w:sz w:val="20"/>
          <w:szCs w:val="20"/>
          <w:color w:val="auto"/>
        </w:rPr>
      </w:pPr>
    </w:p>
    <w:p>
      <w:pPr>
        <w:ind w:left="360" w:hanging="352"/>
        <w:spacing w:after="0"/>
        <w:tabs>
          <w:tab w:leader="none" w:pos="360" w:val="left"/>
        </w:tabs>
        <w:numPr>
          <w:ilvl w:val="0"/>
          <w:numId w:val="8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NOTICE OF RESTRICTED STOCK UNITS AWARD</w:t>
      </w:r>
    </w:p>
    <w:p>
      <w:pPr>
        <w:sectPr>
          <w:pgSz w:w="11900" w:h="16838" w:orient="portrait"/>
          <w:cols w:equalWidth="0" w:num="1">
            <w:col w:w="11420"/>
          </w:cols>
          <w:pgMar w:left="240" w:top="625" w:right="239" w:bottom="1440" w:gutter="0" w:footer="0" w:header="0"/>
        </w:sectPr>
      </w:pPr>
    </w:p>
    <w:p>
      <w:pPr>
        <w:spacing w:after="0" w:line="368" w:lineRule="exact"/>
        <w:rPr>
          <w:sz w:val="20"/>
          <w:szCs w:val="20"/>
          <w:color w:val="auto"/>
        </w:rPr>
      </w:pPr>
    </w:p>
    <w:p>
      <w:pPr>
        <w:ind w:left="420"/>
        <w:spacing w:after="0"/>
        <w:rPr>
          <w:sz w:val="20"/>
          <w:szCs w:val="20"/>
          <w:color w:val="auto"/>
        </w:rPr>
      </w:pPr>
      <w:r>
        <w:rPr>
          <w:rFonts w:ascii="Arial" w:cs="Arial" w:eastAsia="Arial" w:hAnsi="Arial"/>
          <w:sz w:val="22"/>
          <w:szCs w:val="22"/>
          <w:b w:val="1"/>
          <w:bCs w:val="1"/>
          <w:color w:val="auto"/>
        </w:rPr>
        <w:t>Grantee:</w:t>
      </w:r>
    </w:p>
    <w:p>
      <w:pPr>
        <w:spacing w:after="0" w:line="44" w:lineRule="exact"/>
        <w:rPr>
          <w:sz w:val="20"/>
          <w:szCs w:val="20"/>
          <w:color w:val="auto"/>
        </w:rPr>
      </w:pPr>
    </w:p>
    <w:p>
      <w:pPr>
        <w:ind w:left="420"/>
        <w:spacing w:after="0"/>
        <w:rPr>
          <w:sz w:val="20"/>
          <w:szCs w:val="20"/>
          <w:color w:val="auto"/>
        </w:rPr>
      </w:pPr>
      <w:r>
        <w:rPr>
          <w:rFonts w:ascii="Arial" w:cs="Arial" w:eastAsia="Arial" w:hAnsi="Arial"/>
          <w:sz w:val="22"/>
          <w:szCs w:val="22"/>
          <w:b w:val="1"/>
          <w:bCs w:val="1"/>
          <w:color w:val="auto"/>
        </w:rPr>
        <w:t>Date of Agreement:</w:t>
      </w:r>
    </w:p>
    <w:p>
      <w:pPr>
        <w:spacing w:after="0" w:line="44" w:lineRule="exact"/>
        <w:rPr>
          <w:sz w:val="20"/>
          <w:szCs w:val="20"/>
          <w:color w:val="auto"/>
        </w:rPr>
      </w:pPr>
    </w:p>
    <w:p>
      <w:pPr>
        <w:ind w:left="420"/>
        <w:spacing w:after="0"/>
        <w:rPr>
          <w:sz w:val="20"/>
          <w:szCs w:val="20"/>
          <w:color w:val="auto"/>
        </w:rPr>
      </w:pPr>
      <w:r>
        <w:rPr>
          <w:rFonts w:ascii="Arial" w:cs="Arial" w:eastAsia="Arial" w:hAnsi="Arial"/>
          <w:sz w:val="22"/>
          <w:szCs w:val="22"/>
          <w:b w:val="1"/>
          <w:bCs w:val="1"/>
          <w:color w:val="auto"/>
        </w:rPr>
        <w:t>Grant Date:</w:t>
      </w:r>
    </w:p>
    <w:p>
      <w:pPr>
        <w:spacing w:after="0" w:line="44" w:lineRule="exact"/>
        <w:rPr>
          <w:sz w:val="20"/>
          <w:szCs w:val="20"/>
          <w:color w:val="auto"/>
        </w:rPr>
      </w:pPr>
    </w:p>
    <w:p>
      <w:pPr>
        <w:ind w:left="420"/>
        <w:spacing w:after="0"/>
        <w:rPr>
          <w:sz w:val="20"/>
          <w:szCs w:val="20"/>
          <w:color w:val="auto"/>
        </w:rPr>
      </w:pPr>
      <w:r>
        <w:rPr>
          <w:rFonts w:ascii="Arial" w:cs="Arial" w:eastAsia="Arial" w:hAnsi="Arial"/>
          <w:sz w:val="19"/>
          <w:szCs w:val="19"/>
          <w:b w:val="1"/>
          <w:bCs w:val="1"/>
          <w:color w:val="auto"/>
        </w:rPr>
        <w:t>Number of Restricted Stock Units:</w:t>
      </w:r>
    </w:p>
    <w:p>
      <w:pPr>
        <w:spacing w:after="0" w:line="20" w:lineRule="exact"/>
        <w:rPr>
          <w:sz w:val="20"/>
          <w:szCs w:val="20"/>
          <w:color w:val="auto"/>
        </w:rPr>
      </w:pPr>
      <w:r>
        <w:rPr>
          <w:sz w:val="20"/>
          <w:szCs w:val="20"/>
          <w:color w:val="auto"/>
        </w:rPr>
        <w:br w:type="column"/>
      </w:r>
    </w:p>
    <w:p>
      <w:pPr>
        <w:spacing w:after="0" w:line="3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[specify Grantee’s name]</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[grant date]</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March 1, 2016</w:t>
      </w:r>
    </w:p>
    <w:p>
      <w:pPr>
        <w:spacing w:after="0" w:line="4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[number of Restricted Stock Units]</w:t>
      </w:r>
    </w:p>
    <w:p>
      <w:pPr>
        <w:spacing w:after="0" w:line="200" w:lineRule="exact"/>
        <w:rPr>
          <w:sz w:val="20"/>
          <w:szCs w:val="20"/>
          <w:color w:val="auto"/>
        </w:rPr>
      </w:pPr>
    </w:p>
    <w:p>
      <w:pPr>
        <w:sectPr>
          <w:pgSz w:w="11900" w:h="16838" w:orient="portrait"/>
          <w:cols w:equalWidth="0" w:num="2">
            <w:col w:w="6100" w:space="720"/>
            <w:col w:w="4600"/>
          </w:cols>
          <w:pgMar w:left="240" w:top="625" w:right="239" w:bottom="1440" w:gutter="0" w:footer="0" w:header="0"/>
          <w:type w:val="continuous"/>
        </w:sectPr>
      </w:pPr>
    </w:p>
    <w:p>
      <w:pPr>
        <w:spacing w:after="0" w:line="122" w:lineRule="exact"/>
        <w:rPr>
          <w:sz w:val="20"/>
          <w:szCs w:val="20"/>
          <w:color w:val="auto"/>
        </w:rPr>
      </w:pPr>
    </w:p>
    <w:p>
      <w:pPr>
        <w:ind w:left="440" w:hanging="432"/>
        <w:spacing w:after="0"/>
        <w:tabs>
          <w:tab w:leader="none" w:pos="440" w:val="left"/>
        </w:tabs>
        <w:numPr>
          <w:ilvl w:val="0"/>
          <w:numId w:val="8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AGREEMENT</w:t>
      </w:r>
    </w:p>
    <w:p>
      <w:pPr>
        <w:spacing w:after="0" w:line="219" w:lineRule="exact"/>
        <w:rPr>
          <w:rFonts w:ascii="Arial" w:cs="Arial" w:eastAsia="Arial" w:hAnsi="Arial"/>
          <w:sz w:val="22"/>
          <w:szCs w:val="22"/>
          <w:b w:val="1"/>
          <w:bCs w:val="1"/>
          <w:color w:val="auto"/>
        </w:rPr>
      </w:pPr>
    </w:p>
    <w:p>
      <w:pPr>
        <w:jc w:val="both"/>
        <w:ind w:firstLine="648"/>
        <w:spacing w:after="0" w:line="298" w:lineRule="auto"/>
        <w:rPr>
          <w:rFonts w:ascii="Arial" w:cs="Arial" w:eastAsia="Arial" w:hAnsi="Arial"/>
          <w:sz w:val="22"/>
          <w:szCs w:val="22"/>
          <w:b w:val="1"/>
          <w:bCs w:val="1"/>
          <w:color w:val="auto"/>
        </w:rPr>
      </w:pPr>
      <w:r>
        <w:rPr>
          <w:rFonts w:ascii="Arial" w:cs="Arial" w:eastAsia="Arial" w:hAnsi="Arial"/>
          <w:sz w:val="19"/>
          <w:szCs w:val="19"/>
          <w:b w:val="1"/>
          <w:bCs w:val="1"/>
          <w:color w:val="auto"/>
        </w:rPr>
        <w:t xml:space="preserve">A. </w:t>
      </w:r>
      <w:r>
        <w:rPr>
          <w:rFonts w:ascii="Arial" w:cs="Arial" w:eastAsia="Arial" w:hAnsi="Arial"/>
          <w:sz w:val="19"/>
          <w:szCs w:val="19"/>
          <w:b w:val="1"/>
          <w:bCs w:val="1"/>
          <w:u w:val="single" w:color="auto"/>
          <w:color w:val="auto"/>
        </w:rPr>
        <w:t>Grant of Restricted Stock Units.</w:t>
      </w:r>
      <w:r>
        <w:rPr>
          <w:rFonts w:ascii="Arial" w:cs="Arial" w:eastAsia="Arial" w:hAnsi="Arial"/>
          <w:sz w:val="19"/>
          <w:szCs w:val="19"/>
          <w:b w:val="1"/>
          <w:bCs w:val="1"/>
          <w:color w:val="auto"/>
        </w:rPr>
        <w:t xml:space="preserve"> </w:t>
      </w:r>
      <w:r>
        <w:rPr>
          <w:rFonts w:ascii="Arial" w:cs="Arial" w:eastAsia="Arial" w:hAnsi="Arial"/>
          <w:sz w:val="19"/>
          <w:szCs w:val="19"/>
          <w:color w:val="auto"/>
        </w:rPr>
        <w:t>The Corporation grants to Grantee (who, pursuant to this Award is a Participant in</w:t>
      </w:r>
      <w:r>
        <w:rPr>
          <w:rFonts w:ascii="Arial" w:cs="Arial" w:eastAsia="Arial" w:hAnsi="Arial"/>
          <w:sz w:val="19"/>
          <w:szCs w:val="19"/>
          <w:b w:val="1"/>
          <w:bCs w:val="1"/>
          <w:color w:val="auto"/>
        </w:rPr>
        <w:t xml:space="preserve"> </w:t>
      </w:r>
      <w:r>
        <w:rPr>
          <w:rFonts w:ascii="Arial" w:cs="Arial" w:eastAsia="Arial" w:hAnsi="Arial"/>
          <w:sz w:val="19"/>
          <w:szCs w:val="19"/>
          <w:color w:val="auto"/>
        </w:rPr>
        <w:t>the Plan) the number of Restricted Stock Units set forth above, subject to adjustment as provided in this Agreement. The Restricted Stock Units granted under this Agreement are payable only in shares of Stock as described in Section II.A.2. Notwithstanding anything to the contrary anywhere else in this Agreement, the Restricted Stock Units subject to this Award are subject to the terms and provisions of the Plan, which are incorporated by reference into this Agreement.</w:t>
      </w:r>
    </w:p>
    <w:p>
      <w:pPr>
        <w:spacing w:after="0" w:line="142" w:lineRule="exact"/>
        <w:rPr>
          <w:rFonts w:ascii="Arial" w:cs="Arial" w:eastAsia="Arial" w:hAnsi="Arial"/>
          <w:sz w:val="22"/>
          <w:szCs w:val="22"/>
          <w:b w:val="1"/>
          <w:bCs w:val="1"/>
          <w:color w:val="auto"/>
        </w:rPr>
      </w:pPr>
    </w:p>
    <w:p>
      <w:pPr>
        <w:ind w:left="1680" w:hanging="375"/>
        <w:spacing w:after="0"/>
        <w:tabs>
          <w:tab w:leader="none" w:pos="1680" w:val="left"/>
        </w:tabs>
        <w:numPr>
          <w:ilvl w:val="2"/>
          <w:numId w:val="8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Vesting</w:t>
      </w:r>
      <w:r>
        <w:rPr>
          <w:rFonts w:ascii="Arial" w:cs="Arial" w:eastAsia="Arial" w:hAnsi="Arial"/>
          <w:sz w:val="22"/>
          <w:szCs w:val="22"/>
          <w:color w:val="auto"/>
        </w:rPr>
        <w:t>.</w:t>
      </w:r>
    </w:p>
    <w:p>
      <w:pPr>
        <w:sectPr>
          <w:pgSz w:w="11900" w:h="16838" w:orient="portrait"/>
          <w:cols w:equalWidth="0" w:num="1">
            <w:col w:w="11420"/>
          </w:cols>
          <w:pgMar w:left="240" w:top="625" w:right="239" w:bottom="1440" w:gutter="0" w:footer="0" w:header="0"/>
          <w:type w:val="continuous"/>
        </w:sectPr>
      </w:pPr>
    </w:p>
    <w:bookmarkStart w:id="94" w:name="page95"/>
    <w:bookmarkEnd w:id="94"/>
    <w:p>
      <w:pPr>
        <w:jc w:val="both"/>
        <w:ind w:firstLine="645"/>
        <w:spacing w:after="0" w:line="251" w:lineRule="auto"/>
        <w:tabs>
          <w:tab w:leader="none" w:pos="1536" w:val="left"/>
        </w:tabs>
        <w:numPr>
          <w:ilvl w:val="0"/>
          <w:numId w:val="87"/>
        </w:numPr>
        <w:rPr>
          <w:rFonts w:ascii="Arial" w:cs="Arial" w:eastAsia="Arial" w:hAnsi="Arial"/>
          <w:sz w:val="22"/>
          <w:szCs w:val="22"/>
          <w:color w:val="auto"/>
        </w:rPr>
      </w:pPr>
      <w:r>
        <w:rPr>
          <w:rFonts w:ascii="Arial" w:cs="Arial" w:eastAsia="Arial" w:hAnsi="Arial"/>
          <w:sz w:val="22"/>
          <w:szCs w:val="22"/>
          <w:b w:val="1"/>
          <w:bCs w:val="1"/>
          <w:color w:val="auto"/>
        </w:rPr>
        <w:t>General</w:t>
      </w:r>
      <w:r>
        <w:rPr>
          <w:rFonts w:ascii="Arial" w:cs="Arial" w:eastAsia="Arial" w:hAnsi="Arial"/>
          <w:sz w:val="22"/>
          <w:szCs w:val="22"/>
          <w:color w:val="auto"/>
        </w:rPr>
        <w:t>. Subject to Section II.A.1(b), the Restricted Stock Units will vest in three equal installments on</w:t>
      </w:r>
      <w:r>
        <w:rPr>
          <w:rFonts w:ascii="Arial" w:cs="Arial" w:eastAsia="Arial" w:hAnsi="Arial"/>
          <w:sz w:val="22"/>
          <w:szCs w:val="22"/>
          <w:b w:val="1"/>
          <w:bCs w:val="1"/>
          <w:color w:val="auto"/>
        </w:rPr>
        <w:t xml:space="preserve"> </w:t>
      </w:r>
      <w:r>
        <w:rPr>
          <w:rFonts w:ascii="Arial" w:cs="Arial" w:eastAsia="Arial" w:hAnsi="Arial"/>
          <w:sz w:val="22"/>
          <w:szCs w:val="22"/>
          <w:color w:val="auto"/>
        </w:rPr>
        <w:t>the first three anniversaries of the Grant Date (each, a “Vesting Date”), subject to Grantee’s continued status as a Service Provider through each such Vesting Date.</w:t>
      </w:r>
    </w:p>
    <w:p>
      <w:pPr>
        <w:ind w:left="1540" w:hanging="895"/>
        <w:spacing w:after="0"/>
        <w:tabs>
          <w:tab w:leader="none" w:pos="1540" w:val="left"/>
        </w:tabs>
        <w:numPr>
          <w:ilvl w:val="0"/>
          <w:numId w:val="87"/>
        </w:numPr>
        <w:rPr>
          <w:rFonts w:ascii="Arial" w:cs="Arial" w:eastAsia="Arial" w:hAnsi="Arial"/>
          <w:sz w:val="22"/>
          <w:szCs w:val="22"/>
          <w:color w:val="auto"/>
        </w:rPr>
      </w:pPr>
      <w:r>
        <w:rPr>
          <w:rFonts w:ascii="Arial" w:cs="Arial" w:eastAsia="Arial" w:hAnsi="Arial"/>
          <w:sz w:val="22"/>
          <w:szCs w:val="22"/>
          <w:b w:val="1"/>
          <w:bCs w:val="1"/>
          <w:color w:val="auto"/>
        </w:rPr>
        <w:t>Termination of Service; Forfeiture</w:t>
      </w:r>
      <w:r>
        <w:rPr>
          <w:rFonts w:ascii="Arial" w:cs="Arial" w:eastAsia="Arial" w:hAnsi="Arial"/>
          <w:sz w:val="22"/>
          <w:szCs w:val="22"/>
          <w:color w:val="auto"/>
        </w:rPr>
        <w:t>. Notwithstanding any other provision of this Agreement:</w:t>
      </w:r>
    </w:p>
    <w:p>
      <w:pPr>
        <w:spacing w:after="0" w:line="236" w:lineRule="exact"/>
        <w:rPr>
          <w:rFonts w:ascii="Arial" w:cs="Arial" w:eastAsia="Arial" w:hAnsi="Arial"/>
          <w:sz w:val="22"/>
          <w:szCs w:val="22"/>
          <w:color w:val="auto"/>
        </w:rPr>
      </w:pPr>
    </w:p>
    <w:p>
      <w:pPr>
        <w:jc w:val="both"/>
        <w:ind w:left="640" w:firstLine="653"/>
        <w:spacing w:after="0" w:line="290" w:lineRule="auto"/>
        <w:tabs>
          <w:tab w:leader="none" w:pos="1749" w:val="left"/>
        </w:tabs>
        <w:numPr>
          <w:ilvl w:val="1"/>
          <w:numId w:val="87"/>
        </w:numPr>
        <w:rPr>
          <w:rFonts w:ascii="Arial" w:cs="Arial" w:eastAsia="Arial" w:hAnsi="Arial"/>
          <w:sz w:val="19"/>
          <w:szCs w:val="19"/>
          <w:color w:val="auto"/>
        </w:rPr>
      </w:pPr>
      <w:r>
        <w:rPr>
          <w:rFonts w:ascii="Arial" w:cs="Arial" w:eastAsia="Arial" w:hAnsi="Arial"/>
          <w:sz w:val="19"/>
          <w:szCs w:val="19"/>
          <w:b w:val="1"/>
          <w:bCs w:val="1"/>
          <w:color w:val="auto"/>
        </w:rPr>
        <w:t>Voluntary Termination; Termination for Cause</w:t>
      </w:r>
      <w:r>
        <w:rPr>
          <w:rFonts w:ascii="Arial" w:cs="Arial" w:eastAsia="Arial" w:hAnsi="Arial"/>
          <w:sz w:val="19"/>
          <w:szCs w:val="19"/>
          <w:color w:val="auto"/>
        </w:rPr>
        <w:t>. Any unvested Restricted Stock Units subject to the</w:t>
      </w:r>
      <w:r>
        <w:rPr>
          <w:rFonts w:ascii="Arial" w:cs="Arial" w:eastAsia="Arial" w:hAnsi="Arial"/>
          <w:sz w:val="19"/>
          <w:szCs w:val="19"/>
          <w:b w:val="1"/>
          <w:bCs w:val="1"/>
          <w:color w:val="auto"/>
        </w:rPr>
        <w:t xml:space="preserve"> </w:t>
      </w:r>
      <w:r>
        <w:rPr>
          <w:rFonts w:ascii="Arial" w:cs="Arial" w:eastAsia="Arial" w:hAnsi="Arial"/>
          <w:sz w:val="19"/>
          <w:szCs w:val="19"/>
          <w:color w:val="auto"/>
        </w:rPr>
        <w:t>Award will be canceled and forfeited if Grantee voluntarily terminates as a Service Provider (other than for Good Reason as provided below), or if Grantee’s status as a Service Provider is involuntarily terminated by the Corporation or a Subsidiary or Affiliate of the Corporation for Cause. Notwithstanding the foregoing, no termination of Grantee’s employment shall qualify as a termination for Cause unless (x) the Corporation notifies Grantee in writing of the Corporation’s intention to terminate Grantee’s employment for Cause within 90 days following the initial existence of the occurrence or event giving rise to Cause, (y) Grantee fails to cure such occurrence or event within 30 days after receipt of such notice from the Corporation and (z) the Corporation terminates Grantee’s employment within 45 days after the expiration of Grantee’s cure period in subsection (y).</w:t>
      </w:r>
    </w:p>
    <w:p>
      <w:pPr>
        <w:spacing w:after="0" w:line="149" w:lineRule="exact"/>
        <w:rPr>
          <w:rFonts w:ascii="Arial" w:cs="Arial" w:eastAsia="Arial" w:hAnsi="Arial"/>
          <w:sz w:val="19"/>
          <w:szCs w:val="19"/>
          <w:color w:val="auto"/>
        </w:rPr>
      </w:pPr>
    </w:p>
    <w:p>
      <w:pPr>
        <w:jc w:val="both"/>
        <w:ind w:left="640" w:firstLine="653"/>
        <w:spacing w:after="0" w:line="252" w:lineRule="auto"/>
        <w:tabs>
          <w:tab w:leader="none" w:pos="1822" w:val="left"/>
        </w:tabs>
        <w:numPr>
          <w:ilvl w:val="1"/>
          <w:numId w:val="87"/>
        </w:numPr>
        <w:rPr>
          <w:rFonts w:ascii="Arial" w:cs="Arial" w:eastAsia="Arial" w:hAnsi="Arial"/>
          <w:sz w:val="22"/>
          <w:szCs w:val="22"/>
          <w:color w:val="auto"/>
        </w:rPr>
      </w:pPr>
      <w:r>
        <w:rPr>
          <w:rFonts w:ascii="Arial" w:cs="Arial" w:eastAsia="Arial" w:hAnsi="Arial"/>
          <w:sz w:val="22"/>
          <w:szCs w:val="22"/>
          <w:b w:val="1"/>
          <w:bCs w:val="1"/>
          <w:color w:val="auto"/>
        </w:rPr>
        <w:t>Death; Disability</w:t>
      </w:r>
      <w:r>
        <w:rPr>
          <w:rFonts w:ascii="Arial" w:cs="Arial" w:eastAsia="Arial" w:hAnsi="Arial"/>
          <w:sz w:val="22"/>
          <w:szCs w:val="22"/>
          <w:color w:val="auto"/>
        </w:rPr>
        <w:t>. If Grantee ceases to be a Service Provider prior to any Vesting Date as a result of</w:t>
      </w:r>
      <w:r>
        <w:rPr>
          <w:rFonts w:ascii="Arial" w:cs="Arial" w:eastAsia="Arial" w:hAnsi="Arial"/>
          <w:sz w:val="22"/>
          <w:szCs w:val="22"/>
          <w:b w:val="1"/>
          <w:bCs w:val="1"/>
          <w:color w:val="auto"/>
        </w:rPr>
        <w:t xml:space="preserve"> </w:t>
      </w:r>
      <w:r>
        <w:rPr>
          <w:rFonts w:ascii="Arial" w:cs="Arial" w:eastAsia="Arial" w:hAnsi="Arial"/>
          <w:sz w:val="22"/>
          <w:szCs w:val="22"/>
          <w:color w:val="auto"/>
        </w:rPr>
        <w:t>Grantee’s death or Disability, Grantee shall fully vest in the Restricted Stock Units subject to the Award that have not already vested as of the date on which Grantee ceases to be a Service Provider due to Grantee’s death or Disability.</w:t>
      </w:r>
    </w:p>
    <w:p>
      <w:pPr>
        <w:spacing w:after="0" w:line="180" w:lineRule="exact"/>
        <w:rPr>
          <w:rFonts w:ascii="Arial" w:cs="Arial" w:eastAsia="Arial" w:hAnsi="Arial"/>
          <w:sz w:val="22"/>
          <w:szCs w:val="22"/>
          <w:color w:val="auto"/>
        </w:rPr>
      </w:pPr>
    </w:p>
    <w:p>
      <w:pPr>
        <w:jc w:val="both"/>
        <w:ind w:left="640" w:firstLine="653"/>
        <w:spacing w:after="0" w:line="261" w:lineRule="auto"/>
        <w:tabs>
          <w:tab w:leader="none" w:pos="1882" w:val="left"/>
        </w:tabs>
        <w:numPr>
          <w:ilvl w:val="1"/>
          <w:numId w:val="87"/>
        </w:numPr>
        <w:rPr>
          <w:rFonts w:ascii="Arial" w:cs="Arial" w:eastAsia="Arial" w:hAnsi="Arial"/>
          <w:sz w:val="21"/>
          <w:szCs w:val="21"/>
          <w:color w:val="auto"/>
        </w:rPr>
      </w:pPr>
      <w:r>
        <w:rPr>
          <w:rFonts w:ascii="Arial" w:cs="Arial" w:eastAsia="Arial" w:hAnsi="Arial"/>
          <w:sz w:val="21"/>
          <w:szCs w:val="21"/>
          <w:b w:val="1"/>
          <w:bCs w:val="1"/>
          <w:color w:val="auto"/>
        </w:rPr>
        <w:t>Qualifying Termination Prior to a Change of Control</w:t>
      </w:r>
      <w:r>
        <w:rPr>
          <w:rFonts w:ascii="Arial" w:cs="Arial" w:eastAsia="Arial" w:hAnsi="Arial"/>
          <w:sz w:val="21"/>
          <w:szCs w:val="21"/>
          <w:color w:val="auto"/>
        </w:rPr>
        <w:t>. If Grantee has a “Qualifying Termination”</w:t>
      </w:r>
      <w:r>
        <w:rPr>
          <w:rFonts w:ascii="Arial" w:cs="Arial" w:eastAsia="Arial" w:hAnsi="Arial"/>
          <w:sz w:val="21"/>
          <w:szCs w:val="21"/>
          <w:b w:val="1"/>
          <w:bCs w:val="1"/>
          <w:color w:val="auto"/>
        </w:rPr>
        <w:t xml:space="preserve"> </w:t>
      </w:r>
      <w:r>
        <w:rPr>
          <w:rFonts w:ascii="Arial" w:cs="Arial" w:eastAsia="Arial" w:hAnsi="Arial"/>
          <w:sz w:val="21"/>
          <w:szCs w:val="21"/>
          <w:color w:val="auto"/>
        </w:rPr>
        <w:t>(as defined in Appendix A) that occurs prior to a “Change of Control” (as defined in Appendix A) and before the final Vesting Date, Grantee shall vest in a pro-rata portion of Grantee’s unvested Restricted Stock Units, with the pro-rata amount calculated by (x) multiplying the total number of Restricted Stock Units subject to this Award by a fraction with (i) a numerator equaling the number of whole calendar months that have elapsed from the Grant Date to the date of Grantee’s termination, and (ii) a denominator equal to 36, and then (y) subtracting the number of Restricted Stock Units that have already vested under this Award.</w:t>
      </w:r>
    </w:p>
    <w:p>
      <w:pPr>
        <w:spacing w:after="0" w:line="174" w:lineRule="exact"/>
        <w:rPr>
          <w:rFonts w:ascii="Arial" w:cs="Arial" w:eastAsia="Arial" w:hAnsi="Arial"/>
          <w:sz w:val="21"/>
          <w:szCs w:val="21"/>
          <w:color w:val="auto"/>
        </w:rPr>
      </w:pPr>
    </w:p>
    <w:p>
      <w:pPr>
        <w:jc w:val="both"/>
        <w:ind w:left="640" w:right="20" w:firstLine="653"/>
        <w:spacing w:after="0" w:line="256" w:lineRule="auto"/>
        <w:tabs>
          <w:tab w:leader="none" w:pos="1884" w:val="left"/>
        </w:tabs>
        <w:numPr>
          <w:ilvl w:val="1"/>
          <w:numId w:val="87"/>
        </w:numPr>
        <w:rPr>
          <w:rFonts w:ascii="Arial" w:cs="Arial" w:eastAsia="Arial" w:hAnsi="Arial"/>
          <w:sz w:val="22"/>
          <w:szCs w:val="22"/>
          <w:color w:val="auto"/>
        </w:rPr>
      </w:pPr>
      <w:r>
        <w:rPr>
          <w:rFonts w:ascii="Arial" w:cs="Arial" w:eastAsia="Arial" w:hAnsi="Arial"/>
          <w:sz w:val="22"/>
          <w:szCs w:val="22"/>
          <w:b w:val="1"/>
          <w:bCs w:val="1"/>
          <w:color w:val="auto"/>
        </w:rPr>
        <w:t>Qualifying Termination Following a Change of Control</w:t>
      </w:r>
      <w:r>
        <w:rPr>
          <w:rFonts w:ascii="Arial" w:cs="Arial" w:eastAsia="Arial" w:hAnsi="Arial"/>
          <w:sz w:val="22"/>
          <w:szCs w:val="22"/>
          <w:color w:val="auto"/>
        </w:rPr>
        <w:t>. If Grantee has a Qualifying Termination</w:t>
      </w:r>
      <w:r>
        <w:rPr>
          <w:rFonts w:ascii="Arial" w:cs="Arial" w:eastAsia="Arial" w:hAnsi="Arial"/>
          <w:sz w:val="22"/>
          <w:szCs w:val="22"/>
          <w:b w:val="1"/>
          <w:bCs w:val="1"/>
          <w:color w:val="auto"/>
        </w:rPr>
        <w:t xml:space="preserve"> </w:t>
      </w:r>
      <w:r>
        <w:rPr>
          <w:rFonts w:ascii="Arial" w:cs="Arial" w:eastAsia="Arial" w:hAnsi="Arial"/>
          <w:sz w:val="22"/>
          <w:szCs w:val="22"/>
          <w:color w:val="auto"/>
        </w:rPr>
        <w:t>within two years following a Change of Control, Grantee shall fully vest in the Restricted Stock Units subject to the Award that have not already vested.</w:t>
      </w:r>
    </w:p>
    <w:p>
      <w:pPr>
        <w:spacing w:after="0" w:line="182" w:lineRule="exact"/>
        <w:rPr>
          <w:sz w:val="20"/>
          <w:szCs w:val="20"/>
          <w:color w:val="auto"/>
        </w:rPr>
      </w:pPr>
    </w:p>
    <w:p>
      <w:pPr>
        <w:ind w:right="20"/>
        <w:spacing w:after="0" w:line="263" w:lineRule="auto"/>
        <w:rPr>
          <w:sz w:val="20"/>
          <w:szCs w:val="20"/>
          <w:color w:val="auto"/>
        </w:rPr>
      </w:pPr>
      <w:r>
        <w:rPr>
          <w:rFonts w:ascii="Arial" w:cs="Arial" w:eastAsia="Arial" w:hAnsi="Arial"/>
          <w:sz w:val="22"/>
          <w:szCs w:val="22"/>
          <w:color w:val="auto"/>
        </w:rPr>
        <w:t>Any Restricted Stock Units that do not vest in accordance with Section II.A.1(a) or this Section II.A.1(b) shall be canceled and forfeited as of the date of Grantee’s termination of</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0760"/>
          </w:cols>
          <w:pgMar w:left="900" w:top="625" w:right="239" w:bottom="1440" w:gutter="0" w:footer="0" w:header="0"/>
        </w:sectPr>
      </w:pPr>
    </w:p>
    <w:bookmarkStart w:id="95" w:name="page96"/>
    <w:bookmarkEnd w:id="95"/>
    <w:p>
      <w:pPr>
        <w:ind w:left="660"/>
        <w:spacing w:after="0" w:line="263" w:lineRule="auto"/>
        <w:rPr>
          <w:sz w:val="20"/>
          <w:szCs w:val="20"/>
          <w:color w:val="auto"/>
        </w:rPr>
      </w:pPr>
      <w:r>
        <w:rPr>
          <w:rFonts w:ascii="Arial" w:cs="Arial" w:eastAsia="Arial" w:hAnsi="Arial"/>
          <w:sz w:val="22"/>
          <w:szCs w:val="22"/>
          <w:color w:val="auto"/>
        </w:rPr>
        <w:t>services. Further, subject to Code Section 409A, the Corporation retains the right to accelerate the vesting of all or a portion of the Restricted Stock Units subject to this Award.</w:t>
      </w:r>
    </w:p>
    <w:p>
      <w:pPr>
        <w:spacing w:after="0" w:line="169" w:lineRule="exact"/>
        <w:rPr>
          <w:sz w:val="20"/>
          <w:szCs w:val="20"/>
          <w:color w:val="auto"/>
        </w:rPr>
      </w:pPr>
    </w:p>
    <w:p>
      <w:pPr>
        <w:ind w:left="1680" w:hanging="375"/>
        <w:spacing w:after="0"/>
        <w:tabs>
          <w:tab w:leader="none" w:pos="1680" w:val="left"/>
        </w:tabs>
        <w:numPr>
          <w:ilvl w:val="0"/>
          <w:numId w:val="8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Settlement</w:t>
      </w:r>
      <w:r>
        <w:rPr>
          <w:rFonts w:ascii="Arial" w:cs="Arial" w:eastAsia="Arial" w:hAnsi="Arial"/>
          <w:sz w:val="22"/>
          <w:szCs w:val="22"/>
          <w:color w:val="auto"/>
        </w:rPr>
        <w:t>.</w:t>
      </w:r>
    </w:p>
    <w:p>
      <w:pPr>
        <w:spacing w:after="0" w:line="220" w:lineRule="exact"/>
        <w:rPr>
          <w:sz w:val="20"/>
          <w:szCs w:val="20"/>
          <w:color w:val="auto"/>
        </w:rPr>
      </w:pPr>
    </w:p>
    <w:p>
      <w:pPr>
        <w:jc w:val="both"/>
        <w:ind w:left="660" w:firstLine="645"/>
        <w:spacing w:after="0" w:line="256" w:lineRule="auto"/>
        <w:tabs>
          <w:tab w:leader="none" w:pos="1764" w:val="left"/>
        </w:tabs>
        <w:numPr>
          <w:ilvl w:val="0"/>
          <w:numId w:val="89"/>
        </w:numPr>
        <w:rPr>
          <w:rFonts w:ascii="Arial" w:cs="Arial" w:eastAsia="Arial" w:hAnsi="Arial"/>
          <w:sz w:val="22"/>
          <w:szCs w:val="22"/>
          <w:color w:val="auto"/>
        </w:rPr>
      </w:pPr>
      <w:r>
        <w:rPr>
          <w:rFonts w:ascii="Arial" w:cs="Arial" w:eastAsia="Arial" w:hAnsi="Arial"/>
          <w:sz w:val="22"/>
          <w:szCs w:val="22"/>
          <w:b w:val="1"/>
          <w:bCs w:val="1"/>
          <w:color w:val="auto"/>
        </w:rPr>
        <w:t>General</w:t>
      </w:r>
      <w:r>
        <w:rPr>
          <w:rFonts w:ascii="Arial" w:cs="Arial" w:eastAsia="Arial" w:hAnsi="Arial"/>
          <w:sz w:val="22"/>
          <w:szCs w:val="22"/>
          <w:color w:val="auto"/>
        </w:rPr>
        <w:t>. Subject to Section II.A.2(b) below, and as soon as administratively practicable following (but no later</w:t>
      </w:r>
      <w:r>
        <w:rPr>
          <w:rFonts w:ascii="Arial" w:cs="Arial" w:eastAsia="Arial" w:hAnsi="Arial"/>
          <w:sz w:val="22"/>
          <w:szCs w:val="22"/>
          <w:b w:val="1"/>
          <w:bCs w:val="1"/>
          <w:color w:val="auto"/>
        </w:rPr>
        <w:t xml:space="preserve"> </w:t>
      </w:r>
      <w:r>
        <w:rPr>
          <w:rFonts w:ascii="Arial" w:cs="Arial" w:eastAsia="Arial" w:hAnsi="Arial"/>
          <w:sz w:val="22"/>
          <w:szCs w:val="22"/>
          <w:color w:val="auto"/>
        </w:rPr>
        <w:t>than thirty (30) days following) each applicable Vesting Date, the Corporation shall issue Grantee one share of Stock for each Restricted Stock Unit that is vested on such Vesting Date.</w:t>
      </w:r>
    </w:p>
    <w:p>
      <w:pPr>
        <w:spacing w:after="0" w:line="176" w:lineRule="exact"/>
        <w:rPr>
          <w:rFonts w:ascii="Arial" w:cs="Arial" w:eastAsia="Arial" w:hAnsi="Arial"/>
          <w:sz w:val="22"/>
          <w:szCs w:val="22"/>
          <w:color w:val="auto"/>
        </w:rPr>
      </w:pPr>
    </w:p>
    <w:p>
      <w:pPr>
        <w:jc w:val="both"/>
        <w:ind w:left="660" w:firstLine="645"/>
        <w:spacing w:after="0" w:line="248" w:lineRule="auto"/>
        <w:tabs>
          <w:tab w:leader="none" w:pos="1817" w:val="left"/>
        </w:tabs>
        <w:numPr>
          <w:ilvl w:val="0"/>
          <w:numId w:val="89"/>
        </w:numPr>
        <w:rPr>
          <w:rFonts w:ascii="Arial" w:cs="Arial" w:eastAsia="Arial" w:hAnsi="Arial"/>
          <w:sz w:val="22"/>
          <w:szCs w:val="22"/>
          <w:color w:val="auto"/>
        </w:rPr>
      </w:pPr>
      <w:r>
        <w:rPr>
          <w:rFonts w:ascii="Arial" w:cs="Arial" w:eastAsia="Arial" w:hAnsi="Arial"/>
          <w:sz w:val="22"/>
          <w:szCs w:val="22"/>
          <w:b w:val="1"/>
          <w:bCs w:val="1"/>
          <w:color w:val="auto"/>
        </w:rPr>
        <w:t>Other Payment Events</w:t>
      </w:r>
      <w:r>
        <w:rPr>
          <w:rFonts w:ascii="Arial" w:cs="Arial" w:eastAsia="Arial" w:hAnsi="Arial"/>
          <w:sz w:val="22"/>
          <w:szCs w:val="22"/>
          <w:color w:val="auto"/>
        </w:rPr>
        <w:t>. Notwithstanding Section II.A.2(a), to the extent the Restricted Stock Units have not</w:t>
      </w:r>
      <w:r>
        <w:rPr>
          <w:rFonts w:ascii="Arial" w:cs="Arial" w:eastAsia="Arial" w:hAnsi="Arial"/>
          <w:sz w:val="22"/>
          <w:szCs w:val="22"/>
          <w:b w:val="1"/>
          <w:bCs w:val="1"/>
          <w:color w:val="auto"/>
        </w:rPr>
        <w:t xml:space="preserve"> </w:t>
      </w:r>
      <w:r>
        <w:rPr>
          <w:rFonts w:ascii="Arial" w:cs="Arial" w:eastAsia="Arial" w:hAnsi="Arial"/>
          <w:sz w:val="22"/>
          <w:szCs w:val="22"/>
          <w:color w:val="auto"/>
        </w:rPr>
        <w:t>previously been settled, if Grantee ceases to be a Service Provider prior to any Vesting Date as a result of Grantee’s death, Disability, or Qualifying Termination, and such cessation to be a Service Provider constitutes a separation from service (within the meaning of Treasury Regulation Section 1.409A-1(h)), the Corporation shall issue Grantee one share of Stock for each vested Restricted Stock Unit as soon as practicable following (but no later than thirty (30) days following) the date of such cessation.</w:t>
      </w:r>
    </w:p>
    <w:p>
      <w:pPr>
        <w:spacing w:after="0" w:line="187" w:lineRule="exact"/>
        <w:rPr>
          <w:sz w:val="20"/>
          <w:szCs w:val="20"/>
          <w:color w:val="auto"/>
        </w:rPr>
      </w:pPr>
    </w:p>
    <w:p>
      <w:pPr>
        <w:jc w:val="both"/>
        <w:ind w:firstLine="1305"/>
        <w:spacing w:after="0" w:line="289" w:lineRule="auto"/>
        <w:tabs>
          <w:tab w:leader="none" w:pos="1783" w:val="left"/>
        </w:tabs>
        <w:numPr>
          <w:ilvl w:val="1"/>
          <w:numId w:val="90"/>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Dividend Equivalent Rights</w:t>
      </w:r>
      <w:r>
        <w:rPr>
          <w:rFonts w:ascii="Arial" w:cs="Arial" w:eastAsia="Arial" w:hAnsi="Arial"/>
          <w:sz w:val="19"/>
          <w:szCs w:val="19"/>
          <w:color w:val="auto"/>
        </w:rPr>
        <w:t>. From and after the Grant Date and until the earlier of (a) the time when the</w:t>
      </w:r>
      <w:r>
        <w:rPr>
          <w:rFonts w:ascii="Arial" w:cs="Arial" w:eastAsia="Arial" w:hAnsi="Arial"/>
          <w:sz w:val="19"/>
          <w:szCs w:val="19"/>
          <w:b w:val="1"/>
          <w:bCs w:val="1"/>
          <w:color w:val="auto"/>
        </w:rPr>
        <w:t xml:space="preserve"> </w:t>
      </w:r>
      <w:r>
        <w:rPr>
          <w:rFonts w:ascii="Arial" w:cs="Arial" w:eastAsia="Arial" w:hAnsi="Arial"/>
          <w:sz w:val="19"/>
          <w:szCs w:val="19"/>
          <w:color w:val="auto"/>
        </w:rPr>
        <w:t>Restricted Stock Units vest and are settled in accordance with Section II.A.2 hereof or (b) the time when Grantee’s rights to the Restricted Stock Units are forfeited in accordance with Section II.A.1(b) hereof, on the date that the Corporation pays a cash dividend (if any) to holders of Stock generally, Grantee shall be credited with cash per Restricted Stock Unit equal to the amount of such dividend. Any amounts credited pursuant to the immediately preceding sentence shall be subject to the same applicable terms and conditions (including vesting, payment or forfeitability) as apply to the Restricted Stock Units based on which the dividend equivalents were credited, and such amounts shall be paid in either cash or Stock, as determined by the Committee in its sole discretion, at the same time as the Restricted Stock Units to which they relate. If such amounts are paid in Stock, the number of shares so paid shall be rounded down to the nearest whole number and shall be determined by dividing such credited amounts by the Fair Market Value per share of Stock on the payment date.</w:t>
      </w:r>
    </w:p>
    <w:p>
      <w:pPr>
        <w:spacing w:after="0" w:line="151" w:lineRule="exact"/>
        <w:rPr>
          <w:rFonts w:ascii="Arial" w:cs="Arial" w:eastAsia="Arial" w:hAnsi="Arial"/>
          <w:sz w:val="19"/>
          <w:szCs w:val="19"/>
          <w:b w:val="1"/>
          <w:bCs w:val="1"/>
          <w:color w:val="auto"/>
        </w:rPr>
      </w:pPr>
    </w:p>
    <w:p>
      <w:pPr>
        <w:ind w:firstLine="1305"/>
        <w:spacing w:after="0" w:line="350" w:lineRule="auto"/>
        <w:tabs>
          <w:tab w:leader="none" w:pos="1769" w:val="left"/>
        </w:tabs>
        <w:numPr>
          <w:ilvl w:val="1"/>
          <w:numId w:val="90"/>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Rights as a Shareholder</w:t>
      </w:r>
      <w:r>
        <w:rPr>
          <w:rFonts w:ascii="Arial" w:cs="Arial" w:eastAsia="Arial" w:hAnsi="Arial"/>
          <w:sz w:val="19"/>
          <w:szCs w:val="19"/>
          <w:b w:val="1"/>
          <w:bCs w:val="1"/>
          <w:color w:val="auto"/>
        </w:rPr>
        <w:t xml:space="preserve">. </w:t>
      </w:r>
      <w:r>
        <w:rPr>
          <w:rFonts w:ascii="Arial" w:cs="Arial" w:eastAsia="Arial" w:hAnsi="Arial"/>
          <w:sz w:val="19"/>
          <w:szCs w:val="19"/>
          <w:color w:val="auto"/>
        </w:rPr>
        <w:t>Grantee will not have any rights of a stockholder (including voting and dividend</w:t>
      </w:r>
      <w:r>
        <w:rPr>
          <w:rFonts w:ascii="Arial" w:cs="Arial" w:eastAsia="Arial" w:hAnsi="Arial"/>
          <w:sz w:val="19"/>
          <w:szCs w:val="19"/>
          <w:b w:val="1"/>
          <w:bCs w:val="1"/>
          <w:color w:val="auto"/>
        </w:rPr>
        <w:t xml:space="preserve"> </w:t>
      </w:r>
      <w:r>
        <w:rPr>
          <w:rFonts w:ascii="Arial" w:cs="Arial" w:eastAsia="Arial" w:hAnsi="Arial"/>
          <w:sz w:val="19"/>
          <w:szCs w:val="19"/>
          <w:color w:val="auto"/>
        </w:rPr>
        <w:t>rights) with respect to the Restricted Stock Units covered by this Award (except as otherwise provided in Section II.A.3).</w:t>
      </w:r>
    </w:p>
    <w:p>
      <w:pPr>
        <w:spacing w:after="0" w:line="92" w:lineRule="exact"/>
        <w:rPr>
          <w:rFonts w:ascii="Arial" w:cs="Arial" w:eastAsia="Arial" w:hAnsi="Arial"/>
          <w:sz w:val="19"/>
          <w:szCs w:val="19"/>
          <w:b w:val="1"/>
          <w:bCs w:val="1"/>
          <w:color w:val="auto"/>
        </w:rPr>
      </w:pPr>
    </w:p>
    <w:p>
      <w:pPr>
        <w:ind w:firstLine="1305"/>
        <w:spacing w:after="0" w:line="269" w:lineRule="auto"/>
        <w:tabs>
          <w:tab w:leader="none" w:pos="1729" w:val="left"/>
        </w:tabs>
        <w:numPr>
          <w:ilvl w:val="1"/>
          <w:numId w:val="9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Adjustments</w:t>
      </w:r>
      <w:r>
        <w:rPr>
          <w:rFonts w:ascii="Arial" w:cs="Arial" w:eastAsia="Arial" w:hAnsi="Arial"/>
          <w:sz w:val="22"/>
          <w:szCs w:val="22"/>
          <w:color w:val="auto"/>
        </w:rPr>
        <w:t>. The Restricted Stock Units covered by this Award will be subject to adjustment as provided in</w:t>
      </w:r>
      <w:r>
        <w:rPr>
          <w:rFonts w:ascii="Arial" w:cs="Arial" w:eastAsia="Arial" w:hAnsi="Arial"/>
          <w:sz w:val="22"/>
          <w:szCs w:val="22"/>
          <w:b w:val="1"/>
          <w:bCs w:val="1"/>
          <w:color w:val="auto"/>
        </w:rPr>
        <w:t xml:space="preserve"> </w:t>
      </w:r>
      <w:r>
        <w:rPr>
          <w:rFonts w:ascii="Arial" w:cs="Arial" w:eastAsia="Arial" w:hAnsi="Arial"/>
          <w:sz w:val="22"/>
          <w:szCs w:val="22"/>
          <w:color w:val="auto"/>
        </w:rPr>
        <w:t>Section 17 of the Plan.</w:t>
      </w:r>
    </w:p>
    <w:p>
      <w:pPr>
        <w:spacing w:after="0" w:line="162" w:lineRule="exact"/>
        <w:rPr>
          <w:rFonts w:ascii="Arial" w:cs="Arial" w:eastAsia="Arial" w:hAnsi="Arial"/>
          <w:sz w:val="22"/>
          <w:szCs w:val="22"/>
          <w:b w:val="1"/>
          <w:bCs w:val="1"/>
          <w:color w:val="auto"/>
        </w:rPr>
      </w:pPr>
    </w:p>
    <w:p>
      <w:pPr>
        <w:ind w:left="1080" w:hanging="424"/>
        <w:spacing w:after="0"/>
        <w:tabs>
          <w:tab w:leader="none" w:pos="1080" w:val="left"/>
        </w:tabs>
        <w:numPr>
          <w:ilvl w:val="0"/>
          <w:numId w:val="9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Other Terms and Conditions</w:t>
      </w:r>
      <w:r>
        <w:rPr>
          <w:rFonts w:ascii="Arial" w:cs="Arial" w:eastAsia="Arial" w:hAnsi="Arial"/>
          <w:sz w:val="22"/>
          <w:szCs w:val="22"/>
          <w:b w:val="1"/>
          <w:bCs w:val="1"/>
          <w:color w:val="auto"/>
        </w:rPr>
        <w:t>.</w:t>
      </w:r>
    </w:p>
    <w:p>
      <w:pPr>
        <w:spacing w:after="0" w:line="219" w:lineRule="exact"/>
        <w:rPr>
          <w:rFonts w:ascii="Arial" w:cs="Arial" w:eastAsia="Arial" w:hAnsi="Arial"/>
          <w:sz w:val="22"/>
          <w:szCs w:val="22"/>
          <w:b w:val="1"/>
          <w:bCs w:val="1"/>
          <w:color w:val="auto"/>
        </w:rPr>
      </w:pPr>
    </w:p>
    <w:p>
      <w:pPr>
        <w:jc w:val="both"/>
        <w:ind w:firstLine="1305"/>
        <w:spacing w:after="0" w:line="252" w:lineRule="auto"/>
        <w:tabs>
          <w:tab w:leader="none" w:pos="1715" w:val="left"/>
        </w:tabs>
        <w:numPr>
          <w:ilvl w:val="1"/>
          <w:numId w:val="9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Non-Transferability of Award</w:t>
      </w:r>
      <w:r>
        <w:rPr>
          <w:rFonts w:ascii="Arial" w:cs="Arial" w:eastAsia="Arial" w:hAnsi="Arial"/>
          <w:sz w:val="22"/>
          <w:szCs w:val="22"/>
          <w:color w:val="auto"/>
        </w:rPr>
        <w:t>. Except as described below, this Award and the Restricted Stock Units subject</w:t>
      </w:r>
      <w:r>
        <w:rPr>
          <w:rFonts w:ascii="Arial" w:cs="Arial" w:eastAsia="Arial" w:hAnsi="Arial"/>
          <w:sz w:val="22"/>
          <w:szCs w:val="22"/>
          <w:b w:val="1"/>
          <w:bCs w:val="1"/>
          <w:color w:val="auto"/>
        </w:rPr>
        <w:t xml:space="preserve"> </w:t>
      </w:r>
      <w:r>
        <w:rPr>
          <w:rFonts w:ascii="Arial" w:cs="Arial" w:eastAsia="Arial" w:hAnsi="Arial"/>
          <w:sz w:val="22"/>
          <w:szCs w:val="22"/>
          <w:color w:val="auto"/>
        </w:rPr>
        <w:t>to this Award may not be sold, pledged, assigned, hypothecated, transferred, or disposed of in any manner other than by will or by the laws of descent or distribution. The terms of this Award are binding on the executors, administrators, heirs, successors and assigns of Grantee.</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631" w:right="239" w:bottom="1440" w:gutter="0" w:footer="0" w:header="0"/>
        </w:sectPr>
      </w:pPr>
    </w:p>
    <w:bookmarkStart w:id="96" w:name="page97"/>
    <w:bookmarkEnd w:id="96"/>
    <w:p>
      <w:pPr>
        <w:jc w:val="both"/>
        <w:ind w:firstLine="1305"/>
        <w:spacing w:after="0" w:line="247" w:lineRule="auto"/>
        <w:tabs>
          <w:tab w:leader="none" w:pos="1675" w:val="left"/>
        </w:tabs>
        <w:numPr>
          <w:ilvl w:val="0"/>
          <w:numId w:val="9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Withholding</w:t>
      </w:r>
      <w:r>
        <w:rPr>
          <w:rFonts w:ascii="Arial" w:cs="Arial" w:eastAsia="Arial" w:hAnsi="Arial"/>
          <w:sz w:val="22"/>
          <w:szCs w:val="22"/>
          <w:b w:val="1"/>
          <w:bCs w:val="1"/>
          <w:color w:val="auto"/>
        </w:rPr>
        <w:t xml:space="preserve">. </w:t>
      </w:r>
      <w:r>
        <w:rPr>
          <w:rFonts w:ascii="Arial" w:cs="Arial" w:eastAsia="Arial" w:hAnsi="Arial"/>
          <w:sz w:val="22"/>
          <w:szCs w:val="22"/>
          <w:color w:val="auto"/>
        </w:rPr>
        <w:t>Grantee authorizes the Corporation or Grantee’s employer to withhold from the shares of Stock to</w:t>
      </w:r>
      <w:r>
        <w:rPr>
          <w:rFonts w:ascii="Arial" w:cs="Arial" w:eastAsia="Arial" w:hAnsi="Arial"/>
          <w:sz w:val="22"/>
          <w:szCs w:val="22"/>
          <w:b w:val="1"/>
          <w:bCs w:val="1"/>
          <w:color w:val="auto"/>
        </w:rPr>
        <w:t xml:space="preserve"> </w:t>
      </w:r>
      <w:r>
        <w:rPr>
          <w:rFonts w:ascii="Arial" w:cs="Arial" w:eastAsia="Arial" w:hAnsi="Arial"/>
          <w:sz w:val="22"/>
          <w:szCs w:val="22"/>
          <w:color w:val="auto"/>
        </w:rPr>
        <w:t>be delivered as payment the number of shares of Stock needed to satisfy any applicable minimum income and employment tax withholding obligations, or Grantee agrees to tender sufficient funds to satisfy any applicable income and employment tax withholding obligations in connection with the vesting of the Restricted Stock Units under this Award. Notwithstanding any other provision of this Agreement or the Plan, the Corporation shall not be obligated to guarantee any particular tax result for Grantee with respect to any payment provided to Grantee hereunder, and Grantee shall be responsible for any taxes imposed on Grantee with respect to any such payment.</w:t>
      </w:r>
    </w:p>
    <w:p>
      <w:pPr>
        <w:spacing w:after="0" w:line="189" w:lineRule="exact"/>
        <w:rPr>
          <w:rFonts w:ascii="Arial" w:cs="Arial" w:eastAsia="Arial" w:hAnsi="Arial"/>
          <w:sz w:val="22"/>
          <w:szCs w:val="22"/>
          <w:b w:val="1"/>
          <w:bCs w:val="1"/>
          <w:color w:val="auto"/>
        </w:rPr>
      </w:pPr>
    </w:p>
    <w:p>
      <w:pPr>
        <w:jc w:val="both"/>
        <w:ind w:firstLine="1305"/>
        <w:spacing w:after="0" w:line="267" w:lineRule="auto"/>
        <w:tabs>
          <w:tab w:leader="none" w:pos="1729" w:val="left"/>
        </w:tabs>
        <w:numPr>
          <w:ilvl w:val="0"/>
          <w:numId w:val="92"/>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Dispute Resolution</w:t>
      </w:r>
      <w:r>
        <w:rPr>
          <w:rFonts w:ascii="Arial" w:cs="Arial" w:eastAsia="Arial" w:hAnsi="Arial"/>
          <w:sz w:val="21"/>
          <w:szCs w:val="21"/>
          <w:color w:val="auto"/>
        </w:rPr>
        <w:t>. Grantee and the Corporation agree that any disagreement, dispute, controversy, or claim</w:t>
      </w:r>
      <w:r>
        <w:rPr>
          <w:rFonts w:ascii="Arial" w:cs="Arial" w:eastAsia="Arial" w:hAnsi="Arial"/>
          <w:sz w:val="21"/>
          <w:szCs w:val="21"/>
          <w:b w:val="1"/>
          <w:bCs w:val="1"/>
          <w:color w:val="auto"/>
        </w:rPr>
        <w:t xml:space="preserve"> </w:t>
      </w:r>
      <w:r>
        <w:rPr>
          <w:rFonts w:ascii="Arial" w:cs="Arial" w:eastAsia="Arial" w:hAnsi="Arial"/>
          <w:sz w:val="21"/>
          <w:szCs w:val="21"/>
          <w:color w:val="auto"/>
        </w:rPr>
        <w:t>arising out of or relating to this Agreement, its interpretation, validity, or the alleged breach of this Agreement, will be settled exclusively and, consistent with the procedures specified in this Section II.B.3., irrespective of its magnitude, the amount in controversy, or the nature of the relief sought, in accordance with the following:</w:t>
      </w:r>
    </w:p>
    <w:p>
      <w:pPr>
        <w:spacing w:after="0" w:line="168" w:lineRule="exact"/>
        <w:rPr>
          <w:sz w:val="20"/>
          <w:szCs w:val="20"/>
          <w:color w:val="auto"/>
        </w:rPr>
      </w:pPr>
    </w:p>
    <w:p>
      <w:pPr>
        <w:jc w:val="both"/>
        <w:ind w:left="660" w:firstLine="645"/>
        <w:spacing w:after="0" w:line="256" w:lineRule="auto"/>
        <w:tabs>
          <w:tab w:leader="none" w:pos="1845" w:val="left"/>
        </w:tabs>
        <w:numPr>
          <w:ilvl w:val="0"/>
          <w:numId w:val="93"/>
        </w:numPr>
        <w:rPr>
          <w:rFonts w:ascii="Arial" w:cs="Arial" w:eastAsia="Arial" w:hAnsi="Arial"/>
          <w:sz w:val="22"/>
          <w:szCs w:val="22"/>
          <w:color w:val="auto"/>
        </w:rPr>
      </w:pPr>
      <w:r>
        <w:rPr>
          <w:rFonts w:ascii="Arial" w:cs="Arial" w:eastAsia="Arial" w:hAnsi="Arial"/>
          <w:sz w:val="22"/>
          <w:szCs w:val="22"/>
          <w:b w:val="1"/>
          <w:bCs w:val="1"/>
          <w:color w:val="auto"/>
        </w:rPr>
        <w:t>Negotiation</w:t>
      </w:r>
      <w:r>
        <w:rPr>
          <w:rFonts w:ascii="Arial" w:cs="Arial" w:eastAsia="Arial" w:hAnsi="Arial"/>
          <w:sz w:val="22"/>
          <w:szCs w:val="22"/>
          <w:color w:val="auto"/>
        </w:rPr>
        <w:t>. Grantee and the Corporation will use their best efforts to settle the dispute, claim, question or</w:t>
      </w:r>
      <w:r>
        <w:rPr>
          <w:rFonts w:ascii="Arial" w:cs="Arial" w:eastAsia="Arial" w:hAnsi="Arial"/>
          <w:sz w:val="22"/>
          <w:szCs w:val="22"/>
          <w:b w:val="1"/>
          <w:bCs w:val="1"/>
          <w:color w:val="auto"/>
        </w:rPr>
        <w:t xml:space="preserve"> </w:t>
      </w:r>
      <w:r>
        <w:rPr>
          <w:rFonts w:ascii="Arial" w:cs="Arial" w:eastAsia="Arial" w:hAnsi="Arial"/>
          <w:sz w:val="22"/>
          <w:szCs w:val="22"/>
          <w:color w:val="auto"/>
        </w:rPr>
        <w:t>disagreement. To this effect, they will consult and negotiate with each other in good faith and, recognizing their mutual interests, attempt to reach a just and equitable solution satisfactory to both parties.</w:t>
      </w:r>
    </w:p>
    <w:p>
      <w:pPr>
        <w:spacing w:after="0" w:line="176" w:lineRule="exact"/>
        <w:rPr>
          <w:rFonts w:ascii="Arial" w:cs="Arial" w:eastAsia="Arial" w:hAnsi="Arial"/>
          <w:sz w:val="22"/>
          <w:szCs w:val="22"/>
          <w:color w:val="auto"/>
        </w:rPr>
      </w:pPr>
    </w:p>
    <w:p>
      <w:pPr>
        <w:jc w:val="both"/>
        <w:ind w:left="660" w:firstLine="645"/>
        <w:spacing w:after="0" w:line="249" w:lineRule="auto"/>
        <w:tabs>
          <w:tab w:leader="none" w:pos="1817" w:val="left"/>
        </w:tabs>
        <w:numPr>
          <w:ilvl w:val="0"/>
          <w:numId w:val="93"/>
        </w:numPr>
        <w:rPr>
          <w:rFonts w:ascii="Arial" w:cs="Arial" w:eastAsia="Arial" w:hAnsi="Arial"/>
          <w:sz w:val="22"/>
          <w:szCs w:val="22"/>
          <w:color w:val="auto"/>
        </w:rPr>
      </w:pPr>
      <w:r>
        <w:rPr>
          <w:rFonts w:ascii="Arial" w:cs="Arial" w:eastAsia="Arial" w:hAnsi="Arial"/>
          <w:sz w:val="22"/>
          <w:szCs w:val="22"/>
          <w:b w:val="1"/>
          <w:bCs w:val="1"/>
          <w:color w:val="auto"/>
        </w:rPr>
        <w:t>Arbitration</w:t>
      </w:r>
      <w:r>
        <w:rPr>
          <w:rFonts w:ascii="Arial" w:cs="Arial" w:eastAsia="Arial" w:hAnsi="Arial"/>
          <w:sz w:val="22"/>
          <w:szCs w:val="22"/>
          <w:color w:val="auto"/>
        </w:rPr>
        <w:t>. If Grantee and the Corporation do not reach a solution within a period of 30 days from the date</w:t>
      </w:r>
      <w:r>
        <w:rPr>
          <w:rFonts w:ascii="Arial" w:cs="Arial" w:eastAsia="Arial" w:hAnsi="Arial"/>
          <w:sz w:val="22"/>
          <w:szCs w:val="22"/>
          <w:b w:val="1"/>
          <w:bCs w:val="1"/>
          <w:color w:val="auto"/>
        </w:rPr>
        <w:t xml:space="preserve"> </w:t>
      </w:r>
      <w:r>
        <w:rPr>
          <w:rFonts w:ascii="Arial" w:cs="Arial" w:eastAsia="Arial" w:hAnsi="Arial"/>
          <w:sz w:val="22"/>
          <w:szCs w:val="22"/>
          <w:color w:val="auto"/>
        </w:rPr>
        <w:t>on which the dispute, claim, disagreement, or controversy arises, then, upon written notice by Grantee to the Corporation or the Corporation to Grantee, all disputes, claims, questions, controversies, or differences will be submitted to arbitration administered by the American Arbitration Association (the “AAA”) in accordance with the provisions of its Employment Arbitration Rules (the “Arbitration Rules”).</w:t>
      </w:r>
    </w:p>
    <w:p>
      <w:pPr>
        <w:spacing w:after="0" w:line="186" w:lineRule="exact"/>
        <w:rPr>
          <w:rFonts w:ascii="Arial" w:cs="Arial" w:eastAsia="Arial" w:hAnsi="Arial"/>
          <w:sz w:val="22"/>
          <w:szCs w:val="22"/>
          <w:color w:val="auto"/>
        </w:rPr>
      </w:pPr>
    </w:p>
    <w:p>
      <w:pPr>
        <w:jc w:val="both"/>
        <w:ind w:left="1300" w:firstLine="653"/>
        <w:spacing w:after="0" w:line="247" w:lineRule="auto"/>
        <w:tabs>
          <w:tab w:leader="none" w:pos="2470" w:val="left"/>
        </w:tabs>
        <w:numPr>
          <w:ilvl w:val="1"/>
          <w:numId w:val="93"/>
        </w:numPr>
        <w:rPr>
          <w:rFonts w:ascii="Arial" w:cs="Arial" w:eastAsia="Arial" w:hAnsi="Arial"/>
          <w:sz w:val="22"/>
          <w:szCs w:val="22"/>
          <w:color w:val="auto"/>
        </w:rPr>
      </w:pPr>
      <w:r>
        <w:rPr>
          <w:rFonts w:ascii="Arial" w:cs="Arial" w:eastAsia="Arial" w:hAnsi="Arial"/>
          <w:sz w:val="22"/>
          <w:szCs w:val="22"/>
          <w:b w:val="1"/>
          <w:bCs w:val="1"/>
          <w:color w:val="auto"/>
        </w:rPr>
        <w:t>Arbitrator</w:t>
      </w:r>
      <w:r>
        <w:rPr>
          <w:rFonts w:ascii="Arial" w:cs="Arial" w:eastAsia="Arial" w:hAnsi="Arial"/>
          <w:sz w:val="22"/>
          <w:szCs w:val="22"/>
          <w:color w:val="auto"/>
        </w:rPr>
        <w:t>. The arbitration will be conducted by one arbitrator skilled in the arbitration of executive</w:t>
      </w:r>
      <w:r>
        <w:rPr>
          <w:rFonts w:ascii="Arial" w:cs="Arial" w:eastAsia="Arial" w:hAnsi="Arial"/>
          <w:sz w:val="22"/>
          <w:szCs w:val="22"/>
          <w:b w:val="1"/>
          <w:bCs w:val="1"/>
          <w:color w:val="auto"/>
        </w:rPr>
        <w:t xml:space="preserve"> </w:t>
      </w:r>
      <w:r>
        <w:rPr>
          <w:rFonts w:ascii="Arial" w:cs="Arial" w:eastAsia="Arial" w:hAnsi="Arial"/>
          <w:sz w:val="22"/>
          <w:szCs w:val="22"/>
          <w:color w:val="auto"/>
        </w:rPr>
        <w:t>employment matters. The parties to the arbitration will jointly appoint the arbitrator within 30 days after initiation of the arbitration. If the parties fail to appoint an arbitrator as provided above, an arbitrator with substantial experience in executive employment matters will be appointed by the AAA as provided in the Arbitration Rules. The Corporation will pay all of the fees, if any, and expenses of the arbitrator and the arbitration, unless otherwise determined by the arbitrator. Each party to the arbitration will be responsible for his/its respective attorneys fees or other costs of representation.</w:t>
      </w:r>
    </w:p>
    <w:p>
      <w:pPr>
        <w:spacing w:after="0" w:line="189" w:lineRule="exact"/>
        <w:rPr>
          <w:rFonts w:ascii="Arial" w:cs="Arial" w:eastAsia="Arial" w:hAnsi="Arial"/>
          <w:sz w:val="22"/>
          <w:szCs w:val="22"/>
          <w:color w:val="auto"/>
        </w:rPr>
      </w:pPr>
    </w:p>
    <w:p>
      <w:pPr>
        <w:ind w:left="2420" w:hanging="467"/>
        <w:spacing w:after="0"/>
        <w:tabs>
          <w:tab w:leader="none" w:pos="2420" w:val="left"/>
        </w:tabs>
        <w:numPr>
          <w:ilvl w:val="1"/>
          <w:numId w:val="93"/>
        </w:numPr>
        <w:rPr>
          <w:rFonts w:ascii="Arial" w:cs="Arial" w:eastAsia="Arial" w:hAnsi="Arial"/>
          <w:sz w:val="22"/>
          <w:szCs w:val="22"/>
          <w:color w:val="auto"/>
        </w:rPr>
      </w:pPr>
      <w:r>
        <w:rPr>
          <w:rFonts w:ascii="Arial" w:cs="Arial" w:eastAsia="Arial" w:hAnsi="Arial"/>
          <w:sz w:val="22"/>
          <w:szCs w:val="22"/>
          <w:b w:val="1"/>
          <w:bCs w:val="1"/>
          <w:color w:val="auto"/>
        </w:rPr>
        <w:t>Location</w:t>
      </w:r>
      <w:r>
        <w:rPr>
          <w:rFonts w:ascii="Arial" w:cs="Arial" w:eastAsia="Arial" w:hAnsi="Arial"/>
          <w:sz w:val="22"/>
          <w:szCs w:val="22"/>
          <w:color w:val="auto"/>
        </w:rPr>
        <w:t>. The arbitration will be conducted in Oakland County, Michigan.</w:t>
      </w:r>
    </w:p>
    <w:p>
      <w:pPr>
        <w:spacing w:after="0" w:line="219" w:lineRule="exact"/>
        <w:rPr>
          <w:rFonts w:ascii="Arial" w:cs="Arial" w:eastAsia="Arial" w:hAnsi="Arial"/>
          <w:sz w:val="22"/>
          <w:szCs w:val="22"/>
          <w:color w:val="auto"/>
        </w:rPr>
      </w:pPr>
    </w:p>
    <w:p>
      <w:pPr>
        <w:jc w:val="both"/>
        <w:ind w:left="1300" w:firstLine="653"/>
        <w:spacing w:after="0" w:line="315" w:lineRule="auto"/>
        <w:tabs>
          <w:tab w:leader="none" w:pos="2470" w:val="left"/>
        </w:tabs>
        <w:numPr>
          <w:ilvl w:val="1"/>
          <w:numId w:val="93"/>
        </w:numPr>
        <w:rPr>
          <w:rFonts w:ascii="Arial" w:cs="Arial" w:eastAsia="Arial" w:hAnsi="Arial"/>
          <w:sz w:val="19"/>
          <w:szCs w:val="19"/>
          <w:color w:val="auto"/>
        </w:rPr>
      </w:pPr>
      <w:r>
        <w:rPr>
          <w:rFonts w:ascii="Arial" w:cs="Arial" w:eastAsia="Arial" w:hAnsi="Arial"/>
          <w:sz w:val="19"/>
          <w:szCs w:val="19"/>
          <w:b w:val="1"/>
          <w:bCs w:val="1"/>
          <w:color w:val="auto"/>
        </w:rPr>
        <w:t>Procedure</w:t>
      </w:r>
      <w:r>
        <w:rPr>
          <w:rFonts w:ascii="Arial" w:cs="Arial" w:eastAsia="Arial" w:hAnsi="Arial"/>
          <w:sz w:val="19"/>
          <w:szCs w:val="19"/>
          <w:color w:val="auto"/>
        </w:rPr>
        <w:t>. At any oral hearing of evidence in connection with the arbitration, each party or its legal</w:t>
      </w:r>
      <w:r>
        <w:rPr>
          <w:rFonts w:ascii="Arial" w:cs="Arial" w:eastAsia="Arial" w:hAnsi="Arial"/>
          <w:sz w:val="19"/>
          <w:szCs w:val="19"/>
          <w:b w:val="1"/>
          <w:bCs w:val="1"/>
          <w:color w:val="auto"/>
        </w:rPr>
        <w:t xml:space="preserve"> </w:t>
      </w:r>
      <w:r>
        <w:rPr>
          <w:rFonts w:ascii="Arial" w:cs="Arial" w:eastAsia="Arial" w:hAnsi="Arial"/>
          <w:sz w:val="19"/>
          <w:szCs w:val="19"/>
          <w:color w:val="auto"/>
        </w:rPr>
        <w:t>counsel will have the right to examine its witnesses and cross-examine the witnesses of any opposing party. No evidence of any witness may be presented in any form unless the opposing party or parties has the opportunity</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625" w:right="239" w:bottom="1440" w:gutter="0" w:footer="0" w:header="0"/>
        </w:sectPr>
      </w:pPr>
    </w:p>
    <w:bookmarkStart w:id="97" w:name="page98"/>
    <w:bookmarkEnd w:id="97"/>
    <w:p>
      <w:pPr>
        <w:ind w:left="1300"/>
        <w:spacing w:after="0" w:line="263" w:lineRule="auto"/>
        <w:rPr>
          <w:sz w:val="20"/>
          <w:szCs w:val="20"/>
          <w:color w:val="auto"/>
        </w:rPr>
      </w:pPr>
      <w:r>
        <w:rPr>
          <w:rFonts w:ascii="Arial" w:cs="Arial" w:eastAsia="Arial" w:hAnsi="Arial"/>
          <w:sz w:val="22"/>
          <w:szCs w:val="22"/>
          <w:color w:val="auto"/>
        </w:rPr>
        <w:t>to cross-examine the witness, except under extraordinary circumstances in which the arbitrator determines that the interests of justice require a different procedure.</w:t>
      </w:r>
    </w:p>
    <w:p>
      <w:pPr>
        <w:spacing w:after="0" w:line="169" w:lineRule="exact"/>
        <w:rPr>
          <w:sz w:val="20"/>
          <w:szCs w:val="20"/>
          <w:color w:val="auto"/>
        </w:rPr>
      </w:pPr>
    </w:p>
    <w:p>
      <w:pPr>
        <w:jc w:val="both"/>
        <w:ind w:left="1300" w:firstLine="653"/>
        <w:spacing w:after="0" w:line="252" w:lineRule="auto"/>
        <w:tabs>
          <w:tab w:leader="none" w:pos="2470" w:val="left"/>
        </w:tabs>
        <w:numPr>
          <w:ilvl w:val="0"/>
          <w:numId w:val="94"/>
        </w:numPr>
        <w:rPr>
          <w:rFonts w:ascii="Arial" w:cs="Arial" w:eastAsia="Arial" w:hAnsi="Arial"/>
          <w:sz w:val="22"/>
          <w:szCs w:val="22"/>
          <w:color w:val="auto"/>
        </w:rPr>
      </w:pPr>
      <w:r>
        <w:rPr>
          <w:rFonts w:ascii="Arial" w:cs="Arial" w:eastAsia="Arial" w:hAnsi="Arial"/>
          <w:sz w:val="22"/>
          <w:szCs w:val="22"/>
          <w:b w:val="1"/>
          <w:bCs w:val="1"/>
          <w:color w:val="auto"/>
        </w:rPr>
        <w:t>Decision</w:t>
      </w:r>
      <w:r>
        <w:rPr>
          <w:rFonts w:ascii="Arial" w:cs="Arial" w:eastAsia="Arial" w:hAnsi="Arial"/>
          <w:sz w:val="22"/>
          <w:szCs w:val="22"/>
          <w:color w:val="auto"/>
        </w:rPr>
        <w:t>. Any decision or award of the arbitrator is final and binding on the parties to the arbitration</w:t>
      </w:r>
      <w:r>
        <w:rPr>
          <w:rFonts w:ascii="Arial" w:cs="Arial" w:eastAsia="Arial" w:hAnsi="Arial"/>
          <w:sz w:val="22"/>
          <w:szCs w:val="22"/>
          <w:b w:val="1"/>
          <w:bCs w:val="1"/>
          <w:color w:val="auto"/>
        </w:rPr>
        <w:t xml:space="preserve"> </w:t>
      </w:r>
      <w:r>
        <w:rPr>
          <w:rFonts w:ascii="Arial" w:cs="Arial" w:eastAsia="Arial" w:hAnsi="Arial"/>
          <w:sz w:val="22"/>
          <w:szCs w:val="22"/>
          <w:color w:val="auto"/>
        </w:rPr>
        <w:t>proceeding. The parties agree that the arbitration award may be enforced against the parties to the arbitration proceeding or their assets wherever they may be found and that a judgment upon the arbitration award may be entered in any court having jurisdiction.</w:t>
      </w:r>
    </w:p>
    <w:p>
      <w:pPr>
        <w:spacing w:after="0" w:line="180" w:lineRule="exact"/>
        <w:rPr>
          <w:rFonts w:ascii="Arial" w:cs="Arial" w:eastAsia="Arial" w:hAnsi="Arial"/>
          <w:sz w:val="22"/>
          <w:szCs w:val="22"/>
          <w:color w:val="auto"/>
        </w:rPr>
      </w:pPr>
    </w:p>
    <w:p>
      <w:pPr>
        <w:ind w:left="1300" w:firstLine="653"/>
        <w:spacing w:after="0" w:line="350" w:lineRule="auto"/>
        <w:tabs>
          <w:tab w:leader="none" w:pos="2551" w:val="left"/>
        </w:tabs>
        <w:numPr>
          <w:ilvl w:val="0"/>
          <w:numId w:val="94"/>
        </w:numPr>
        <w:rPr>
          <w:rFonts w:ascii="Arial" w:cs="Arial" w:eastAsia="Arial" w:hAnsi="Arial"/>
          <w:sz w:val="19"/>
          <w:szCs w:val="19"/>
          <w:color w:val="auto"/>
        </w:rPr>
      </w:pPr>
      <w:r>
        <w:rPr>
          <w:rFonts w:ascii="Arial" w:cs="Arial" w:eastAsia="Arial" w:hAnsi="Arial"/>
          <w:sz w:val="19"/>
          <w:szCs w:val="19"/>
          <w:b w:val="1"/>
          <w:bCs w:val="1"/>
          <w:color w:val="auto"/>
        </w:rPr>
        <w:t>Power</w:t>
      </w:r>
      <w:r>
        <w:rPr>
          <w:rFonts w:ascii="Arial" w:cs="Arial" w:eastAsia="Arial" w:hAnsi="Arial"/>
          <w:sz w:val="19"/>
          <w:szCs w:val="19"/>
          <w:color w:val="auto"/>
        </w:rPr>
        <w:t>. Nothing contained in this Agreement may be deemed to give the arbitrator any authority,</w:t>
      </w:r>
      <w:r>
        <w:rPr>
          <w:rFonts w:ascii="Arial" w:cs="Arial" w:eastAsia="Arial" w:hAnsi="Arial"/>
          <w:sz w:val="19"/>
          <w:szCs w:val="19"/>
          <w:b w:val="1"/>
          <w:bCs w:val="1"/>
          <w:color w:val="auto"/>
        </w:rPr>
        <w:t xml:space="preserve"> </w:t>
      </w:r>
      <w:r>
        <w:rPr>
          <w:rFonts w:ascii="Arial" w:cs="Arial" w:eastAsia="Arial" w:hAnsi="Arial"/>
          <w:sz w:val="19"/>
          <w:szCs w:val="19"/>
          <w:color w:val="auto"/>
        </w:rPr>
        <w:t>power, or right to alter, change, amend, modify, add to, or subtract from any of the provisions of this Agreement.</w:t>
      </w:r>
    </w:p>
    <w:p>
      <w:pPr>
        <w:spacing w:after="0" w:line="98"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The provisions of this Section II.B.3 survive the termination or expiration of this Agreement, are binding on the Corporation’s and Grantee’s respective successors, heirs, personal representatives, designated beneficiaries and any other person asserting a claim described above, and may not be modified without the consent of the Corporation. To the extent arbitration is required, no person asserting a claim has the right to resort to any federal, state or local court or administrative agency concerning the claim unless expressly provided by federal statute, and the decision of the arbitrator is a complete defense to any action or proceeding instituted in any tribunal or agency with respect to any dispute, unless precluded by federal statute.</w:t>
      </w:r>
    </w:p>
    <w:p>
      <w:pPr>
        <w:spacing w:after="0" w:line="144" w:lineRule="exact"/>
        <w:rPr>
          <w:sz w:val="20"/>
          <w:szCs w:val="20"/>
          <w:color w:val="auto"/>
        </w:rPr>
      </w:pPr>
    </w:p>
    <w:p>
      <w:pPr>
        <w:ind w:firstLine="1305"/>
        <w:spacing w:after="0" w:line="350" w:lineRule="auto"/>
        <w:tabs>
          <w:tab w:leader="none" w:pos="1702" w:val="left"/>
        </w:tabs>
        <w:numPr>
          <w:ilvl w:val="0"/>
          <w:numId w:val="95"/>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Code Section 409A</w:t>
      </w:r>
      <w:r>
        <w:rPr>
          <w:rFonts w:ascii="Arial" w:cs="Arial" w:eastAsia="Arial" w:hAnsi="Arial"/>
          <w:sz w:val="19"/>
          <w:szCs w:val="19"/>
          <w:u w:val="single" w:color="auto"/>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Without limiting the generality of any other provision of this Agreement and to the extent</w:t>
      </w:r>
      <w:r>
        <w:rPr>
          <w:rFonts w:ascii="Arial" w:cs="Arial" w:eastAsia="Arial" w:hAnsi="Arial"/>
          <w:sz w:val="19"/>
          <w:szCs w:val="19"/>
          <w:b w:val="1"/>
          <w:bCs w:val="1"/>
          <w:color w:val="auto"/>
        </w:rPr>
        <w:t xml:space="preserve"> </w:t>
      </w:r>
      <w:r>
        <w:rPr>
          <w:rFonts w:ascii="Arial" w:cs="Arial" w:eastAsia="Arial" w:hAnsi="Arial"/>
          <w:sz w:val="19"/>
          <w:szCs w:val="19"/>
          <w:color w:val="auto"/>
        </w:rPr>
        <w:t>applicable, Sections 18.9 and 18.10 of the Plan pertaining to Code Section 409A are explicitly incorporated into this Agreement.</w:t>
      </w:r>
    </w:p>
    <w:p>
      <w:pPr>
        <w:spacing w:after="0" w:line="92" w:lineRule="exact"/>
        <w:rPr>
          <w:rFonts w:ascii="Arial" w:cs="Arial" w:eastAsia="Arial" w:hAnsi="Arial"/>
          <w:sz w:val="19"/>
          <w:szCs w:val="19"/>
          <w:b w:val="1"/>
          <w:bCs w:val="1"/>
          <w:color w:val="auto"/>
        </w:rPr>
      </w:pPr>
    </w:p>
    <w:p>
      <w:pPr>
        <w:jc w:val="both"/>
        <w:ind w:firstLine="1305"/>
        <w:spacing w:after="0" w:line="264" w:lineRule="auto"/>
        <w:tabs>
          <w:tab w:leader="none" w:pos="1742" w:val="left"/>
        </w:tabs>
        <w:numPr>
          <w:ilvl w:val="0"/>
          <w:numId w:val="95"/>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No Continued Right as Service Provider.</w:t>
      </w:r>
      <w:r>
        <w:rPr>
          <w:rFonts w:ascii="Arial" w:cs="Arial" w:eastAsia="Arial" w:hAnsi="Arial"/>
          <w:sz w:val="21"/>
          <w:szCs w:val="21"/>
          <w:b w:val="1"/>
          <w:bCs w:val="1"/>
          <w:color w:val="auto"/>
        </w:rPr>
        <w:t xml:space="preserve"> </w:t>
      </w:r>
      <w:r>
        <w:rPr>
          <w:rFonts w:ascii="Arial" w:cs="Arial" w:eastAsia="Arial" w:hAnsi="Arial"/>
          <w:sz w:val="21"/>
          <w:szCs w:val="21"/>
          <w:color w:val="auto"/>
        </w:rPr>
        <w:t>Nothing in the Plan or in this Agreement confers on Grantee any</w:t>
      </w:r>
      <w:r>
        <w:rPr>
          <w:rFonts w:ascii="Arial" w:cs="Arial" w:eastAsia="Arial" w:hAnsi="Arial"/>
          <w:sz w:val="21"/>
          <w:szCs w:val="21"/>
          <w:b w:val="1"/>
          <w:bCs w:val="1"/>
          <w:color w:val="auto"/>
        </w:rPr>
        <w:t xml:space="preserve"> </w:t>
      </w:r>
      <w:r>
        <w:rPr>
          <w:rFonts w:ascii="Arial" w:cs="Arial" w:eastAsia="Arial" w:hAnsi="Arial"/>
          <w:sz w:val="21"/>
          <w:szCs w:val="21"/>
          <w:color w:val="auto"/>
        </w:rPr>
        <w:t>right to continue as a Service Provider, or interferes with or restricts in any way the rights of the Corporation or any Subsidiary or Affiliate of the Corporation, which are hereby expressly reserved, to discharge Grantee at any time for any reason whatsoever, with or without Cause, except to the extent expressly provided otherwise in a written employment agreement between Grantee and the Corporation or any Subsidiary or Affiliate of the Corporation.</w:t>
      </w:r>
    </w:p>
    <w:p>
      <w:pPr>
        <w:spacing w:after="0" w:line="170" w:lineRule="exact"/>
        <w:rPr>
          <w:rFonts w:ascii="Arial" w:cs="Arial" w:eastAsia="Arial" w:hAnsi="Arial"/>
          <w:sz w:val="21"/>
          <w:szCs w:val="21"/>
          <w:b w:val="1"/>
          <w:bCs w:val="1"/>
          <w:color w:val="auto"/>
        </w:rPr>
      </w:pPr>
    </w:p>
    <w:p>
      <w:pPr>
        <w:jc w:val="both"/>
        <w:ind w:firstLine="1305"/>
        <w:spacing w:after="0" w:line="252" w:lineRule="auto"/>
        <w:tabs>
          <w:tab w:leader="none" w:pos="1742" w:val="left"/>
        </w:tabs>
        <w:numPr>
          <w:ilvl w:val="0"/>
          <w:numId w:val="9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Effect on Other Benefits</w:t>
      </w:r>
      <w:r>
        <w:rPr>
          <w:rFonts w:ascii="Arial" w:cs="Arial" w:eastAsia="Arial" w:hAnsi="Arial"/>
          <w:sz w:val="22"/>
          <w:szCs w:val="22"/>
          <w:u w:val="single" w:color="auto"/>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In no event will the value, at any time, of the Restricted Stock Units or any other</w:t>
      </w:r>
      <w:r>
        <w:rPr>
          <w:rFonts w:ascii="Arial" w:cs="Arial" w:eastAsia="Arial" w:hAnsi="Arial"/>
          <w:sz w:val="22"/>
          <w:szCs w:val="22"/>
          <w:b w:val="1"/>
          <w:bCs w:val="1"/>
          <w:color w:val="auto"/>
        </w:rPr>
        <w:t xml:space="preserve"> </w:t>
      </w:r>
      <w:r>
        <w:rPr>
          <w:rFonts w:ascii="Arial" w:cs="Arial" w:eastAsia="Arial" w:hAnsi="Arial"/>
          <w:sz w:val="22"/>
          <w:szCs w:val="22"/>
          <w:color w:val="auto"/>
        </w:rPr>
        <w:t>payment or right to payment under this Agreement be included as compensation or earnings for purposes of any other compensation, retirement, or benefit plan offered to employees of, or other Service Providers to, the Corporation or any Subsidiary or Affiliate of the Corporation unless otherwise specifically provided for in such plan.</w:t>
      </w:r>
    </w:p>
    <w:p>
      <w:pPr>
        <w:spacing w:after="0" w:line="180" w:lineRule="exact"/>
        <w:rPr>
          <w:rFonts w:ascii="Arial" w:cs="Arial" w:eastAsia="Arial" w:hAnsi="Arial"/>
          <w:sz w:val="22"/>
          <w:szCs w:val="22"/>
          <w:b w:val="1"/>
          <w:bCs w:val="1"/>
          <w:color w:val="auto"/>
        </w:rPr>
      </w:pPr>
    </w:p>
    <w:p>
      <w:pPr>
        <w:jc w:val="both"/>
        <w:ind w:firstLine="1305"/>
        <w:spacing w:after="0" w:line="252" w:lineRule="auto"/>
        <w:tabs>
          <w:tab w:leader="none" w:pos="1756" w:val="left"/>
        </w:tabs>
        <w:numPr>
          <w:ilvl w:val="0"/>
          <w:numId w:val="9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Severability</w:t>
      </w:r>
      <w:r>
        <w:rPr>
          <w:rFonts w:ascii="Arial" w:cs="Arial" w:eastAsia="Arial" w:hAnsi="Arial"/>
          <w:sz w:val="22"/>
          <w:szCs w:val="22"/>
          <w:color w:val="auto"/>
        </w:rPr>
        <w:t>. If any provision of this Agreement or the application of any provision hereof to any person or</w:t>
      </w:r>
      <w:r>
        <w:rPr>
          <w:rFonts w:ascii="Arial" w:cs="Arial" w:eastAsia="Arial" w:hAnsi="Arial"/>
          <w:sz w:val="22"/>
          <w:szCs w:val="22"/>
          <w:b w:val="1"/>
          <w:bCs w:val="1"/>
          <w:color w:val="auto"/>
        </w:rPr>
        <w:t xml:space="preserve"> </w:t>
      </w:r>
      <w:r>
        <w:rPr>
          <w:rFonts w:ascii="Arial" w:cs="Arial" w:eastAsia="Arial" w:hAnsi="Arial"/>
          <w:sz w:val="22"/>
          <w:szCs w:val="22"/>
          <w:color w:val="auto"/>
        </w:rPr>
        <w:t>circumstances is held invalid or unenforceable, the remainder of this Agreement and the application of such provision to any other person or circumstances shall not be affected, and the provisions so held to be invalid or unenforceable shall be reformed to the extent (and only to the extent) necessary to make it enforceable and valid.</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631" w:right="239" w:bottom="1440" w:gutter="0" w:footer="0" w:header="0"/>
        </w:sectPr>
      </w:pPr>
    </w:p>
    <w:bookmarkStart w:id="98" w:name="page99"/>
    <w:bookmarkEnd w:id="98"/>
    <w:p>
      <w:pPr>
        <w:jc w:val="both"/>
        <w:ind w:firstLine="1305"/>
        <w:spacing w:after="0" w:line="264" w:lineRule="auto"/>
        <w:tabs>
          <w:tab w:leader="none" w:pos="1877" w:val="left"/>
        </w:tabs>
        <w:numPr>
          <w:ilvl w:val="0"/>
          <w:numId w:val="96"/>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Electronic Delivery</w:t>
      </w:r>
      <w:r>
        <w:rPr>
          <w:rFonts w:ascii="Arial" w:cs="Arial" w:eastAsia="Arial" w:hAnsi="Arial"/>
          <w:sz w:val="21"/>
          <w:szCs w:val="21"/>
          <w:color w:val="auto"/>
        </w:rPr>
        <w:t>. The Corporation may, in its sole discretion, deliver any documents related to the</w:t>
      </w:r>
      <w:r>
        <w:rPr>
          <w:rFonts w:ascii="Arial" w:cs="Arial" w:eastAsia="Arial" w:hAnsi="Arial"/>
          <w:sz w:val="21"/>
          <w:szCs w:val="21"/>
          <w:b w:val="1"/>
          <w:bCs w:val="1"/>
          <w:color w:val="auto"/>
        </w:rPr>
        <w:t xml:space="preserve"> </w:t>
      </w:r>
      <w:r>
        <w:rPr>
          <w:rFonts w:ascii="Arial" w:cs="Arial" w:eastAsia="Arial" w:hAnsi="Arial"/>
          <w:sz w:val="21"/>
          <w:szCs w:val="21"/>
          <w:color w:val="auto"/>
        </w:rPr>
        <w:t>Restricted Stock Units and Grantee’s participation in the Plan, or future awards that may be granted under the Plan, by electronic means or request Grantee’s consent to participate in the Plan by electronic means. Grantee hereby consents to receive such documents by electronic delivery and, if requested, agrees to participate in the Plan through an on-line or electronic system established and maintained by the Corporation or another third party designated by the Corporation.</w:t>
      </w:r>
    </w:p>
    <w:p>
      <w:pPr>
        <w:spacing w:after="0" w:line="170" w:lineRule="exact"/>
        <w:rPr>
          <w:rFonts w:ascii="Arial" w:cs="Arial" w:eastAsia="Arial" w:hAnsi="Arial"/>
          <w:sz w:val="21"/>
          <w:szCs w:val="21"/>
          <w:b w:val="1"/>
          <w:bCs w:val="1"/>
          <w:color w:val="auto"/>
        </w:rPr>
      </w:pPr>
    </w:p>
    <w:p>
      <w:pPr>
        <w:ind w:left="1680" w:hanging="375"/>
        <w:spacing w:after="0"/>
        <w:tabs>
          <w:tab w:leader="none" w:pos="1680" w:val="left"/>
        </w:tabs>
        <w:numPr>
          <w:ilvl w:val="0"/>
          <w:numId w:val="9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Nature of Grant</w:t>
      </w:r>
      <w:r>
        <w:rPr>
          <w:rFonts w:ascii="Arial" w:cs="Arial" w:eastAsia="Arial" w:hAnsi="Arial"/>
          <w:sz w:val="22"/>
          <w:szCs w:val="22"/>
          <w:b w:val="1"/>
          <w:bCs w:val="1"/>
          <w:color w:val="auto"/>
        </w:rPr>
        <w:t xml:space="preserve">. </w:t>
      </w:r>
      <w:r>
        <w:rPr>
          <w:rFonts w:ascii="Arial" w:cs="Arial" w:eastAsia="Arial" w:hAnsi="Arial"/>
          <w:sz w:val="22"/>
          <w:szCs w:val="22"/>
          <w:color w:val="auto"/>
        </w:rPr>
        <w:t>In accepting the Award, Grantee acknowledges that:</w:t>
      </w:r>
    </w:p>
    <w:p>
      <w:pPr>
        <w:spacing w:after="0" w:line="226" w:lineRule="exact"/>
        <w:rPr>
          <w:sz w:val="20"/>
          <w:szCs w:val="20"/>
          <w:color w:val="auto"/>
        </w:rPr>
      </w:pPr>
    </w:p>
    <w:p>
      <w:pPr>
        <w:ind w:left="660" w:firstLine="645"/>
        <w:spacing w:after="0" w:line="343" w:lineRule="auto"/>
        <w:tabs>
          <w:tab w:leader="none" w:pos="1859" w:val="left"/>
        </w:tabs>
        <w:numPr>
          <w:ilvl w:val="0"/>
          <w:numId w:val="97"/>
        </w:numPr>
        <w:rPr>
          <w:rFonts w:ascii="Arial" w:cs="Arial" w:eastAsia="Arial" w:hAnsi="Arial"/>
          <w:sz w:val="19"/>
          <w:szCs w:val="19"/>
          <w:color w:val="auto"/>
        </w:rPr>
      </w:pPr>
      <w:r>
        <w:rPr>
          <w:rFonts w:ascii="Arial" w:cs="Arial" w:eastAsia="Arial" w:hAnsi="Arial"/>
          <w:sz w:val="19"/>
          <w:szCs w:val="19"/>
          <w:color w:val="auto"/>
        </w:rPr>
        <w:t>the Plan is established voluntarily by the Corporation, it is discretionary in nature and it may be modified, amended, suspended or terminated by the Corporation at any time unless otherwise provided in the Plan or this Agreement;</w:t>
      </w:r>
    </w:p>
    <w:p>
      <w:pPr>
        <w:spacing w:after="0" w:line="104" w:lineRule="exact"/>
        <w:rPr>
          <w:rFonts w:ascii="Arial" w:cs="Arial" w:eastAsia="Arial" w:hAnsi="Arial"/>
          <w:sz w:val="19"/>
          <w:szCs w:val="19"/>
          <w:color w:val="auto"/>
        </w:rPr>
      </w:pPr>
    </w:p>
    <w:p>
      <w:pPr>
        <w:jc w:val="both"/>
        <w:ind w:left="660" w:firstLine="645"/>
        <w:spacing w:after="0" w:line="253" w:lineRule="auto"/>
        <w:tabs>
          <w:tab w:leader="none" w:pos="1790" w:val="left"/>
        </w:tabs>
        <w:numPr>
          <w:ilvl w:val="0"/>
          <w:numId w:val="97"/>
        </w:numPr>
        <w:rPr>
          <w:rFonts w:ascii="Arial" w:cs="Arial" w:eastAsia="Arial" w:hAnsi="Arial"/>
          <w:sz w:val="22"/>
          <w:szCs w:val="22"/>
          <w:color w:val="auto"/>
        </w:rPr>
      </w:pPr>
      <w:r>
        <w:rPr>
          <w:rFonts w:ascii="Arial" w:cs="Arial" w:eastAsia="Arial" w:hAnsi="Arial"/>
          <w:sz w:val="22"/>
          <w:szCs w:val="22"/>
          <w:color w:val="auto"/>
        </w:rPr>
        <w:t>the grant of the Restricted Stock Units is voluntary and occasional and does not create any contractual or other right to receive future grants of restricted stock units, or benefits in lieu of restricted stock units, even if restricted stock units have been granted repeatedly in the past;</w:t>
      </w:r>
    </w:p>
    <w:p>
      <w:pPr>
        <w:spacing w:after="0" w:line="185" w:lineRule="exact"/>
        <w:rPr>
          <w:rFonts w:ascii="Arial" w:cs="Arial" w:eastAsia="Arial" w:hAnsi="Arial"/>
          <w:sz w:val="22"/>
          <w:szCs w:val="22"/>
          <w:color w:val="auto"/>
        </w:rPr>
      </w:pPr>
    </w:p>
    <w:p>
      <w:pPr>
        <w:ind w:left="1860" w:hanging="555"/>
        <w:spacing w:after="0"/>
        <w:tabs>
          <w:tab w:leader="none" w:pos="1860" w:val="left"/>
        </w:tabs>
        <w:numPr>
          <w:ilvl w:val="0"/>
          <w:numId w:val="97"/>
        </w:numPr>
        <w:rPr>
          <w:rFonts w:ascii="Arial" w:cs="Arial" w:eastAsia="Arial" w:hAnsi="Arial"/>
          <w:sz w:val="21"/>
          <w:szCs w:val="21"/>
          <w:color w:val="auto"/>
        </w:rPr>
      </w:pPr>
      <w:r>
        <w:rPr>
          <w:rFonts w:ascii="Arial" w:cs="Arial" w:eastAsia="Arial" w:hAnsi="Arial"/>
          <w:sz w:val="21"/>
          <w:szCs w:val="21"/>
          <w:color w:val="auto"/>
        </w:rPr>
        <w:t>all decisions with respect to future restricted stock unit grants, if any, will be at the sole discretion of the</w:t>
      </w:r>
    </w:p>
    <w:p>
      <w:pPr>
        <w:spacing w:after="0" w:line="33" w:lineRule="exact"/>
        <w:rPr>
          <w:rFonts w:ascii="Arial" w:cs="Arial" w:eastAsia="Arial" w:hAnsi="Arial"/>
          <w:sz w:val="21"/>
          <w:szCs w:val="21"/>
          <w:color w:val="auto"/>
        </w:rPr>
      </w:pPr>
    </w:p>
    <w:p>
      <w:pPr>
        <w:ind w:left="660"/>
        <w:spacing w:after="0"/>
        <w:rPr>
          <w:rFonts w:ascii="Arial" w:cs="Arial" w:eastAsia="Arial" w:hAnsi="Arial"/>
          <w:sz w:val="21"/>
          <w:szCs w:val="21"/>
          <w:color w:val="auto"/>
        </w:rPr>
      </w:pPr>
      <w:r>
        <w:rPr>
          <w:rFonts w:ascii="Arial" w:cs="Arial" w:eastAsia="Arial" w:hAnsi="Arial"/>
          <w:sz w:val="22"/>
          <w:szCs w:val="22"/>
          <w:color w:val="auto"/>
        </w:rPr>
        <w:t>Corporation;</w:t>
      </w:r>
    </w:p>
    <w:p>
      <w:pPr>
        <w:spacing w:after="0" w:line="201" w:lineRule="exact"/>
        <w:rPr>
          <w:rFonts w:ascii="Arial" w:cs="Arial" w:eastAsia="Arial" w:hAnsi="Arial"/>
          <w:sz w:val="21"/>
          <w:szCs w:val="21"/>
          <w:color w:val="auto"/>
        </w:rPr>
      </w:pPr>
    </w:p>
    <w:p>
      <w:pPr>
        <w:ind w:left="1780" w:hanging="475"/>
        <w:spacing w:after="0"/>
        <w:tabs>
          <w:tab w:leader="none" w:pos="1780" w:val="left"/>
        </w:tabs>
        <w:numPr>
          <w:ilvl w:val="0"/>
          <w:numId w:val="97"/>
        </w:numPr>
        <w:rPr>
          <w:rFonts w:ascii="Arial" w:cs="Arial" w:eastAsia="Arial" w:hAnsi="Arial"/>
          <w:sz w:val="22"/>
          <w:szCs w:val="22"/>
          <w:color w:val="auto"/>
        </w:rPr>
      </w:pPr>
      <w:r>
        <w:rPr>
          <w:rFonts w:ascii="Arial" w:cs="Arial" w:eastAsia="Arial" w:hAnsi="Arial"/>
          <w:sz w:val="22"/>
          <w:szCs w:val="22"/>
          <w:color w:val="auto"/>
        </w:rPr>
        <w:t>Grantee is voluntarily participating in the Plan;</w:t>
      </w:r>
    </w:p>
    <w:p>
      <w:pPr>
        <w:spacing w:after="0" w:line="219" w:lineRule="exact"/>
        <w:rPr>
          <w:rFonts w:ascii="Arial" w:cs="Arial" w:eastAsia="Arial" w:hAnsi="Arial"/>
          <w:sz w:val="22"/>
          <w:szCs w:val="22"/>
          <w:color w:val="auto"/>
        </w:rPr>
      </w:pPr>
    </w:p>
    <w:p>
      <w:pPr>
        <w:jc w:val="both"/>
        <w:ind w:left="660" w:firstLine="645"/>
        <w:spacing w:after="0" w:line="253" w:lineRule="auto"/>
        <w:tabs>
          <w:tab w:leader="none" w:pos="1818" w:val="left"/>
        </w:tabs>
        <w:numPr>
          <w:ilvl w:val="0"/>
          <w:numId w:val="97"/>
        </w:numPr>
        <w:rPr>
          <w:rFonts w:ascii="Arial" w:cs="Arial" w:eastAsia="Arial" w:hAnsi="Arial"/>
          <w:sz w:val="22"/>
          <w:szCs w:val="22"/>
          <w:color w:val="auto"/>
        </w:rPr>
      </w:pPr>
      <w:r>
        <w:rPr>
          <w:rFonts w:ascii="Arial" w:cs="Arial" w:eastAsia="Arial" w:hAnsi="Arial"/>
          <w:sz w:val="22"/>
          <w:szCs w:val="22"/>
          <w:color w:val="auto"/>
        </w:rPr>
        <w:t>the Restricted Stock Units and the Stock subject to the Restricted Stock Units are an extraordinary item that does not constitute compensation of any kind for services of any kind rendered to the Corporation or Grantee’s employer, and which is outside the scope of Grantee’s employment contract, if any;</w:t>
      </w:r>
    </w:p>
    <w:p>
      <w:pPr>
        <w:spacing w:after="0" w:line="185" w:lineRule="exact"/>
        <w:rPr>
          <w:rFonts w:ascii="Arial" w:cs="Arial" w:eastAsia="Arial" w:hAnsi="Arial"/>
          <w:sz w:val="22"/>
          <w:szCs w:val="22"/>
          <w:color w:val="auto"/>
        </w:rPr>
      </w:pPr>
    </w:p>
    <w:p>
      <w:pPr>
        <w:ind w:left="660" w:firstLine="645"/>
        <w:spacing w:after="0" w:line="263" w:lineRule="auto"/>
        <w:tabs>
          <w:tab w:leader="none" w:pos="1781" w:val="left"/>
        </w:tabs>
        <w:numPr>
          <w:ilvl w:val="0"/>
          <w:numId w:val="97"/>
        </w:numPr>
        <w:rPr>
          <w:rFonts w:ascii="Arial" w:cs="Arial" w:eastAsia="Arial" w:hAnsi="Arial"/>
          <w:sz w:val="22"/>
          <w:szCs w:val="22"/>
          <w:color w:val="auto"/>
        </w:rPr>
      </w:pPr>
      <w:r>
        <w:rPr>
          <w:rFonts w:ascii="Arial" w:cs="Arial" w:eastAsia="Arial" w:hAnsi="Arial"/>
          <w:sz w:val="22"/>
          <w:szCs w:val="22"/>
          <w:color w:val="auto"/>
        </w:rPr>
        <w:t>the Restricted Stock Units and the Stock subject to the Restricted Stock Units are not intended to replace any pension rights or compensation;</w:t>
      </w:r>
    </w:p>
    <w:p>
      <w:pPr>
        <w:spacing w:after="0" w:line="174" w:lineRule="exact"/>
        <w:rPr>
          <w:rFonts w:ascii="Arial" w:cs="Arial" w:eastAsia="Arial" w:hAnsi="Arial"/>
          <w:sz w:val="22"/>
          <w:szCs w:val="22"/>
          <w:color w:val="auto"/>
        </w:rPr>
      </w:pPr>
    </w:p>
    <w:p>
      <w:pPr>
        <w:ind w:left="1780" w:hanging="475"/>
        <w:spacing w:after="0"/>
        <w:tabs>
          <w:tab w:leader="none" w:pos="1780" w:val="left"/>
        </w:tabs>
        <w:numPr>
          <w:ilvl w:val="0"/>
          <w:numId w:val="97"/>
        </w:numPr>
        <w:rPr>
          <w:rFonts w:ascii="Arial" w:cs="Arial" w:eastAsia="Arial" w:hAnsi="Arial"/>
          <w:sz w:val="22"/>
          <w:szCs w:val="22"/>
          <w:color w:val="auto"/>
        </w:rPr>
      </w:pPr>
      <w:r>
        <w:rPr>
          <w:rFonts w:ascii="Arial" w:cs="Arial" w:eastAsia="Arial" w:hAnsi="Arial"/>
          <w:sz w:val="22"/>
          <w:szCs w:val="22"/>
          <w:color w:val="auto"/>
        </w:rPr>
        <w:t>the future value of the underlying Stock is unknown and cannot be predicted with certainty;</w:t>
      </w:r>
    </w:p>
    <w:p>
      <w:pPr>
        <w:spacing w:after="0" w:line="219" w:lineRule="exact"/>
        <w:rPr>
          <w:rFonts w:ascii="Arial" w:cs="Arial" w:eastAsia="Arial" w:hAnsi="Arial"/>
          <w:sz w:val="22"/>
          <w:szCs w:val="22"/>
          <w:color w:val="auto"/>
        </w:rPr>
      </w:pPr>
    </w:p>
    <w:p>
      <w:pPr>
        <w:jc w:val="both"/>
        <w:ind w:left="660" w:firstLine="645"/>
        <w:spacing w:after="0" w:line="312" w:lineRule="auto"/>
        <w:tabs>
          <w:tab w:leader="none" w:pos="1871" w:val="left"/>
        </w:tabs>
        <w:numPr>
          <w:ilvl w:val="0"/>
          <w:numId w:val="97"/>
        </w:numPr>
        <w:rPr>
          <w:rFonts w:ascii="Arial" w:cs="Arial" w:eastAsia="Arial" w:hAnsi="Arial"/>
          <w:sz w:val="19"/>
          <w:szCs w:val="19"/>
          <w:color w:val="auto"/>
        </w:rPr>
      </w:pPr>
      <w:r>
        <w:rPr>
          <w:rFonts w:ascii="Arial" w:cs="Arial" w:eastAsia="Arial" w:hAnsi="Arial"/>
          <w:sz w:val="19"/>
          <w:szCs w:val="19"/>
          <w:color w:val="auto"/>
        </w:rPr>
        <w:t>Awards and resulting benefits are not part of normal or expected compensation or salary for any purposes, including, but not limited to, calculating any severance, resignation, termination, redundancy, end of service payments, bonuses, long-service awards, pension or retirement benefits or similar payments insofar as permitted by law;</w:t>
      </w:r>
    </w:p>
    <w:p>
      <w:pPr>
        <w:spacing w:after="0" w:line="133" w:lineRule="exact"/>
        <w:rPr>
          <w:rFonts w:ascii="Arial" w:cs="Arial" w:eastAsia="Arial" w:hAnsi="Arial"/>
          <w:sz w:val="19"/>
          <w:szCs w:val="19"/>
          <w:color w:val="auto"/>
        </w:rPr>
      </w:pPr>
    </w:p>
    <w:p>
      <w:pPr>
        <w:jc w:val="both"/>
        <w:ind w:left="660" w:firstLine="645"/>
        <w:spacing w:after="0" w:line="265" w:lineRule="auto"/>
        <w:tabs>
          <w:tab w:leader="none" w:pos="1728" w:val="left"/>
        </w:tabs>
        <w:numPr>
          <w:ilvl w:val="0"/>
          <w:numId w:val="97"/>
        </w:numPr>
        <w:rPr>
          <w:rFonts w:ascii="Arial" w:cs="Arial" w:eastAsia="Arial" w:hAnsi="Arial"/>
          <w:sz w:val="21"/>
          <w:szCs w:val="21"/>
          <w:color w:val="auto"/>
        </w:rPr>
      </w:pPr>
      <w:r>
        <w:rPr>
          <w:rFonts w:ascii="Arial" w:cs="Arial" w:eastAsia="Arial" w:hAnsi="Arial"/>
          <w:sz w:val="21"/>
          <w:szCs w:val="21"/>
          <w:color w:val="auto"/>
        </w:rPr>
        <w:t>in consideration of the grant of the Restricted Stock Units, no claim or entitlement to compensation or damages shall arise from forfeiture of the Restricted Stock Units resulting from termination of Grantee’s employment with the Corporation or Grantee’s employer (for any reason whatsoever and whether or not in breach of local labor laws) and Grantee irrevocably releases the Corporation and Grantee’s employer from any such claim</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625" w:right="239" w:bottom="1440" w:gutter="0" w:footer="0" w:header="0"/>
        </w:sectPr>
      </w:pPr>
    </w:p>
    <w:bookmarkStart w:id="99" w:name="page100"/>
    <w:bookmarkEnd w:id="99"/>
    <w:p>
      <w:pPr>
        <w:ind w:left="660"/>
        <w:spacing w:after="0" w:line="263" w:lineRule="auto"/>
        <w:rPr>
          <w:sz w:val="20"/>
          <w:szCs w:val="20"/>
          <w:color w:val="auto"/>
        </w:rPr>
      </w:pPr>
      <w:r>
        <w:rPr>
          <w:rFonts w:ascii="Arial" w:cs="Arial" w:eastAsia="Arial" w:hAnsi="Arial"/>
          <w:sz w:val="22"/>
          <w:szCs w:val="22"/>
          <w:color w:val="auto"/>
        </w:rPr>
        <w:t>that may arise; if, notwithstanding the foregoing, any such claim is found by a court of competent jurisdiction to have arisen, Grantee shall be deemed irrevocably to have waive any entitlement to pursue such claim; and</w:t>
      </w:r>
    </w:p>
    <w:p>
      <w:pPr>
        <w:spacing w:after="0" w:line="175" w:lineRule="exact"/>
        <w:rPr>
          <w:sz w:val="20"/>
          <w:szCs w:val="20"/>
          <w:color w:val="auto"/>
        </w:rPr>
      </w:pPr>
    </w:p>
    <w:p>
      <w:pPr>
        <w:jc w:val="both"/>
        <w:ind w:left="660" w:firstLine="645"/>
        <w:spacing w:after="0" w:line="297" w:lineRule="auto"/>
        <w:tabs>
          <w:tab w:leader="none" w:pos="1782" w:val="left"/>
        </w:tabs>
        <w:numPr>
          <w:ilvl w:val="0"/>
          <w:numId w:val="98"/>
        </w:numPr>
        <w:rPr>
          <w:rFonts w:ascii="Arial" w:cs="Arial" w:eastAsia="Arial" w:hAnsi="Arial"/>
          <w:sz w:val="19"/>
          <w:szCs w:val="19"/>
          <w:color w:val="auto"/>
        </w:rPr>
      </w:pPr>
      <w:r>
        <w:rPr>
          <w:rFonts w:ascii="Arial" w:cs="Arial" w:eastAsia="Arial" w:hAnsi="Arial"/>
          <w:sz w:val="19"/>
          <w:szCs w:val="19"/>
          <w:color w:val="auto"/>
        </w:rPr>
        <w:t>in the event Grantee ceases to be a Service Provider (whether or not in breach of local labor laws), Grantee’s right to vest in the Restricted Stock Units under the Plan, if any, will terminate effective as of the date that Grantee is no longer a Service Provider and will not be extended by any notice period mandated under local law (e.g., active service would not include a period of “garden leave” or similar period pursuant to local law); the Committee shall have the exclusive discretion to determine when Grantee is no longer a Service Provider for purposes of the Restricted Stock Units.</w:t>
      </w:r>
    </w:p>
    <w:p>
      <w:pPr>
        <w:spacing w:after="0" w:line="141" w:lineRule="exact"/>
        <w:rPr>
          <w:sz w:val="20"/>
          <w:szCs w:val="20"/>
          <w:color w:val="auto"/>
        </w:rPr>
      </w:pPr>
    </w:p>
    <w:p>
      <w:pPr>
        <w:jc w:val="both"/>
        <w:ind w:firstLine="1305"/>
        <w:spacing w:after="0" w:line="295" w:lineRule="auto"/>
        <w:tabs>
          <w:tab w:leader="none" w:pos="1877" w:val="left"/>
        </w:tabs>
        <w:numPr>
          <w:ilvl w:val="0"/>
          <w:numId w:val="99"/>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Non-U.S. Addendum</w:t>
      </w:r>
      <w:r>
        <w:rPr>
          <w:rFonts w:ascii="Arial" w:cs="Arial" w:eastAsia="Arial" w:hAnsi="Arial"/>
          <w:sz w:val="19"/>
          <w:szCs w:val="19"/>
          <w:b w:val="1"/>
          <w:bCs w:val="1"/>
          <w:color w:val="auto"/>
        </w:rPr>
        <w:t xml:space="preserve">. </w:t>
      </w:r>
      <w:r>
        <w:rPr>
          <w:rFonts w:ascii="Arial" w:cs="Arial" w:eastAsia="Arial" w:hAnsi="Arial"/>
          <w:sz w:val="19"/>
          <w:szCs w:val="19"/>
          <w:color w:val="auto"/>
        </w:rPr>
        <w:t>Notwithstanding any provisions in this Agreement, the Restricted Stock Units shall</w:t>
      </w:r>
      <w:r>
        <w:rPr>
          <w:rFonts w:ascii="Arial" w:cs="Arial" w:eastAsia="Arial" w:hAnsi="Arial"/>
          <w:sz w:val="19"/>
          <w:szCs w:val="19"/>
          <w:b w:val="1"/>
          <w:bCs w:val="1"/>
          <w:color w:val="auto"/>
        </w:rPr>
        <w:t xml:space="preserve"> </w:t>
      </w:r>
      <w:r>
        <w:rPr>
          <w:rFonts w:ascii="Arial" w:cs="Arial" w:eastAsia="Arial" w:hAnsi="Arial"/>
          <w:sz w:val="19"/>
          <w:szCs w:val="19"/>
          <w:color w:val="auto"/>
        </w:rPr>
        <w:t>also be subject to the special terms and conditions set forth in the Non-U.S. Addendum attached as Appendix B to this Agreement for Grantee’s country. Moreover, if Grantee relocates to one of the countries included in the Non-U.S. Addendum, the special terms and conditions for such country will apply to Grantee to the extent the Corporation determines that the application of such terms and conditions are necessary or advisable in order to comply with local law or facilitate the administration of the Plan. The Non-U.S. Addendum attached hereto as Appendix B constitutes part of this Agreement.</w:t>
      </w:r>
    </w:p>
    <w:p>
      <w:pPr>
        <w:spacing w:after="0" w:line="144" w:lineRule="exact"/>
        <w:rPr>
          <w:rFonts w:ascii="Arial" w:cs="Arial" w:eastAsia="Arial" w:hAnsi="Arial"/>
          <w:sz w:val="19"/>
          <w:szCs w:val="19"/>
          <w:b w:val="1"/>
          <w:bCs w:val="1"/>
          <w:color w:val="auto"/>
        </w:rPr>
      </w:pPr>
    </w:p>
    <w:p>
      <w:pPr>
        <w:ind w:right="20" w:firstLine="1305"/>
        <w:spacing w:after="0" w:line="269" w:lineRule="auto"/>
        <w:tabs>
          <w:tab w:leader="none" w:pos="1838" w:val="left"/>
        </w:tabs>
        <w:numPr>
          <w:ilvl w:val="0"/>
          <w:numId w:val="9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Governing Law</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is governed by and construed in accordance with the laws of the State of</w:t>
      </w:r>
      <w:r>
        <w:rPr>
          <w:rFonts w:ascii="Arial" w:cs="Arial" w:eastAsia="Arial" w:hAnsi="Arial"/>
          <w:sz w:val="22"/>
          <w:szCs w:val="22"/>
          <w:b w:val="1"/>
          <w:bCs w:val="1"/>
          <w:color w:val="auto"/>
        </w:rPr>
        <w:t xml:space="preserve"> </w:t>
      </w:r>
      <w:r>
        <w:rPr>
          <w:rFonts w:ascii="Arial" w:cs="Arial" w:eastAsia="Arial" w:hAnsi="Arial"/>
          <w:sz w:val="22"/>
          <w:szCs w:val="22"/>
          <w:color w:val="auto"/>
        </w:rPr>
        <w:t>Michigan, notwithstanding conflict of law provisions.</w:t>
      </w:r>
    </w:p>
    <w:p>
      <w:pPr>
        <w:spacing w:after="0" w:line="162" w:lineRule="exact"/>
        <w:rPr>
          <w:rFonts w:ascii="Arial" w:cs="Arial" w:eastAsia="Arial" w:hAnsi="Arial"/>
          <w:sz w:val="22"/>
          <w:szCs w:val="22"/>
          <w:b w:val="1"/>
          <w:bCs w:val="1"/>
          <w:color w:val="auto"/>
        </w:rPr>
      </w:pPr>
    </w:p>
    <w:p>
      <w:pPr>
        <w:ind w:firstLine="1305"/>
        <w:spacing w:after="0" w:line="269" w:lineRule="auto"/>
        <w:tabs>
          <w:tab w:leader="none" w:pos="1999" w:val="left"/>
        </w:tabs>
        <w:numPr>
          <w:ilvl w:val="0"/>
          <w:numId w:val="9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Clawback Policy</w:t>
      </w:r>
      <w:r>
        <w:rPr>
          <w:rFonts w:ascii="Arial" w:cs="Arial" w:eastAsia="Arial" w:hAnsi="Arial"/>
          <w:sz w:val="22"/>
          <w:szCs w:val="22"/>
          <w:b w:val="1"/>
          <w:bCs w:val="1"/>
          <w:color w:val="auto"/>
        </w:rPr>
        <w:t xml:space="preserve">. </w:t>
      </w:r>
      <w:r>
        <w:rPr>
          <w:rFonts w:ascii="Arial" w:cs="Arial" w:eastAsia="Arial" w:hAnsi="Arial"/>
          <w:sz w:val="22"/>
          <w:szCs w:val="22"/>
          <w:color w:val="auto"/>
        </w:rPr>
        <w:t>Any Restricted Stock Units that have vested shall be subject to the Corporation’s</w:t>
      </w:r>
      <w:r>
        <w:rPr>
          <w:rFonts w:ascii="Arial" w:cs="Arial" w:eastAsia="Arial" w:hAnsi="Arial"/>
          <w:sz w:val="22"/>
          <w:szCs w:val="22"/>
          <w:b w:val="1"/>
          <w:bCs w:val="1"/>
          <w:color w:val="auto"/>
        </w:rPr>
        <w:t xml:space="preserve"> </w:t>
      </w:r>
      <w:r>
        <w:rPr>
          <w:rFonts w:ascii="Arial" w:cs="Arial" w:eastAsia="Arial" w:hAnsi="Arial"/>
          <w:sz w:val="22"/>
          <w:szCs w:val="22"/>
          <w:color w:val="auto"/>
        </w:rPr>
        <w:t>recoupment policy, as in effect from time to time.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631" w:right="239" w:bottom="1440" w:gutter="0" w:footer="0" w:header="0"/>
        </w:sectPr>
      </w:pPr>
    </w:p>
    <w:bookmarkStart w:id="100" w:name="page101"/>
    <w:bookmarkEnd w:id="100"/>
    <w:p>
      <w:pPr>
        <w:ind w:firstLine="648"/>
        <w:spacing w:after="0" w:line="263" w:lineRule="auto"/>
        <w:rPr>
          <w:sz w:val="20"/>
          <w:szCs w:val="20"/>
          <w:color w:val="auto"/>
        </w:rPr>
      </w:pPr>
      <w:r>
        <w:rPr>
          <w:rFonts w:ascii="Arial" w:cs="Arial" w:eastAsia="Arial" w:hAnsi="Arial"/>
          <w:sz w:val="22"/>
          <w:szCs w:val="22"/>
          <w:color w:val="auto"/>
        </w:rPr>
        <w:t>This Agreement may be executed in two or more counterparts, each of which is deemed an original and all of which constitute one document.</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40" w:type="dxa"/>
        <w:tblCellMar>
          <w:top w:w="0" w:type="dxa"/>
          <w:left w:w="0" w:type="dxa"/>
          <w:bottom w:w="0" w:type="dxa"/>
          <w:right w:w="0" w:type="dxa"/>
        </w:tblCellMar>
      </w:tblPr>
      <w:tr>
        <w:trPr>
          <w:trHeight w:val="281"/>
        </w:trPr>
        <w:tc>
          <w:tcPr>
            <w:tcW w:w="2820" w:type="dxa"/>
            <w:vAlign w:val="bottom"/>
          </w:tcPr>
          <w:p>
            <w:pPr>
              <w:spacing w:after="0"/>
              <w:rPr>
                <w:sz w:val="24"/>
                <w:szCs w:val="24"/>
                <w:color w:val="auto"/>
              </w:rPr>
            </w:pPr>
          </w:p>
        </w:tc>
        <w:tc>
          <w:tcPr>
            <w:tcW w:w="8240" w:type="dxa"/>
            <w:vAlign w:val="bottom"/>
            <w:gridSpan w:val="3"/>
          </w:tcPr>
          <w:p>
            <w:pPr>
              <w:ind w:left="880"/>
              <w:spacing w:after="0"/>
              <w:rPr>
                <w:sz w:val="20"/>
                <w:szCs w:val="20"/>
                <w:color w:val="auto"/>
              </w:rPr>
            </w:pPr>
            <w:r>
              <w:rPr>
                <w:rFonts w:ascii="Arial" w:cs="Arial" w:eastAsia="Arial" w:hAnsi="Arial"/>
                <w:sz w:val="22"/>
                <w:szCs w:val="22"/>
                <w:b w:val="1"/>
                <w:bCs w:val="1"/>
                <w:color w:val="auto"/>
              </w:rPr>
              <w:t>TRIMAS CORPORATION</w:t>
            </w:r>
          </w:p>
        </w:tc>
      </w:tr>
      <w:tr>
        <w:trPr>
          <w:trHeight w:val="571"/>
        </w:trPr>
        <w:tc>
          <w:tcPr>
            <w:tcW w:w="2820" w:type="dxa"/>
            <w:vAlign w:val="bottom"/>
          </w:tcPr>
          <w:p>
            <w:pPr>
              <w:spacing w:after="0"/>
              <w:rPr>
                <w:sz w:val="20"/>
                <w:szCs w:val="20"/>
                <w:color w:val="auto"/>
              </w:rPr>
            </w:pPr>
            <w:r>
              <w:rPr>
                <w:rFonts w:ascii="Arial" w:cs="Arial" w:eastAsia="Arial" w:hAnsi="Arial"/>
                <w:sz w:val="22"/>
                <w:szCs w:val="22"/>
                <w:color w:val="auto"/>
              </w:rPr>
              <w:t xml:space="preserve">Dated: </w:t>
            </w:r>
            <w:r>
              <w:rPr>
                <w:rFonts w:ascii="Arial" w:cs="Arial" w:eastAsia="Arial" w:hAnsi="Arial"/>
                <w:sz w:val="22"/>
                <w:szCs w:val="22"/>
                <w:b w:val="1"/>
                <w:bCs w:val="1"/>
                <w:color w:val="auto"/>
              </w:rPr>
              <w:t>March 1, 2016</w:t>
            </w:r>
          </w:p>
        </w:tc>
        <w:tc>
          <w:tcPr>
            <w:tcW w:w="8240" w:type="dxa"/>
            <w:vAlign w:val="bottom"/>
            <w:gridSpan w:val="3"/>
          </w:tcPr>
          <w:p>
            <w:pPr>
              <w:ind w:left="2200"/>
              <w:spacing w:after="0"/>
              <w:rPr>
                <w:sz w:val="20"/>
                <w:szCs w:val="20"/>
                <w:color w:val="auto"/>
              </w:rPr>
            </w:pPr>
            <w:r>
              <w:rPr>
                <w:rFonts w:ascii="Arial" w:cs="Arial" w:eastAsia="Arial" w:hAnsi="Arial"/>
                <w:sz w:val="22"/>
                <w:szCs w:val="22"/>
                <w:color w:val="auto"/>
              </w:rPr>
              <w:t>By: /s/ Joshua A. Sherbin</w:t>
            </w:r>
          </w:p>
        </w:tc>
      </w:tr>
      <w:tr>
        <w:trPr>
          <w:trHeight w:val="20"/>
        </w:trPr>
        <w:tc>
          <w:tcPr>
            <w:tcW w:w="28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r>
      <w:tr>
        <w:trPr>
          <w:trHeight w:val="242"/>
        </w:trPr>
        <w:tc>
          <w:tcPr>
            <w:tcW w:w="2820" w:type="dxa"/>
            <w:vAlign w:val="bottom"/>
          </w:tcPr>
          <w:p>
            <w:pPr>
              <w:spacing w:after="0"/>
              <w:rPr>
                <w:sz w:val="21"/>
                <w:szCs w:val="21"/>
                <w:color w:val="auto"/>
              </w:rPr>
            </w:pPr>
          </w:p>
        </w:tc>
        <w:tc>
          <w:tcPr>
            <w:tcW w:w="8240" w:type="dxa"/>
            <w:vAlign w:val="bottom"/>
            <w:gridSpan w:val="3"/>
          </w:tcPr>
          <w:p>
            <w:pPr>
              <w:ind w:left="2200"/>
              <w:spacing w:after="0" w:line="242" w:lineRule="exact"/>
              <w:rPr>
                <w:sz w:val="20"/>
                <w:szCs w:val="20"/>
                <w:color w:val="auto"/>
              </w:rPr>
            </w:pPr>
            <w:r>
              <w:rPr>
                <w:rFonts w:ascii="Arial" w:cs="Arial" w:eastAsia="Arial" w:hAnsi="Arial"/>
                <w:sz w:val="22"/>
                <w:szCs w:val="22"/>
                <w:color w:val="auto"/>
              </w:rPr>
              <w:t>Name: Joshua A. Sherbin</w:t>
            </w:r>
          </w:p>
        </w:tc>
      </w:tr>
      <w:tr>
        <w:trPr>
          <w:trHeight w:val="243"/>
        </w:trPr>
        <w:tc>
          <w:tcPr>
            <w:tcW w:w="2820" w:type="dxa"/>
            <w:vAlign w:val="bottom"/>
          </w:tcPr>
          <w:p>
            <w:pPr>
              <w:spacing w:after="0"/>
              <w:rPr>
                <w:sz w:val="21"/>
                <w:szCs w:val="21"/>
                <w:color w:val="auto"/>
              </w:rPr>
            </w:pPr>
          </w:p>
        </w:tc>
        <w:tc>
          <w:tcPr>
            <w:tcW w:w="8240" w:type="dxa"/>
            <w:vAlign w:val="bottom"/>
            <w:gridSpan w:val="3"/>
          </w:tcPr>
          <w:p>
            <w:pPr>
              <w:ind w:left="2200"/>
              <w:spacing w:after="0" w:line="243" w:lineRule="exact"/>
              <w:rPr>
                <w:sz w:val="20"/>
                <w:szCs w:val="20"/>
                <w:color w:val="auto"/>
              </w:rPr>
            </w:pPr>
            <w:r>
              <w:rPr>
                <w:rFonts w:ascii="Arial" w:cs="Arial" w:eastAsia="Arial" w:hAnsi="Arial"/>
                <w:sz w:val="22"/>
                <w:szCs w:val="22"/>
                <w:color w:val="auto"/>
                <w:w w:val="89"/>
              </w:rPr>
              <w:t>Title: Vice President, General Counsel, Chief Compliance Officer and</w:t>
            </w:r>
          </w:p>
        </w:tc>
      </w:tr>
      <w:tr>
        <w:trPr>
          <w:trHeight w:val="275"/>
        </w:trPr>
        <w:tc>
          <w:tcPr>
            <w:tcW w:w="2820" w:type="dxa"/>
            <w:vAlign w:val="bottom"/>
          </w:tcPr>
          <w:p>
            <w:pPr>
              <w:spacing w:after="0"/>
              <w:rPr>
                <w:sz w:val="23"/>
                <w:szCs w:val="23"/>
                <w:color w:val="auto"/>
              </w:rPr>
            </w:pPr>
          </w:p>
        </w:tc>
        <w:tc>
          <w:tcPr>
            <w:tcW w:w="8240" w:type="dxa"/>
            <w:vAlign w:val="bottom"/>
            <w:gridSpan w:val="3"/>
          </w:tcPr>
          <w:p>
            <w:pPr>
              <w:ind w:left="2200"/>
              <w:spacing w:after="0"/>
              <w:rPr>
                <w:sz w:val="20"/>
                <w:szCs w:val="20"/>
                <w:color w:val="auto"/>
              </w:rPr>
            </w:pPr>
            <w:r>
              <w:rPr>
                <w:rFonts w:ascii="Arial" w:cs="Arial" w:eastAsia="Arial" w:hAnsi="Arial"/>
                <w:sz w:val="22"/>
                <w:szCs w:val="22"/>
                <w:color w:val="auto"/>
              </w:rPr>
              <w:t>Corporate Secretary</w:t>
            </w:r>
          </w:p>
        </w:tc>
      </w:tr>
    </w:tbl>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left="660"/>
        <w:spacing w:after="0" w:line="247" w:lineRule="auto"/>
        <w:rPr>
          <w:sz w:val="20"/>
          <w:szCs w:val="20"/>
          <w:color w:val="auto"/>
        </w:rPr>
      </w:pPr>
      <w:r>
        <w:rPr>
          <w:rFonts w:ascii="Arial" w:cs="Arial" w:eastAsia="Arial" w:hAnsi="Arial"/>
          <w:sz w:val="22"/>
          <w:szCs w:val="22"/>
          <w:b w:val="1"/>
          <w:bCs w:val="1"/>
          <w:color w:val="auto"/>
        </w:rPr>
        <w:t>GRANTEE ACKNOWLEDGES AND AGREES THAT NOTHING IN THIS RESTRICTED STOCK UNITS AGREEMENT, NOR IN THE CORPORATION’S 2011 OMNIBUS INCENTIVE COMPENSATION PLAN, AS AMENDED, WHICH IS INCORPORATED INTO THIS AGREEMENT BY REFERENCE, CONFERS ON GRANTEE ANY RIGHT WITH RESPECT TO CONTINUATION AS A SERVICE PROVIDER OF THE CORPORATION OR ANY PARENT OR SUBSIDIARY OR AFFILIATE OF THE CORPORATION, NOR INTERFERES IN ANY WAY WITH GRANTEE’S RIGHT OR THE CORPORATION’S RIGHT TO TERMINATE GRANTEE’S SERVICE PROVIDER RELATIONSHIP AT ANY TIME, WITH OR WITHOUT CAUSE AND WITH OR WITHOUT PRIOR NOTICE.</w:t>
      </w:r>
    </w:p>
    <w:p>
      <w:pPr>
        <w:spacing w:after="0" w:line="186" w:lineRule="exact"/>
        <w:rPr>
          <w:sz w:val="20"/>
          <w:szCs w:val="20"/>
          <w:color w:val="auto"/>
        </w:rPr>
      </w:pPr>
    </w:p>
    <w:p>
      <w:pPr>
        <w:jc w:val="both"/>
        <w:ind w:left="660"/>
        <w:spacing w:after="0" w:line="247" w:lineRule="auto"/>
        <w:rPr>
          <w:sz w:val="20"/>
          <w:szCs w:val="20"/>
          <w:color w:val="auto"/>
        </w:rPr>
      </w:pPr>
      <w:r>
        <w:rPr>
          <w:rFonts w:ascii="Arial" w:cs="Arial" w:eastAsia="Arial" w:hAnsi="Arial"/>
          <w:sz w:val="22"/>
          <w:szCs w:val="22"/>
          <w:b w:val="1"/>
          <w:bCs w:val="1"/>
          <w:color w:val="auto"/>
        </w:rPr>
        <w:t>BY CLICKING THE “ACCEPT” BUTTON BELOW, GRANTEE ACKNOWLEDGES RECEIPT OF A COPY OF THE PLAN AND REPRESENTS THAT GRANTEE IS FAMILIAR WITH THE TERMS AND PROVISIONS OF THE PLAN. GRANTEE ACCEPTS THIS RESTRICTED STOCK UNIT AWARD SUBJECT TO ALL OF THE TERMS AND PROVISIONS OF THIS AGREEMENT AND THE PLAN. GRANTEE HAS REVIEWED THE PLAN AND THIS AGREEMENT IN THEIR ENTIRETY. GRANTEE AGREES TO ACCEPT AS BINDING, CONCLUSIVE AND FINAL ALL DECISIONS OR INTERPRETATIONS OF THE COMMITTEE UPON ANY QUESTIONS ARISING UNDER THE PLAN OR THIS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631" w:right="2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22"/>
          <w:szCs w:val="22"/>
          <w:b w:val="1"/>
          <w:bCs w:val="1"/>
          <w:color w:val="auto"/>
        </w:rPr>
        <w:t>APPENDIX A</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UNITS AGREEMENT</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GLOSSARY</w:t>
      </w:r>
    </w:p>
    <w:p>
      <w:pPr>
        <w:spacing w:after="0" w:line="226" w:lineRule="exact"/>
        <w:rPr>
          <w:sz w:val="20"/>
          <w:szCs w:val="20"/>
          <w:color w:val="auto"/>
        </w:rPr>
      </w:pPr>
    </w:p>
    <w:p>
      <w:pPr>
        <w:ind w:left="120"/>
        <w:spacing w:after="0"/>
        <w:rPr>
          <w:sz w:val="20"/>
          <w:szCs w:val="20"/>
          <w:color w:val="auto"/>
        </w:rPr>
      </w:pPr>
      <w:r>
        <w:rPr>
          <w:rFonts w:ascii="Arial" w:cs="Arial" w:eastAsia="Arial" w:hAnsi="Arial"/>
          <w:sz w:val="22"/>
          <w:szCs w:val="22"/>
          <w:color w:val="auto"/>
        </w:rPr>
        <w:t>For purposes of this Agreement:</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Beneficial Owner</w:t>
      </w:r>
      <w:r>
        <w:rPr>
          <w:rFonts w:ascii="Arial" w:cs="Arial" w:eastAsia="Arial" w:hAnsi="Arial"/>
          <w:sz w:val="22"/>
          <w:szCs w:val="22"/>
          <w:color w:val="auto"/>
        </w:rPr>
        <w:t>” shall have the meaning set forth in Rule 13d-3 under the Exchange Act.</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A “</w:t>
      </w:r>
      <w:r>
        <w:rPr>
          <w:rFonts w:ascii="Arial" w:cs="Arial" w:eastAsia="Arial" w:hAnsi="Arial"/>
          <w:sz w:val="22"/>
          <w:szCs w:val="22"/>
          <w:b w:val="1"/>
          <w:bCs w:val="1"/>
          <w:color w:val="auto"/>
        </w:rPr>
        <w:t>Change of Control</w:t>
      </w:r>
      <w:r>
        <w:rPr>
          <w:rFonts w:ascii="Arial" w:cs="Arial" w:eastAsia="Arial" w:hAnsi="Arial"/>
          <w:sz w:val="22"/>
          <w:szCs w:val="22"/>
          <w:color w:val="auto"/>
        </w:rPr>
        <w:t>” shall be deemed to have occurred upon the first of the following events to occur:</w:t>
      </w:r>
    </w:p>
    <w:p>
      <w:pPr>
        <w:spacing w:after="0" w:line="266" w:lineRule="exact"/>
        <w:rPr>
          <w:sz w:val="20"/>
          <w:szCs w:val="20"/>
          <w:color w:val="auto"/>
        </w:rPr>
      </w:pPr>
    </w:p>
    <w:p>
      <w:pPr>
        <w:jc w:val="both"/>
        <w:ind w:left="1300" w:hanging="644"/>
        <w:spacing w:after="0" w:line="286" w:lineRule="auto"/>
        <w:tabs>
          <w:tab w:leader="none" w:pos="1300" w:val="left"/>
        </w:tabs>
        <w:numPr>
          <w:ilvl w:val="0"/>
          <w:numId w:val="100"/>
        </w:numPr>
        <w:rPr>
          <w:rFonts w:ascii="Arial" w:cs="Arial" w:eastAsia="Arial" w:hAnsi="Arial"/>
          <w:sz w:val="19"/>
          <w:szCs w:val="19"/>
          <w:color w:val="auto"/>
        </w:rPr>
      </w:pPr>
      <w:r>
        <w:rPr>
          <w:rFonts w:ascii="Arial" w:cs="Arial" w:eastAsia="Arial" w:hAnsi="Arial"/>
          <w:sz w:val="19"/>
          <w:szCs w:val="19"/>
          <w:color w:val="auto"/>
        </w:rPr>
        <w:t>any Person is or becomes the Beneficial Owner, directly or indirectly, of securities of the Corporation (not including in the securities beneficially owned by such Person any securities acquired directly from the Corporation or its Affiliates) representing 35% or more of the combined voting power of the Corporation’s then outstanding securities, excluding any Person who becomes such a Beneficial Owner in connection with a transaction described in clause</w:t>
      </w:r>
    </w:p>
    <w:p>
      <w:pPr>
        <w:spacing w:after="0" w:line="2" w:lineRule="exact"/>
        <w:rPr>
          <w:rFonts w:ascii="Arial" w:cs="Arial" w:eastAsia="Arial" w:hAnsi="Arial"/>
          <w:sz w:val="19"/>
          <w:szCs w:val="19"/>
          <w:color w:val="auto"/>
        </w:rPr>
      </w:pPr>
    </w:p>
    <w:p>
      <w:pPr>
        <w:ind w:left="1300"/>
        <w:spacing w:after="0"/>
        <w:rPr>
          <w:rFonts w:ascii="Arial" w:cs="Arial" w:eastAsia="Arial" w:hAnsi="Arial"/>
          <w:sz w:val="19"/>
          <w:szCs w:val="19"/>
          <w:color w:val="auto"/>
        </w:rPr>
      </w:pPr>
      <w:r>
        <w:rPr>
          <w:rFonts w:ascii="Arial" w:cs="Arial" w:eastAsia="Arial" w:hAnsi="Arial"/>
          <w:sz w:val="22"/>
          <w:szCs w:val="22"/>
          <w:color w:val="auto"/>
        </w:rPr>
        <w:t>(A) of paragraph (iii) below;</w:t>
      </w:r>
    </w:p>
    <w:p>
      <w:pPr>
        <w:spacing w:after="0" w:line="242" w:lineRule="exact"/>
        <w:rPr>
          <w:rFonts w:ascii="Arial" w:cs="Arial" w:eastAsia="Arial" w:hAnsi="Arial"/>
          <w:sz w:val="19"/>
          <w:szCs w:val="19"/>
          <w:color w:val="auto"/>
        </w:rPr>
      </w:pPr>
    </w:p>
    <w:p>
      <w:pPr>
        <w:jc w:val="both"/>
        <w:ind w:left="1300" w:hanging="644"/>
        <w:spacing w:after="0" w:line="258" w:lineRule="auto"/>
        <w:tabs>
          <w:tab w:leader="none" w:pos="1300" w:val="left"/>
        </w:tabs>
        <w:numPr>
          <w:ilvl w:val="0"/>
          <w:numId w:val="100"/>
        </w:numPr>
        <w:rPr>
          <w:rFonts w:ascii="Arial" w:cs="Arial" w:eastAsia="Arial" w:hAnsi="Arial"/>
          <w:sz w:val="21"/>
          <w:szCs w:val="21"/>
          <w:color w:val="auto"/>
        </w:rPr>
      </w:pPr>
      <w:r>
        <w:rPr>
          <w:rFonts w:ascii="Arial" w:cs="Arial" w:eastAsia="Arial" w:hAnsi="Arial"/>
          <w:sz w:val="21"/>
          <w:szCs w:val="21"/>
          <w:color w:val="auto"/>
        </w:rPr>
        <w:t>the following individuals cease for any reason to constitute a majority of the number of directors then serving on the Board: individuals who, on the date hereof, constitute the Board and any new director (other than a director whose initial assumption of office is in connection with an actual or threatened election contest, including but not limited to a consent solicitation, relating to the election of directors of the Corporation) whose appointment or election by the Board or nomination for election by the Corporation’s stockholders was approved or recommended by a vote of at least two-thirds (2/3) of the directors then still in office who either were directors on the date hereof or whose appointment, election or nomination for election was previously so approved or recommended (the “Incumbent Board”); provided, however, that no individual shall be considered a member of the Incumbent Board if such individual initially assumed office as a result of either an actual or threatened election contest (an “Election Contest”) or other actual or threatened solicitation of proxies or consents by or on behalf of a Person other than the Board (a “Proxy Contest”), including by reason of any agreement intended to avoid or settle any Election Contest or Proxy Contest;</w:t>
      </w:r>
    </w:p>
    <w:p>
      <w:pPr>
        <w:spacing w:after="0" w:line="220" w:lineRule="exact"/>
        <w:rPr>
          <w:rFonts w:ascii="Arial" w:cs="Arial" w:eastAsia="Arial" w:hAnsi="Arial"/>
          <w:sz w:val="21"/>
          <w:szCs w:val="21"/>
          <w:color w:val="auto"/>
        </w:rPr>
      </w:pPr>
    </w:p>
    <w:p>
      <w:pPr>
        <w:jc w:val="both"/>
        <w:ind w:left="1300" w:hanging="644"/>
        <w:spacing w:after="0" w:line="294" w:lineRule="auto"/>
        <w:tabs>
          <w:tab w:leader="none" w:pos="1300" w:val="left"/>
        </w:tabs>
        <w:numPr>
          <w:ilvl w:val="0"/>
          <w:numId w:val="100"/>
        </w:numPr>
        <w:rPr>
          <w:rFonts w:ascii="Arial" w:cs="Arial" w:eastAsia="Arial" w:hAnsi="Arial"/>
          <w:sz w:val="19"/>
          <w:szCs w:val="19"/>
          <w:color w:val="auto"/>
        </w:rPr>
      </w:pPr>
      <w:r>
        <w:rPr>
          <w:rFonts w:ascii="Arial" w:cs="Arial" w:eastAsia="Arial" w:hAnsi="Arial"/>
          <w:sz w:val="19"/>
          <w:szCs w:val="19"/>
          <w:color w:val="auto"/>
        </w:rPr>
        <w:t>there is consummated a merger, consolidation, wind-up, reorganization or restructuring of the Corporation with or into any other entity, or a similar event or series of such events, other than (A) any such event or series of events which results in (1) the voting securities of the Corporation outstanding immediately prior to such event or series of events continuing to represent (either by remaining outstanding or by being converted into voting securities of the surviving entity or any parent thereof), in combination with the ownership of any trustee or other fiduciary holding securities under an employee benefit plan of the Corporation or any subsidiary of the</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1420"/>
          </w:cols>
          <w:pgMar w:left="240" w:top="625" w:right="239" w:bottom="1440" w:gutter="0" w:footer="0" w:header="0"/>
        </w:sectPr>
      </w:pPr>
    </w:p>
    <w:bookmarkStart w:id="102" w:name="page103"/>
    <w:bookmarkEnd w:id="102"/>
    <w:p>
      <w:pPr>
        <w:jc w:val="both"/>
        <w:ind w:left="1300"/>
        <w:spacing w:after="0" w:line="289" w:lineRule="auto"/>
        <w:rPr>
          <w:sz w:val="20"/>
          <w:szCs w:val="20"/>
          <w:color w:val="auto"/>
        </w:rPr>
      </w:pPr>
      <w:r>
        <w:rPr>
          <w:rFonts w:ascii="Arial" w:cs="Arial" w:eastAsia="Arial" w:hAnsi="Arial"/>
          <w:sz w:val="19"/>
          <w:szCs w:val="19"/>
          <w:color w:val="auto"/>
        </w:rPr>
        <w:t>Corporation, at least 51% of the combined voting power of the securities of the Corporation or such surviving entity or any parent thereof outstanding immediately after such merger or consolidation and (2) the individuals who comprise the Board immediately prior thereto constituting immediately thereafter at least a majority of the board of directors of the Corporation, the entity surviving such merger or consolidation or, if the Corporation or the entity surviving such merger is then a subsidiary, the ultimate parent thereof, or (B) any such event or series of events effected to implement a recapitalization of the Corporation (or similar transaction) in which no Person is or becomes the Beneficial Owner, directly or indirectly, of securities of the Corporation (not including in the securities Beneficially Owned by such Person any securities acquired directly from the Corporation or its Affiliates) representing 35% or more of the combined voting power of the Corporation’s then outstanding securities; or</w:t>
      </w:r>
    </w:p>
    <w:p>
      <w:pPr>
        <w:spacing w:after="0" w:line="198" w:lineRule="exact"/>
        <w:rPr>
          <w:sz w:val="20"/>
          <w:szCs w:val="20"/>
          <w:color w:val="auto"/>
        </w:rPr>
      </w:pPr>
    </w:p>
    <w:p>
      <w:pPr>
        <w:jc w:val="both"/>
        <w:ind w:left="1300" w:hanging="644"/>
        <w:spacing w:after="0" w:line="258" w:lineRule="auto"/>
        <w:tabs>
          <w:tab w:leader="none" w:pos="1300" w:val="left"/>
        </w:tabs>
        <w:numPr>
          <w:ilvl w:val="0"/>
          <w:numId w:val="101"/>
        </w:numPr>
        <w:rPr>
          <w:rFonts w:ascii="Arial" w:cs="Arial" w:eastAsia="Arial" w:hAnsi="Arial"/>
          <w:sz w:val="21"/>
          <w:szCs w:val="21"/>
          <w:color w:val="auto"/>
        </w:rPr>
      </w:pPr>
      <w:r>
        <w:rPr>
          <w:rFonts w:ascii="Arial" w:cs="Arial" w:eastAsia="Arial" w:hAnsi="Arial"/>
          <w:sz w:val="21"/>
          <w:szCs w:val="21"/>
          <w:color w:val="auto"/>
        </w:rPr>
        <w:t>the stockholders of the Corporation approve a plan of complete liquidation or dissolution of the Corporation or there is consummated an agreement for the sale or disposition by the Corporation of all or substantially all of the Corporation’s assets (it being conclusively presumed that any sale or disposition is a sale or disposition by the Corporation of all or substantially all of its assets if the consummation of the sale or disposition is contingent upon approval by the Corporation’s stockholders unless the Board expressly determines in writing that such approval is required solely by reason of any relationship between the Corporation and any other Person or an Affiliate of the Corporation and any other Person), other than a sale or disposition by the Corporation of all or substantially all of the Corporation’s assets to an entity (A) at least 51% of the combined voting power of the voting securities of which are owned by stockholders of the Corporation in substantially the same proportions as their ownership of the Corporation immediately prior to such sale or disposition and (B) the majority of whose board of directors immediately following such sale or disposition consists of individuals who comprise the Board immediately prior thereto.</w:t>
      </w:r>
    </w:p>
    <w:p>
      <w:pPr>
        <w:spacing w:after="0" w:line="221"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Notwithstanding the foregoing, (A) a “Change of Control” shall not be deemed to have occurred by virtue of the consummation of any transaction or series of integrated transactions immediately following which the record holders of the common stock of the Corporation immediately prior to such transaction or series of transactions continue to have substantially the same proportionate ownership in an entity which owns all or substantially all of the assets of the Corporation immediately following such transaction or series of transactions and (B) if required to avoid accelerated taxation and/or tax penalties under Section 409A of the Code, a “Change of Control” shall be deemed to have occurred only if a “change in the ownership of the corporation,” a “change in effective control of the corporation” or a “change in the ownership of a substantial portion of the assets of the corporation,” within the meaning of Section 409A(a)(2)(A)(v) of the Code shall also be deemed to have occurred under Section 409A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11420"/>
          </w:cols>
          <w:pgMar w:left="240" w:top="631" w:right="239" w:bottom="1440" w:gutter="0" w:footer="0" w:header="0"/>
        </w:sectPr>
      </w:pPr>
    </w:p>
    <w:bookmarkStart w:id="103" w:name="page104"/>
    <w:bookmarkEnd w:id="103"/>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Good Reason</w:t>
      </w:r>
      <w:r>
        <w:rPr>
          <w:rFonts w:ascii="Arial" w:cs="Arial" w:eastAsia="Arial" w:hAnsi="Arial"/>
          <w:sz w:val="22"/>
          <w:szCs w:val="22"/>
          <w:color w:val="auto"/>
        </w:rPr>
        <w:t>” means:</w:t>
      </w:r>
    </w:p>
    <w:p>
      <w:pPr>
        <w:spacing w:after="0" w:line="266" w:lineRule="exact"/>
        <w:rPr>
          <w:sz w:val="20"/>
          <w:szCs w:val="20"/>
          <w:color w:val="auto"/>
        </w:rPr>
      </w:pPr>
    </w:p>
    <w:p>
      <w:pPr>
        <w:ind w:left="1300" w:hanging="644"/>
        <w:spacing w:after="0"/>
        <w:tabs>
          <w:tab w:leader="none" w:pos="1300" w:val="left"/>
        </w:tabs>
        <w:numPr>
          <w:ilvl w:val="0"/>
          <w:numId w:val="102"/>
        </w:numPr>
        <w:rPr>
          <w:rFonts w:ascii="Arial" w:cs="Arial" w:eastAsia="Arial" w:hAnsi="Arial"/>
          <w:sz w:val="22"/>
          <w:szCs w:val="22"/>
          <w:color w:val="auto"/>
        </w:rPr>
      </w:pPr>
      <w:r>
        <w:rPr>
          <w:rFonts w:ascii="Arial" w:cs="Arial" w:eastAsia="Arial" w:hAnsi="Arial"/>
          <w:sz w:val="22"/>
          <w:szCs w:val="22"/>
          <w:color w:val="auto"/>
        </w:rPr>
        <w:t>A material and permanent diminution in Grantee’s duties or responsibilities;</w:t>
      </w:r>
    </w:p>
    <w:p>
      <w:pPr>
        <w:spacing w:after="0" w:line="260" w:lineRule="exact"/>
        <w:rPr>
          <w:rFonts w:ascii="Arial" w:cs="Arial" w:eastAsia="Arial" w:hAnsi="Arial"/>
          <w:sz w:val="22"/>
          <w:szCs w:val="22"/>
          <w:color w:val="auto"/>
        </w:rPr>
      </w:pPr>
    </w:p>
    <w:p>
      <w:pPr>
        <w:ind w:left="1300" w:hanging="644"/>
        <w:spacing w:after="0" w:line="263" w:lineRule="auto"/>
        <w:tabs>
          <w:tab w:leader="none" w:pos="1300" w:val="left"/>
        </w:tabs>
        <w:numPr>
          <w:ilvl w:val="0"/>
          <w:numId w:val="102"/>
        </w:numPr>
        <w:rPr>
          <w:rFonts w:ascii="Arial" w:cs="Arial" w:eastAsia="Arial" w:hAnsi="Arial"/>
          <w:sz w:val="22"/>
          <w:szCs w:val="22"/>
          <w:color w:val="auto"/>
        </w:rPr>
      </w:pPr>
      <w:r>
        <w:rPr>
          <w:rFonts w:ascii="Arial" w:cs="Arial" w:eastAsia="Arial" w:hAnsi="Arial"/>
          <w:sz w:val="22"/>
          <w:szCs w:val="22"/>
          <w:color w:val="auto"/>
        </w:rPr>
        <w:t>A material reduction in the aggregate value of base salary and bonus opportunity provided to Grantee by the Corporation; or</w:t>
      </w:r>
    </w:p>
    <w:p>
      <w:pPr>
        <w:spacing w:after="0" w:line="215" w:lineRule="exact"/>
        <w:rPr>
          <w:rFonts w:ascii="Arial" w:cs="Arial" w:eastAsia="Arial" w:hAnsi="Arial"/>
          <w:sz w:val="22"/>
          <w:szCs w:val="22"/>
          <w:color w:val="auto"/>
        </w:rPr>
      </w:pPr>
    </w:p>
    <w:p>
      <w:pPr>
        <w:ind w:left="1300" w:hanging="644"/>
        <w:spacing w:after="0"/>
        <w:tabs>
          <w:tab w:leader="none" w:pos="1300" w:val="left"/>
        </w:tabs>
        <w:numPr>
          <w:ilvl w:val="0"/>
          <w:numId w:val="102"/>
        </w:numPr>
        <w:rPr>
          <w:rFonts w:ascii="Arial" w:cs="Arial" w:eastAsia="Arial" w:hAnsi="Arial"/>
          <w:sz w:val="19"/>
          <w:szCs w:val="19"/>
          <w:color w:val="auto"/>
        </w:rPr>
      </w:pPr>
      <w:r>
        <w:rPr>
          <w:rFonts w:ascii="Arial" w:cs="Arial" w:eastAsia="Arial" w:hAnsi="Arial"/>
          <w:sz w:val="19"/>
          <w:szCs w:val="19"/>
          <w:color w:val="auto"/>
        </w:rPr>
        <w:t>A permanent reassignment of Grantee to another primary office more than 50 miles from the current office location.</w:t>
      </w:r>
    </w:p>
    <w:p>
      <w:pPr>
        <w:spacing w:after="0" w:line="295" w:lineRule="exact"/>
        <w:rPr>
          <w:sz w:val="20"/>
          <w:szCs w:val="20"/>
          <w:color w:val="auto"/>
        </w:rPr>
      </w:pPr>
    </w:p>
    <w:p>
      <w:pPr>
        <w:jc w:val="both"/>
        <w:ind w:left="660"/>
        <w:spacing w:after="0" w:line="250" w:lineRule="auto"/>
        <w:rPr>
          <w:sz w:val="20"/>
          <w:szCs w:val="20"/>
          <w:color w:val="auto"/>
        </w:rPr>
      </w:pPr>
      <w:r>
        <w:rPr>
          <w:rFonts w:ascii="Arial" w:cs="Arial" w:eastAsia="Arial" w:hAnsi="Arial"/>
          <w:sz w:val="22"/>
          <w:szCs w:val="22"/>
          <w:color w:val="auto"/>
        </w:rPr>
        <w:t>Grantee must notify the Corporation of Grantee’s intention to invoke termination for Good Reason within 90 days after Grantee has knowledge of such event and provide the Corporation 30 days’ opportunity for cure, or such event shall not constitute Good Reason. Grantee may not invoke termination for Good Reason if Cause exists at the time of such termination.</w:t>
      </w:r>
    </w:p>
    <w:p>
      <w:pPr>
        <w:spacing w:after="0" w:line="223" w:lineRule="exact"/>
        <w:rPr>
          <w:sz w:val="20"/>
          <w:szCs w:val="20"/>
          <w:color w:val="auto"/>
        </w:rPr>
      </w:pPr>
    </w:p>
    <w:p>
      <w:pPr>
        <w:jc w:val="both"/>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Person</w:t>
      </w:r>
      <w:r>
        <w:rPr>
          <w:rFonts w:ascii="Arial" w:cs="Arial" w:eastAsia="Arial" w:hAnsi="Arial"/>
          <w:sz w:val="21"/>
          <w:szCs w:val="21"/>
          <w:color w:val="auto"/>
        </w:rPr>
        <w:t>” shall have the meaning given in Section 3(a)(9) of the Exchange Act, as modified and used in Sections 13(d) and 14(d) thereof, except that such term shall not include (i) the Corporation or any of its subsidiaries, (ii) a trustee or other fiduciary holding securities under an employee benefit plan of the Corporation or any of its Affiliates, (iii) an underwriter temporarily holding securities pursuant to an offering of such securities, or (iv) a corporation owned, directly or indirectly, by the stockholders of the Corporation in substantially the same proportions as their ownership of stock of the Corporation.</w:t>
      </w:r>
    </w:p>
    <w:p>
      <w:pPr>
        <w:spacing w:after="0" w:line="21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“Qualifying Termination” </w:t>
      </w:r>
      <w:r>
        <w:rPr>
          <w:rFonts w:ascii="Arial" w:cs="Arial" w:eastAsia="Arial" w:hAnsi="Arial"/>
          <w:sz w:val="19"/>
          <w:szCs w:val="19"/>
          <w:color w:val="auto"/>
        </w:rPr>
        <w:t>means a termination of Grantee’s Service with the Corporation or a Subsidiary or an Affiliate of the</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color w:val="auto"/>
        </w:rPr>
        <w:t>Corporation for any reason other than:</w:t>
      </w:r>
    </w:p>
    <w:p>
      <w:pPr>
        <w:spacing w:after="0" w:line="202" w:lineRule="exact"/>
        <w:rPr>
          <w:sz w:val="20"/>
          <w:szCs w:val="20"/>
          <w:color w:val="auto"/>
        </w:rPr>
      </w:pPr>
    </w:p>
    <w:p>
      <w:pPr>
        <w:ind w:left="1040" w:hanging="465"/>
        <w:spacing w:after="0"/>
        <w:tabs>
          <w:tab w:leader="none" w:pos="1040" w:val="left"/>
        </w:tabs>
        <w:numPr>
          <w:ilvl w:val="0"/>
          <w:numId w:val="103"/>
        </w:numPr>
        <w:rPr>
          <w:rFonts w:ascii="Arial" w:cs="Arial" w:eastAsia="Arial" w:hAnsi="Arial"/>
          <w:sz w:val="22"/>
          <w:szCs w:val="22"/>
          <w:color w:val="auto"/>
        </w:rPr>
      </w:pPr>
      <w:r>
        <w:rPr>
          <w:rFonts w:ascii="Arial" w:cs="Arial" w:eastAsia="Arial" w:hAnsi="Arial"/>
          <w:sz w:val="22"/>
          <w:szCs w:val="22"/>
          <w:color w:val="auto"/>
        </w:rPr>
        <w:t>death;</w:t>
      </w:r>
    </w:p>
    <w:p>
      <w:pPr>
        <w:spacing w:after="0" w:line="219" w:lineRule="exact"/>
        <w:rPr>
          <w:rFonts w:ascii="Arial" w:cs="Arial" w:eastAsia="Arial" w:hAnsi="Arial"/>
          <w:sz w:val="22"/>
          <w:szCs w:val="22"/>
          <w:color w:val="auto"/>
        </w:rPr>
      </w:pPr>
    </w:p>
    <w:p>
      <w:pPr>
        <w:ind w:left="1100" w:hanging="525"/>
        <w:spacing w:after="0"/>
        <w:tabs>
          <w:tab w:leader="none" w:pos="1100" w:val="left"/>
        </w:tabs>
        <w:numPr>
          <w:ilvl w:val="0"/>
          <w:numId w:val="103"/>
        </w:numPr>
        <w:rPr>
          <w:rFonts w:ascii="Arial" w:cs="Arial" w:eastAsia="Arial" w:hAnsi="Arial"/>
          <w:sz w:val="22"/>
          <w:szCs w:val="22"/>
          <w:color w:val="auto"/>
        </w:rPr>
      </w:pPr>
      <w:r>
        <w:rPr>
          <w:rFonts w:ascii="Arial" w:cs="Arial" w:eastAsia="Arial" w:hAnsi="Arial"/>
          <w:sz w:val="22"/>
          <w:szCs w:val="22"/>
          <w:color w:val="auto"/>
        </w:rPr>
        <w:t>Disability;</w:t>
      </w:r>
    </w:p>
    <w:p>
      <w:pPr>
        <w:spacing w:after="0" w:line="219" w:lineRule="exact"/>
        <w:rPr>
          <w:rFonts w:ascii="Arial" w:cs="Arial" w:eastAsia="Arial" w:hAnsi="Arial"/>
          <w:sz w:val="22"/>
          <w:szCs w:val="22"/>
          <w:color w:val="auto"/>
        </w:rPr>
      </w:pPr>
    </w:p>
    <w:p>
      <w:pPr>
        <w:ind w:left="1160" w:hanging="585"/>
        <w:spacing w:after="0"/>
        <w:tabs>
          <w:tab w:leader="none" w:pos="1160" w:val="left"/>
        </w:tabs>
        <w:numPr>
          <w:ilvl w:val="0"/>
          <w:numId w:val="103"/>
        </w:numPr>
        <w:rPr>
          <w:rFonts w:ascii="Arial" w:cs="Arial" w:eastAsia="Arial" w:hAnsi="Arial"/>
          <w:sz w:val="22"/>
          <w:szCs w:val="22"/>
          <w:color w:val="auto"/>
        </w:rPr>
      </w:pPr>
      <w:r>
        <w:rPr>
          <w:rFonts w:ascii="Arial" w:cs="Arial" w:eastAsia="Arial" w:hAnsi="Arial"/>
          <w:sz w:val="22"/>
          <w:szCs w:val="22"/>
          <w:color w:val="auto"/>
        </w:rPr>
        <w:t>Cause; or</w:t>
      </w:r>
    </w:p>
    <w:p>
      <w:pPr>
        <w:spacing w:after="0" w:line="219" w:lineRule="exact"/>
        <w:rPr>
          <w:rFonts w:ascii="Arial" w:cs="Arial" w:eastAsia="Arial" w:hAnsi="Arial"/>
          <w:sz w:val="22"/>
          <w:szCs w:val="22"/>
          <w:color w:val="auto"/>
        </w:rPr>
      </w:pPr>
    </w:p>
    <w:p>
      <w:pPr>
        <w:ind w:left="1100" w:hanging="525"/>
        <w:spacing w:after="0"/>
        <w:tabs>
          <w:tab w:leader="none" w:pos="1100" w:val="left"/>
        </w:tabs>
        <w:numPr>
          <w:ilvl w:val="0"/>
          <w:numId w:val="103"/>
        </w:numPr>
        <w:rPr>
          <w:rFonts w:ascii="Arial" w:cs="Arial" w:eastAsia="Arial" w:hAnsi="Arial"/>
          <w:sz w:val="22"/>
          <w:szCs w:val="22"/>
          <w:color w:val="auto"/>
        </w:rPr>
      </w:pPr>
      <w:r>
        <w:rPr>
          <w:rFonts w:ascii="Arial" w:cs="Arial" w:eastAsia="Arial" w:hAnsi="Arial"/>
          <w:sz w:val="22"/>
          <w:szCs w:val="22"/>
          <w:color w:val="auto"/>
        </w:rPr>
        <w:t>a termination of Service by Grantee without Good Reason (as defined above).</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iii</w:t>
      </w:r>
    </w:p>
    <w:p>
      <w:pPr>
        <w:sectPr>
          <w:pgSz w:w="11900" w:h="16838" w:orient="portrait"/>
          <w:cols w:equalWidth="0" w:num="1">
            <w:col w:w="11420"/>
          </w:cols>
          <w:pgMar w:left="240" w:top="625" w:right="2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22"/>
          <w:szCs w:val="22"/>
          <w:b w:val="1"/>
          <w:bCs w:val="1"/>
          <w:color w:val="auto"/>
        </w:rPr>
        <w:t>APPENDIX B</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UNITS AGREEMENT</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NON-U.S. ADDENDUM</w:t>
      </w:r>
    </w:p>
    <w:p>
      <w:pPr>
        <w:spacing w:after="0" w:line="260" w:lineRule="exact"/>
        <w:rPr>
          <w:sz w:val="20"/>
          <w:szCs w:val="20"/>
          <w:color w:val="auto"/>
        </w:rPr>
      </w:pPr>
    </w:p>
    <w:p>
      <w:pPr>
        <w:jc w:val="center"/>
        <w:ind w:left="260"/>
        <w:spacing w:after="0" w:line="269" w:lineRule="auto"/>
        <w:rPr>
          <w:sz w:val="20"/>
          <w:szCs w:val="20"/>
          <w:color w:val="auto"/>
        </w:rPr>
      </w:pPr>
      <w:r>
        <w:rPr>
          <w:rFonts w:ascii="Arial" w:cs="Arial" w:eastAsia="Arial" w:hAnsi="Arial"/>
          <w:sz w:val="22"/>
          <w:szCs w:val="22"/>
          <w:b w:val="1"/>
          <w:bCs w:val="1"/>
          <w:color w:val="auto"/>
        </w:rPr>
        <w:t>Additional Terms and Conditions for Equity Grants Under the TriMas Corporation 2011 Omnibus Incentive Compensation Plan, as amended</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January 2016</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Terms and Conditions</w:t>
      </w:r>
    </w:p>
    <w:p>
      <w:pPr>
        <w:spacing w:after="0" w:line="266"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This Addendum includes additional terms and conditions that govern the performance stock units (“</w:t>
      </w:r>
      <w:r>
        <w:rPr>
          <w:rFonts w:ascii="Arial" w:cs="Arial" w:eastAsia="Arial" w:hAnsi="Arial"/>
          <w:sz w:val="21"/>
          <w:szCs w:val="21"/>
          <w:u w:val="single" w:color="auto"/>
          <w:color w:val="auto"/>
        </w:rPr>
        <w:t>RSUs</w:t>
      </w:r>
      <w:r>
        <w:rPr>
          <w:rFonts w:ascii="Arial" w:cs="Arial" w:eastAsia="Arial" w:hAnsi="Arial"/>
          <w:sz w:val="21"/>
          <w:szCs w:val="21"/>
          <w:color w:val="auto"/>
        </w:rPr>
        <w:t>”) granted to you under the TriMas Corporation 2011 Omnibus Incentive Compensation Plan, as amended (referred to as the “</w:t>
      </w:r>
      <w:r>
        <w:rPr>
          <w:rFonts w:ascii="Arial" w:cs="Arial" w:eastAsia="Arial" w:hAnsi="Arial"/>
          <w:sz w:val="21"/>
          <w:szCs w:val="21"/>
          <w:u w:val="single" w:color="auto"/>
          <w:color w:val="auto"/>
        </w:rPr>
        <w:t>Plan</w:t>
      </w:r>
      <w:r>
        <w:rPr>
          <w:rFonts w:ascii="Arial" w:cs="Arial" w:eastAsia="Arial" w:hAnsi="Arial"/>
          <w:sz w:val="21"/>
          <w:szCs w:val="21"/>
          <w:color w:val="auto"/>
        </w:rPr>
        <w:t>”) if you reside in one of the countries listed below. Certain capitalized terms used but not defined in this Addendum have the meanings set forth in the Plan and/or your award agreement (the “</w:t>
      </w:r>
      <w:r>
        <w:rPr>
          <w:rFonts w:ascii="Arial" w:cs="Arial" w:eastAsia="Arial" w:hAnsi="Arial"/>
          <w:sz w:val="21"/>
          <w:szCs w:val="21"/>
          <w:u w:val="single" w:color="auto"/>
          <w:color w:val="auto"/>
        </w:rPr>
        <w:t>Agreement</w:t>
      </w:r>
      <w:r>
        <w:rPr>
          <w:rFonts w:ascii="Arial" w:cs="Arial" w:eastAsia="Arial" w:hAnsi="Arial"/>
          <w:sz w:val="21"/>
          <w:szCs w:val="21"/>
          <w:color w:val="auto"/>
        </w:rPr>
        <w:t>”) that relates to your award. By accepting your award, you agree to be bound by the terms and conditions contained in the paragraphs below in addition to the terms of the Plan, the Agreement, and the terms of any other document that may apply to you and your award.</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Notifications</w:t>
      </w:r>
    </w:p>
    <w:p>
      <w:pPr>
        <w:spacing w:after="0" w:line="266"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This Addendum also includes information regarding exchange controls and certain other issues of which you should be aware with respect to participation in the Plan. The information is based on the securities, exchange control, and other laws in effect in the respective countries as of January 2016. Such laws are often complex and change frequently. As a result, it is strongly recommended that you not rely on the information in this Addendum as the only source of information relating to the consequences of your participation in the Plan because the information may be out of date at the time you vest in your RSUs or sell shares acquired under the Plan.</w:t>
      </w:r>
    </w:p>
    <w:p>
      <w:pPr>
        <w:spacing w:after="0" w:line="234"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In addition, the information contained herein is general in nature and may not apply to your particular situation, and TriMas Corporation (the “</w:t>
      </w:r>
      <w:r>
        <w:rPr>
          <w:rFonts w:ascii="Arial" w:cs="Arial" w:eastAsia="Arial" w:hAnsi="Arial"/>
          <w:sz w:val="21"/>
          <w:szCs w:val="21"/>
          <w:u w:val="single" w:color="auto"/>
          <w:color w:val="auto"/>
        </w:rPr>
        <w:t>Corporation</w:t>
      </w:r>
      <w:r>
        <w:rPr>
          <w:rFonts w:ascii="Arial" w:cs="Arial" w:eastAsia="Arial" w:hAnsi="Arial"/>
          <w:sz w:val="21"/>
          <w:szCs w:val="21"/>
          <w:color w:val="auto"/>
        </w:rPr>
        <w:t>”) is not in a position to assure you of a particular result. Accordingly, you are advised to seek appropriate professional advice as to how the relevant laws in your country may apply to your situation.</w:t>
      </w:r>
    </w:p>
    <w:p>
      <w:pPr>
        <w:spacing w:after="0" w:line="208"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Finally, if you are a citizen or resident of a country other than the one in which you are currently working, transferred employment after the RSUs were granted to you, or are considered a resident of another country for local law purposes, the information contained herein may not apply.</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COUNTRY-SPECIFIC LANGUAGE</w:t>
      </w:r>
    </w:p>
    <w:p>
      <w:pPr>
        <w:spacing w:after="0" w:line="28" w:lineRule="exact"/>
        <w:rPr>
          <w:sz w:val="20"/>
          <w:szCs w:val="20"/>
          <w:color w:val="auto"/>
        </w:rPr>
      </w:pPr>
    </w:p>
    <w:p>
      <w:pPr>
        <w:spacing w:after="0"/>
        <w:rPr>
          <w:sz w:val="20"/>
          <w:szCs w:val="20"/>
          <w:color w:val="auto"/>
        </w:rPr>
      </w:pPr>
      <w:r>
        <w:rPr>
          <w:rFonts w:ascii="Arial" w:cs="Arial" w:eastAsia="Arial" w:hAnsi="Arial"/>
          <w:sz w:val="21"/>
          <w:szCs w:val="21"/>
          <w:color w:val="auto"/>
        </w:rPr>
        <w:t>Below please find country specific language that applies to Participants in the following countries: the United Kingdom.</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iv</w:t>
      </w:r>
    </w:p>
    <w:p>
      <w:pPr>
        <w:sectPr>
          <w:pgSz w:w="11900" w:h="16838" w:orient="portrait"/>
          <w:cols w:equalWidth="0" w:num="1">
            <w:col w:w="11420"/>
          </w:cols>
          <w:pgMar w:left="240" w:top="625" w:right="2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22"/>
          <w:szCs w:val="22"/>
          <w:b w:val="1"/>
          <w:bCs w:val="1"/>
          <w:i w:val="1"/>
          <w:iCs w:val="1"/>
          <w:u w:val="single" w:color="auto"/>
          <w:color w:val="auto"/>
        </w:rPr>
        <w:t>UNITED KINGDOM</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Terms and Conditions</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Dividend Equivalent Rights</w:t>
      </w:r>
      <w:r>
        <w:rPr>
          <w:rFonts w:ascii="Arial" w:cs="Arial" w:eastAsia="Arial" w:hAnsi="Arial"/>
          <w:sz w:val="22"/>
          <w:szCs w:val="22"/>
          <w:color w:val="auto"/>
        </w:rPr>
        <w:t>. Section II.A.3 of the Agreement is hereby amended in its entirety to read as follows:</w:t>
      </w:r>
    </w:p>
    <w:p>
      <w:pPr>
        <w:spacing w:after="0" w:line="266"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From and after the Grant Date and until the earlier of (a) the time when the Restricted Stock Units vest and are settled in accordance with Section II.A.2 hereof or (b) the time when Grantee’s rights to the Restricted Stock Units are forfeited in accordance with Section II.A.1(b) hereof, on the date that the Corporation pays a cash dividend (if any) to holders of Stock generally, Grantee shall be notionally credited with cash per Restricted Stock Unit equal to the amount of such dividend. Any amounts notionally credited pursuant to the immediately preceding sentence shall be subject to the same applicable terms and conditions (including vesting, payment or forfeitability) as apply to the Restricted Stock Units based on which the dividend equivalents were notionally credited, and such amounts shall be paid in either cash or Stock, as determined by the Committee in its sole discretion, at the same time as the Restricted Stock Units to which they relate. If such amounts are paid in Stock, the number of shares so paid shall be rounded down to the nearest whole number and shall be determined by dividing such credited amounts by the Fair Market Value per share of Stock on the payment date. Notwithstanding the foregoing provisions of this Section II.A.3, Grantee shall not be entitled to the cash notionally credited at any time to the Restricted Stock Units (or the Stock representing the same, as the case may be) either legally or beneficially unless and until Grantee becomes entitled to receive the actual Stock in respect of the Award pursuant to Section II.A.2 of this Agreement.</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Non-Transferability of Award</w:t>
      </w:r>
      <w:r>
        <w:rPr>
          <w:rFonts w:ascii="Arial" w:cs="Arial" w:eastAsia="Arial" w:hAnsi="Arial"/>
          <w:sz w:val="22"/>
          <w:szCs w:val="22"/>
          <w:color w:val="auto"/>
        </w:rPr>
        <w:t>. Section II.B.1 of the Agreement is hereby amended in its entirety to read as follows:</w:t>
      </w:r>
    </w:p>
    <w:p>
      <w:pPr>
        <w:spacing w:after="0" w:line="266" w:lineRule="exact"/>
        <w:rPr>
          <w:sz w:val="20"/>
          <w:szCs w:val="20"/>
          <w:color w:val="auto"/>
        </w:rPr>
      </w:pPr>
    </w:p>
    <w:p>
      <w:pPr>
        <w:jc w:val="both"/>
        <w:ind w:left="660" w:firstLine="648"/>
        <w:spacing w:after="0" w:line="247" w:lineRule="auto"/>
        <w:rPr>
          <w:sz w:val="20"/>
          <w:szCs w:val="20"/>
          <w:color w:val="auto"/>
        </w:rPr>
      </w:pPr>
      <w:r>
        <w:rPr>
          <w:rFonts w:ascii="Arial" w:cs="Arial" w:eastAsia="Arial" w:hAnsi="Arial"/>
          <w:sz w:val="22"/>
          <w:szCs w:val="22"/>
          <w:color w:val="auto"/>
        </w:rPr>
        <w:t>“Except as described below, this Award and the Restricted Stock Units subject to this Award may not be sold, pledged, assigned, hypothecated, transferred, or disposed of in any manner other than by will or by the laws of descent or distribution and the Award shall lapse and any unvested Restricted Stock Units subject to this Award shall be forfeited if a bankruptcy order is made in respect of Grantee. For the avoidance of doubt, the provisions contained in Section 10.2 of the Plan which allow each Participant to designate a beneficiary for the Restricted Stock Units awarded to him or her under the Plan shall not apply to this Award.”</w:t>
      </w: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Withholding</w:t>
      </w:r>
      <w:r>
        <w:rPr>
          <w:rFonts w:ascii="Arial" w:cs="Arial" w:eastAsia="Arial" w:hAnsi="Arial"/>
          <w:sz w:val="22"/>
          <w:szCs w:val="22"/>
          <w:color w:val="auto"/>
        </w:rPr>
        <w:t>. Section II.B.2 of the Agreement is hereby amended in its entirety to read as follows:</w:t>
      </w:r>
    </w:p>
    <w:p>
      <w:pPr>
        <w:spacing w:after="0" w:line="2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“Grantee hereby indemnifies the Corporation, Grantee’s employer or any other person in respect of:</w:t>
      </w:r>
    </w:p>
    <w:p>
      <w:pPr>
        <w:spacing w:after="0" w:line="260" w:lineRule="exact"/>
        <w:rPr>
          <w:sz w:val="20"/>
          <w:szCs w:val="20"/>
          <w:color w:val="auto"/>
        </w:rPr>
      </w:pPr>
    </w:p>
    <w:p>
      <w:pPr>
        <w:ind w:left="1960" w:hanging="655"/>
        <w:spacing w:after="0" w:line="263" w:lineRule="auto"/>
        <w:tabs>
          <w:tab w:leader="none" w:pos="1960" w:val="left"/>
        </w:tabs>
        <w:numPr>
          <w:ilvl w:val="0"/>
          <w:numId w:val="104"/>
        </w:numPr>
        <w:rPr>
          <w:rFonts w:ascii="Arial" w:cs="Arial" w:eastAsia="Arial" w:hAnsi="Arial"/>
          <w:sz w:val="22"/>
          <w:szCs w:val="22"/>
          <w:color w:val="auto"/>
        </w:rPr>
      </w:pPr>
      <w:r>
        <w:rPr>
          <w:rFonts w:ascii="Arial" w:cs="Arial" w:eastAsia="Arial" w:hAnsi="Arial"/>
          <w:sz w:val="22"/>
          <w:szCs w:val="22"/>
          <w:color w:val="auto"/>
        </w:rPr>
        <w:t>any amount of income tax for which the Corporation, Grantee’s employer or any other person is obliged to account under the Pay-As-You-Earn system and any amounts of employee’s national</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v</w:t>
      </w:r>
    </w:p>
    <w:p>
      <w:pPr>
        <w:sectPr>
          <w:pgSz w:w="11900" w:h="16838" w:orient="portrait"/>
          <w:cols w:equalWidth="0" w:num="1">
            <w:col w:w="11420"/>
          </w:cols>
          <w:pgMar w:left="240" w:top="631" w:right="239" w:bottom="1440" w:gutter="0" w:footer="0" w:header="0"/>
        </w:sectPr>
      </w:pPr>
    </w:p>
    <w:bookmarkStart w:id="106" w:name="page107"/>
    <w:bookmarkEnd w:id="106"/>
    <w:p>
      <w:pPr>
        <w:ind w:left="1960"/>
        <w:spacing w:after="0" w:line="263" w:lineRule="auto"/>
        <w:rPr>
          <w:sz w:val="20"/>
          <w:szCs w:val="20"/>
          <w:color w:val="auto"/>
        </w:rPr>
      </w:pPr>
      <w:r>
        <w:rPr>
          <w:rFonts w:ascii="Arial" w:cs="Arial" w:eastAsia="Arial" w:hAnsi="Arial"/>
          <w:sz w:val="22"/>
          <w:szCs w:val="22"/>
          <w:color w:val="auto"/>
        </w:rPr>
        <w:t>insurance contributions arising from the vesting of the Award (or which would not otherwise have arisen but for the grant of the Award to Grantee); and</w:t>
      </w:r>
    </w:p>
    <w:p>
      <w:pPr>
        <w:spacing w:after="0" w:line="215" w:lineRule="exact"/>
        <w:rPr>
          <w:sz w:val="20"/>
          <w:szCs w:val="20"/>
          <w:color w:val="auto"/>
        </w:rPr>
      </w:pPr>
    </w:p>
    <w:p>
      <w:pPr>
        <w:jc w:val="both"/>
        <w:ind w:left="1960" w:hanging="655"/>
        <w:spacing w:after="0" w:line="248" w:lineRule="auto"/>
        <w:tabs>
          <w:tab w:leader="none" w:pos="1960" w:val="left"/>
        </w:tabs>
        <w:numPr>
          <w:ilvl w:val="0"/>
          <w:numId w:val="105"/>
        </w:numPr>
        <w:rPr>
          <w:rFonts w:ascii="Arial" w:cs="Arial" w:eastAsia="Arial" w:hAnsi="Arial"/>
          <w:sz w:val="22"/>
          <w:szCs w:val="22"/>
          <w:color w:val="auto"/>
        </w:rPr>
      </w:pPr>
      <w:r>
        <w:rPr>
          <w:rFonts w:ascii="Arial" w:cs="Arial" w:eastAsia="Arial" w:hAnsi="Arial"/>
          <w:sz w:val="22"/>
          <w:szCs w:val="22"/>
          <w:color w:val="auto"/>
        </w:rPr>
        <w:t>any amount of income tax for which the Corporation, Grantee’s employer or any other person is obliged to account under the Pay-As-You-Earn system and any amounts of employee’s national insurance contributions arising in respect of, or in connection with the holding or disposal by Grantee of the shares of Stock acquired pursuant to the Award or the conversion of such shares of Stock into securities of another description whilst such shares of Stock are held by Grantee,</w:t>
      </w:r>
    </w:p>
    <w:p>
      <w:pPr>
        <w:spacing w:after="0" w:line="233" w:lineRule="exact"/>
        <w:rPr>
          <w:sz w:val="20"/>
          <w:szCs w:val="20"/>
          <w:color w:val="auto"/>
        </w:rPr>
      </w:pPr>
    </w:p>
    <w:p>
      <w:pPr>
        <w:jc w:val="both"/>
        <w:ind w:left="660" w:firstLine="648"/>
        <w:spacing w:after="0" w:line="287" w:lineRule="auto"/>
        <w:rPr>
          <w:sz w:val="20"/>
          <w:szCs w:val="20"/>
          <w:color w:val="auto"/>
        </w:rPr>
      </w:pPr>
      <w:r>
        <w:rPr>
          <w:rFonts w:ascii="Arial" w:cs="Arial" w:eastAsia="Arial" w:hAnsi="Arial"/>
          <w:sz w:val="19"/>
          <w:szCs w:val="19"/>
          <w:color w:val="auto"/>
        </w:rPr>
        <w:t>and in pursuance of such indemnity, Grantee hereby agrees that he or she shall pay to the Corporation (or to such other entity as directed by it) such amount as shall be notified to Grantee by the Corporation as being due on any occasion under such indemnity, within seven days after being so notified. To the extent that Grantee fails to pay any amount so notified to him or by the Corporation within seven days after such notification, Grantee hereby agrees that the Corporation may withhold, or procure the withholding, from any salary, wages, payment or payments due to Grantee from the Corporation or the Grantee’s employer an amount which is equal to the amount notified to Grantee, sell or procure the sale of sufficient of the shares of Stock acquired by Grantee pursuant to the Award on behalf of Grantee to produce a sum which after any costs of sale is sufficient to discharge the amount so notified to Grantee and retain such sum or make such other arrangements, by which Grantee hereby agrees to be bound, so as to ensure that the amount notified to Grantee is discharged in full. The Corporation will not be obliged to deliver any shares of Stock to Grantee pursuant to the Award if Grantee fails to comply with his or her obligations under the foregoing provisions of this Section II.B.2 and Grantee shall not be entitled to receive the delivery of such shares of Stock.”</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Clawback Policy</w:t>
      </w:r>
      <w:r>
        <w:rPr>
          <w:rFonts w:ascii="Arial" w:cs="Arial" w:eastAsia="Arial" w:hAnsi="Arial"/>
          <w:sz w:val="22"/>
          <w:szCs w:val="22"/>
          <w:color w:val="auto"/>
        </w:rPr>
        <w:t>. Section II.B.12 of the Agreement shall not apply.</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Data Privacy</w:t>
      </w:r>
      <w:r>
        <w:rPr>
          <w:rFonts w:ascii="Arial" w:cs="Arial" w:eastAsia="Arial" w:hAnsi="Arial"/>
          <w:sz w:val="22"/>
          <w:szCs w:val="22"/>
          <w:color w:val="auto"/>
        </w:rPr>
        <w:t>. A new Section II.B.13 is added to the Agreement to read as follows:</w:t>
      </w:r>
    </w:p>
    <w:p>
      <w:pPr>
        <w:spacing w:after="0" w:line="266" w:lineRule="exact"/>
        <w:rPr>
          <w:sz w:val="20"/>
          <w:szCs w:val="20"/>
          <w:color w:val="auto"/>
        </w:rPr>
      </w:pPr>
    </w:p>
    <w:p>
      <w:pPr>
        <w:jc w:val="both"/>
        <w:ind w:left="1300"/>
        <w:spacing w:after="0" w:line="250" w:lineRule="auto"/>
        <w:rPr>
          <w:sz w:val="20"/>
          <w:szCs w:val="20"/>
          <w:color w:val="auto"/>
        </w:rPr>
      </w:pPr>
      <w:r>
        <w:rPr>
          <w:rFonts w:ascii="Arial" w:cs="Arial" w:eastAsia="Arial" w:hAnsi="Arial"/>
          <w:sz w:val="22"/>
          <w:szCs w:val="22"/>
          <w:color w:val="auto"/>
        </w:rPr>
        <w:t>“The Corporation and Grantee’s employer (together the “Data Processors”) will process the Grantee’s personal data and each may transfer the Grantee’s personal data to their Subsidiaries, HM Revenue and Customs and third party service providers, for the purposes of managing and administering the Award and the operation of the Plan including but not limited to:</w:t>
      </w:r>
    </w:p>
    <w:p>
      <w:pPr>
        <w:spacing w:after="0" w:line="188" w:lineRule="exact"/>
        <w:rPr>
          <w:sz w:val="20"/>
          <w:szCs w:val="20"/>
          <w:color w:val="auto"/>
        </w:rPr>
      </w:pPr>
    </w:p>
    <w:p>
      <w:pPr>
        <w:ind w:left="1960" w:hanging="655"/>
        <w:spacing w:after="0"/>
        <w:tabs>
          <w:tab w:leader="none" w:pos="1960" w:val="left"/>
        </w:tabs>
        <w:numPr>
          <w:ilvl w:val="0"/>
          <w:numId w:val="106"/>
        </w:numPr>
        <w:rPr>
          <w:rFonts w:ascii="Arial" w:cs="Arial" w:eastAsia="Arial" w:hAnsi="Arial"/>
          <w:sz w:val="22"/>
          <w:szCs w:val="22"/>
          <w:color w:val="auto"/>
        </w:rPr>
      </w:pPr>
      <w:r>
        <w:rPr>
          <w:rFonts w:ascii="Arial" w:cs="Arial" w:eastAsia="Arial" w:hAnsi="Arial"/>
          <w:sz w:val="22"/>
          <w:szCs w:val="22"/>
          <w:color w:val="auto"/>
        </w:rPr>
        <w:t>administering and maintaining records relating to Grantee;</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59" w:lineRule="exact"/>
        <w:rPr>
          <w:rFonts w:ascii="Arial" w:cs="Arial" w:eastAsia="Arial" w:hAnsi="Arial"/>
          <w:sz w:val="22"/>
          <w:szCs w:val="22"/>
          <w:color w:val="auto"/>
        </w:rPr>
      </w:pPr>
    </w:p>
    <w:p>
      <w:pPr>
        <w:ind w:left="5640"/>
        <w:spacing w:after="0"/>
        <w:rPr>
          <w:rFonts w:ascii="Arial" w:cs="Arial" w:eastAsia="Arial" w:hAnsi="Arial"/>
          <w:sz w:val="22"/>
          <w:szCs w:val="22"/>
          <w:color w:val="auto"/>
        </w:rPr>
      </w:pPr>
      <w:r>
        <w:rPr>
          <w:rFonts w:ascii="Arial" w:cs="Arial" w:eastAsia="Arial" w:hAnsi="Arial"/>
          <w:sz w:val="22"/>
          <w:szCs w:val="22"/>
          <w:color w:val="auto"/>
        </w:rPr>
        <w:t>vi</w:t>
      </w:r>
    </w:p>
    <w:p>
      <w:pPr>
        <w:sectPr>
          <w:pgSz w:w="11900" w:h="16838" w:orient="portrait"/>
          <w:cols w:equalWidth="0" w:num="1">
            <w:col w:w="11420"/>
          </w:cols>
          <w:pgMar w:left="240" w:top="631" w:right="239" w:bottom="1440" w:gutter="0" w:footer="0" w:header="0"/>
        </w:sectPr>
      </w:pPr>
    </w:p>
    <w:bookmarkStart w:id="107" w:name="page108"/>
    <w:bookmarkEnd w:id="107"/>
    <w:p>
      <w:pPr>
        <w:ind w:left="1960" w:right="20" w:hanging="655"/>
        <w:spacing w:after="0" w:line="263" w:lineRule="auto"/>
        <w:tabs>
          <w:tab w:leader="none" w:pos="1960" w:val="left"/>
        </w:tabs>
        <w:numPr>
          <w:ilvl w:val="0"/>
          <w:numId w:val="107"/>
        </w:numPr>
        <w:rPr>
          <w:rFonts w:ascii="Arial" w:cs="Arial" w:eastAsia="Arial" w:hAnsi="Arial"/>
          <w:sz w:val="22"/>
          <w:szCs w:val="22"/>
          <w:color w:val="auto"/>
        </w:rPr>
      </w:pPr>
      <w:r>
        <w:rPr>
          <w:rFonts w:ascii="Arial" w:cs="Arial" w:eastAsia="Arial" w:hAnsi="Arial"/>
          <w:sz w:val="22"/>
          <w:szCs w:val="22"/>
          <w:color w:val="auto"/>
        </w:rPr>
        <w:t>providing information to (i) trustees of any employee benefit trust or (ii) other third party administrators involved directly or indirectly in the operation of the Plan;</w:t>
      </w:r>
    </w:p>
    <w:p>
      <w:pPr>
        <w:spacing w:after="0" w:line="215" w:lineRule="exact"/>
        <w:rPr>
          <w:rFonts w:ascii="Arial" w:cs="Arial" w:eastAsia="Arial" w:hAnsi="Arial"/>
          <w:sz w:val="22"/>
          <w:szCs w:val="22"/>
          <w:color w:val="auto"/>
        </w:rPr>
      </w:pPr>
    </w:p>
    <w:p>
      <w:pPr>
        <w:ind w:left="1960" w:hanging="655"/>
        <w:spacing w:after="0" w:line="263" w:lineRule="auto"/>
        <w:tabs>
          <w:tab w:leader="none" w:pos="1960" w:val="left"/>
        </w:tabs>
        <w:numPr>
          <w:ilvl w:val="0"/>
          <w:numId w:val="107"/>
        </w:numPr>
        <w:rPr>
          <w:rFonts w:ascii="Arial" w:cs="Arial" w:eastAsia="Arial" w:hAnsi="Arial"/>
          <w:sz w:val="22"/>
          <w:szCs w:val="22"/>
          <w:color w:val="auto"/>
        </w:rPr>
      </w:pPr>
      <w:r>
        <w:rPr>
          <w:rFonts w:ascii="Arial" w:cs="Arial" w:eastAsia="Arial" w:hAnsi="Arial"/>
          <w:sz w:val="22"/>
          <w:szCs w:val="22"/>
          <w:color w:val="auto"/>
        </w:rPr>
        <w:t>providing information relating to the Grantee in connection with the operation of the Plan to HM Revenue and Customs;</w:t>
      </w:r>
    </w:p>
    <w:p>
      <w:pPr>
        <w:spacing w:after="0" w:line="215" w:lineRule="exact"/>
        <w:rPr>
          <w:rFonts w:ascii="Arial" w:cs="Arial" w:eastAsia="Arial" w:hAnsi="Arial"/>
          <w:sz w:val="22"/>
          <w:szCs w:val="22"/>
          <w:color w:val="auto"/>
        </w:rPr>
      </w:pPr>
    </w:p>
    <w:p>
      <w:pPr>
        <w:ind w:left="1960" w:hanging="655"/>
        <w:spacing w:after="0"/>
        <w:tabs>
          <w:tab w:leader="none" w:pos="1960" w:val="left"/>
        </w:tabs>
        <w:numPr>
          <w:ilvl w:val="0"/>
          <w:numId w:val="107"/>
        </w:numPr>
        <w:rPr>
          <w:rFonts w:ascii="Arial" w:cs="Arial" w:eastAsia="Arial" w:hAnsi="Arial"/>
          <w:sz w:val="22"/>
          <w:szCs w:val="22"/>
          <w:color w:val="auto"/>
        </w:rPr>
      </w:pPr>
      <w:r>
        <w:rPr>
          <w:rFonts w:ascii="Arial" w:cs="Arial" w:eastAsia="Arial" w:hAnsi="Arial"/>
          <w:sz w:val="22"/>
          <w:szCs w:val="22"/>
          <w:color w:val="auto"/>
        </w:rPr>
        <w:t>providing information to potential purchasers of one or more of the Data Processors; and</w:t>
      </w:r>
    </w:p>
    <w:p>
      <w:pPr>
        <w:spacing w:after="0" w:line="260" w:lineRule="exact"/>
        <w:rPr>
          <w:rFonts w:ascii="Arial" w:cs="Arial" w:eastAsia="Arial" w:hAnsi="Arial"/>
          <w:sz w:val="22"/>
          <w:szCs w:val="22"/>
          <w:color w:val="auto"/>
        </w:rPr>
      </w:pPr>
    </w:p>
    <w:p>
      <w:pPr>
        <w:jc w:val="both"/>
        <w:ind w:left="1960" w:hanging="655"/>
        <w:spacing w:after="0" w:line="253" w:lineRule="auto"/>
        <w:tabs>
          <w:tab w:leader="none" w:pos="1960" w:val="left"/>
        </w:tabs>
        <w:numPr>
          <w:ilvl w:val="0"/>
          <w:numId w:val="107"/>
        </w:numPr>
        <w:rPr>
          <w:rFonts w:ascii="Arial" w:cs="Arial" w:eastAsia="Arial" w:hAnsi="Arial"/>
          <w:sz w:val="22"/>
          <w:szCs w:val="22"/>
          <w:color w:val="auto"/>
        </w:rPr>
      </w:pPr>
      <w:r>
        <w:rPr>
          <w:rFonts w:ascii="Arial" w:cs="Arial" w:eastAsia="Arial" w:hAnsi="Arial"/>
          <w:sz w:val="22"/>
          <w:szCs w:val="22"/>
          <w:color w:val="auto"/>
        </w:rPr>
        <w:t>allowing any personal data provided by Grantee to be sent to and kept and used by any third party engaged by the Corporation to administer the Plan, including but not limited to the maintenance by such a third party of a database of Participants in the Plan.</w:t>
      </w:r>
    </w:p>
    <w:p>
      <w:pPr>
        <w:spacing w:after="0" w:line="226" w:lineRule="exact"/>
        <w:rPr>
          <w:sz w:val="20"/>
          <w:szCs w:val="20"/>
          <w:color w:val="auto"/>
        </w:rPr>
      </w:pPr>
    </w:p>
    <w:p>
      <w:pPr>
        <w:jc w:val="both"/>
        <w:ind w:left="1300"/>
        <w:spacing w:after="0" w:line="294" w:lineRule="auto"/>
        <w:rPr>
          <w:sz w:val="20"/>
          <w:szCs w:val="20"/>
          <w:color w:val="auto"/>
        </w:rPr>
      </w:pPr>
      <w:r>
        <w:rPr>
          <w:rFonts w:ascii="Arial" w:cs="Arial" w:eastAsia="Arial" w:hAnsi="Arial"/>
          <w:sz w:val="19"/>
          <w:szCs w:val="19"/>
          <w:color w:val="auto"/>
        </w:rPr>
        <w:t>Such personal data includes (without limitation) Grantee’s name, home address and telephone number; date of birth; social insurance or national insurance number or other identification number; salary; nationality; job title; any Stock or directorships held in the any of the Data Processors; alleged, proven and convicted offences, felonies and/or wilful misconduct; wilful failure or refusal to follow directions from the board of the Corporation; breach of fiduciary duty to the Corporation or a Subsidiary; and details of all Awards or any other entitlement to Stock awarded, cancelled, exercised, vested, unvested or outstanding in Grantee’s favour.</w:t>
      </w:r>
    </w:p>
    <w:p>
      <w:pPr>
        <w:spacing w:after="0" w:line="150" w:lineRule="exact"/>
        <w:rPr>
          <w:sz w:val="20"/>
          <w:szCs w:val="20"/>
          <w:color w:val="auto"/>
        </w:rPr>
      </w:pPr>
    </w:p>
    <w:p>
      <w:pPr>
        <w:jc w:val="both"/>
        <w:ind w:left="1300"/>
        <w:spacing w:after="0" w:line="263" w:lineRule="auto"/>
        <w:rPr>
          <w:sz w:val="20"/>
          <w:szCs w:val="20"/>
          <w:color w:val="auto"/>
        </w:rPr>
      </w:pPr>
      <w:r>
        <w:rPr>
          <w:rFonts w:ascii="Arial" w:cs="Arial" w:eastAsia="Arial" w:hAnsi="Arial"/>
          <w:sz w:val="21"/>
          <w:szCs w:val="21"/>
          <w:color w:val="auto"/>
        </w:rPr>
        <w:t>Grantee’s personal data may be transferred to the Data Processors or to any third parties assisting in the implementation, administration and management of the Plan and/or the Award which are based outside of the UK. Grantee’s employer and the Corporation (as appropriate) will implement safeguards to ensure the appropriate levels of protection for all such personal data. Grantee may request a list with the names and addresses of any potential recipients of the data by contacting their local human resources representative.</w:t>
      </w:r>
    </w:p>
    <w:p>
      <w:pPr>
        <w:spacing w:after="0" w:line="176" w:lineRule="exact"/>
        <w:rPr>
          <w:sz w:val="20"/>
          <w:szCs w:val="20"/>
          <w:color w:val="auto"/>
        </w:rPr>
      </w:pPr>
    </w:p>
    <w:p>
      <w:pPr>
        <w:jc w:val="both"/>
        <w:ind w:left="1300"/>
        <w:spacing w:after="0" w:line="302" w:lineRule="auto"/>
        <w:rPr>
          <w:sz w:val="20"/>
          <w:szCs w:val="20"/>
          <w:color w:val="auto"/>
        </w:rPr>
      </w:pPr>
      <w:r>
        <w:rPr>
          <w:rFonts w:ascii="Arial" w:cs="Arial" w:eastAsia="Arial" w:hAnsi="Arial"/>
          <w:sz w:val="19"/>
          <w:szCs w:val="19"/>
          <w:color w:val="auto"/>
        </w:rPr>
        <w:t>Grantee’s personal data will be held only as long as is necessary for the purpose for which it was collected. Grantee may (without cost) by contacting in writing their local human resources representative (i) view or request additional information about the storage and processing of their personal data, and/or (ii) request that any personal data that the Data Processors hold about Grantee which is inaccurate or out of date is corrected where appropriate.”</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Loss of Office or Employment</w:t>
      </w:r>
      <w:r>
        <w:rPr>
          <w:rFonts w:ascii="Arial" w:cs="Arial" w:eastAsia="Arial" w:hAnsi="Arial"/>
          <w:sz w:val="22"/>
          <w:szCs w:val="22"/>
          <w:color w:val="auto"/>
        </w:rPr>
        <w:t>. A new Section II.B.14 is added to the Agreement to read as follows:</w:t>
      </w:r>
    </w:p>
    <w:p>
      <w:pPr>
        <w:spacing w:after="0" w:line="266" w:lineRule="exact"/>
        <w:rPr>
          <w:sz w:val="20"/>
          <w:szCs w:val="20"/>
          <w:color w:val="auto"/>
        </w:rPr>
      </w:pPr>
    </w:p>
    <w:p>
      <w:pPr>
        <w:jc w:val="both"/>
        <w:ind w:left="1300"/>
        <w:spacing w:after="0" w:line="253" w:lineRule="auto"/>
        <w:rPr>
          <w:sz w:val="20"/>
          <w:szCs w:val="20"/>
          <w:color w:val="auto"/>
        </w:rPr>
      </w:pPr>
      <w:r>
        <w:rPr>
          <w:rFonts w:ascii="Arial" w:cs="Arial" w:eastAsia="Arial" w:hAnsi="Arial"/>
          <w:sz w:val="22"/>
          <w:szCs w:val="22"/>
          <w:color w:val="auto"/>
        </w:rPr>
        <w:t>“In no circumstances shall Grantee, on ceasing to hold the office or employment by virtue of which he has been granted this Award, be entitled to any compensation for any loss of any right or benefit or prospective right or benefit under the Award or the Plan which he might otherwise have enjoyed</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vii</w:t>
      </w:r>
    </w:p>
    <w:p>
      <w:pPr>
        <w:sectPr>
          <w:pgSz w:w="11900" w:h="16838" w:orient="portrait"/>
          <w:cols w:equalWidth="0" w:num="1">
            <w:col w:w="11420"/>
          </w:cols>
          <w:pgMar w:left="240" w:top="631" w:right="239" w:bottom="1440" w:gutter="0" w:footer="0" w:header="0"/>
        </w:sectPr>
      </w:pPr>
    </w:p>
    <w:bookmarkStart w:id="108" w:name="page109"/>
    <w:bookmarkEnd w:id="108"/>
    <w:p>
      <w:pPr>
        <w:ind w:left="1300"/>
        <w:spacing w:after="0" w:line="263" w:lineRule="auto"/>
        <w:rPr>
          <w:sz w:val="20"/>
          <w:szCs w:val="20"/>
          <w:color w:val="auto"/>
        </w:rPr>
      </w:pPr>
      <w:r>
        <w:rPr>
          <w:rFonts w:ascii="Arial" w:cs="Arial" w:eastAsia="Arial" w:hAnsi="Arial"/>
          <w:sz w:val="22"/>
          <w:szCs w:val="22"/>
          <w:color w:val="auto"/>
        </w:rPr>
        <w:t>whether such compensation is claimed by way of damages for wrongful dismissal or other breach of contract or by way of compensation for loss of office or otherwise.”</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Notifications</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There are no country-specific notifications.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viii</w:t>
      </w:r>
    </w:p>
    <w:p>
      <w:pPr>
        <w:sectPr>
          <w:pgSz w:w="11900" w:h="16838" w:orient="portrait"/>
          <w:cols w:equalWidth="0" w:num="1">
            <w:col w:w="11420"/>
          </w:cols>
          <w:pgMar w:left="240" w:top="631" w:right="239" w:bottom="1440" w:gutter="0" w:footer="0" w:header="0"/>
        </w:sectPr>
      </w:pPr>
    </w:p>
    <w:bookmarkStart w:id="109" w:name="page110"/>
    <w:bookmarkEnd w:id="109"/>
    <w:p>
      <w:pPr>
        <w:jc w:val="right"/>
        <w:spacing w:after="0"/>
        <w:rPr>
          <w:sz w:val="20"/>
          <w:szCs w:val="20"/>
          <w:color w:val="auto"/>
        </w:rPr>
      </w:pPr>
      <w:r>
        <w:rPr>
          <w:rFonts w:ascii="Arial" w:cs="Arial" w:eastAsia="Arial" w:hAnsi="Arial"/>
          <w:sz w:val="22"/>
          <w:szCs w:val="22"/>
          <w:b w:val="1"/>
          <w:bCs w:val="1"/>
          <w:color w:val="auto"/>
        </w:rPr>
        <w:t>Exhibit 10.5</w:t>
      </w:r>
    </w:p>
    <w:p>
      <w:pPr>
        <w:spacing w:after="0" w:line="26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Restricted Stock Units Award</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To Board of Directors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TRIMAS CORPORATION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2011 OMNIBUS INCENTIVE COMPENSATION PLAN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UNITS AGREEMENT</w:t>
      </w:r>
    </w:p>
    <w:p>
      <w:pPr>
        <w:spacing w:after="0" w:line="266"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TriMas Corporation (the “Corporation”), as permitted by the TriMas Corporation 2011 Omnibus Incentive Compensation Plan, as amended (“Plan”), and as approved by the Committee, hereby grants to the individual listed below (“Grantee”), a Restricted Stock Units Award (“Award”) for the number of Restricted Stock Units set forth below (“Restricted Stock Units”), subject to the terms and conditions of the Plan and this Restricted Stock Units Agreement (“Agreement”).</w:t>
      </w:r>
    </w:p>
    <w:p>
      <w:pPr>
        <w:spacing w:after="0" w:line="17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Unless otherwise defined in this Agreement, the terms used in this Agreement have the same meaning as defined in the Plan. The term “Service Provider” as used in this Agreement means an individual actively providing services to the Corporation or a Subsidiary or Affiliate of the Corporation. A Service Provider includes a member of the Board.</w:t>
      </w:r>
    </w:p>
    <w:p>
      <w:pPr>
        <w:spacing w:after="0" w:line="162" w:lineRule="exact"/>
        <w:rPr>
          <w:sz w:val="20"/>
          <w:szCs w:val="20"/>
          <w:color w:val="auto"/>
        </w:rPr>
      </w:pPr>
    </w:p>
    <w:p>
      <w:pPr>
        <w:ind w:left="360" w:hanging="352"/>
        <w:spacing w:after="0"/>
        <w:tabs>
          <w:tab w:leader="none" w:pos="360" w:val="left"/>
        </w:tabs>
        <w:numPr>
          <w:ilvl w:val="0"/>
          <w:numId w:val="10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NOTICE OF RESTRICTED STOCK UNITS AWARD</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5060" w:type="dxa"/>
            <w:vAlign w:val="bottom"/>
            <w:gridSpan w:val="3"/>
          </w:tcPr>
          <w:p>
            <w:pPr>
              <w:ind w:left="420"/>
              <w:spacing w:after="0"/>
              <w:rPr>
                <w:sz w:val="20"/>
                <w:szCs w:val="20"/>
                <w:color w:val="auto"/>
              </w:rPr>
            </w:pPr>
            <w:r>
              <w:rPr>
                <w:rFonts w:ascii="Arial" w:cs="Arial" w:eastAsia="Arial" w:hAnsi="Arial"/>
                <w:sz w:val="22"/>
                <w:szCs w:val="22"/>
                <w:b w:val="1"/>
                <w:bCs w:val="1"/>
                <w:color w:val="auto"/>
              </w:rPr>
              <w:t>Grantee:</w:t>
            </w:r>
          </w:p>
        </w:tc>
        <w:tc>
          <w:tcPr>
            <w:tcW w:w="4660" w:type="dxa"/>
            <w:vAlign w:val="bottom"/>
          </w:tcPr>
          <w:p>
            <w:pPr>
              <w:ind w:left="1440"/>
              <w:spacing w:after="0"/>
              <w:rPr>
                <w:sz w:val="20"/>
                <w:szCs w:val="20"/>
                <w:color w:val="auto"/>
              </w:rPr>
            </w:pPr>
            <w:r>
              <w:rPr>
                <w:rFonts w:ascii="Arial" w:cs="Arial" w:eastAsia="Arial" w:hAnsi="Arial"/>
                <w:sz w:val="22"/>
                <w:szCs w:val="22"/>
                <w:b w:val="1"/>
                <w:bCs w:val="1"/>
                <w:color w:val="auto"/>
              </w:rPr>
              <w:t>[specify Grantee’s name]</w:t>
            </w:r>
          </w:p>
        </w:tc>
      </w:tr>
      <w:tr>
        <w:trPr>
          <w:trHeight w:val="297"/>
        </w:trPr>
        <w:tc>
          <w:tcPr>
            <w:tcW w:w="5060" w:type="dxa"/>
            <w:vAlign w:val="bottom"/>
            <w:gridSpan w:val="3"/>
          </w:tcPr>
          <w:p>
            <w:pPr>
              <w:ind w:left="420"/>
              <w:spacing w:after="0"/>
              <w:rPr>
                <w:sz w:val="20"/>
                <w:szCs w:val="20"/>
                <w:color w:val="auto"/>
              </w:rPr>
            </w:pPr>
            <w:r>
              <w:rPr>
                <w:rFonts w:ascii="Arial" w:cs="Arial" w:eastAsia="Arial" w:hAnsi="Arial"/>
                <w:sz w:val="22"/>
                <w:szCs w:val="22"/>
                <w:b w:val="1"/>
                <w:bCs w:val="1"/>
                <w:color w:val="auto"/>
              </w:rPr>
              <w:t>Date of Agreement:</w:t>
            </w:r>
          </w:p>
        </w:tc>
        <w:tc>
          <w:tcPr>
            <w:tcW w:w="4660" w:type="dxa"/>
            <w:vAlign w:val="bottom"/>
          </w:tcPr>
          <w:p>
            <w:pPr>
              <w:ind w:left="1440"/>
              <w:spacing w:after="0"/>
              <w:rPr>
                <w:sz w:val="20"/>
                <w:szCs w:val="20"/>
                <w:color w:val="auto"/>
              </w:rPr>
            </w:pPr>
            <w:r>
              <w:rPr>
                <w:rFonts w:ascii="Arial" w:cs="Arial" w:eastAsia="Arial" w:hAnsi="Arial"/>
                <w:sz w:val="22"/>
                <w:szCs w:val="22"/>
                <w:b w:val="1"/>
                <w:bCs w:val="1"/>
                <w:color w:val="auto"/>
              </w:rPr>
              <w:t>[grant date]</w:t>
            </w:r>
          </w:p>
        </w:tc>
      </w:tr>
      <w:tr>
        <w:trPr>
          <w:trHeight w:val="297"/>
        </w:trPr>
        <w:tc>
          <w:tcPr>
            <w:tcW w:w="5060" w:type="dxa"/>
            <w:vAlign w:val="bottom"/>
            <w:gridSpan w:val="3"/>
          </w:tcPr>
          <w:p>
            <w:pPr>
              <w:ind w:left="420"/>
              <w:spacing w:after="0"/>
              <w:rPr>
                <w:sz w:val="20"/>
                <w:szCs w:val="20"/>
                <w:color w:val="auto"/>
              </w:rPr>
            </w:pPr>
            <w:r>
              <w:rPr>
                <w:rFonts w:ascii="Arial" w:cs="Arial" w:eastAsia="Arial" w:hAnsi="Arial"/>
                <w:sz w:val="22"/>
                <w:szCs w:val="22"/>
                <w:b w:val="1"/>
                <w:bCs w:val="1"/>
                <w:color w:val="auto"/>
              </w:rPr>
              <w:t>Grant Date:</w:t>
            </w:r>
          </w:p>
        </w:tc>
        <w:tc>
          <w:tcPr>
            <w:tcW w:w="4660" w:type="dxa"/>
            <w:vAlign w:val="bottom"/>
          </w:tcPr>
          <w:p>
            <w:pPr>
              <w:ind w:left="1440"/>
              <w:spacing w:after="0"/>
              <w:rPr>
                <w:sz w:val="20"/>
                <w:szCs w:val="20"/>
                <w:color w:val="auto"/>
              </w:rPr>
            </w:pPr>
            <w:r>
              <w:rPr>
                <w:rFonts w:ascii="Arial" w:cs="Arial" w:eastAsia="Arial" w:hAnsi="Arial"/>
                <w:sz w:val="22"/>
                <w:szCs w:val="22"/>
                <w:b w:val="1"/>
                <w:bCs w:val="1"/>
                <w:color w:val="auto"/>
              </w:rPr>
              <w:t>March 1, 2016</w:t>
            </w:r>
          </w:p>
        </w:tc>
      </w:tr>
      <w:tr>
        <w:trPr>
          <w:trHeight w:val="297"/>
        </w:trPr>
        <w:tc>
          <w:tcPr>
            <w:tcW w:w="5060" w:type="dxa"/>
            <w:vAlign w:val="bottom"/>
            <w:gridSpan w:val="3"/>
          </w:tcPr>
          <w:p>
            <w:pPr>
              <w:ind w:left="420"/>
              <w:spacing w:after="0"/>
              <w:rPr>
                <w:sz w:val="20"/>
                <w:szCs w:val="20"/>
                <w:color w:val="auto"/>
              </w:rPr>
            </w:pPr>
            <w:r>
              <w:rPr>
                <w:rFonts w:ascii="Arial" w:cs="Arial" w:eastAsia="Arial" w:hAnsi="Arial"/>
                <w:sz w:val="22"/>
                <w:szCs w:val="22"/>
                <w:b w:val="1"/>
                <w:bCs w:val="1"/>
                <w:color w:val="auto"/>
              </w:rPr>
              <w:t>Number of Restricted Stock Units:</w:t>
            </w:r>
          </w:p>
        </w:tc>
        <w:tc>
          <w:tcPr>
            <w:tcW w:w="4660" w:type="dxa"/>
            <w:vAlign w:val="bottom"/>
          </w:tcPr>
          <w:p>
            <w:pPr>
              <w:ind w:left="1440"/>
              <w:spacing w:after="0"/>
              <w:rPr>
                <w:sz w:val="20"/>
                <w:szCs w:val="20"/>
                <w:color w:val="auto"/>
              </w:rPr>
            </w:pPr>
            <w:r>
              <w:rPr>
                <w:rFonts w:ascii="Arial" w:cs="Arial" w:eastAsia="Arial" w:hAnsi="Arial"/>
                <w:sz w:val="22"/>
                <w:szCs w:val="22"/>
                <w:b w:val="1"/>
                <w:bCs w:val="1"/>
                <w:color w:val="auto"/>
                <w:w w:val="88"/>
              </w:rPr>
              <w:t>[number of Restricted Stock Units]</w:t>
            </w:r>
          </w:p>
        </w:tc>
      </w:tr>
      <w:tr>
        <w:trPr>
          <w:trHeight w:val="490"/>
        </w:trPr>
        <w:tc>
          <w:tcPr>
            <w:tcW w:w="5060" w:type="dxa"/>
            <w:vAlign w:val="bottom"/>
            <w:gridSpan w:val="3"/>
          </w:tcPr>
          <w:p>
            <w:pPr>
              <w:spacing w:after="0"/>
              <w:rPr>
                <w:sz w:val="20"/>
                <w:szCs w:val="20"/>
                <w:color w:val="auto"/>
              </w:rPr>
            </w:pPr>
            <w:r>
              <w:rPr>
                <w:rFonts w:ascii="Arial" w:cs="Arial" w:eastAsia="Arial" w:hAnsi="Arial"/>
                <w:sz w:val="22"/>
                <w:szCs w:val="22"/>
                <w:b w:val="1"/>
                <w:bCs w:val="1"/>
                <w:color w:val="auto"/>
              </w:rPr>
              <w:t>II.  AGREEMENT</w:t>
            </w:r>
          </w:p>
        </w:tc>
        <w:tc>
          <w:tcPr>
            <w:tcW w:w="4660" w:type="dxa"/>
            <w:vAlign w:val="bottom"/>
          </w:tcPr>
          <w:p>
            <w:pPr>
              <w:spacing w:after="0"/>
              <w:rPr>
                <w:sz w:val="24"/>
                <w:szCs w:val="24"/>
                <w:color w:val="auto"/>
              </w:rPr>
            </w:pPr>
          </w:p>
        </w:tc>
      </w:tr>
      <w:tr>
        <w:trPr>
          <w:trHeight w:val="20"/>
        </w:trPr>
        <w:tc>
          <w:tcPr>
            <w:tcW w:w="44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8"/>
        <w:spacing w:after="0" w:line="264" w:lineRule="auto"/>
        <w:tabs>
          <w:tab w:leader="none" w:pos="453" w:val="left"/>
        </w:tabs>
        <w:numPr>
          <w:ilvl w:val="0"/>
          <w:numId w:val="109"/>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Grant of Restricted Stock Units.</w:t>
      </w:r>
      <w:r>
        <w:rPr>
          <w:rFonts w:ascii="Arial" w:cs="Arial" w:eastAsia="Arial" w:hAnsi="Arial"/>
          <w:sz w:val="21"/>
          <w:szCs w:val="21"/>
          <w:b w:val="1"/>
          <w:bCs w:val="1"/>
          <w:color w:val="auto"/>
        </w:rPr>
        <w:t xml:space="preserve"> </w:t>
      </w:r>
      <w:r>
        <w:rPr>
          <w:rFonts w:ascii="Arial" w:cs="Arial" w:eastAsia="Arial" w:hAnsi="Arial"/>
          <w:sz w:val="21"/>
          <w:szCs w:val="21"/>
          <w:color w:val="auto"/>
        </w:rPr>
        <w:t>The Corporation hereby grants to Grantee (who, pursuant to this Award is a Participant in</w:t>
      </w:r>
      <w:r>
        <w:rPr>
          <w:rFonts w:ascii="Arial" w:cs="Arial" w:eastAsia="Arial" w:hAnsi="Arial"/>
          <w:sz w:val="21"/>
          <w:szCs w:val="21"/>
          <w:b w:val="1"/>
          <w:bCs w:val="1"/>
          <w:color w:val="auto"/>
        </w:rPr>
        <w:t xml:space="preserve"> </w:t>
      </w:r>
      <w:r>
        <w:rPr>
          <w:rFonts w:ascii="Arial" w:cs="Arial" w:eastAsia="Arial" w:hAnsi="Arial"/>
          <w:sz w:val="21"/>
          <w:szCs w:val="21"/>
          <w:color w:val="auto"/>
        </w:rPr>
        <w:t>the Plan) the number of Restricted Stock Units set forth above, subject to adjustment as provided in this Agreement. The Restricted Stock Units granted under this Agreement are payable only in shares of Stock as described in Section II.A.2. Notwithstanding anything to the contrary anywhere else in this Agreement, the Restricted Stock Units in this Award are subject to the terms and provisions of the Plan, which are incorporated by reference into this Agreement.</w:t>
      </w:r>
    </w:p>
    <w:p>
      <w:pPr>
        <w:spacing w:after="0" w:line="170" w:lineRule="exact"/>
        <w:rPr>
          <w:rFonts w:ascii="Arial" w:cs="Arial" w:eastAsia="Arial" w:hAnsi="Arial"/>
          <w:sz w:val="21"/>
          <w:szCs w:val="21"/>
          <w:b w:val="1"/>
          <w:bCs w:val="1"/>
          <w:color w:val="auto"/>
        </w:rPr>
      </w:pPr>
    </w:p>
    <w:p>
      <w:pPr>
        <w:ind w:left="1040" w:hanging="384"/>
        <w:spacing w:after="0"/>
        <w:tabs>
          <w:tab w:leader="none" w:pos="1040" w:val="left"/>
        </w:tabs>
        <w:numPr>
          <w:ilvl w:val="1"/>
          <w:numId w:val="10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Vesting</w:t>
      </w:r>
      <w:r>
        <w:rPr>
          <w:rFonts w:ascii="Arial" w:cs="Arial" w:eastAsia="Arial" w:hAnsi="Arial"/>
          <w:sz w:val="22"/>
          <w:szCs w:val="22"/>
          <w:color w:val="auto"/>
        </w:rPr>
        <w:t>.</w:t>
      </w:r>
    </w:p>
    <w:p>
      <w:pPr>
        <w:spacing w:after="0" w:line="219" w:lineRule="exact"/>
        <w:rPr>
          <w:rFonts w:ascii="Arial" w:cs="Arial" w:eastAsia="Arial" w:hAnsi="Arial"/>
          <w:sz w:val="22"/>
          <w:szCs w:val="22"/>
          <w:b w:val="1"/>
          <w:bCs w:val="1"/>
          <w:color w:val="auto"/>
        </w:rPr>
      </w:pPr>
    </w:p>
    <w:p>
      <w:pPr>
        <w:ind w:left="660" w:right="180" w:firstLine="645"/>
        <w:spacing w:after="0" w:line="269" w:lineRule="auto"/>
        <w:tabs>
          <w:tab w:leader="none" w:pos="2196" w:val="left"/>
        </w:tabs>
        <w:numPr>
          <w:ilvl w:val="2"/>
          <w:numId w:val="109"/>
        </w:numPr>
        <w:rPr>
          <w:rFonts w:ascii="Arial" w:cs="Arial" w:eastAsia="Arial" w:hAnsi="Arial"/>
          <w:sz w:val="22"/>
          <w:szCs w:val="22"/>
          <w:color w:val="auto"/>
        </w:rPr>
      </w:pPr>
      <w:r>
        <w:rPr>
          <w:rFonts w:ascii="Arial" w:cs="Arial" w:eastAsia="Arial" w:hAnsi="Arial"/>
          <w:sz w:val="22"/>
          <w:szCs w:val="22"/>
          <w:b w:val="1"/>
          <w:bCs w:val="1"/>
          <w:color w:val="auto"/>
        </w:rPr>
        <w:t>General</w:t>
      </w:r>
      <w:r>
        <w:rPr>
          <w:rFonts w:ascii="Arial" w:cs="Arial" w:eastAsia="Arial" w:hAnsi="Arial"/>
          <w:sz w:val="22"/>
          <w:szCs w:val="22"/>
          <w:color w:val="auto"/>
        </w:rPr>
        <w:t>. Subject to Section II.A.1(b), the Restricted Stock Units will vest in full on the first anniversary</w:t>
      </w:r>
      <w:r>
        <w:rPr>
          <w:rFonts w:ascii="Arial" w:cs="Arial" w:eastAsia="Arial" w:hAnsi="Arial"/>
          <w:sz w:val="22"/>
          <w:szCs w:val="22"/>
          <w:b w:val="1"/>
          <w:bCs w:val="1"/>
          <w:color w:val="auto"/>
        </w:rPr>
        <w:t xml:space="preserve"> </w:t>
      </w:r>
      <w:r>
        <w:rPr>
          <w:rFonts w:ascii="Arial" w:cs="Arial" w:eastAsia="Arial" w:hAnsi="Arial"/>
          <w:sz w:val="22"/>
          <w:szCs w:val="22"/>
          <w:color w:val="auto"/>
        </w:rPr>
        <w:t>of the Grant Date (the “Vesting Date”), subject to Grantee’s</w:t>
      </w:r>
    </w:p>
    <w:p>
      <w:pPr>
        <w:sectPr>
          <w:pgSz w:w="11900" w:h="16838" w:orient="portrait"/>
          <w:cols w:equalWidth="0" w:num="1">
            <w:col w:w="11420"/>
          </w:cols>
          <w:pgMar w:left="240" w:top="625" w:right="239" w:bottom="1440" w:gutter="0" w:footer="0" w:header="0"/>
        </w:sectPr>
      </w:pPr>
    </w:p>
    <w:bookmarkStart w:id="110" w:name="page111"/>
    <w:bookmarkEnd w:id="110"/>
    <w:p>
      <w:pPr>
        <w:ind w:left="580" w:right="280"/>
        <w:spacing w:after="0" w:line="253" w:lineRule="auto"/>
        <w:rPr>
          <w:sz w:val="20"/>
          <w:szCs w:val="20"/>
          <w:color w:val="auto"/>
        </w:rPr>
      </w:pPr>
      <w:r>
        <w:rPr>
          <w:rFonts w:ascii="Arial" w:cs="Arial" w:eastAsia="Arial" w:hAnsi="Arial"/>
          <w:sz w:val="22"/>
          <w:szCs w:val="22"/>
          <w:color w:val="auto"/>
        </w:rPr>
        <w:t xml:space="preserve">continued status as a Service Provider through such Vesting Date;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subject to Code Section 409A, the Corporation retains the right to accelerate the vesting of all or a portion of the Restricted Stock Units subject to this Award.</w:t>
      </w:r>
    </w:p>
    <w:p>
      <w:pPr>
        <w:spacing w:after="0" w:line="220" w:lineRule="exact"/>
        <w:rPr>
          <w:sz w:val="20"/>
          <w:szCs w:val="20"/>
          <w:color w:val="auto"/>
        </w:rPr>
      </w:pPr>
    </w:p>
    <w:p>
      <w:pPr>
        <w:ind w:left="580" w:right="120" w:firstLine="645"/>
        <w:spacing w:after="0" w:line="298" w:lineRule="auto"/>
        <w:tabs>
          <w:tab w:leader="none" w:pos="2129" w:val="left"/>
        </w:tabs>
        <w:numPr>
          <w:ilvl w:val="2"/>
          <w:numId w:val="110"/>
        </w:numPr>
        <w:rPr>
          <w:rFonts w:ascii="Arial" w:cs="Arial" w:eastAsia="Arial" w:hAnsi="Arial"/>
          <w:sz w:val="19"/>
          <w:szCs w:val="19"/>
          <w:color w:val="auto"/>
        </w:rPr>
      </w:pPr>
      <w:r>
        <w:rPr>
          <w:rFonts w:ascii="Arial" w:cs="Arial" w:eastAsia="Arial" w:hAnsi="Arial"/>
          <w:sz w:val="19"/>
          <w:szCs w:val="19"/>
          <w:b w:val="1"/>
          <w:bCs w:val="1"/>
          <w:color w:val="auto"/>
        </w:rPr>
        <w:t>Termination of Service; Forfeiture</w:t>
      </w:r>
      <w:r>
        <w:rPr>
          <w:rFonts w:ascii="Arial" w:cs="Arial" w:eastAsia="Arial" w:hAnsi="Arial"/>
          <w:sz w:val="19"/>
          <w:szCs w:val="19"/>
          <w:color w:val="auto"/>
        </w:rPr>
        <w:t>. Any unvested Restricted Stock Units subject to this Award will be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canceled and forfeited if Grantee terminates as a Service Provider, or if Grantee’s status as a Service Provider is terminated by the Corporation, for any reason before the Vesting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if Grantee ceases to be a Service Provider prior to the Vesting Date as a result of Grantee’s death or Disability, Grantee shall fully vest in the Restricted Stock Units subject to the Award as of the date on which Grantee ceases to be a Service Provider due to Grantee’s death or Disability.</w:t>
      </w:r>
    </w:p>
    <w:p>
      <w:pPr>
        <w:spacing w:after="0" w:line="183" w:lineRule="exact"/>
        <w:rPr>
          <w:rFonts w:ascii="Arial" w:cs="Arial" w:eastAsia="Arial" w:hAnsi="Arial"/>
          <w:sz w:val="19"/>
          <w:szCs w:val="19"/>
          <w:color w:val="auto"/>
        </w:rPr>
      </w:pPr>
    </w:p>
    <w:p>
      <w:pPr>
        <w:ind w:left="960" w:hanging="384"/>
        <w:spacing w:after="0"/>
        <w:tabs>
          <w:tab w:leader="none" w:pos="960" w:val="left"/>
        </w:tabs>
        <w:numPr>
          <w:ilvl w:val="0"/>
          <w:numId w:val="11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Settlement</w:t>
      </w:r>
      <w:r>
        <w:rPr>
          <w:rFonts w:ascii="Arial" w:cs="Arial" w:eastAsia="Arial" w:hAnsi="Arial"/>
          <w:sz w:val="22"/>
          <w:szCs w:val="22"/>
          <w:color w:val="auto"/>
        </w:rPr>
        <w:t>.</w:t>
      </w:r>
    </w:p>
    <w:p>
      <w:pPr>
        <w:spacing w:after="0" w:line="219" w:lineRule="exact"/>
        <w:rPr>
          <w:rFonts w:ascii="Arial" w:cs="Arial" w:eastAsia="Arial" w:hAnsi="Arial"/>
          <w:sz w:val="22"/>
          <w:szCs w:val="22"/>
          <w:b w:val="1"/>
          <w:bCs w:val="1"/>
          <w:color w:val="auto"/>
        </w:rPr>
      </w:pPr>
    </w:p>
    <w:p>
      <w:pPr>
        <w:ind w:left="580" w:right="20" w:firstLine="645"/>
        <w:spacing w:after="0" w:line="256" w:lineRule="auto"/>
        <w:tabs>
          <w:tab w:leader="none" w:pos="1684" w:val="left"/>
        </w:tabs>
        <w:numPr>
          <w:ilvl w:val="2"/>
          <w:numId w:val="111"/>
        </w:numPr>
        <w:rPr>
          <w:rFonts w:ascii="Arial" w:cs="Arial" w:eastAsia="Arial" w:hAnsi="Arial"/>
          <w:sz w:val="22"/>
          <w:szCs w:val="22"/>
          <w:color w:val="auto"/>
        </w:rPr>
      </w:pPr>
      <w:r>
        <w:rPr>
          <w:rFonts w:ascii="Arial" w:cs="Arial" w:eastAsia="Arial" w:hAnsi="Arial"/>
          <w:sz w:val="22"/>
          <w:szCs w:val="22"/>
          <w:b w:val="1"/>
          <w:bCs w:val="1"/>
          <w:color w:val="auto"/>
        </w:rPr>
        <w:t>General</w:t>
      </w:r>
      <w:r>
        <w:rPr>
          <w:rFonts w:ascii="Arial" w:cs="Arial" w:eastAsia="Arial" w:hAnsi="Arial"/>
          <w:sz w:val="22"/>
          <w:szCs w:val="22"/>
          <w:color w:val="auto"/>
        </w:rPr>
        <w:t>. Subject to Section II.A.2(b) below, and as soon as administratively practicable following (but no later</w:t>
      </w:r>
      <w:r>
        <w:rPr>
          <w:rFonts w:ascii="Arial" w:cs="Arial" w:eastAsia="Arial" w:hAnsi="Arial"/>
          <w:sz w:val="22"/>
          <w:szCs w:val="22"/>
          <w:b w:val="1"/>
          <w:bCs w:val="1"/>
          <w:color w:val="auto"/>
        </w:rPr>
        <w:t xml:space="preserve"> </w:t>
      </w:r>
      <w:r>
        <w:rPr>
          <w:rFonts w:ascii="Arial" w:cs="Arial" w:eastAsia="Arial" w:hAnsi="Arial"/>
          <w:sz w:val="22"/>
          <w:szCs w:val="22"/>
          <w:color w:val="auto"/>
        </w:rPr>
        <w:t>than thirty (30) days following) the Vesting Date, the Corporation shall issue Grantee one share of Stock for each vested Restricted Stock Unit.</w:t>
      </w:r>
    </w:p>
    <w:p>
      <w:pPr>
        <w:spacing w:after="0" w:line="216" w:lineRule="exact"/>
        <w:rPr>
          <w:rFonts w:ascii="Arial" w:cs="Arial" w:eastAsia="Arial" w:hAnsi="Arial"/>
          <w:sz w:val="22"/>
          <w:szCs w:val="22"/>
          <w:color w:val="auto"/>
        </w:rPr>
      </w:pPr>
    </w:p>
    <w:p>
      <w:pPr>
        <w:ind w:left="580" w:right="20" w:firstLine="645"/>
        <w:spacing w:after="0" w:line="298" w:lineRule="auto"/>
        <w:tabs>
          <w:tab w:leader="none" w:pos="1696" w:val="left"/>
        </w:tabs>
        <w:numPr>
          <w:ilvl w:val="2"/>
          <w:numId w:val="111"/>
        </w:numPr>
        <w:rPr>
          <w:rFonts w:ascii="Arial" w:cs="Arial" w:eastAsia="Arial" w:hAnsi="Arial"/>
          <w:sz w:val="19"/>
          <w:szCs w:val="19"/>
          <w:color w:val="auto"/>
        </w:rPr>
      </w:pPr>
      <w:r>
        <w:rPr>
          <w:rFonts w:ascii="Arial" w:cs="Arial" w:eastAsia="Arial" w:hAnsi="Arial"/>
          <w:sz w:val="19"/>
          <w:szCs w:val="19"/>
          <w:b w:val="1"/>
          <w:bCs w:val="1"/>
          <w:color w:val="auto"/>
        </w:rPr>
        <w:t>Other Payment Events</w:t>
      </w:r>
      <w:r>
        <w:rPr>
          <w:rFonts w:ascii="Arial" w:cs="Arial" w:eastAsia="Arial" w:hAnsi="Arial"/>
          <w:sz w:val="19"/>
          <w:szCs w:val="19"/>
          <w:color w:val="auto"/>
        </w:rPr>
        <w:t>. Notwithstanding Section II.A.2(a), to the extent the Restricted Stock Units have not</w:t>
      </w:r>
      <w:r>
        <w:rPr>
          <w:rFonts w:ascii="Arial" w:cs="Arial" w:eastAsia="Arial" w:hAnsi="Arial"/>
          <w:sz w:val="19"/>
          <w:szCs w:val="19"/>
          <w:b w:val="1"/>
          <w:bCs w:val="1"/>
          <w:color w:val="auto"/>
        </w:rPr>
        <w:t xml:space="preserve"> </w:t>
      </w:r>
      <w:r>
        <w:rPr>
          <w:rFonts w:ascii="Arial" w:cs="Arial" w:eastAsia="Arial" w:hAnsi="Arial"/>
          <w:sz w:val="19"/>
          <w:szCs w:val="19"/>
          <w:color w:val="auto"/>
        </w:rPr>
        <w:t>previously been settled, if Grantee ceases to be a Service Provider prior to the Vesting Date as a result of Grantee’s death or Disability, and such cessation to be a Service Provider constitutes a separation from service (within the meaning of Treasury Regulation Section 1.409A-1(h)), the Corporation shall issue Grantee one share of Stock for each vested Restricted Stock Unit as soon as practicable following (but no later than thirty (30) days following) the date of such cessation.</w:t>
      </w:r>
    </w:p>
    <w:p>
      <w:pPr>
        <w:spacing w:after="0" w:line="183" w:lineRule="exact"/>
        <w:rPr>
          <w:rFonts w:ascii="Arial" w:cs="Arial" w:eastAsia="Arial" w:hAnsi="Arial"/>
          <w:sz w:val="19"/>
          <w:szCs w:val="19"/>
          <w:color w:val="auto"/>
        </w:rPr>
      </w:pPr>
    </w:p>
    <w:p>
      <w:pPr>
        <w:ind w:firstLine="644"/>
        <w:spacing w:after="0" w:line="289" w:lineRule="auto"/>
        <w:tabs>
          <w:tab w:leader="none" w:pos="1026" w:val="left"/>
        </w:tabs>
        <w:numPr>
          <w:ilvl w:val="1"/>
          <w:numId w:val="111"/>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Dividend Equivalent Rights</w:t>
      </w:r>
      <w:r>
        <w:rPr>
          <w:rFonts w:ascii="Arial" w:cs="Arial" w:eastAsia="Arial" w:hAnsi="Arial"/>
          <w:sz w:val="19"/>
          <w:szCs w:val="19"/>
          <w:color w:val="auto"/>
        </w:rPr>
        <w:t>. From and after the Grant Date and until the earlier of (a) the time when the Restricted</w:t>
      </w:r>
      <w:r>
        <w:rPr>
          <w:rFonts w:ascii="Arial" w:cs="Arial" w:eastAsia="Arial" w:hAnsi="Arial"/>
          <w:sz w:val="19"/>
          <w:szCs w:val="19"/>
          <w:b w:val="1"/>
          <w:bCs w:val="1"/>
          <w:color w:val="auto"/>
        </w:rPr>
        <w:t xml:space="preserve"> </w:t>
      </w:r>
      <w:r>
        <w:rPr>
          <w:rFonts w:ascii="Arial" w:cs="Arial" w:eastAsia="Arial" w:hAnsi="Arial"/>
          <w:sz w:val="19"/>
          <w:szCs w:val="19"/>
          <w:color w:val="auto"/>
        </w:rPr>
        <w:t>Stock Units vest and are settled in accordance with Section II.A.2 hereof or (b) the time when Grantee’s rights to the Restricted Stock Units are forfeited in accordance with Section II.A.1(b) hereof, on the date that the Corporation pays a cash dividend (if any) to holders of Stock generally, Grantee shall be credited with cash per Restricted Stock Unit equal to the amount of such dividend. Any amounts credited pursuant to the immediately preceding sentence shall be subject to the same applicable terms and conditions (including vesting, payment or forfeitability) as apply to the Restricted Stock Units based on which the dividend equivalents were credited, and such amounts shall be paid in either cash or Stock, as determined by the Committee in its sole discretion, at the same time as the Restricted Stock Units to which they relate. If such amounts are paid in Stock, the number of shares so paid shall be rounded down to the nearest whole number and shall be determined by dividing such credited amounts by the Fair Market Value per share of Stock on the payment date.</w:t>
      </w:r>
    </w:p>
    <w:p>
      <w:pPr>
        <w:spacing w:after="0" w:line="151" w:lineRule="exact"/>
        <w:rPr>
          <w:rFonts w:ascii="Arial" w:cs="Arial" w:eastAsia="Arial" w:hAnsi="Arial"/>
          <w:sz w:val="19"/>
          <w:szCs w:val="19"/>
          <w:b w:val="1"/>
          <w:bCs w:val="1"/>
          <w:color w:val="auto"/>
        </w:rPr>
      </w:pPr>
    </w:p>
    <w:p>
      <w:pPr>
        <w:ind w:firstLine="644"/>
        <w:spacing w:after="0" w:line="293" w:lineRule="auto"/>
        <w:tabs>
          <w:tab w:leader="none" w:pos="1026" w:val="left"/>
        </w:tabs>
        <w:numPr>
          <w:ilvl w:val="1"/>
          <w:numId w:val="111"/>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Rights as a Shareholder</w:t>
      </w:r>
      <w:r>
        <w:rPr>
          <w:rFonts w:ascii="Arial" w:cs="Arial" w:eastAsia="Arial" w:hAnsi="Arial"/>
          <w:sz w:val="21"/>
          <w:szCs w:val="21"/>
          <w:b w:val="1"/>
          <w:bCs w:val="1"/>
          <w:color w:val="auto"/>
        </w:rPr>
        <w:t xml:space="preserve">. </w:t>
      </w:r>
      <w:r>
        <w:rPr>
          <w:rFonts w:ascii="Arial" w:cs="Arial" w:eastAsia="Arial" w:hAnsi="Arial"/>
          <w:sz w:val="21"/>
          <w:szCs w:val="21"/>
          <w:color w:val="auto"/>
        </w:rPr>
        <w:t>Grantee will not have any rights of a stockholder (including voting and dividend rights) with</w:t>
      </w:r>
      <w:r>
        <w:rPr>
          <w:rFonts w:ascii="Arial" w:cs="Arial" w:eastAsia="Arial" w:hAnsi="Arial"/>
          <w:sz w:val="21"/>
          <w:szCs w:val="21"/>
          <w:b w:val="1"/>
          <w:bCs w:val="1"/>
          <w:color w:val="auto"/>
        </w:rPr>
        <w:t xml:space="preserve"> </w:t>
      </w:r>
      <w:r>
        <w:rPr>
          <w:rFonts w:ascii="Arial" w:cs="Arial" w:eastAsia="Arial" w:hAnsi="Arial"/>
          <w:sz w:val="21"/>
          <w:szCs w:val="21"/>
          <w:color w:val="auto"/>
        </w:rPr>
        <w:t>respect to the Restricted Stock Units covered by this Award (except as otherwise provided in Section II.A.3).</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340"/>
          </w:cols>
          <w:pgMar w:left="320" w:top="631" w:right="239" w:bottom="1440" w:gutter="0" w:footer="0" w:header="0"/>
        </w:sectPr>
      </w:pPr>
    </w:p>
    <w:bookmarkStart w:id="111" w:name="page112"/>
    <w:bookmarkEnd w:id="111"/>
    <w:p>
      <w:pPr>
        <w:ind w:firstLine="656"/>
        <w:spacing w:after="0" w:line="269" w:lineRule="auto"/>
        <w:tabs>
          <w:tab w:leader="none" w:pos="1067" w:val="left"/>
        </w:tabs>
        <w:numPr>
          <w:ilvl w:val="1"/>
          <w:numId w:val="11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Adjustments</w:t>
      </w:r>
      <w:r>
        <w:rPr>
          <w:rFonts w:ascii="Arial" w:cs="Arial" w:eastAsia="Arial" w:hAnsi="Arial"/>
          <w:sz w:val="22"/>
          <w:szCs w:val="22"/>
          <w:b w:val="1"/>
          <w:bCs w:val="1"/>
          <w:color w:val="auto"/>
        </w:rPr>
        <w:t xml:space="preserve">. </w:t>
      </w:r>
      <w:r>
        <w:rPr>
          <w:rFonts w:ascii="Arial" w:cs="Arial" w:eastAsia="Arial" w:hAnsi="Arial"/>
          <w:sz w:val="22"/>
          <w:szCs w:val="22"/>
          <w:color w:val="auto"/>
        </w:rPr>
        <w:t>The Restricted Stock Units covered by this Award will be subject to adjustment as provided in Section</w:t>
      </w:r>
      <w:r>
        <w:rPr>
          <w:rFonts w:ascii="Arial" w:cs="Arial" w:eastAsia="Arial" w:hAnsi="Arial"/>
          <w:sz w:val="22"/>
          <w:szCs w:val="22"/>
          <w:b w:val="1"/>
          <w:bCs w:val="1"/>
          <w:color w:val="auto"/>
        </w:rPr>
        <w:t xml:space="preserve"> </w:t>
      </w:r>
      <w:r>
        <w:rPr>
          <w:rFonts w:ascii="Arial" w:cs="Arial" w:eastAsia="Arial" w:hAnsi="Arial"/>
          <w:sz w:val="22"/>
          <w:szCs w:val="22"/>
          <w:color w:val="auto"/>
        </w:rPr>
        <w:t>17 of the Plan.</w:t>
      </w:r>
    </w:p>
    <w:p>
      <w:pPr>
        <w:spacing w:after="0" w:line="162" w:lineRule="exact"/>
        <w:rPr>
          <w:rFonts w:ascii="Arial" w:cs="Arial" w:eastAsia="Arial" w:hAnsi="Arial"/>
          <w:sz w:val="22"/>
          <w:szCs w:val="22"/>
          <w:b w:val="1"/>
          <w:bCs w:val="1"/>
          <w:color w:val="auto"/>
        </w:rPr>
      </w:pPr>
    </w:p>
    <w:p>
      <w:pPr>
        <w:ind w:left="420" w:hanging="412"/>
        <w:spacing w:after="0"/>
        <w:tabs>
          <w:tab w:leader="none" w:pos="420" w:val="left"/>
        </w:tabs>
        <w:numPr>
          <w:ilvl w:val="0"/>
          <w:numId w:val="11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Other Terms and Conditions</w:t>
      </w:r>
      <w:r>
        <w:rPr>
          <w:rFonts w:ascii="Arial" w:cs="Arial" w:eastAsia="Arial" w:hAnsi="Arial"/>
          <w:sz w:val="22"/>
          <w:szCs w:val="22"/>
          <w:b w:val="1"/>
          <w:bCs w:val="1"/>
          <w:color w:val="auto"/>
        </w:rPr>
        <w:t>.</w:t>
      </w:r>
    </w:p>
    <w:p>
      <w:pPr>
        <w:spacing w:after="0" w:line="219" w:lineRule="exact"/>
        <w:rPr>
          <w:rFonts w:ascii="Arial" w:cs="Arial" w:eastAsia="Arial" w:hAnsi="Arial"/>
          <w:sz w:val="22"/>
          <w:szCs w:val="22"/>
          <w:b w:val="1"/>
          <w:bCs w:val="1"/>
          <w:color w:val="auto"/>
        </w:rPr>
      </w:pPr>
    </w:p>
    <w:p>
      <w:pPr>
        <w:jc w:val="both"/>
        <w:ind w:firstLine="656"/>
        <w:spacing w:after="0" w:line="252" w:lineRule="auto"/>
        <w:tabs>
          <w:tab w:leader="none" w:pos="1067" w:val="left"/>
        </w:tabs>
        <w:numPr>
          <w:ilvl w:val="1"/>
          <w:numId w:val="11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Non-Transferability of Award</w:t>
      </w:r>
      <w:r>
        <w:rPr>
          <w:rFonts w:ascii="Arial" w:cs="Arial" w:eastAsia="Arial" w:hAnsi="Arial"/>
          <w:sz w:val="22"/>
          <w:szCs w:val="22"/>
          <w:color w:val="auto"/>
        </w:rPr>
        <w:t>. Except as described below, this Award and the Restricted Stock Units subject to this</w:t>
      </w:r>
      <w:r>
        <w:rPr>
          <w:rFonts w:ascii="Arial" w:cs="Arial" w:eastAsia="Arial" w:hAnsi="Arial"/>
          <w:sz w:val="22"/>
          <w:szCs w:val="22"/>
          <w:b w:val="1"/>
          <w:bCs w:val="1"/>
          <w:color w:val="auto"/>
        </w:rPr>
        <w:t xml:space="preserve"> </w:t>
      </w:r>
      <w:r>
        <w:rPr>
          <w:rFonts w:ascii="Arial" w:cs="Arial" w:eastAsia="Arial" w:hAnsi="Arial"/>
          <w:sz w:val="22"/>
          <w:szCs w:val="22"/>
          <w:color w:val="auto"/>
        </w:rPr>
        <w:t>Award may not be sold, pledged, assigned, hypothecated, transferred, or disposed of in any manner other than by will or by the laws of descent or distribution. The terms of this Award are binding on the executors, administrators, heirs, successors and assigns of Grantee.</w:t>
      </w:r>
    </w:p>
    <w:p>
      <w:pPr>
        <w:spacing w:after="0" w:line="180" w:lineRule="exact"/>
        <w:rPr>
          <w:rFonts w:ascii="Arial" w:cs="Arial" w:eastAsia="Arial" w:hAnsi="Arial"/>
          <w:sz w:val="22"/>
          <w:szCs w:val="22"/>
          <w:b w:val="1"/>
          <w:bCs w:val="1"/>
          <w:color w:val="auto"/>
        </w:rPr>
      </w:pPr>
    </w:p>
    <w:p>
      <w:pPr>
        <w:jc w:val="both"/>
        <w:ind w:firstLine="656"/>
        <w:spacing w:after="0" w:line="256" w:lineRule="auto"/>
        <w:tabs>
          <w:tab w:leader="none" w:pos="1053" w:val="left"/>
        </w:tabs>
        <w:numPr>
          <w:ilvl w:val="1"/>
          <w:numId w:val="11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Taxes</w:t>
      </w:r>
      <w:r>
        <w:rPr>
          <w:rFonts w:ascii="Arial" w:cs="Arial" w:eastAsia="Arial" w:hAnsi="Arial"/>
          <w:sz w:val="22"/>
          <w:szCs w:val="22"/>
          <w:b w:val="1"/>
          <w:bCs w:val="1"/>
          <w:color w:val="auto"/>
        </w:rPr>
        <w:t xml:space="preserve">. </w:t>
      </w:r>
      <w:r>
        <w:rPr>
          <w:rFonts w:ascii="Arial" w:cs="Arial" w:eastAsia="Arial" w:hAnsi="Arial"/>
          <w:sz w:val="22"/>
          <w:szCs w:val="22"/>
          <w:color w:val="auto"/>
        </w:rPr>
        <w:t>Grantee is responsible for the payment of any and all taxes that arise with respect to the Award. Grantee agrees</w:t>
      </w:r>
      <w:r>
        <w:rPr>
          <w:rFonts w:ascii="Arial" w:cs="Arial" w:eastAsia="Arial" w:hAnsi="Arial"/>
          <w:sz w:val="22"/>
          <w:szCs w:val="22"/>
          <w:b w:val="1"/>
          <w:bCs w:val="1"/>
          <w:color w:val="auto"/>
        </w:rPr>
        <w:t xml:space="preserve"> </w:t>
      </w:r>
      <w:r>
        <w:rPr>
          <w:rFonts w:ascii="Arial" w:cs="Arial" w:eastAsia="Arial" w:hAnsi="Arial"/>
          <w:sz w:val="22"/>
          <w:szCs w:val="22"/>
          <w:color w:val="auto"/>
        </w:rPr>
        <w:t>to tender sufficient funds to satisfy any applicable taxes arising in connection with the vesting of the Restricted Stock Units under the Award.</w:t>
      </w:r>
    </w:p>
    <w:p>
      <w:pPr>
        <w:spacing w:after="0" w:line="176" w:lineRule="exact"/>
        <w:rPr>
          <w:rFonts w:ascii="Arial" w:cs="Arial" w:eastAsia="Arial" w:hAnsi="Arial"/>
          <w:sz w:val="22"/>
          <w:szCs w:val="22"/>
          <w:b w:val="1"/>
          <w:bCs w:val="1"/>
          <w:color w:val="auto"/>
        </w:rPr>
      </w:pPr>
    </w:p>
    <w:p>
      <w:pPr>
        <w:jc w:val="both"/>
        <w:ind w:firstLine="656"/>
        <w:spacing w:after="0" w:line="252" w:lineRule="auto"/>
        <w:tabs>
          <w:tab w:leader="none" w:pos="1080" w:val="left"/>
        </w:tabs>
        <w:numPr>
          <w:ilvl w:val="1"/>
          <w:numId w:val="11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Dispute Resolution</w:t>
      </w:r>
      <w:r>
        <w:rPr>
          <w:rFonts w:ascii="Arial" w:cs="Arial" w:eastAsia="Arial" w:hAnsi="Arial"/>
          <w:sz w:val="22"/>
          <w:szCs w:val="22"/>
          <w:color w:val="auto"/>
        </w:rPr>
        <w:t>. Grantee and the Corporation agree that any disagreement, dispute, controversy, or claim arising</w:t>
      </w:r>
      <w:r>
        <w:rPr>
          <w:rFonts w:ascii="Arial" w:cs="Arial" w:eastAsia="Arial" w:hAnsi="Arial"/>
          <w:sz w:val="22"/>
          <w:szCs w:val="22"/>
          <w:b w:val="1"/>
          <w:bCs w:val="1"/>
          <w:color w:val="auto"/>
        </w:rPr>
        <w:t xml:space="preserve"> </w:t>
      </w:r>
      <w:r>
        <w:rPr>
          <w:rFonts w:ascii="Arial" w:cs="Arial" w:eastAsia="Arial" w:hAnsi="Arial"/>
          <w:sz w:val="22"/>
          <w:szCs w:val="22"/>
          <w:color w:val="auto"/>
        </w:rPr>
        <w:t>out of or relating to this Agreement, its interpretation, validity, or the alleged breach of this Agreement, will be settled exclusively and, consistent with the procedures specified in this Section II.B.3, irrespective of its magnitude, the amount in controversy, or the nature of the relief sought, in accordance with the following:</w:t>
      </w:r>
    </w:p>
    <w:p>
      <w:pPr>
        <w:spacing w:after="0" w:line="180" w:lineRule="exact"/>
        <w:rPr>
          <w:rFonts w:ascii="Arial" w:cs="Arial" w:eastAsia="Arial" w:hAnsi="Arial"/>
          <w:sz w:val="22"/>
          <w:szCs w:val="22"/>
          <w:b w:val="1"/>
          <w:bCs w:val="1"/>
          <w:color w:val="auto"/>
        </w:rPr>
      </w:pPr>
    </w:p>
    <w:p>
      <w:pPr>
        <w:jc w:val="both"/>
        <w:ind w:left="560" w:firstLine="650"/>
        <w:spacing w:after="0" w:line="256" w:lineRule="auto"/>
        <w:tabs>
          <w:tab w:leader="none" w:pos="1759" w:val="left"/>
        </w:tabs>
        <w:numPr>
          <w:ilvl w:val="2"/>
          <w:numId w:val="113"/>
        </w:numPr>
        <w:rPr>
          <w:rFonts w:ascii="Arial" w:cs="Arial" w:eastAsia="Arial" w:hAnsi="Arial"/>
          <w:sz w:val="22"/>
          <w:szCs w:val="22"/>
          <w:color w:val="auto"/>
        </w:rPr>
      </w:pPr>
      <w:r>
        <w:rPr>
          <w:rFonts w:ascii="Arial" w:cs="Arial" w:eastAsia="Arial" w:hAnsi="Arial"/>
          <w:sz w:val="22"/>
          <w:szCs w:val="22"/>
          <w:b w:val="1"/>
          <w:bCs w:val="1"/>
          <w:color w:val="auto"/>
        </w:rPr>
        <w:t>Negotiation</w:t>
      </w:r>
      <w:r>
        <w:rPr>
          <w:rFonts w:ascii="Arial" w:cs="Arial" w:eastAsia="Arial" w:hAnsi="Arial"/>
          <w:sz w:val="22"/>
          <w:szCs w:val="22"/>
          <w:color w:val="auto"/>
        </w:rPr>
        <w:t>. Grantee and the Corporation will use their best efforts to settle the dispute, claim, question or</w:t>
      </w:r>
      <w:r>
        <w:rPr>
          <w:rFonts w:ascii="Arial" w:cs="Arial" w:eastAsia="Arial" w:hAnsi="Arial"/>
          <w:sz w:val="22"/>
          <w:szCs w:val="22"/>
          <w:b w:val="1"/>
          <w:bCs w:val="1"/>
          <w:color w:val="auto"/>
        </w:rPr>
        <w:t xml:space="preserve"> </w:t>
      </w:r>
      <w:r>
        <w:rPr>
          <w:rFonts w:ascii="Arial" w:cs="Arial" w:eastAsia="Arial" w:hAnsi="Arial"/>
          <w:sz w:val="22"/>
          <w:szCs w:val="22"/>
          <w:color w:val="auto"/>
        </w:rPr>
        <w:t>disagreement. To this effect, they will consult and negotiate with each other in good faith and, recognizing their mutual interests, attempt to reach a just and equitable solution satisfactory to both parties.</w:t>
      </w:r>
    </w:p>
    <w:p>
      <w:pPr>
        <w:spacing w:after="0" w:line="216" w:lineRule="exact"/>
        <w:rPr>
          <w:rFonts w:ascii="Arial" w:cs="Arial" w:eastAsia="Arial" w:hAnsi="Arial"/>
          <w:sz w:val="22"/>
          <w:szCs w:val="22"/>
          <w:color w:val="auto"/>
        </w:rPr>
      </w:pPr>
    </w:p>
    <w:p>
      <w:pPr>
        <w:jc w:val="both"/>
        <w:ind w:left="560" w:firstLine="650"/>
        <w:spacing w:after="0" w:line="249" w:lineRule="auto"/>
        <w:tabs>
          <w:tab w:leader="none" w:pos="1678" w:val="left"/>
        </w:tabs>
        <w:numPr>
          <w:ilvl w:val="2"/>
          <w:numId w:val="113"/>
        </w:numPr>
        <w:rPr>
          <w:rFonts w:ascii="Arial" w:cs="Arial" w:eastAsia="Arial" w:hAnsi="Arial"/>
          <w:sz w:val="22"/>
          <w:szCs w:val="22"/>
          <w:color w:val="auto"/>
        </w:rPr>
      </w:pPr>
      <w:r>
        <w:rPr>
          <w:rFonts w:ascii="Arial" w:cs="Arial" w:eastAsia="Arial" w:hAnsi="Arial"/>
          <w:sz w:val="22"/>
          <w:szCs w:val="22"/>
          <w:b w:val="1"/>
          <w:bCs w:val="1"/>
          <w:color w:val="auto"/>
        </w:rPr>
        <w:t>Arbitration</w:t>
      </w:r>
      <w:r>
        <w:rPr>
          <w:rFonts w:ascii="Arial" w:cs="Arial" w:eastAsia="Arial" w:hAnsi="Arial"/>
          <w:sz w:val="22"/>
          <w:szCs w:val="22"/>
          <w:color w:val="auto"/>
        </w:rPr>
        <w:t>. If Grantee and the Corporation do not reach a solution within a period of 30 days from the date on</w:t>
      </w:r>
      <w:r>
        <w:rPr>
          <w:rFonts w:ascii="Arial" w:cs="Arial" w:eastAsia="Arial" w:hAnsi="Arial"/>
          <w:sz w:val="22"/>
          <w:szCs w:val="22"/>
          <w:b w:val="1"/>
          <w:bCs w:val="1"/>
          <w:color w:val="auto"/>
        </w:rPr>
        <w:t xml:space="preserve"> </w:t>
      </w:r>
      <w:r>
        <w:rPr>
          <w:rFonts w:ascii="Arial" w:cs="Arial" w:eastAsia="Arial" w:hAnsi="Arial"/>
          <w:sz w:val="22"/>
          <w:szCs w:val="22"/>
          <w:color w:val="auto"/>
        </w:rPr>
        <w:t>which the dispute, claim, disagreement, or controversy arises, then, upon written notice by Grantee to the Corporation or the Corporation to Grantee, all disputes, claims, questions, controversies, or differences will be submitted to arbitration administered by the American Arbitration Association (the “AAA”) in accordance with the provisions of its Employment Arbitration Rules (the “Arbitration Rules”).</w:t>
      </w:r>
    </w:p>
    <w:p>
      <w:pPr>
        <w:spacing w:after="0" w:line="227" w:lineRule="exact"/>
        <w:rPr>
          <w:rFonts w:ascii="Arial" w:cs="Arial" w:eastAsia="Arial" w:hAnsi="Arial"/>
          <w:sz w:val="22"/>
          <w:szCs w:val="22"/>
          <w:color w:val="auto"/>
        </w:rPr>
      </w:pPr>
    </w:p>
    <w:p>
      <w:pPr>
        <w:jc w:val="both"/>
        <w:ind w:left="1300" w:firstLine="653"/>
        <w:spacing w:after="0" w:line="247" w:lineRule="auto"/>
        <w:tabs>
          <w:tab w:leader="none" w:pos="2470" w:val="left"/>
        </w:tabs>
        <w:numPr>
          <w:ilvl w:val="3"/>
          <w:numId w:val="113"/>
        </w:numPr>
        <w:rPr>
          <w:rFonts w:ascii="Arial" w:cs="Arial" w:eastAsia="Arial" w:hAnsi="Arial"/>
          <w:sz w:val="22"/>
          <w:szCs w:val="22"/>
          <w:color w:val="auto"/>
        </w:rPr>
      </w:pPr>
      <w:r>
        <w:rPr>
          <w:rFonts w:ascii="Arial" w:cs="Arial" w:eastAsia="Arial" w:hAnsi="Arial"/>
          <w:sz w:val="22"/>
          <w:szCs w:val="22"/>
          <w:b w:val="1"/>
          <w:bCs w:val="1"/>
          <w:color w:val="auto"/>
        </w:rPr>
        <w:t>Arbitrator</w:t>
      </w:r>
      <w:r>
        <w:rPr>
          <w:rFonts w:ascii="Arial" w:cs="Arial" w:eastAsia="Arial" w:hAnsi="Arial"/>
          <w:sz w:val="22"/>
          <w:szCs w:val="22"/>
          <w:color w:val="auto"/>
        </w:rPr>
        <w:t>. The arbitration will be conducted by one arbitrator skilled in the arbitration of executive</w:t>
      </w:r>
      <w:r>
        <w:rPr>
          <w:rFonts w:ascii="Arial" w:cs="Arial" w:eastAsia="Arial" w:hAnsi="Arial"/>
          <w:sz w:val="22"/>
          <w:szCs w:val="22"/>
          <w:b w:val="1"/>
          <w:bCs w:val="1"/>
          <w:color w:val="auto"/>
        </w:rPr>
        <w:t xml:space="preserve"> </w:t>
      </w:r>
      <w:r>
        <w:rPr>
          <w:rFonts w:ascii="Arial" w:cs="Arial" w:eastAsia="Arial" w:hAnsi="Arial"/>
          <w:sz w:val="22"/>
          <w:szCs w:val="22"/>
          <w:color w:val="auto"/>
        </w:rPr>
        <w:t>employment matters. The parties to the arbitration will jointly appoint the arbitrator within 30 days after initiation of the arbitration. If the parties fail to appoint an arbitrator as provided above, an arbitrator with substantial experience in executive employment matters will be appointed by the AAA as provided in the Arbitration Rules. The Corporation will pay all of the fees, if any, and expenses of the arbitrator and the arbitration, unless otherwise determined by the arbitrator. Each party to the arbitration will be responsible for his/its respective attorneys fees or other costs of representation.</w:t>
      </w:r>
    </w:p>
    <w:p>
      <w:pPr>
        <w:spacing w:after="0" w:line="189" w:lineRule="exact"/>
        <w:rPr>
          <w:rFonts w:ascii="Arial" w:cs="Arial" w:eastAsia="Arial" w:hAnsi="Arial"/>
          <w:sz w:val="22"/>
          <w:szCs w:val="22"/>
          <w:color w:val="auto"/>
        </w:rPr>
      </w:pPr>
    </w:p>
    <w:p>
      <w:pPr>
        <w:ind w:left="2420" w:hanging="467"/>
        <w:spacing w:after="0"/>
        <w:tabs>
          <w:tab w:leader="none" w:pos="2420" w:val="left"/>
        </w:tabs>
        <w:numPr>
          <w:ilvl w:val="3"/>
          <w:numId w:val="113"/>
        </w:numPr>
        <w:rPr>
          <w:rFonts w:ascii="Arial" w:cs="Arial" w:eastAsia="Arial" w:hAnsi="Arial"/>
          <w:sz w:val="22"/>
          <w:szCs w:val="22"/>
          <w:color w:val="auto"/>
        </w:rPr>
      </w:pPr>
      <w:r>
        <w:rPr>
          <w:rFonts w:ascii="Arial" w:cs="Arial" w:eastAsia="Arial" w:hAnsi="Arial"/>
          <w:sz w:val="22"/>
          <w:szCs w:val="22"/>
          <w:b w:val="1"/>
          <w:bCs w:val="1"/>
          <w:color w:val="auto"/>
        </w:rPr>
        <w:t>Location</w:t>
      </w:r>
      <w:r>
        <w:rPr>
          <w:rFonts w:ascii="Arial" w:cs="Arial" w:eastAsia="Arial" w:hAnsi="Arial"/>
          <w:sz w:val="22"/>
          <w:szCs w:val="22"/>
          <w:color w:val="auto"/>
        </w:rPr>
        <w:t>. The arbitration will be conducted in Oakland County, Michigan.</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625" w:right="239" w:bottom="1440" w:gutter="0" w:footer="0" w:header="0"/>
        </w:sectPr>
      </w:pPr>
    </w:p>
    <w:bookmarkStart w:id="112" w:name="page113"/>
    <w:bookmarkEnd w:id="112"/>
    <w:p>
      <w:pPr>
        <w:jc w:val="both"/>
        <w:ind w:left="1300" w:firstLine="653"/>
        <w:spacing w:after="0" w:line="249" w:lineRule="auto"/>
        <w:tabs>
          <w:tab w:leader="none" w:pos="2470" w:val="left"/>
        </w:tabs>
        <w:numPr>
          <w:ilvl w:val="0"/>
          <w:numId w:val="114"/>
        </w:numPr>
        <w:rPr>
          <w:rFonts w:ascii="Arial" w:cs="Arial" w:eastAsia="Arial" w:hAnsi="Arial"/>
          <w:sz w:val="22"/>
          <w:szCs w:val="22"/>
          <w:color w:val="auto"/>
        </w:rPr>
      </w:pPr>
      <w:r>
        <w:rPr>
          <w:rFonts w:ascii="Arial" w:cs="Arial" w:eastAsia="Arial" w:hAnsi="Arial"/>
          <w:sz w:val="22"/>
          <w:szCs w:val="22"/>
          <w:b w:val="1"/>
          <w:bCs w:val="1"/>
          <w:color w:val="auto"/>
        </w:rPr>
        <w:t>Procedure</w:t>
      </w:r>
      <w:r>
        <w:rPr>
          <w:rFonts w:ascii="Arial" w:cs="Arial" w:eastAsia="Arial" w:hAnsi="Arial"/>
          <w:sz w:val="22"/>
          <w:szCs w:val="22"/>
          <w:color w:val="auto"/>
        </w:rPr>
        <w:t>. At any oral hearing of evidence in connection with the arbitration, each party or its legal</w:t>
      </w:r>
      <w:r>
        <w:rPr>
          <w:rFonts w:ascii="Arial" w:cs="Arial" w:eastAsia="Arial" w:hAnsi="Arial"/>
          <w:sz w:val="22"/>
          <w:szCs w:val="22"/>
          <w:b w:val="1"/>
          <w:bCs w:val="1"/>
          <w:color w:val="auto"/>
        </w:rPr>
        <w:t xml:space="preserve"> </w:t>
      </w:r>
      <w:r>
        <w:rPr>
          <w:rFonts w:ascii="Arial" w:cs="Arial" w:eastAsia="Arial" w:hAnsi="Arial"/>
          <w:sz w:val="22"/>
          <w:szCs w:val="22"/>
          <w:color w:val="auto"/>
        </w:rPr>
        <w:t>counsel will have the right to examine its witnesses and cross-examine the witnesses of any opposing party. No evidence of any witness may be presented in any form unless the opposing party or parties has the opportunity to cross-examine the witness, except under extraordinary circumstances in which the arbitrator determines that the interests of justice require a different procedure.</w:t>
      </w:r>
    </w:p>
    <w:p>
      <w:pPr>
        <w:spacing w:after="0" w:line="186" w:lineRule="exact"/>
        <w:rPr>
          <w:rFonts w:ascii="Arial" w:cs="Arial" w:eastAsia="Arial" w:hAnsi="Arial"/>
          <w:sz w:val="22"/>
          <w:szCs w:val="22"/>
          <w:color w:val="auto"/>
        </w:rPr>
      </w:pPr>
    </w:p>
    <w:p>
      <w:pPr>
        <w:jc w:val="both"/>
        <w:ind w:left="1300" w:firstLine="653"/>
        <w:spacing w:after="0" w:line="252" w:lineRule="auto"/>
        <w:tabs>
          <w:tab w:leader="none" w:pos="2470" w:val="left"/>
        </w:tabs>
        <w:numPr>
          <w:ilvl w:val="0"/>
          <w:numId w:val="114"/>
        </w:numPr>
        <w:rPr>
          <w:rFonts w:ascii="Arial" w:cs="Arial" w:eastAsia="Arial" w:hAnsi="Arial"/>
          <w:sz w:val="22"/>
          <w:szCs w:val="22"/>
          <w:color w:val="auto"/>
        </w:rPr>
      </w:pPr>
      <w:r>
        <w:rPr>
          <w:rFonts w:ascii="Arial" w:cs="Arial" w:eastAsia="Arial" w:hAnsi="Arial"/>
          <w:sz w:val="22"/>
          <w:szCs w:val="22"/>
          <w:b w:val="1"/>
          <w:bCs w:val="1"/>
          <w:color w:val="auto"/>
        </w:rPr>
        <w:t>Decision</w:t>
      </w:r>
      <w:r>
        <w:rPr>
          <w:rFonts w:ascii="Arial" w:cs="Arial" w:eastAsia="Arial" w:hAnsi="Arial"/>
          <w:sz w:val="22"/>
          <w:szCs w:val="22"/>
          <w:color w:val="auto"/>
        </w:rPr>
        <w:t>. Any decision or award of the arbitrator is final and binding on the parties to the arbitration</w:t>
      </w:r>
      <w:r>
        <w:rPr>
          <w:rFonts w:ascii="Arial" w:cs="Arial" w:eastAsia="Arial" w:hAnsi="Arial"/>
          <w:sz w:val="22"/>
          <w:szCs w:val="22"/>
          <w:b w:val="1"/>
          <w:bCs w:val="1"/>
          <w:color w:val="auto"/>
        </w:rPr>
        <w:t xml:space="preserve"> </w:t>
      </w:r>
      <w:r>
        <w:rPr>
          <w:rFonts w:ascii="Arial" w:cs="Arial" w:eastAsia="Arial" w:hAnsi="Arial"/>
          <w:sz w:val="22"/>
          <w:szCs w:val="22"/>
          <w:color w:val="auto"/>
        </w:rPr>
        <w:t>proceeding. The parties agree that the arbitration award may be enforced against the parties to the arbitration proceeding or their assets wherever they may be found and that a judgment upon the arbitration award may be entered in any court having jurisdiction.</w:t>
      </w:r>
    </w:p>
    <w:p>
      <w:pPr>
        <w:spacing w:after="0" w:line="180" w:lineRule="exact"/>
        <w:rPr>
          <w:rFonts w:ascii="Arial" w:cs="Arial" w:eastAsia="Arial" w:hAnsi="Arial"/>
          <w:sz w:val="22"/>
          <w:szCs w:val="22"/>
          <w:color w:val="auto"/>
        </w:rPr>
      </w:pPr>
    </w:p>
    <w:p>
      <w:pPr>
        <w:ind w:left="1300" w:firstLine="653"/>
        <w:spacing w:after="0" w:line="350" w:lineRule="auto"/>
        <w:tabs>
          <w:tab w:leader="none" w:pos="2551" w:val="left"/>
        </w:tabs>
        <w:numPr>
          <w:ilvl w:val="0"/>
          <w:numId w:val="114"/>
        </w:numPr>
        <w:rPr>
          <w:rFonts w:ascii="Arial" w:cs="Arial" w:eastAsia="Arial" w:hAnsi="Arial"/>
          <w:sz w:val="19"/>
          <w:szCs w:val="19"/>
          <w:color w:val="auto"/>
        </w:rPr>
      </w:pPr>
      <w:r>
        <w:rPr>
          <w:rFonts w:ascii="Arial" w:cs="Arial" w:eastAsia="Arial" w:hAnsi="Arial"/>
          <w:sz w:val="19"/>
          <w:szCs w:val="19"/>
          <w:b w:val="1"/>
          <w:bCs w:val="1"/>
          <w:color w:val="auto"/>
        </w:rPr>
        <w:t>Power</w:t>
      </w:r>
      <w:r>
        <w:rPr>
          <w:rFonts w:ascii="Arial" w:cs="Arial" w:eastAsia="Arial" w:hAnsi="Arial"/>
          <w:sz w:val="19"/>
          <w:szCs w:val="19"/>
          <w:color w:val="auto"/>
        </w:rPr>
        <w:t>. Nothing contained in this Agreement may be deemed to give the arbitrator any authority,</w:t>
      </w:r>
      <w:r>
        <w:rPr>
          <w:rFonts w:ascii="Arial" w:cs="Arial" w:eastAsia="Arial" w:hAnsi="Arial"/>
          <w:sz w:val="19"/>
          <w:szCs w:val="19"/>
          <w:b w:val="1"/>
          <w:bCs w:val="1"/>
          <w:color w:val="auto"/>
        </w:rPr>
        <w:t xml:space="preserve"> </w:t>
      </w:r>
      <w:r>
        <w:rPr>
          <w:rFonts w:ascii="Arial" w:cs="Arial" w:eastAsia="Arial" w:hAnsi="Arial"/>
          <w:sz w:val="19"/>
          <w:szCs w:val="19"/>
          <w:color w:val="auto"/>
        </w:rPr>
        <w:t>power, or right to alter, change, amend, modify, add to, or subtract from any of the provisions of this Agreement.</w:t>
      </w:r>
    </w:p>
    <w:p>
      <w:pPr>
        <w:spacing w:after="0" w:line="98"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The provisions of this Section II.B.3 survive the termination or expiration of this Agreement, are binding on the Corporation’s and Grantee’s respective successors, heirs, personal representatives, designated beneficiaries and any other person asserting a claim described above, and may not be modified without the consent of the Corporation. To the extent arbitration is required, no person asserting a claim has the right to resort to any federal, state or local court or administrative agency concerning the claim unless expressly provided by federal statute, and the decision of the arbitrator is a complete defense to any action or proceeding instituted in any tribunal or agency with respect to any dispute, unless precluded by federal statute.</w:t>
      </w:r>
    </w:p>
    <w:p>
      <w:pPr>
        <w:spacing w:after="0" w:line="144" w:lineRule="exact"/>
        <w:rPr>
          <w:sz w:val="20"/>
          <w:szCs w:val="20"/>
          <w:color w:val="auto"/>
        </w:rPr>
      </w:pPr>
    </w:p>
    <w:p>
      <w:pPr>
        <w:ind w:firstLine="656"/>
        <w:spacing w:after="0" w:line="269" w:lineRule="auto"/>
        <w:tabs>
          <w:tab w:leader="none" w:pos="1040" w:val="left"/>
        </w:tabs>
        <w:numPr>
          <w:ilvl w:val="0"/>
          <w:numId w:val="11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Code Section 409A</w:t>
      </w:r>
      <w:r>
        <w:rPr>
          <w:rFonts w:ascii="Arial" w:cs="Arial" w:eastAsia="Arial" w:hAnsi="Arial"/>
          <w:sz w:val="22"/>
          <w:szCs w:val="22"/>
          <w:u w:val="single" w:color="auto"/>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Without limiting the generality of any other provision of this Agreement, Sections 18.9 and 18.10</w:t>
      </w:r>
      <w:r>
        <w:rPr>
          <w:rFonts w:ascii="Arial" w:cs="Arial" w:eastAsia="Arial" w:hAnsi="Arial"/>
          <w:sz w:val="22"/>
          <w:szCs w:val="22"/>
          <w:b w:val="1"/>
          <w:bCs w:val="1"/>
          <w:color w:val="auto"/>
        </w:rPr>
        <w:t xml:space="preserve"> </w:t>
      </w:r>
      <w:r>
        <w:rPr>
          <w:rFonts w:ascii="Arial" w:cs="Arial" w:eastAsia="Arial" w:hAnsi="Arial"/>
          <w:sz w:val="22"/>
          <w:szCs w:val="22"/>
          <w:color w:val="auto"/>
        </w:rPr>
        <w:t>of the Plan pertaining to Code Section 409A is hereby explicitly incorporated into this Agreement.</w:t>
      </w:r>
    </w:p>
    <w:p>
      <w:pPr>
        <w:spacing w:after="0" w:line="162" w:lineRule="exact"/>
        <w:rPr>
          <w:rFonts w:ascii="Arial" w:cs="Arial" w:eastAsia="Arial" w:hAnsi="Arial"/>
          <w:sz w:val="22"/>
          <w:szCs w:val="22"/>
          <w:b w:val="1"/>
          <w:bCs w:val="1"/>
          <w:color w:val="auto"/>
        </w:rPr>
      </w:pPr>
    </w:p>
    <w:p>
      <w:pPr>
        <w:jc w:val="both"/>
        <w:ind w:firstLine="656"/>
        <w:spacing w:after="0" w:line="256" w:lineRule="auto"/>
        <w:tabs>
          <w:tab w:leader="none" w:pos="1080" w:val="left"/>
        </w:tabs>
        <w:numPr>
          <w:ilvl w:val="0"/>
          <w:numId w:val="11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 Continued Right as Service Provider.</w:t>
      </w:r>
      <w:r>
        <w:rPr>
          <w:rFonts w:ascii="Arial" w:cs="Arial" w:eastAsia="Arial" w:hAnsi="Arial"/>
          <w:sz w:val="22"/>
          <w:szCs w:val="22"/>
          <w:b w:val="1"/>
          <w:bCs w:val="1"/>
          <w:color w:val="auto"/>
        </w:rPr>
        <w:t xml:space="preserve"> </w:t>
      </w:r>
      <w:r>
        <w:rPr>
          <w:rFonts w:ascii="Arial" w:cs="Arial" w:eastAsia="Arial" w:hAnsi="Arial"/>
          <w:sz w:val="22"/>
          <w:szCs w:val="22"/>
          <w:color w:val="auto"/>
        </w:rPr>
        <w:t>Nothing in the Plan or in this Agreement confers on Grantee any right to</w:t>
      </w:r>
      <w:r>
        <w:rPr>
          <w:rFonts w:ascii="Arial" w:cs="Arial" w:eastAsia="Arial" w:hAnsi="Arial"/>
          <w:sz w:val="22"/>
          <w:szCs w:val="22"/>
          <w:b w:val="1"/>
          <w:bCs w:val="1"/>
          <w:color w:val="auto"/>
        </w:rPr>
        <w:t xml:space="preserve"> </w:t>
      </w:r>
      <w:r>
        <w:rPr>
          <w:rFonts w:ascii="Arial" w:cs="Arial" w:eastAsia="Arial" w:hAnsi="Arial"/>
          <w:sz w:val="22"/>
          <w:szCs w:val="22"/>
          <w:color w:val="auto"/>
        </w:rPr>
        <w:t>continue as a Service Provider, or interferes with or restricts in any way the rights of the Corporation or any Subsidiary, which are hereby expressly reserved.</w:t>
      </w:r>
    </w:p>
    <w:p>
      <w:pPr>
        <w:spacing w:after="0" w:line="176" w:lineRule="exact"/>
        <w:rPr>
          <w:rFonts w:ascii="Arial" w:cs="Arial" w:eastAsia="Arial" w:hAnsi="Arial"/>
          <w:sz w:val="22"/>
          <w:szCs w:val="22"/>
          <w:b w:val="1"/>
          <w:bCs w:val="1"/>
          <w:color w:val="auto"/>
        </w:rPr>
      </w:pPr>
    </w:p>
    <w:p>
      <w:pPr>
        <w:jc w:val="both"/>
        <w:ind w:firstLine="656"/>
        <w:spacing w:after="0" w:line="252" w:lineRule="auto"/>
        <w:tabs>
          <w:tab w:leader="none" w:pos="1229" w:val="left"/>
        </w:tabs>
        <w:numPr>
          <w:ilvl w:val="0"/>
          <w:numId w:val="11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Severability.</w:t>
      </w:r>
      <w:r>
        <w:rPr>
          <w:rFonts w:ascii="Arial" w:cs="Arial" w:eastAsia="Arial" w:hAnsi="Arial"/>
          <w:sz w:val="22"/>
          <w:szCs w:val="22"/>
          <w:b w:val="1"/>
          <w:bCs w:val="1"/>
          <w:color w:val="auto"/>
        </w:rPr>
        <w:t xml:space="preserve"> </w:t>
      </w:r>
      <w:r>
        <w:rPr>
          <w:rFonts w:ascii="Arial" w:cs="Arial" w:eastAsia="Arial" w:hAnsi="Arial"/>
          <w:sz w:val="22"/>
          <w:szCs w:val="22"/>
          <w:color w:val="auto"/>
        </w:rPr>
        <w:t>If any provision of this Agreement or the application of any provision hereof to any person or</w:t>
      </w:r>
      <w:r>
        <w:rPr>
          <w:rFonts w:ascii="Arial" w:cs="Arial" w:eastAsia="Arial" w:hAnsi="Arial"/>
          <w:sz w:val="22"/>
          <w:szCs w:val="22"/>
          <w:b w:val="1"/>
          <w:bCs w:val="1"/>
          <w:color w:val="auto"/>
        </w:rPr>
        <w:t xml:space="preserve"> </w:t>
      </w:r>
      <w:r>
        <w:rPr>
          <w:rFonts w:ascii="Arial" w:cs="Arial" w:eastAsia="Arial" w:hAnsi="Arial"/>
          <w:sz w:val="22"/>
          <w:szCs w:val="22"/>
          <w:color w:val="auto"/>
        </w:rPr>
        <w:t>circumstances is held invalid or unenforceable, the remainder of this Agreement and the application of such provision to any other person or circumstances shall not be affected, and the provisions so held to be invalid or unenforceable shall be reformed to the extent (and only to the extent) necessary to make it enforceable and valid.</w:t>
      </w:r>
    </w:p>
    <w:p>
      <w:pPr>
        <w:spacing w:after="0" w:line="180" w:lineRule="exact"/>
        <w:rPr>
          <w:rFonts w:ascii="Arial" w:cs="Arial" w:eastAsia="Arial" w:hAnsi="Arial"/>
          <w:sz w:val="22"/>
          <w:szCs w:val="22"/>
          <w:b w:val="1"/>
          <w:bCs w:val="1"/>
          <w:color w:val="auto"/>
        </w:rPr>
      </w:pPr>
    </w:p>
    <w:p>
      <w:pPr>
        <w:ind w:firstLine="656"/>
        <w:spacing w:after="0" w:line="269" w:lineRule="auto"/>
        <w:tabs>
          <w:tab w:leader="none" w:pos="1053" w:val="left"/>
        </w:tabs>
        <w:numPr>
          <w:ilvl w:val="0"/>
          <w:numId w:val="11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Governing Law</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is governed by and construed in accordance with the laws of the State of Michigan,</w:t>
      </w:r>
      <w:r>
        <w:rPr>
          <w:rFonts w:ascii="Arial" w:cs="Arial" w:eastAsia="Arial" w:hAnsi="Arial"/>
          <w:sz w:val="22"/>
          <w:szCs w:val="22"/>
          <w:b w:val="1"/>
          <w:bCs w:val="1"/>
          <w:color w:val="auto"/>
        </w:rPr>
        <w:t xml:space="preserve"> </w:t>
      </w:r>
      <w:r>
        <w:rPr>
          <w:rFonts w:ascii="Arial" w:cs="Arial" w:eastAsia="Arial" w:hAnsi="Arial"/>
          <w:sz w:val="22"/>
          <w:szCs w:val="22"/>
          <w:color w:val="auto"/>
        </w:rPr>
        <w:t>notwithstanding conflict of law provisions.</w:t>
      </w:r>
    </w:p>
    <w:p>
      <w:pPr>
        <w:spacing w:after="0" w:line="162" w:lineRule="exact"/>
        <w:rPr>
          <w:rFonts w:ascii="Arial" w:cs="Arial" w:eastAsia="Arial" w:hAnsi="Arial"/>
          <w:sz w:val="22"/>
          <w:szCs w:val="22"/>
          <w:b w:val="1"/>
          <w:bCs w:val="1"/>
          <w:color w:val="auto"/>
        </w:rPr>
      </w:pPr>
    </w:p>
    <w:p>
      <w:pPr>
        <w:jc w:val="both"/>
        <w:ind w:firstLine="656"/>
        <w:spacing w:after="0" w:line="256" w:lineRule="auto"/>
        <w:tabs>
          <w:tab w:leader="none" w:pos="1040" w:val="left"/>
        </w:tabs>
        <w:numPr>
          <w:ilvl w:val="0"/>
          <w:numId w:val="11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Electronic Delivery</w:t>
      </w:r>
      <w:r>
        <w:rPr>
          <w:rFonts w:ascii="Arial" w:cs="Arial" w:eastAsia="Arial" w:hAnsi="Arial"/>
          <w:sz w:val="22"/>
          <w:szCs w:val="22"/>
          <w:color w:val="auto"/>
        </w:rPr>
        <w:t>. The Corporation may, in its sole discretion, deliver any documents related to the Restricted Stock</w:t>
      </w:r>
      <w:r>
        <w:rPr>
          <w:rFonts w:ascii="Arial" w:cs="Arial" w:eastAsia="Arial" w:hAnsi="Arial"/>
          <w:sz w:val="22"/>
          <w:szCs w:val="22"/>
          <w:b w:val="1"/>
          <w:bCs w:val="1"/>
          <w:color w:val="auto"/>
        </w:rPr>
        <w:t xml:space="preserve"> </w:t>
      </w:r>
      <w:r>
        <w:rPr>
          <w:rFonts w:ascii="Arial" w:cs="Arial" w:eastAsia="Arial" w:hAnsi="Arial"/>
          <w:sz w:val="22"/>
          <w:szCs w:val="22"/>
          <w:color w:val="auto"/>
        </w:rPr>
        <w:t>Units and Grantee’s participation in the Plan, or future awards that may be granted under the Plan, by electronic means or request Grantee’s consent to</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625" w:right="239" w:bottom="1440" w:gutter="0" w:footer="0" w:header="0"/>
        </w:sectPr>
      </w:pPr>
    </w:p>
    <w:bookmarkStart w:id="113" w:name="page114"/>
    <w:bookmarkEnd w:id="113"/>
    <w:p>
      <w:pPr>
        <w:jc w:val="both"/>
        <w:spacing w:after="0" w:line="253" w:lineRule="auto"/>
        <w:rPr>
          <w:sz w:val="20"/>
          <w:szCs w:val="20"/>
          <w:color w:val="auto"/>
        </w:rPr>
      </w:pPr>
      <w:r>
        <w:rPr>
          <w:rFonts w:ascii="Arial" w:cs="Arial" w:eastAsia="Arial" w:hAnsi="Arial"/>
          <w:sz w:val="22"/>
          <w:szCs w:val="22"/>
          <w:color w:val="auto"/>
        </w:rPr>
        <w:t>participate in the Plan by electronic means. Grantee hereby consents to receive such documents by electronic delivery and, if requested, agrees to participate in the Plan through an on-line or electronic system established and maintained by the Corporation or another third party designated by the Corporation.</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631" w:right="239" w:bottom="1440" w:gutter="0" w:footer="0" w:header="0"/>
        </w:sectPr>
      </w:pPr>
    </w:p>
    <w:bookmarkStart w:id="114" w:name="page115"/>
    <w:bookmarkEnd w:id="114"/>
    <w:p>
      <w:pPr>
        <w:jc w:val="both"/>
        <w:ind w:firstLine="648"/>
        <w:spacing w:after="0" w:line="263" w:lineRule="auto"/>
        <w:rPr>
          <w:sz w:val="20"/>
          <w:szCs w:val="20"/>
          <w:color w:val="auto"/>
        </w:rPr>
      </w:pPr>
      <w:r>
        <w:rPr>
          <w:rFonts w:ascii="Arial" w:cs="Arial" w:eastAsia="Arial" w:hAnsi="Arial"/>
          <w:sz w:val="22"/>
          <w:szCs w:val="22"/>
          <w:color w:val="auto"/>
        </w:rPr>
        <w:t>This Agreement may be executed in two or more counterparts, each of which is deemed an original and all of which constitute one document.</w:t>
      </w:r>
    </w:p>
    <w:p>
      <w:pPr>
        <w:spacing w:after="0" w:line="200" w:lineRule="exact"/>
        <w:rPr>
          <w:sz w:val="20"/>
          <w:szCs w:val="20"/>
          <w:color w:val="auto"/>
        </w:rPr>
      </w:pP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281"/>
        </w:trPr>
        <w:tc>
          <w:tcPr>
            <w:tcW w:w="2820" w:type="dxa"/>
            <w:vAlign w:val="bottom"/>
          </w:tcPr>
          <w:p>
            <w:pPr>
              <w:spacing w:after="0"/>
              <w:rPr>
                <w:sz w:val="24"/>
                <w:szCs w:val="24"/>
                <w:color w:val="auto"/>
              </w:rPr>
            </w:pPr>
          </w:p>
        </w:tc>
        <w:tc>
          <w:tcPr>
            <w:tcW w:w="8240" w:type="dxa"/>
            <w:vAlign w:val="bottom"/>
            <w:gridSpan w:val="3"/>
          </w:tcPr>
          <w:p>
            <w:pPr>
              <w:ind w:left="880"/>
              <w:spacing w:after="0"/>
              <w:rPr>
                <w:sz w:val="20"/>
                <w:szCs w:val="20"/>
                <w:color w:val="auto"/>
              </w:rPr>
            </w:pPr>
            <w:r>
              <w:rPr>
                <w:rFonts w:ascii="Arial" w:cs="Arial" w:eastAsia="Arial" w:hAnsi="Arial"/>
                <w:sz w:val="22"/>
                <w:szCs w:val="22"/>
                <w:b w:val="1"/>
                <w:bCs w:val="1"/>
                <w:color w:val="auto"/>
              </w:rPr>
              <w:t>TRIMAS CORPORATION</w:t>
            </w:r>
          </w:p>
        </w:tc>
      </w:tr>
      <w:tr>
        <w:trPr>
          <w:trHeight w:val="571"/>
        </w:trPr>
        <w:tc>
          <w:tcPr>
            <w:tcW w:w="2820" w:type="dxa"/>
            <w:vAlign w:val="bottom"/>
          </w:tcPr>
          <w:p>
            <w:pPr>
              <w:spacing w:after="0"/>
              <w:rPr>
                <w:sz w:val="20"/>
                <w:szCs w:val="20"/>
                <w:color w:val="auto"/>
              </w:rPr>
            </w:pPr>
            <w:r>
              <w:rPr>
                <w:rFonts w:ascii="Arial" w:cs="Arial" w:eastAsia="Arial" w:hAnsi="Arial"/>
                <w:sz w:val="22"/>
                <w:szCs w:val="22"/>
                <w:color w:val="auto"/>
              </w:rPr>
              <w:t xml:space="preserve">Dated: </w:t>
            </w:r>
            <w:r>
              <w:rPr>
                <w:rFonts w:ascii="Arial" w:cs="Arial" w:eastAsia="Arial" w:hAnsi="Arial"/>
                <w:sz w:val="22"/>
                <w:szCs w:val="22"/>
                <w:b w:val="1"/>
                <w:bCs w:val="1"/>
                <w:color w:val="auto"/>
              </w:rPr>
              <w:t>March 1, 2016</w:t>
            </w:r>
          </w:p>
        </w:tc>
        <w:tc>
          <w:tcPr>
            <w:tcW w:w="8240" w:type="dxa"/>
            <w:vAlign w:val="bottom"/>
            <w:gridSpan w:val="3"/>
          </w:tcPr>
          <w:p>
            <w:pPr>
              <w:ind w:left="2200"/>
              <w:spacing w:after="0"/>
              <w:rPr>
                <w:sz w:val="20"/>
                <w:szCs w:val="20"/>
                <w:color w:val="auto"/>
              </w:rPr>
            </w:pPr>
            <w:r>
              <w:rPr>
                <w:rFonts w:ascii="Arial" w:cs="Arial" w:eastAsia="Arial" w:hAnsi="Arial"/>
                <w:sz w:val="22"/>
                <w:szCs w:val="22"/>
                <w:color w:val="auto"/>
              </w:rPr>
              <w:t>By: /s/ Joshua A. Sherbin</w:t>
            </w:r>
          </w:p>
        </w:tc>
      </w:tr>
      <w:tr>
        <w:trPr>
          <w:trHeight w:val="20"/>
        </w:trPr>
        <w:tc>
          <w:tcPr>
            <w:tcW w:w="28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r>
      <w:tr>
        <w:trPr>
          <w:trHeight w:val="242"/>
        </w:trPr>
        <w:tc>
          <w:tcPr>
            <w:tcW w:w="2820" w:type="dxa"/>
            <w:vAlign w:val="bottom"/>
          </w:tcPr>
          <w:p>
            <w:pPr>
              <w:spacing w:after="0"/>
              <w:rPr>
                <w:sz w:val="21"/>
                <w:szCs w:val="21"/>
                <w:color w:val="auto"/>
              </w:rPr>
            </w:pPr>
          </w:p>
        </w:tc>
        <w:tc>
          <w:tcPr>
            <w:tcW w:w="8240" w:type="dxa"/>
            <w:vAlign w:val="bottom"/>
            <w:gridSpan w:val="3"/>
          </w:tcPr>
          <w:p>
            <w:pPr>
              <w:ind w:left="2200"/>
              <w:spacing w:after="0" w:line="242" w:lineRule="exact"/>
              <w:rPr>
                <w:sz w:val="20"/>
                <w:szCs w:val="20"/>
                <w:color w:val="auto"/>
              </w:rPr>
            </w:pPr>
            <w:r>
              <w:rPr>
                <w:rFonts w:ascii="Arial" w:cs="Arial" w:eastAsia="Arial" w:hAnsi="Arial"/>
                <w:sz w:val="22"/>
                <w:szCs w:val="22"/>
                <w:color w:val="auto"/>
              </w:rPr>
              <w:t>Name: Joshua A. Sherbin</w:t>
            </w:r>
          </w:p>
        </w:tc>
      </w:tr>
      <w:tr>
        <w:trPr>
          <w:trHeight w:val="243"/>
        </w:trPr>
        <w:tc>
          <w:tcPr>
            <w:tcW w:w="2820" w:type="dxa"/>
            <w:vAlign w:val="bottom"/>
          </w:tcPr>
          <w:p>
            <w:pPr>
              <w:spacing w:after="0"/>
              <w:rPr>
                <w:sz w:val="21"/>
                <w:szCs w:val="21"/>
                <w:color w:val="auto"/>
              </w:rPr>
            </w:pPr>
          </w:p>
        </w:tc>
        <w:tc>
          <w:tcPr>
            <w:tcW w:w="8240" w:type="dxa"/>
            <w:vAlign w:val="bottom"/>
            <w:gridSpan w:val="3"/>
          </w:tcPr>
          <w:p>
            <w:pPr>
              <w:ind w:left="2200"/>
              <w:spacing w:after="0" w:line="243" w:lineRule="exact"/>
              <w:rPr>
                <w:sz w:val="20"/>
                <w:szCs w:val="20"/>
                <w:color w:val="auto"/>
              </w:rPr>
            </w:pPr>
            <w:r>
              <w:rPr>
                <w:rFonts w:ascii="Arial" w:cs="Arial" w:eastAsia="Arial" w:hAnsi="Arial"/>
                <w:sz w:val="22"/>
                <w:szCs w:val="22"/>
                <w:color w:val="auto"/>
                <w:w w:val="89"/>
              </w:rPr>
              <w:t>Title: Vice President, General Counsel, Chief Compliance Officer and</w:t>
            </w:r>
          </w:p>
        </w:tc>
      </w:tr>
      <w:tr>
        <w:trPr>
          <w:trHeight w:val="275"/>
        </w:trPr>
        <w:tc>
          <w:tcPr>
            <w:tcW w:w="2820" w:type="dxa"/>
            <w:vAlign w:val="bottom"/>
          </w:tcPr>
          <w:p>
            <w:pPr>
              <w:spacing w:after="0"/>
              <w:rPr>
                <w:sz w:val="23"/>
                <w:szCs w:val="23"/>
                <w:color w:val="auto"/>
              </w:rPr>
            </w:pPr>
          </w:p>
        </w:tc>
        <w:tc>
          <w:tcPr>
            <w:tcW w:w="8240" w:type="dxa"/>
            <w:vAlign w:val="bottom"/>
            <w:gridSpan w:val="3"/>
          </w:tcPr>
          <w:p>
            <w:pPr>
              <w:ind w:left="2200"/>
              <w:spacing w:after="0"/>
              <w:rPr>
                <w:sz w:val="20"/>
                <w:szCs w:val="20"/>
                <w:color w:val="auto"/>
              </w:rPr>
            </w:pPr>
            <w:r>
              <w:rPr>
                <w:rFonts w:ascii="Arial" w:cs="Arial" w:eastAsia="Arial" w:hAnsi="Arial"/>
                <w:sz w:val="22"/>
                <w:szCs w:val="22"/>
                <w:color w:val="auto"/>
              </w:rPr>
              <w:t>Corporate Secretary</w:t>
            </w:r>
          </w:p>
        </w:tc>
      </w:tr>
    </w:tbl>
    <w:p>
      <w:pPr>
        <w:spacing w:after="0" w:line="200" w:lineRule="exact"/>
        <w:rPr>
          <w:sz w:val="20"/>
          <w:szCs w:val="20"/>
          <w:color w:val="auto"/>
        </w:rPr>
      </w:pPr>
    </w:p>
    <w:p>
      <w:pPr>
        <w:spacing w:after="0" w:line="316" w:lineRule="exact"/>
        <w:rPr>
          <w:sz w:val="20"/>
          <w:szCs w:val="20"/>
          <w:color w:val="auto"/>
        </w:rPr>
      </w:pPr>
    </w:p>
    <w:p>
      <w:pPr>
        <w:jc w:val="both"/>
        <w:spacing w:after="0" w:line="247" w:lineRule="auto"/>
        <w:rPr>
          <w:sz w:val="20"/>
          <w:szCs w:val="20"/>
          <w:color w:val="auto"/>
        </w:rPr>
      </w:pPr>
      <w:r>
        <w:rPr>
          <w:rFonts w:ascii="Arial" w:cs="Arial" w:eastAsia="Arial" w:hAnsi="Arial"/>
          <w:sz w:val="22"/>
          <w:szCs w:val="22"/>
          <w:b w:val="1"/>
          <w:bCs w:val="1"/>
          <w:color w:val="auto"/>
        </w:rPr>
        <w:t>GRANTEE ACKNOWLEDGES AND AGREES THAT NOTHING IN THIS RESTRICTED STOCK UNITS AGREEMENT, NOR IN THE CORPORATION’S 2011 OMNIBUS INCENTIVE COMPENSATION PLAN, WHICH IS INCORPORATED INTO THIS AGREEMENT BY REFERENCE, CONFERS ON GRANTEE ANY RIGHT WITH RESPECT TO CONTINUATION AS A SERVICE PROVIDER OF THE CORPORATION OR ANY PARENT OR SUBSIDIARY OR AFFILIATE OF THE CORPORATION, NOR INTERFERES IN ANY WAY WITH GRANTEE’S RIGHT OR THE CORPORATION’S RIGHT TO TERMINATE GRANTEE’S SERVICE PROVIDER RELATIONSHIP AT ANY TIME, WITH OR WITHOUT CAUSE AND WITH OR WITHOUT PRIOR NOTICE.</w:t>
      </w:r>
    </w:p>
    <w:p>
      <w:pPr>
        <w:spacing w:after="0" w:line="190" w:lineRule="exact"/>
        <w:rPr>
          <w:sz w:val="20"/>
          <w:szCs w:val="20"/>
          <w:color w:val="auto"/>
        </w:rPr>
      </w:pPr>
    </w:p>
    <w:p>
      <w:pPr>
        <w:jc w:val="both"/>
        <w:spacing w:after="0" w:line="247" w:lineRule="auto"/>
        <w:rPr>
          <w:sz w:val="20"/>
          <w:szCs w:val="20"/>
          <w:color w:val="auto"/>
        </w:rPr>
      </w:pPr>
      <w:r>
        <w:rPr>
          <w:rFonts w:ascii="Arial" w:cs="Arial" w:eastAsia="Arial" w:hAnsi="Arial"/>
          <w:sz w:val="22"/>
          <w:szCs w:val="22"/>
          <w:b w:val="1"/>
          <w:bCs w:val="1"/>
          <w:color w:val="auto"/>
        </w:rPr>
        <w:t>BY CLICKING THE “ACCEPT” BUTTON BELOW, GRANTEE ACKNOWLEDGES RECEIPT OF A COPY OF THE PLAN AND REPRESENTS THAT GRANTEE IS FAMILIAR WITH THE TERMS AND PROVISIONS OF THE PLAN. GRANTEE ACCEPTS THIS RESTRICTED STOCK UNIT AWARD SUBJECT TO ALL OF THE TERMS AND PROVISIONS OF THIS AGREEMENT AND THE PLAN. GRANTEE HAS REVIEWED THE PLAN AND THIS AGREEMENT IN THEIR ENTIRETY. GRANTEE AGREES TO ACCEPT AS BINDING, CONCLUSIVE AND FINAL ALL DECISIONS OR INTERPRETATIONS OF THE COMMITTEE UPON ANY QUESTIONS ARISING UNDER THE PLAN OR THIS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631" w:right="239" w:bottom="1440" w:gutter="0" w:footer="0" w:header="0"/>
        </w:sectPr>
      </w:pPr>
    </w:p>
    <w:bookmarkStart w:id="115" w:name="page116"/>
    <w:bookmarkEnd w:id="115"/>
    <w:p>
      <w:pPr>
        <w:jc w:val="right"/>
        <w:spacing w:after="0"/>
        <w:rPr>
          <w:sz w:val="20"/>
          <w:szCs w:val="20"/>
          <w:color w:val="auto"/>
        </w:rPr>
      </w:pPr>
      <w:r>
        <w:rPr>
          <w:rFonts w:ascii="Arial" w:cs="Arial" w:eastAsia="Arial" w:hAnsi="Arial"/>
          <w:sz w:val="22"/>
          <w:szCs w:val="22"/>
          <w:b w:val="1"/>
          <w:bCs w:val="1"/>
          <w:color w:val="auto"/>
        </w:rPr>
        <w:t>Exhibit 10.6</w:t>
      </w:r>
    </w:p>
    <w:p>
      <w:pPr>
        <w:spacing w:after="0" w:line="26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Restricted Stock Unit</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Three-Year Vest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TRIMAS CORPORATION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2006 LONG TERM EQUITY INCENTIVE PLAN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UNITS AGREEMENT</w:t>
      </w:r>
    </w:p>
    <w:p>
      <w:pPr>
        <w:spacing w:after="0" w:line="266"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TriMas Corporation (the “Corporation”), as permitted by the TriMas Corporation 2006 Long Term Equity Incentive Plan (“Plan”), and as approved by the Administrator, hereby grants to the individual listed below (“Grantee”), a Restricted Stock Units Award (“Award”) for the number of Restricted Stock Units set forth below (“Restricted Stock Units”), subject to the terms and conditions of the Plan and this Restricted Stock Units Agreement (“Agreement”).</w:t>
      </w:r>
    </w:p>
    <w:p>
      <w:pPr>
        <w:spacing w:after="0" w:line="17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Unless otherwise defined in this Agreement or in Appendix A to this Agreement, the terms used in this Agreement have the same meaning as defined in the Plan. The term “Service Provider” as used in this Agreement means an individual actively providing services to the Corporation or a Subsidiary or “Affiliate” (as defined in Appendix A).</w:t>
      </w:r>
    </w:p>
    <w:p>
      <w:pPr>
        <w:spacing w:after="0" w:line="162" w:lineRule="exact"/>
        <w:rPr>
          <w:sz w:val="20"/>
          <w:szCs w:val="20"/>
          <w:color w:val="auto"/>
        </w:rPr>
      </w:pPr>
    </w:p>
    <w:p>
      <w:pPr>
        <w:ind w:left="360" w:hanging="352"/>
        <w:spacing w:after="0"/>
        <w:tabs>
          <w:tab w:leader="none" w:pos="360" w:val="left"/>
        </w:tabs>
        <w:numPr>
          <w:ilvl w:val="0"/>
          <w:numId w:val="11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NOTICE OF RESTRICTED STOCK UNITS AWARD</w:t>
      </w:r>
    </w:p>
    <w:p>
      <w:pPr>
        <w:spacing w:after="0" w:line="368" w:lineRule="exact"/>
        <w:rPr>
          <w:sz w:val="20"/>
          <w:szCs w:val="20"/>
          <w:color w:val="auto"/>
        </w:rPr>
      </w:pPr>
    </w:p>
    <w:tbl>
      <w:tblPr>
        <w:tblLayout w:type="fixed"/>
        <w:tblInd w:w="420" w:type="dxa"/>
        <w:tblCellMar>
          <w:top w:w="0" w:type="dxa"/>
          <w:left w:w="0" w:type="dxa"/>
          <w:bottom w:w="0" w:type="dxa"/>
          <w:right w:w="0" w:type="dxa"/>
        </w:tblCellMar>
      </w:tblPr>
      <w:tr>
        <w:trPr>
          <w:trHeight w:val="335"/>
        </w:trPr>
        <w:tc>
          <w:tcPr>
            <w:tcW w:w="4800" w:type="dxa"/>
            <w:vAlign w:val="bottom"/>
          </w:tcPr>
          <w:p>
            <w:pPr>
              <w:spacing w:after="0"/>
              <w:rPr>
                <w:sz w:val="20"/>
                <w:szCs w:val="20"/>
                <w:color w:val="auto"/>
              </w:rPr>
            </w:pPr>
            <w:r>
              <w:rPr>
                <w:rFonts w:ascii="Arial" w:cs="Arial" w:eastAsia="Arial" w:hAnsi="Arial"/>
                <w:sz w:val="22"/>
                <w:szCs w:val="22"/>
                <w:b w:val="1"/>
                <w:bCs w:val="1"/>
                <w:color w:val="auto"/>
              </w:rPr>
              <w:t>Grantee:</w:t>
            </w:r>
          </w:p>
        </w:tc>
        <w:tc>
          <w:tcPr>
            <w:tcW w:w="4700" w:type="dxa"/>
            <w:vAlign w:val="bottom"/>
          </w:tcPr>
          <w:p>
            <w:pPr>
              <w:ind w:left="1600"/>
              <w:spacing w:after="0"/>
              <w:rPr>
                <w:sz w:val="20"/>
                <w:szCs w:val="20"/>
                <w:color w:val="auto"/>
              </w:rPr>
            </w:pPr>
            <w:r>
              <w:rPr>
                <w:rFonts w:ascii="Arial" w:cs="Arial" w:eastAsia="Arial" w:hAnsi="Arial"/>
                <w:sz w:val="22"/>
                <w:szCs w:val="22"/>
                <w:b w:val="1"/>
                <w:bCs w:val="1"/>
                <w:i w:val="1"/>
                <w:iCs w:val="1"/>
                <w:color w:val="auto"/>
              </w:rPr>
              <w:t>[specify Grantee’s name]</w:t>
            </w:r>
          </w:p>
        </w:tc>
      </w:tr>
      <w:tr>
        <w:trPr>
          <w:trHeight w:val="405"/>
        </w:trPr>
        <w:tc>
          <w:tcPr>
            <w:tcW w:w="4800" w:type="dxa"/>
            <w:vAlign w:val="bottom"/>
          </w:tcPr>
          <w:p>
            <w:pPr>
              <w:spacing w:after="0"/>
              <w:rPr>
                <w:sz w:val="20"/>
                <w:szCs w:val="20"/>
                <w:color w:val="auto"/>
              </w:rPr>
            </w:pPr>
            <w:r>
              <w:rPr>
                <w:rFonts w:ascii="Arial" w:cs="Arial" w:eastAsia="Arial" w:hAnsi="Arial"/>
                <w:sz w:val="22"/>
                <w:szCs w:val="22"/>
                <w:b w:val="1"/>
                <w:bCs w:val="1"/>
                <w:color w:val="auto"/>
              </w:rPr>
              <w:t>Date of Agreement:</w:t>
            </w:r>
          </w:p>
        </w:tc>
        <w:tc>
          <w:tcPr>
            <w:tcW w:w="4700" w:type="dxa"/>
            <w:vAlign w:val="bottom"/>
          </w:tcPr>
          <w:p>
            <w:pPr>
              <w:ind w:left="1600"/>
              <w:spacing w:after="0"/>
              <w:rPr>
                <w:sz w:val="20"/>
                <w:szCs w:val="20"/>
                <w:color w:val="auto"/>
              </w:rPr>
            </w:pPr>
            <w:r>
              <w:rPr>
                <w:rFonts w:ascii="Arial" w:cs="Arial" w:eastAsia="Arial" w:hAnsi="Arial"/>
                <w:sz w:val="22"/>
                <w:szCs w:val="22"/>
                <w:b w:val="1"/>
                <w:bCs w:val="1"/>
                <w:i w:val="1"/>
                <w:iCs w:val="1"/>
                <w:color w:val="auto"/>
              </w:rPr>
              <w:t>[grant date]</w:t>
            </w:r>
          </w:p>
        </w:tc>
      </w:tr>
      <w:tr>
        <w:trPr>
          <w:trHeight w:val="351"/>
        </w:trPr>
        <w:tc>
          <w:tcPr>
            <w:tcW w:w="4800" w:type="dxa"/>
            <w:vAlign w:val="bottom"/>
          </w:tcPr>
          <w:p>
            <w:pPr>
              <w:spacing w:after="0"/>
              <w:rPr>
                <w:sz w:val="20"/>
                <w:szCs w:val="20"/>
                <w:color w:val="auto"/>
              </w:rPr>
            </w:pPr>
            <w:r>
              <w:rPr>
                <w:rFonts w:ascii="Arial" w:cs="Arial" w:eastAsia="Arial" w:hAnsi="Arial"/>
                <w:sz w:val="22"/>
                <w:szCs w:val="22"/>
                <w:b w:val="1"/>
                <w:bCs w:val="1"/>
                <w:color w:val="auto"/>
              </w:rPr>
              <w:t>Grant Date:</w:t>
            </w:r>
          </w:p>
        </w:tc>
        <w:tc>
          <w:tcPr>
            <w:tcW w:w="4700" w:type="dxa"/>
            <w:vAlign w:val="bottom"/>
          </w:tcPr>
          <w:p>
            <w:pPr>
              <w:ind w:left="1600"/>
              <w:spacing w:after="0"/>
              <w:rPr>
                <w:sz w:val="20"/>
                <w:szCs w:val="20"/>
                <w:color w:val="auto"/>
              </w:rPr>
            </w:pPr>
            <w:r>
              <w:rPr>
                <w:rFonts w:ascii="Arial" w:cs="Arial" w:eastAsia="Arial" w:hAnsi="Arial"/>
                <w:sz w:val="22"/>
                <w:szCs w:val="22"/>
                <w:b w:val="1"/>
                <w:bCs w:val="1"/>
                <w:color w:val="auto"/>
              </w:rPr>
              <w:t>March 1, 2016</w:t>
            </w:r>
          </w:p>
        </w:tc>
      </w:tr>
      <w:tr>
        <w:trPr>
          <w:trHeight w:val="351"/>
        </w:trPr>
        <w:tc>
          <w:tcPr>
            <w:tcW w:w="4800" w:type="dxa"/>
            <w:vAlign w:val="bottom"/>
          </w:tcPr>
          <w:p>
            <w:pPr>
              <w:spacing w:after="0"/>
              <w:rPr>
                <w:sz w:val="20"/>
                <w:szCs w:val="20"/>
                <w:color w:val="auto"/>
              </w:rPr>
            </w:pPr>
            <w:r>
              <w:rPr>
                <w:rFonts w:ascii="Arial" w:cs="Arial" w:eastAsia="Arial" w:hAnsi="Arial"/>
                <w:sz w:val="22"/>
                <w:szCs w:val="22"/>
                <w:b w:val="1"/>
                <w:bCs w:val="1"/>
                <w:color w:val="auto"/>
              </w:rPr>
              <w:t>Number of Restricted Stock Units:</w:t>
            </w:r>
          </w:p>
        </w:tc>
        <w:tc>
          <w:tcPr>
            <w:tcW w:w="4700" w:type="dxa"/>
            <w:vAlign w:val="bottom"/>
          </w:tcPr>
          <w:p>
            <w:pPr>
              <w:ind w:left="1600"/>
              <w:spacing w:after="0"/>
              <w:rPr>
                <w:sz w:val="20"/>
                <w:szCs w:val="20"/>
                <w:color w:val="auto"/>
              </w:rPr>
            </w:pPr>
            <w:r>
              <w:rPr>
                <w:rFonts w:ascii="Arial" w:cs="Arial" w:eastAsia="Arial" w:hAnsi="Arial"/>
                <w:sz w:val="22"/>
                <w:szCs w:val="22"/>
                <w:b w:val="1"/>
                <w:bCs w:val="1"/>
                <w:i w:val="1"/>
                <w:iCs w:val="1"/>
                <w:color w:val="auto"/>
                <w:w w:val="84"/>
              </w:rPr>
              <w:t>[number of Restricted Stock Units]</w:t>
            </w:r>
          </w:p>
        </w:tc>
      </w:tr>
    </w:tbl>
    <w:p>
      <w:pPr>
        <w:spacing w:after="0" w:line="314" w:lineRule="exact"/>
        <w:rPr>
          <w:sz w:val="20"/>
          <w:szCs w:val="20"/>
          <w:color w:val="auto"/>
        </w:rPr>
      </w:pPr>
    </w:p>
    <w:p>
      <w:pPr>
        <w:ind w:left="420" w:hanging="412"/>
        <w:spacing w:after="0"/>
        <w:tabs>
          <w:tab w:leader="none" w:pos="420" w:val="left"/>
        </w:tabs>
        <w:numPr>
          <w:ilvl w:val="0"/>
          <w:numId w:val="117"/>
        </w:numPr>
        <w:rPr>
          <w:rFonts w:ascii="Arial" w:cs="Arial" w:eastAsia="Arial" w:hAnsi="Arial"/>
          <w:sz w:val="22"/>
          <w:szCs w:val="22"/>
          <w:color w:val="auto"/>
        </w:rPr>
      </w:pPr>
      <w:r>
        <w:rPr>
          <w:rFonts w:ascii="Arial" w:cs="Arial" w:eastAsia="Arial" w:hAnsi="Arial"/>
          <w:sz w:val="22"/>
          <w:szCs w:val="22"/>
          <w:b w:val="1"/>
          <w:bCs w:val="1"/>
          <w:u w:val="single" w:color="auto"/>
          <w:color w:val="auto"/>
        </w:rPr>
        <w:t>AGREEMENT</w:t>
      </w:r>
    </w:p>
    <w:p>
      <w:pPr>
        <w:spacing w:after="0" w:line="219" w:lineRule="exact"/>
        <w:rPr>
          <w:rFonts w:ascii="Arial" w:cs="Arial" w:eastAsia="Arial" w:hAnsi="Arial"/>
          <w:sz w:val="22"/>
          <w:szCs w:val="22"/>
          <w:color w:val="auto"/>
        </w:rPr>
      </w:pPr>
    </w:p>
    <w:p>
      <w:pPr>
        <w:jc w:val="both"/>
        <w:ind w:firstLine="648"/>
        <w:spacing w:after="0" w:line="298" w:lineRule="auto"/>
        <w:rPr>
          <w:rFonts w:ascii="Arial" w:cs="Arial" w:eastAsia="Arial" w:hAnsi="Arial"/>
          <w:sz w:val="22"/>
          <w:szCs w:val="22"/>
          <w:color w:val="auto"/>
        </w:rPr>
      </w:pPr>
      <w:r>
        <w:rPr>
          <w:rFonts w:ascii="Arial" w:cs="Arial" w:eastAsia="Arial" w:hAnsi="Arial"/>
          <w:sz w:val="19"/>
          <w:szCs w:val="19"/>
          <w:b w:val="1"/>
          <w:bCs w:val="1"/>
          <w:color w:val="auto"/>
        </w:rPr>
        <w:t xml:space="preserve">A. </w:t>
      </w:r>
      <w:r>
        <w:rPr>
          <w:rFonts w:ascii="Arial" w:cs="Arial" w:eastAsia="Arial" w:hAnsi="Arial"/>
          <w:sz w:val="19"/>
          <w:szCs w:val="19"/>
          <w:b w:val="1"/>
          <w:bCs w:val="1"/>
          <w:u w:val="single" w:color="auto"/>
          <w:color w:val="auto"/>
        </w:rPr>
        <w:t>Grant of Restricted Stock Units.</w:t>
      </w:r>
      <w:r>
        <w:rPr>
          <w:rFonts w:ascii="Arial" w:cs="Arial" w:eastAsia="Arial" w:hAnsi="Arial"/>
          <w:sz w:val="19"/>
          <w:szCs w:val="19"/>
          <w:b w:val="1"/>
          <w:bCs w:val="1"/>
          <w:color w:val="auto"/>
        </w:rPr>
        <w:t xml:space="preserve"> </w:t>
      </w:r>
      <w:r>
        <w:rPr>
          <w:rFonts w:ascii="Arial" w:cs="Arial" w:eastAsia="Arial" w:hAnsi="Arial"/>
          <w:sz w:val="19"/>
          <w:szCs w:val="19"/>
          <w:color w:val="auto"/>
        </w:rPr>
        <w:t>The Corporation hereby grants to Grantee (who, pursuant to this Award is a</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Participant in the Plan) the number of Restricted Stock Units set forth above, subject to adjustment as provided in this Agreement. The Restricted Stock Units granted under this Agreement are payable only in shares of Common Stock as described in Section II.A.2. Notwithstanding anything to the contrary anywhere else in this Agreement, the Restricted Stock Units subject to this Award are subject to the terms and provisions of the Plan, which are incorporated by reference into this Agreement.</w:t>
      </w:r>
    </w:p>
    <w:p>
      <w:pPr>
        <w:spacing w:after="0" w:line="142" w:lineRule="exact"/>
        <w:rPr>
          <w:rFonts w:ascii="Arial" w:cs="Arial" w:eastAsia="Arial" w:hAnsi="Arial"/>
          <w:sz w:val="22"/>
          <w:szCs w:val="22"/>
          <w:color w:val="auto"/>
        </w:rPr>
      </w:pPr>
    </w:p>
    <w:p>
      <w:pPr>
        <w:ind w:left="1680" w:hanging="375"/>
        <w:spacing w:after="0"/>
        <w:tabs>
          <w:tab w:leader="none" w:pos="1680" w:val="left"/>
        </w:tabs>
        <w:numPr>
          <w:ilvl w:val="2"/>
          <w:numId w:val="11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Vesting</w:t>
      </w:r>
      <w:r>
        <w:rPr>
          <w:rFonts w:ascii="Arial" w:cs="Arial" w:eastAsia="Arial" w:hAnsi="Arial"/>
          <w:sz w:val="22"/>
          <w:szCs w:val="22"/>
          <w:color w:val="auto"/>
        </w:rPr>
        <w:t>.</w:t>
      </w:r>
    </w:p>
    <w:p>
      <w:pPr>
        <w:sectPr>
          <w:pgSz w:w="11900" w:h="16838" w:orient="portrait"/>
          <w:cols w:equalWidth="0" w:num="1">
            <w:col w:w="11420"/>
          </w:cols>
          <w:pgMar w:left="240" w:top="625" w:right="239" w:bottom="1440" w:gutter="0" w:footer="0" w:header="0"/>
        </w:sectPr>
      </w:pPr>
    </w:p>
    <w:bookmarkStart w:id="116" w:name="page117"/>
    <w:bookmarkEnd w:id="116"/>
    <w:p>
      <w:pPr>
        <w:jc w:val="both"/>
        <w:ind w:firstLine="645"/>
        <w:spacing w:after="0" w:line="251" w:lineRule="auto"/>
        <w:tabs>
          <w:tab w:leader="none" w:pos="1536" w:val="left"/>
        </w:tabs>
        <w:numPr>
          <w:ilvl w:val="0"/>
          <w:numId w:val="118"/>
        </w:numPr>
        <w:rPr>
          <w:rFonts w:ascii="Arial" w:cs="Arial" w:eastAsia="Arial" w:hAnsi="Arial"/>
          <w:sz w:val="22"/>
          <w:szCs w:val="22"/>
          <w:color w:val="auto"/>
        </w:rPr>
      </w:pPr>
      <w:r>
        <w:rPr>
          <w:rFonts w:ascii="Arial" w:cs="Arial" w:eastAsia="Arial" w:hAnsi="Arial"/>
          <w:sz w:val="22"/>
          <w:szCs w:val="22"/>
          <w:b w:val="1"/>
          <w:bCs w:val="1"/>
          <w:color w:val="auto"/>
        </w:rPr>
        <w:t>General</w:t>
      </w:r>
      <w:r>
        <w:rPr>
          <w:rFonts w:ascii="Arial" w:cs="Arial" w:eastAsia="Arial" w:hAnsi="Arial"/>
          <w:sz w:val="22"/>
          <w:szCs w:val="22"/>
          <w:color w:val="auto"/>
        </w:rPr>
        <w:t>. Subject to Section II.A.1(b), the Restricted Stock Units will vest in three equal installments on</w:t>
      </w:r>
      <w:r>
        <w:rPr>
          <w:rFonts w:ascii="Arial" w:cs="Arial" w:eastAsia="Arial" w:hAnsi="Arial"/>
          <w:sz w:val="22"/>
          <w:szCs w:val="22"/>
          <w:b w:val="1"/>
          <w:bCs w:val="1"/>
          <w:color w:val="auto"/>
        </w:rPr>
        <w:t xml:space="preserve"> </w:t>
      </w:r>
      <w:r>
        <w:rPr>
          <w:rFonts w:ascii="Arial" w:cs="Arial" w:eastAsia="Arial" w:hAnsi="Arial"/>
          <w:sz w:val="22"/>
          <w:szCs w:val="22"/>
          <w:color w:val="auto"/>
        </w:rPr>
        <w:t>the first three anniversaries of the Grant Date (each, a “Vesting Date”), subject to Grantee’s continued status as a Service Provider through each such Vesting Date.</w:t>
      </w:r>
    </w:p>
    <w:p>
      <w:pPr>
        <w:ind w:left="1540" w:hanging="895"/>
        <w:spacing w:after="0"/>
        <w:tabs>
          <w:tab w:leader="none" w:pos="1540" w:val="left"/>
        </w:tabs>
        <w:numPr>
          <w:ilvl w:val="0"/>
          <w:numId w:val="118"/>
        </w:numPr>
        <w:rPr>
          <w:rFonts w:ascii="Arial" w:cs="Arial" w:eastAsia="Arial" w:hAnsi="Arial"/>
          <w:sz w:val="22"/>
          <w:szCs w:val="22"/>
          <w:color w:val="auto"/>
        </w:rPr>
      </w:pPr>
      <w:r>
        <w:rPr>
          <w:rFonts w:ascii="Arial" w:cs="Arial" w:eastAsia="Arial" w:hAnsi="Arial"/>
          <w:sz w:val="22"/>
          <w:szCs w:val="22"/>
          <w:b w:val="1"/>
          <w:bCs w:val="1"/>
          <w:color w:val="auto"/>
        </w:rPr>
        <w:t>Termination of Service; Forfeiture</w:t>
      </w:r>
      <w:r>
        <w:rPr>
          <w:rFonts w:ascii="Arial" w:cs="Arial" w:eastAsia="Arial" w:hAnsi="Arial"/>
          <w:sz w:val="22"/>
          <w:szCs w:val="22"/>
          <w:color w:val="auto"/>
        </w:rPr>
        <w:t>. Notwithstanding any other provision of this Agreement:</w:t>
      </w:r>
    </w:p>
    <w:p>
      <w:pPr>
        <w:spacing w:after="0" w:line="236" w:lineRule="exact"/>
        <w:rPr>
          <w:rFonts w:ascii="Arial" w:cs="Arial" w:eastAsia="Arial" w:hAnsi="Arial"/>
          <w:sz w:val="22"/>
          <w:szCs w:val="22"/>
          <w:color w:val="auto"/>
        </w:rPr>
      </w:pPr>
    </w:p>
    <w:p>
      <w:pPr>
        <w:jc w:val="both"/>
        <w:ind w:left="640" w:firstLine="653"/>
        <w:spacing w:after="0" w:line="290" w:lineRule="auto"/>
        <w:tabs>
          <w:tab w:leader="none" w:pos="2140" w:val="left"/>
        </w:tabs>
        <w:numPr>
          <w:ilvl w:val="1"/>
          <w:numId w:val="118"/>
        </w:numPr>
        <w:rPr>
          <w:rFonts w:ascii="Arial" w:cs="Arial" w:eastAsia="Arial" w:hAnsi="Arial"/>
          <w:sz w:val="19"/>
          <w:szCs w:val="19"/>
          <w:color w:val="auto"/>
        </w:rPr>
      </w:pPr>
      <w:r>
        <w:rPr>
          <w:rFonts w:ascii="Arial" w:cs="Arial" w:eastAsia="Arial" w:hAnsi="Arial"/>
          <w:sz w:val="19"/>
          <w:szCs w:val="19"/>
          <w:b w:val="1"/>
          <w:bCs w:val="1"/>
          <w:color w:val="auto"/>
        </w:rPr>
        <w:t>Voluntary Termination; Termination for Cause</w:t>
      </w:r>
      <w:r>
        <w:rPr>
          <w:rFonts w:ascii="Arial" w:cs="Arial" w:eastAsia="Arial" w:hAnsi="Arial"/>
          <w:sz w:val="19"/>
          <w:szCs w:val="19"/>
          <w:color w:val="auto"/>
        </w:rPr>
        <w:t>. Any unvested Restricted Stock Units subject to</w:t>
      </w:r>
      <w:r>
        <w:rPr>
          <w:rFonts w:ascii="Arial" w:cs="Arial" w:eastAsia="Arial" w:hAnsi="Arial"/>
          <w:sz w:val="19"/>
          <w:szCs w:val="19"/>
          <w:b w:val="1"/>
          <w:bCs w:val="1"/>
          <w:color w:val="auto"/>
        </w:rPr>
        <w:t xml:space="preserve"> </w:t>
      </w:r>
      <w:r>
        <w:rPr>
          <w:rFonts w:ascii="Arial" w:cs="Arial" w:eastAsia="Arial" w:hAnsi="Arial"/>
          <w:sz w:val="19"/>
          <w:szCs w:val="19"/>
          <w:color w:val="auto"/>
        </w:rPr>
        <w:t>the Award will be canceled and forfeited if Grantee voluntarily terminates as a Service Provider (other than for Good Reason as provided below), or if Grantee’s status as a Service Provider is involuntarily terminated by the Corporation or a Subsidiary or Affiliate for Cause. Notwithstanding the foregoing, no termination of Grantee’s employment shall qualify as a termination for Cause unless (x) the Corporation notifies Grantee in writing of the Corporation’s intention to terminate Grantee’s employment for Cause within 90 days following the initial existence of the occurrence or event giving rise to Cause, (y) Grantee fails to cure such occurrence or event within 30 days after receipt of such notice from the Corporation and (z) the Corporation terminates Grantee’s employment within 45 days after the expiration of Grantee’s cure period in subsection (y).</w:t>
      </w:r>
    </w:p>
    <w:p>
      <w:pPr>
        <w:spacing w:after="0" w:line="189" w:lineRule="exact"/>
        <w:rPr>
          <w:rFonts w:ascii="Arial" w:cs="Arial" w:eastAsia="Arial" w:hAnsi="Arial"/>
          <w:sz w:val="19"/>
          <w:szCs w:val="19"/>
          <w:color w:val="auto"/>
        </w:rPr>
      </w:pPr>
    </w:p>
    <w:p>
      <w:pPr>
        <w:jc w:val="both"/>
        <w:ind w:left="640" w:firstLine="653"/>
        <w:spacing w:after="0" w:line="252" w:lineRule="auto"/>
        <w:tabs>
          <w:tab w:leader="none" w:pos="2200" w:val="left"/>
        </w:tabs>
        <w:numPr>
          <w:ilvl w:val="1"/>
          <w:numId w:val="118"/>
        </w:numPr>
        <w:rPr>
          <w:rFonts w:ascii="Arial" w:cs="Arial" w:eastAsia="Arial" w:hAnsi="Arial"/>
          <w:sz w:val="22"/>
          <w:szCs w:val="22"/>
          <w:color w:val="auto"/>
        </w:rPr>
      </w:pPr>
      <w:r>
        <w:rPr>
          <w:rFonts w:ascii="Arial" w:cs="Arial" w:eastAsia="Arial" w:hAnsi="Arial"/>
          <w:sz w:val="22"/>
          <w:szCs w:val="22"/>
          <w:b w:val="1"/>
          <w:bCs w:val="1"/>
          <w:color w:val="auto"/>
        </w:rPr>
        <w:t>Death; Disability</w:t>
      </w:r>
      <w:r>
        <w:rPr>
          <w:rFonts w:ascii="Arial" w:cs="Arial" w:eastAsia="Arial" w:hAnsi="Arial"/>
          <w:sz w:val="22"/>
          <w:szCs w:val="22"/>
          <w:color w:val="auto"/>
        </w:rPr>
        <w:t>. If Grantee ceases to be a Service Provider prior to any Vesting Date as a result</w:t>
      </w:r>
      <w:r>
        <w:rPr>
          <w:rFonts w:ascii="Arial" w:cs="Arial" w:eastAsia="Arial" w:hAnsi="Arial"/>
          <w:sz w:val="22"/>
          <w:szCs w:val="22"/>
          <w:b w:val="1"/>
          <w:bCs w:val="1"/>
          <w:color w:val="auto"/>
        </w:rPr>
        <w:t xml:space="preserve"> </w:t>
      </w:r>
      <w:r>
        <w:rPr>
          <w:rFonts w:ascii="Arial" w:cs="Arial" w:eastAsia="Arial" w:hAnsi="Arial"/>
          <w:sz w:val="22"/>
          <w:szCs w:val="22"/>
          <w:color w:val="auto"/>
        </w:rPr>
        <w:t>of Grantee’s death or Disability, Grantee shall fully vest in the Restricted Stock Units subject to the Award that have not already vested as of the date on which Grantee ceases to be a Service Provider due to Grantee’s death or Disability.</w:t>
      </w:r>
    </w:p>
    <w:p>
      <w:pPr>
        <w:spacing w:after="0" w:line="220" w:lineRule="exact"/>
        <w:rPr>
          <w:rFonts w:ascii="Arial" w:cs="Arial" w:eastAsia="Arial" w:hAnsi="Arial"/>
          <w:sz w:val="22"/>
          <w:szCs w:val="22"/>
          <w:color w:val="auto"/>
        </w:rPr>
      </w:pPr>
    </w:p>
    <w:p>
      <w:pPr>
        <w:jc w:val="both"/>
        <w:ind w:left="640" w:firstLine="653"/>
        <w:spacing w:after="0" w:line="261" w:lineRule="auto"/>
        <w:tabs>
          <w:tab w:leader="none" w:pos="2260" w:val="left"/>
        </w:tabs>
        <w:numPr>
          <w:ilvl w:val="1"/>
          <w:numId w:val="118"/>
        </w:numPr>
        <w:rPr>
          <w:rFonts w:ascii="Arial" w:cs="Arial" w:eastAsia="Arial" w:hAnsi="Arial"/>
          <w:sz w:val="21"/>
          <w:szCs w:val="21"/>
          <w:color w:val="auto"/>
        </w:rPr>
      </w:pPr>
      <w:r>
        <w:rPr>
          <w:rFonts w:ascii="Arial" w:cs="Arial" w:eastAsia="Arial" w:hAnsi="Arial"/>
          <w:sz w:val="21"/>
          <w:szCs w:val="21"/>
          <w:b w:val="1"/>
          <w:bCs w:val="1"/>
          <w:color w:val="auto"/>
        </w:rPr>
        <w:t>Qualifying Termination Prior to a Change of Control</w:t>
      </w:r>
      <w:r>
        <w:rPr>
          <w:rFonts w:ascii="Arial" w:cs="Arial" w:eastAsia="Arial" w:hAnsi="Arial"/>
          <w:sz w:val="21"/>
          <w:szCs w:val="21"/>
          <w:color w:val="auto"/>
        </w:rPr>
        <w:t>. If Grantee has a “Qualifying</w:t>
      </w:r>
      <w:r>
        <w:rPr>
          <w:rFonts w:ascii="Arial" w:cs="Arial" w:eastAsia="Arial" w:hAnsi="Arial"/>
          <w:sz w:val="21"/>
          <w:szCs w:val="21"/>
          <w:b w:val="1"/>
          <w:bCs w:val="1"/>
          <w:color w:val="auto"/>
        </w:rPr>
        <w:t xml:space="preserve"> </w:t>
      </w:r>
      <w:r>
        <w:rPr>
          <w:rFonts w:ascii="Arial" w:cs="Arial" w:eastAsia="Arial" w:hAnsi="Arial"/>
          <w:sz w:val="21"/>
          <w:szCs w:val="21"/>
          <w:color w:val="auto"/>
        </w:rPr>
        <w:t>Termination” (as defined in Appendix A) that occurs prior to a “Change of Control” (as defined in Appendix A) and before the final Vesting Date, Grantee shall vest in a pro-rata portion of Grantee’s unvested Restricted Stock Units, with the pro-rata amount calculated by (x) multiplying the total number of Restricted Stock Units subject to this Award by a fraction with (i) a numerator equaling the number of whole calendar months that have elapsed from the Grant Date to the date of Grantee’s termination, and (ii) a denominator equal to 36, and then (y) subtracting the number of Restricted Stock Units that have already vested under this Award.</w:t>
      </w:r>
    </w:p>
    <w:p>
      <w:pPr>
        <w:spacing w:after="0" w:line="214" w:lineRule="exact"/>
        <w:rPr>
          <w:rFonts w:ascii="Arial" w:cs="Arial" w:eastAsia="Arial" w:hAnsi="Arial"/>
          <w:sz w:val="21"/>
          <w:szCs w:val="21"/>
          <w:color w:val="auto"/>
        </w:rPr>
      </w:pPr>
    </w:p>
    <w:p>
      <w:pPr>
        <w:jc w:val="both"/>
        <w:ind w:left="640" w:firstLine="653"/>
        <w:spacing w:after="0" w:line="256" w:lineRule="auto"/>
        <w:tabs>
          <w:tab w:leader="none" w:pos="2248" w:val="left"/>
        </w:tabs>
        <w:numPr>
          <w:ilvl w:val="1"/>
          <w:numId w:val="118"/>
        </w:numPr>
        <w:rPr>
          <w:rFonts w:ascii="Arial" w:cs="Arial" w:eastAsia="Arial" w:hAnsi="Arial"/>
          <w:sz w:val="22"/>
          <w:szCs w:val="22"/>
          <w:color w:val="auto"/>
        </w:rPr>
      </w:pPr>
      <w:r>
        <w:rPr>
          <w:rFonts w:ascii="Arial" w:cs="Arial" w:eastAsia="Arial" w:hAnsi="Arial"/>
          <w:sz w:val="22"/>
          <w:szCs w:val="22"/>
          <w:b w:val="1"/>
          <w:bCs w:val="1"/>
          <w:color w:val="auto"/>
        </w:rPr>
        <w:t>Qualifying Termination Following a Change of Control</w:t>
      </w:r>
      <w:r>
        <w:rPr>
          <w:rFonts w:ascii="Arial" w:cs="Arial" w:eastAsia="Arial" w:hAnsi="Arial"/>
          <w:sz w:val="22"/>
          <w:szCs w:val="22"/>
          <w:color w:val="auto"/>
        </w:rPr>
        <w:t>. If Grantee has a Qualifying</w:t>
      </w:r>
      <w:r>
        <w:rPr>
          <w:rFonts w:ascii="Arial" w:cs="Arial" w:eastAsia="Arial" w:hAnsi="Arial"/>
          <w:sz w:val="22"/>
          <w:szCs w:val="22"/>
          <w:b w:val="1"/>
          <w:bCs w:val="1"/>
          <w:color w:val="auto"/>
        </w:rPr>
        <w:t xml:space="preserve"> </w:t>
      </w:r>
      <w:r>
        <w:rPr>
          <w:rFonts w:ascii="Arial" w:cs="Arial" w:eastAsia="Arial" w:hAnsi="Arial"/>
          <w:sz w:val="22"/>
          <w:szCs w:val="22"/>
          <w:color w:val="auto"/>
        </w:rPr>
        <w:t>Termination within two years following a Change of Control, Grantee shall fully vest in the Restricted Stock Units subject to this Award.</w:t>
      </w:r>
    </w:p>
    <w:p>
      <w:pPr>
        <w:spacing w:after="0" w:line="223"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Any Restricted Stock Units that do not vest in accordance with Section II.A.1(a) or this Section II.A.1(b) shall be canceled and forfeited as of the date of Grantee’s termination of services. Further, subject to Code Section 409A, the Corporation retains the right to accelerate the vesting of all or a portion of the Restricted Stock Units subject to this Award.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0760"/>
          </w:cols>
          <w:pgMar w:left="900" w:top="625" w:right="239" w:bottom="1440" w:gutter="0" w:footer="0" w:header="0"/>
        </w:sectPr>
      </w:pPr>
    </w:p>
    <w:bookmarkStart w:id="117" w:name="page118"/>
    <w:bookmarkEnd w:id="117"/>
    <w:p>
      <w:pPr>
        <w:ind w:left="1660" w:hanging="375"/>
        <w:spacing w:after="0"/>
        <w:tabs>
          <w:tab w:leader="none" w:pos="1660" w:val="left"/>
        </w:tabs>
        <w:numPr>
          <w:ilvl w:val="0"/>
          <w:numId w:val="11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Settlement</w:t>
      </w:r>
      <w:r>
        <w:rPr>
          <w:rFonts w:ascii="Arial" w:cs="Arial" w:eastAsia="Arial" w:hAnsi="Arial"/>
          <w:sz w:val="22"/>
          <w:szCs w:val="22"/>
          <w:color w:val="auto"/>
        </w:rPr>
        <w:t>.</w:t>
      </w:r>
    </w:p>
    <w:p>
      <w:pPr>
        <w:spacing w:after="0" w:line="220" w:lineRule="exact"/>
        <w:rPr>
          <w:sz w:val="20"/>
          <w:szCs w:val="20"/>
          <w:color w:val="auto"/>
        </w:rPr>
      </w:pPr>
    </w:p>
    <w:p>
      <w:pPr>
        <w:jc w:val="both"/>
        <w:ind w:left="640" w:firstLine="645"/>
        <w:spacing w:after="0" w:line="256" w:lineRule="auto"/>
        <w:tabs>
          <w:tab w:leader="none" w:pos="1744" w:val="left"/>
        </w:tabs>
        <w:numPr>
          <w:ilvl w:val="0"/>
          <w:numId w:val="120"/>
        </w:numPr>
        <w:rPr>
          <w:rFonts w:ascii="Arial" w:cs="Arial" w:eastAsia="Arial" w:hAnsi="Arial"/>
          <w:sz w:val="22"/>
          <w:szCs w:val="22"/>
          <w:color w:val="auto"/>
        </w:rPr>
      </w:pPr>
      <w:r>
        <w:rPr>
          <w:rFonts w:ascii="Arial" w:cs="Arial" w:eastAsia="Arial" w:hAnsi="Arial"/>
          <w:sz w:val="22"/>
          <w:szCs w:val="22"/>
          <w:b w:val="1"/>
          <w:bCs w:val="1"/>
          <w:color w:val="auto"/>
        </w:rPr>
        <w:t>General</w:t>
      </w:r>
      <w:r>
        <w:rPr>
          <w:rFonts w:ascii="Arial" w:cs="Arial" w:eastAsia="Arial" w:hAnsi="Arial"/>
          <w:sz w:val="22"/>
          <w:szCs w:val="22"/>
          <w:color w:val="auto"/>
        </w:rPr>
        <w:t>. Subject to Section II.A.2(b) below, and as soon as administratively practicable following (but no later</w:t>
      </w:r>
      <w:r>
        <w:rPr>
          <w:rFonts w:ascii="Arial" w:cs="Arial" w:eastAsia="Arial" w:hAnsi="Arial"/>
          <w:sz w:val="22"/>
          <w:szCs w:val="22"/>
          <w:b w:val="1"/>
          <w:bCs w:val="1"/>
          <w:color w:val="auto"/>
        </w:rPr>
        <w:t xml:space="preserve"> </w:t>
      </w:r>
      <w:r>
        <w:rPr>
          <w:rFonts w:ascii="Arial" w:cs="Arial" w:eastAsia="Arial" w:hAnsi="Arial"/>
          <w:sz w:val="22"/>
          <w:szCs w:val="22"/>
          <w:color w:val="auto"/>
        </w:rPr>
        <w:t>than thirty (30) days following) each applicable Vesting Date, the Corporation shall issue Grantee one share of Common Stock for each Restricted Stock Unit that is vested on such Vesting Date.</w:t>
      </w:r>
    </w:p>
    <w:p>
      <w:pPr>
        <w:spacing w:after="0" w:line="176" w:lineRule="exact"/>
        <w:rPr>
          <w:rFonts w:ascii="Arial" w:cs="Arial" w:eastAsia="Arial" w:hAnsi="Arial"/>
          <w:sz w:val="22"/>
          <w:szCs w:val="22"/>
          <w:color w:val="auto"/>
        </w:rPr>
      </w:pPr>
    </w:p>
    <w:p>
      <w:pPr>
        <w:jc w:val="both"/>
        <w:ind w:left="640" w:firstLine="645"/>
        <w:spacing w:after="0" w:line="248" w:lineRule="auto"/>
        <w:tabs>
          <w:tab w:leader="none" w:pos="1797" w:val="left"/>
        </w:tabs>
        <w:numPr>
          <w:ilvl w:val="0"/>
          <w:numId w:val="120"/>
        </w:numPr>
        <w:rPr>
          <w:rFonts w:ascii="Arial" w:cs="Arial" w:eastAsia="Arial" w:hAnsi="Arial"/>
          <w:sz w:val="22"/>
          <w:szCs w:val="22"/>
          <w:color w:val="auto"/>
        </w:rPr>
      </w:pPr>
      <w:r>
        <w:rPr>
          <w:rFonts w:ascii="Arial" w:cs="Arial" w:eastAsia="Arial" w:hAnsi="Arial"/>
          <w:sz w:val="22"/>
          <w:szCs w:val="22"/>
          <w:b w:val="1"/>
          <w:bCs w:val="1"/>
          <w:color w:val="auto"/>
        </w:rPr>
        <w:t>Other Payment Events</w:t>
      </w:r>
      <w:r>
        <w:rPr>
          <w:rFonts w:ascii="Arial" w:cs="Arial" w:eastAsia="Arial" w:hAnsi="Arial"/>
          <w:sz w:val="22"/>
          <w:szCs w:val="22"/>
          <w:color w:val="auto"/>
        </w:rPr>
        <w:t>. Notwithstanding Section II.A.2(a), to the extent the Restricted Stock Units have not</w:t>
      </w:r>
      <w:r>
        <w:rPr>
          <w:rFonts w:ascii="Arial" w:cs="Arial" w:eastAsia="Arial" w:hAnsi="Arial"/>
          <w:sz w:val="22"/>
          <w:szCs w:val="22"/>
          <w:b w:val="1"/>
          <w:bCs w:val="1"/>
          <w:color w:val="auto"/>
        </w:rPr>
        <w:t xml:space="preserve"> </w:t>
      </w:r>
      <w:r>
        <w:rPr>
          <w:rFonts w:ascii="Arial" w:cs="Arial" w:eastAsia="Arial" w:hAnsi="Arial"/>
          <w:sz w:val="22"/>
          <w:szCs w:val="22"/>
          <w:color w:val="auto"/>
        </w:rPr>
        <w:t>previously been settled, if Grantee ceases to be a Service Provider prior to any Vesting Date as a result of Grantee’s death, Disability, or Qualifying Termination, and such cessation to be a Service Provider constitutes a separation from service (within the meaning of Treasury Regulation Section 1.409A-1(h)), the Corporation shall issue Grantee one share of Common Stock for each vested Restricted Stock Unit as soon as practicable following (but no later than thirty (30) days following) the date of such cessation.</w:t>
      </w:r>
    </w:p>
    <w:p>
      <w:pPr>
        <w:spacing w:after="0" w:line="187" w:lineRule="exact"/>
        <w:rPr>
          <w:sz w:val="20"/>
          <w:szCs w:val="20"/>
          <w:color w:val="auto"/>
        </w:rPr>
      </w:pPr>
    </w:p>
    <w:p>
      <w:pPr>
        <w:jc w:val="both"/>
        <w:ind w:left="-20" w:firstLine="1305"/>
        <w:spacing w:after="0" w:line="290" w:lineRule="auto"/>
        <w:tabs>
          <w:tab w:leader="none" w:pos="1763" w:val="left"/>
        </w:tabs>
        <w:numPr>
          <w:ilvl w:val="1"/>
          <w:numId w:val="121"/>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Dividend Equivalent Rights</w:t>
      </w:r>
      <w:r>
        <w:rPr>
          <w:rFonts w:ascii="Arial" w:cs="Arial" w:eastAsia="Arial" w:hAnsi="Arial"/>
          <w:sz w:val="19"/>
          <w:szCs w:val="19"/>
          <w:color w:val="auto"/>
        </w:rPr>
        <w:t>. From and after the Grant Date and until the earlier of (a) the time when the</w:t>
      </w:r>
      <w:r>
        <w:rPr>
          <w:rFonts w:ascii="Arial" w:cs="Arial" w:eastAsia="Arial" w:hAnsi="Arial"/>
          <w:sz w:val="19"/>
          <w:szCs w:val="19"/>
          <w:b w:val="1"/>
          <w:bCs w:val="1"/>
          <w:color w:val="auto"/>
        </w:rPr>
        <w:t xml:space="preserve"> </w:t>
      </w:r>
      <w:r>
        <w:rPr>
          <w:rFonts w:ascii="Arial" w:cs="Arial" w:eastAsia="Arial" w:hAnsi="Arial"/>
          <w:sz w:val="19"/>
          <w:szCs w:val="19"/>
          <w:color w:val="auto"/>
        </w:rPr>
        <w:t>Restricted Stock Units vest and are settled in accordance with Section II.A.2 hereof or (b) the time when Grantee’s rights to the Restricted Stock Units are forfeited in accordance with Section II.A.1(b) hereof, on the date that the Corporation pays a cash dividend (if any) to holders of Common Stock generally, Grantee shall be credited with an additional number of whole Restricted Stock Units, determined (rounding down to the nearest whole number) by dividing (x) the product of (I) the full number of Restricted Stock Units covered by this Award, multiplied by (II) the amount of cash dividend paid on such date with respect to each share of Common Stock, by (y) the Fair Market Value per share of Common Stock on that date. Such additional Restricted Stock Units shall be subject to the same applicable terms and conditions (including vesting, payment or forfeitability) as apply to the Restricted Stock Units based on which the dividend equivalents were credited.</w:t>
      </w:r>
    </w:p>
    <w:p>
      <w:pPr>
        <w:spacing w:after="0" w:line="149" w:lineRule="exact"/>
        <w:rPr>
          <w:rFonts w:ascii="Arial" w:cs="Arial" w:eastAsia="Arial" w:hAnsi="Arial"/>
          <w:sz w:val="19"/>
          <w:szCs w:val="19"/>
          <w:b w:val="1"/>
          <w:bCs w:val="1"/>
          <w:color w:val="auto"/>
        </w:rPr>
      </w:pPr>
    </w:p>
    <w:p>
      <w:pPr>
        <w:ind w:left="-20" w:firstLine="1305"/>
        <w:spacing w:after="0" w:line="350" w:lineRule="auto"/>
        <w:tabs>
          <w:tab w:leader="none" w:pos="1749" w:val="left"/>
        </w:tabs>
        <w:numPr>
          <w:ilvl w:val="1"/>
          <w:numId w:val="121"/>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Rights as a Shareholder</w:t>
      </w:r>
      <w:r>
        <w:rPr>
          <w:rFonts w:ascii="Arial" w:cs="Arial" w:eastAsia="Arial" w:hAnsi="Arial"/>
          <w:sz w:val="19"/>
          <w:szCs w:val="19"/>
          <w:b w:val="1"/>
          <w:bCs w:val="1"/>
          <w:color w:val="auto"/>
        </w:rPr>
        <w:t xml:space="preserve">. </w:t>
      </w:r>
      <w:r>
        <w:rPr>
          <w:rFonts w:ascii="Arial" w:cs="Arial" w:eastAsia="Arial" w:hAnsi="Arial"/>
          <w:sz w:val="19"/>
          <w:szCs w:val="19"/>
          <w:color w:val="auto"/>
        </w:rPr>
        <w:t>Grantee will not have any rights of a stockholder (including voting and dividend</w:t>
      </w:r>
      <w:r>
        <w:rPr>
          <w:rFonts w:ascii="Arial" w:cs="Arial" w:eastAsia="Arial" w:hAnsi="Arial"/>
          <w:sz w:val="19"/>
          <w:szCs w:val="19"/>
          <w:b w:val="1"/>
          <w:bCs w:val="1"/>
          <w:color w:val="auto"/>
        </w:rPr>
        <w:t xml:space="preserve"> </w:t>
      </w:r>
      <w:r>
        <w:rPr>
          <w:rFonts w:ascii="Arial" w:cs="Arial" w:eastAsia="Arial" w:hAnsi="Arial"/>
          <w:sz w:val="19"/>
          <w:szCs w:val="19"/>
          <w:color w:val="auto"/>
        </w:rPr>
        <w:t>rights) with respect to the Restricted Stock Units covered by this Award (except as otherwise provided in Section II.A.3).</w:t>
      </w:r>
    </w:p>
    <w:p>
      <w:pPr>
        <w:spacing w:after="0" w:line="92" w:lineRule="exact"/>
        <w:rPr>
          <w:rFonts w:ascii="Arial" w:cs="Arial" w:eastAsia="Arial" w:hAnsi="Arial"/>
          <w:sz w:val="19"/>
          <w:szCs w:val="19"/>
          <w:b w:val="1"/>
          <w:bCs w:val="1"/>
          <w:color w:val="auto"/>
        </w:rPr>
      </w:pPr>
    </w:p>
    <w:p>
      <w:pPr>
        <w:ind w:left="-20" w:firstLine="1305"/>
        <w:spacing w:after="0" w:line="269" w:lineRule="auto"/>
        <w:tabs>
          <w:tab w:leader="none" w:pos="1709" w:val="left"/>
        </w:tabs>
        <w:numPr>
          <w:ilvl w:val="1"/>
          <w:numId w:val="12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Adjustments</w:t>
      </w:r>
      <w:r>
        <w:rPr>
          <w:rFonts w:ascii="Arial" w:cs="Arial" w:eastAsia="Arial" w:hAnsi="Arial"/>
          <w:sz w:val="22"/>
          <w:szCs w:val="22"/>
          <w:b w:val="1"/>
          <w:bCs w:val="1"/>
          <w:color w:val="auto"/>
        </w:rPr>
        <w:t xml:space="preserve">. </w:t>
      </w:r>
      <w:r>
        <w:rPr>
          <w:rFonts w:ascii="Arial" w:cs="Arial" w:eastAsia="Arial" w:hAnsi="Arial"/>
          <w:sz w:val="22"/>
          <w:szCs w:val="22"/>
          <w:color w:val="auto"/>
        </w:rPr>
        <w:t>The Restricted Stock Units covered by this Award will be subject to adjustment as provided in</w:t>
      </w:r>
      <w:r>
        <w:rPr>
          <w:rFonts w:ascii="Arial" w:cs="Arial" w:eastAsia="Arial" w:hAnsi="Arial"/>
          <w:sz w:val="22"/>
          <w:szCs w:val="22"/>
          <w:b w:val="1"/>
          <w:bCs w:val="1"/>
          <w:color w:val="auto"/>
        </w:rPr>
        <w:t xml:space="preserve"> </w:t>
      </w:r>
      <w:r>
        <w:rPr>
          <w:rFonts w:ascii="Arial" w:cs="Arial" w:eastAsia="Arial" w:hAnsi="Arial"/>
          <w:sz w:val="22"/>
          <w:szCs w:val="22"/>
          <w:color w:val="auto"/>
        </w:rPr>
        <w:t>Article X of the Plan.</w:t>
      </w:r>
    </w:p>
    <w:p>
      <w:pPr>
        <w:spacing w:after="0" w:line="162" w:lineRule="exact"/>
        <w:rPr>
          <w:rFonts w:ascii="Arial" w:cs="Arial" w:eastAsia="Arial" w:hAnsi="Arial"/>
          <w:sz w:val="22"/>
          <w:szCs w:val="22"/>
          <w:b w:val="1"/>
          <w:bCs w:val="1"/>
          <w:color w:val="auto"/>
        </w:rPr>
      </w:pPr>
    </w:p>
    <w:p>
      <w:pPr>
        <w:ind w:left="1060" w:hanging="424"/>
        <w:spacing w:after="0"/>
        <w:tabs>
          <w:tab w:leader="none" w:pos="1060" w:val="left"/>
        </w:tabs>
        <w:numPr>
          <w:ilvl w:val="0"/>
          <w:numId w:val="12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Other Terms and Conditions</w:t>
      </w:r>
      <w:r>
        <w:rPr>
          <w:rFonts w:ascii="Arial" w:cs="Arial" w:eastAsia="Arial" w:hAnsi="Arial"/>
          <w:sz w:val="22"/>
          <w:szCs w:val="22"/>
          <w:b w:val="1"/>
          <w:bCs w:val="1"/>
          <w:color w:val="auto"/>
        </w:rPr>
        <w:t>.</w:t>
      </w:r>
    </w:p>
    <w:p>
      <w:pPr>
        <w:spacing w:after="0" w:line="219" w:lineRule="exact"/>
        <w:rPr>
          <w:rFonts w:ascii="Arial" w:cs="Arial" w:eastAsia="Arial" w:hAnsi="Arial"/>
          <w:sz w:val="22"/>
          <w:szCs w:val="22"/>
          <w:b w:val="1"/>
          <w:bCs w:val="1"/>
          <w:color w:val="auto"/>
        </w:rPr>
      </w:pPr>
    </w:p>
    <w:p>
      <w:pPr>
        <w:jc w:val="both"/>
        <w:ind w:left="-20" w:firstLine="1305"/>
        <w:spacing w:after="0" w:line="252" w:lineRule="auto"/>
        <w:tabs>
          <w:tab w:leader="none" w:pos="1695" w:val="left"/>
        </w:tabs>
        <w:numPr>
          <w:ilvl w:val="1"/>
          <w:numId w:val="12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Non-Transferability of Award</w:t>
      </w:r>
      <w:r>
        <w:rPr>
          <w:rFonts w:ascii="Arial" w:cs="Arial" w:eastAsia="Arial" w:hAnsi="Arial"/>
          <w:sz w:val="22"/>
          <w:szCs w:val="22"/>
          <w:color w:val="auto"/>
        </w:rPr>
        <w:t>. Except as described below, this Award and the Restricted Stock Units subject</w:t>
      </w:r>
      <w:r>
        <w:rPr>
          <w:rFonts w:ascii="Arial" w:cs="Arial" w:eastAsia="Arial" w:hAnsi="Arial"/>
          <w:sz w:val="22"/>
          <w:szCs w:val="22"/>
          <w:b w:val="1"/>
          <w:bCs w:val="1"/>
          <w:color w:val="auto"/>
        </w:rPr>
        <w:t xml:space="preserve"> </w:t>
      </w:r>
      <w:r>
        <w:rPr>
          <w:rFonts w:ascii="Arial" w:cs="Arial" w:eastAsia="Arial" w:hAnsi="Arial"/>
          <w:sz w:val="22"/>
          <w:szCs w:val="22"/>
          <w:color w:val="auto"/>
        </w:rPr>
        <w:t>to this Award may not be sold, pledged, assigned, hypothecated, transferred, or disposed of in any manner other than by will or by the laws of descent or distribution. The terms of this Award are binding on the executors, administrators, heirs, successors and assigns of Grantee.</w:t>
      </w:r>
    </w:p>
    <w:p>
      <w:pPr>
        <w:spacing w:after="0" w:line="180" w:lineRule="exact"/>
        <w:rPr>
          <w:rFonts w:ascii="Arial" w:cs="Arial" w:eastAsia="Arial" w:hAnsi="Arial"/>
          <w:sz w:val="22"/>
          <w:szCs w:val="22"/>
          <w:b w:val="1"/>
          <w:bCs w:val="1"/>
          <w:color w:val="auto"/>
        </w:rPr>
      </w:pPr>
    </w:p>
    <w:p>
      <w:pPr>
        <w:jc w:val="both"/>
        <w:ind w:left="-20" w:firstLine="1305"/>
        <w:spacing w:after="0" w:line="256" w:lineRule="auto"/>
        <w:tabs>
          <w:tab w:leader="none" w:pos="1830" w:val="left"/>
        </w:tabs>
        <w:numPr>
          <w:ilvl w:val="1"/>
          <w:numId w:val="12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Withholding</w:t>
      </w:r>
      <w:r>
        <w:rPr>
          <w:rFonts w:ascii="Arial" w:cs="Arial" w:eastAsia="Arial" w:hAnsi="Arial"/>
          <w:sz w:val="22"/>
          <w:szCs w:val="22"/>
          <w:b w:val="1"/>
          <w:bCs w:val="1"/>
          <w:color w:val="auto"/>
        </w:rPr>
        <w:t xml:space="preserve">. </w:t>
      </w:r>
      <w:r>
        <w:rPr>
          <w:rFonts w:ascii="Arial" w:cs="Arial" w:eastAsia="Arial" w:hAnsi="Arial"/>
          <w:sz w:val="22"/>
          <w:szCs w:val="22"/>
          <w:color w:val="auto"/>
        </w:rPr>
        <w:t>Grantee authorizes the Corporation or Grantee’s employer to withhold from the shares of</w:t>
      </w:r>
      <w:r>
        <w:rPr>
          <w:rFonts w:ascii="Arial" w:cs="Arial" w:eastAsia="Arial" w:hAnsi="Arial"/>
          <w:sz w:val="22"/>
          <w:szCs w:val="22"/>
          <w:b w:val="1"/>
          <w:bCs w:val="1"/>
          <w:color w:val="auto"/>
        </w:rPr>
        <w:t xml:space="preserve"> </w:t>
      </w:r>
      <w:r>
        <w:rPr>
          <w:rFonts w:ascii="Arial" w:cs="Arial" w:eastAsia="Arial" w:hAnsi="Arial"/>
          <w:sz w:val="22"/>
          <w:szCs w:val="22"/>
          <w:color w:val="auto"/>
        </w:rPr>
        <w:t>Common Stock to be delivered as payment the number of shares of Common Stock needed to satisfy any applicable minimum income and employment tax withholding</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00"/>
          </w:cols>
          <w:pgMar w:left="260" w:top="625" w:right="239" w:bottom="1440" w:gutter="0" w:footer="0" w:header="0"/>
        </w:sectPr>
      </w:pPr>
    </w:p>
    <w:bookmarkStart w:id="118" w:name="page119"/>
    <w:bookmarkEnd w:id="118"/>
    <w:p>
      <w:pPr>
        <w:jc w:val="both"/>
        <w:spacing w:after="0" w:line="248" w:lineRule="auto"/>
        <w:rPr>
          <w:sz w:val="20"/>
          <w:szCs w:val="20"/>
          <w:color w:val="auto"/>
        </w:rPr>
      </w:pPr>
      <w:r>
        <w:rPr>
          <w:rFonts w:ascii="Arial" w:cs="Arial" w:eastAsia="Arial" w:hAnsi="Arial"/>
          <w:sz w:val="22"/>
          <w:szCs w:val="22"/>
          <w:color w:val="auto"/>
        </w:rPr>
        <w:t>obligations, or Grantee agrees to tender sufficient funds to satisfy any applicable income and employment tax withholding obligations in connection with the vesting of the Restricted Stock Units under this Award. Notwithstanding any other provision of this Agreement or the Plan, the Corporation shall not be obligated to guarantee any particular tax result for Grantee with respect to any payment provided to Grantee hereunder, and Grantee shall be responsible for any taxes imposed on Grantee with respect to any such payment.</w:t>
      </w:r>
    </w:p>
    <w:p>
      <w:pPr>
        <w:spacing w:after="0" w:line="186" w:lineRule="exact"/>
        <w:rPr>
          <w:sz w:val="20"/>
          <w:szCs w:val="20"/>
          <w:color w:val="auto"/>
        </w:rPr>
      </w:pPr>
    </w:p>
    <w:p>
      <w:pPr>
        <w:jc w:val="both"/>
        <w:ind w:firstLine="1305"/>
        <w:spacing w:after="0" w:line="267" w:lineRule="auto"/>
        <w:tabs>
          <w:tab w:leader="none" w:pos="1729" w:val="left"/>
        </w:tabs>
        <w:numPr>
          <w:ilvl w:val="0"/>
          <w:numId w:val="123"/>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Dispute Resolution</w:t>
      </w:r>
      <w:r>
        <w:rPr>
          <w:rFonts w:ascii="Arial" w:cs="Arial" w:eastAsia="Arial" w:hAnsi="Arial"/>
          <w:sz w:val="21"/>
          <w:szCs w:val="21"/>
          <w:color w:val="auto"/>
        </w:rPr>
        <w:t>. Grantee and the Corporation agree that any disagreement, dispute, controversy, or claim</w:t>
      </w:r>
      <w:r>
        <w:rPr>
          <w:rFonts w:ascii="Arial" w:cs="Arial" w:eastAsia="Arial" w:hAnsi="Arial"/>
          <w:sz w:val="21"/>
          <w:szCs w:val="21"/>
          <w:b w:val="1"/>
          <w:bCs w:val="1"/>
          <w:color w:val="auto"/>
        </w:rPr>
        <w:t xml:space="preserve"> </w:t>
      </w:r>
      <w:r>
        <w:rPr>
          <w:rFonts w:ascii="Arial" w:cs="Arial" w:eastAsia="Arial" w:hAnsi="Arial"/>
          <w:sz w:val="21"/>
          <w:szCs w:val="21"/>
          <w:color w:val="auto"/>
        </w:rPr>
        <w:t>arising out of or relating to this Agreement, its interpretation, validity, or the alleged breach of this Agreement, will be settled exclusively and, consistent with the procedures specified in this Section II.B.3, irrespective of its magnitude, the amount in controversy, or the nature of the relief sought, in accordance with the following:</w:t>
      </w:r>
    </w:p>
    <w:p>
      <w:pPr>
        <w:spacing w:after="0" w:line="168" w:lineRule="exact"/>
        <w:rPr>
          <w:sz w:val="20"/>
          <w:szCs w:val="20"/>
          <w:color w:val="auto"/>
        </w:rPr>
      </w:pPr>
    </w:p>
    <w:p>
      <w:pPr>
        <w:jc w:val="both"/>
        <w:ind w:left="660" w:firstLine="645"/>
        <w:spacing w:after="0" w:line="256" w:lineRule="auto"/>
        <w:tabs>
          <w:tab w:leader="none" w:pos="1845" w:val="left"/>
        </w:tabs>
        <w:numPr>
          <w:ilvl w:val="0"/>
          <w:numId w:val="124"/>
        </w:numPr>
        <w:rPr>
          <w:rFonts w:ascii="Arial" w:cs="Arial" w:eastAsia="Arial" w:hAnsi="Arial"/>
          <w:sz w:val="22"/>
          <w:szCs w:val="22"/>
          <w:color w:val="auto"/>
        </w:rPr>
      </w:pPr>
      <w:r>
        <w:rPr>
          <w:rFonts w:ascii="Arial" w:cs="Arial" w:eastAsia="Arial" w:hAnsi="Arial"/>
          <w:sz w:val="22"/>
          <w:szCs w:val="22"/>
          <w:b w:val="1"/>
          <w:bCs w:val="1"/>
          <w:color w:val="auto"/>
        </w:rPr>
        <w:t>Negotiation</w:t>
      </w:r>
      <w:r>
        <w:rPr>
          <w:rFonts w:ascii="Arial" w:cs="Arial" w:eastAsia="Arial" w:hAnsi="Arial"/>
          <w:sz w:val="22"/>
          <w:szCs w:val="22"/>
          <w:color w:val="auto"/>
        </w:rPr>
        <w:t>. Grantee and the Corporation will use their best efforts to settle the dispute, claim, question or</w:t>
      </w:r>
      <w:r>
        <w:rPr>
          <w:rFonts w:ascii="Arial" w:cs="Arial" w:eastAsia="Arial" w:hAnsi="Arial"/>
          <w:sz w:val="22"/>
          <w:szCs w:val="22"/>
          <w:b w:val="1"/>
          <w:bCs w:val="1"/>
          <w:color w:val="auto"/>
        </w:rPr>
        <w:t xml:space="preserve"> </w:t>
      </w:r>
      <w:r>
        <w:rPr>
          <w:rFonts w:ascii="Arial" w:cs="Arial" w:eastAsia="Arial" w:hAnsi="Arial"/>
          <w:sz w:val="22"/>
          <w:szCs w:val="22"/>
          <w:color w:val="auto"/>
        </w:rPr>
        <w:t>disagreement. To this effect, they will consult and negotiate with each other in good faith and, recognizing their mutual interests, attempt to reach a just and equitable solution satisfactory to both parties.</w:t>
      </w:r>
    </w:p>
    <w:p>
      <w:pPr>
        <w:spacing w:after="0" w:line="176" w:lineRule="exact"/>
        <w:rPr>
          <w:rFonts w:ascii="Arial" w:cs="Arial" w:eastAsia="Arial" w:hAnsi="Arial"/>
          <w:sz w:val="22"/>
          <w:szCs w:val="22"/>
          <w:color w:val="auto"/>
        </w:rPr>
      </w:pPr>
    </w:p>
    <w:p>
      <w:pPr>
        <w:jc w:val="both"/>
        <w:ind w:left="660" w:firstLine="645"/>
        <w:spacing w:after="0" w:line="249" w:lineRule="auto"/>
        <w:tabs>
          <w:tab w:leader="none" w:pos="1817" w:val="left"/>
        </w:tabs>
        <w:numPr>
          <w:ilvl w:val="0"/>
          <w:numId w:val="124"/>
        </w:numPr>
        <w:rPr>
          <w:rFonts w:ascii="Arial" w:cs="Arial" w:eastAsia="Arial" w:hAnsi="Arial"/>
          <w:sz w:val="22"/>
          <w:szCs w:val="22"/>
          <w:color w:val="auto"/>
        </w:rPr>
      </w:pPr>
      <w:r>
        <w:rPr>
          <w:rFonts w:ascii="Arial" w:cs="Arial" w:eastAsia="Arial" w:hAnsi="Arial"/>
          <w:sz w:val="22"/>
          <w:szCs w:val="22"/>
          <w:b w:val="1"/>
          <w:bCs w:val="1"/>
          <w:color w:val="auto"/>
        </w:rPr>
        <w:t>Arbitration</w:t>
      </w:r>
      <w:r>
        <w:rPr>
          <w:rFonts w:ascii="Arial" w:cs="Arial" w:eastAsia="Arial" w:hAnsi="Arial"/>
          <w:sz w:val="22"/>
          <w:szCs w:val="22"/>
          <w:color w:val="auto"/>
        </w:rPr>
        <w:t>. If Grantee and the Corporation do not reach a solution within a period of 30 days from the date</w:t>
      </w:r>
      <w:r>
        <w:rPr>
          <w:rFonts w:ascii="Arial" w:cs="Arial" w:eastAsia="Arial" w:hAnsi="Arial"/>
          <w:sz w:val="22"/>
          <w:szCs w:val="22"/>
          <w:b w:val="1"/>
          <w:bCs w:val="1"/>
          <w:color w:val="auto"/>
        </w:rPr>
        <w:t xml:space="preserve"> </w:t>
      </w:r>
      <w:r>
        <w:rPr>
          <w:rFonts w:ascii="Arial" w:cs="Arial" w:eastAsia="Arial" w:hAnsi="Arial"/>
          <w:sz w:val="22"/>
          <w:szCs w:val="22"/>
          <w:color w:val="auto"/>
        </w:rPr>
        <w:t>on which the dispute, claim, disagreement, or controversy arises, then, upon written notice by Grantee to the Corporation or the Corporation to Grantee, all disputes, claims, questions, controversies, or differences will be submitted to arbitration administered by the American Arbitration Association (the “AAA”) in accordance with the provisions of its Employment Arbitration Rules (the “Arbitration Rules”).</w:t>
      </w:r>
    </w:p>
    <w:p>
      <w:pPr>
        <w:spacing w:after="0" w:line="186" w:lineRule="exact"/>
        <w:rPr>
          <w:rFonts w:ascii="Arial" w:cs="Arial" w:eastAsia="Arial" w:hAnsi="Arial"/>
          <w:sz w:val="22"/>
          <w:szCs w:val="22"/>
          <w:color w:val="auto"/>
        </w:rPr>
      </w:pPr>
    </w:p>
    <w:p>
      <w:pPr>
        <w:jc w:val="both"/>
        <w:ind w:left="1300" w:firstLine="653"/>
        <w:spacing w:after="0" w:line="247" w:lineRule="auto"/>
        <w:tabs>
          <w:tab w:leader="none" w:pos="2470" w:val="left"/>
        </w:tabs>
        <w:numPr>
          <w:ilvl w:val="1"/>
          <w:numId w:val="124"/>
        </w:numPr>
        <w:rPr>
          <w:rFonts w:ascii="Arial" w:cs="Arial" w:eastAsia="Arial" w:hAnsi="Arial"/>
          <w:sz w:val="22"/>
          <w:szCs w:val="22"/>
          <w:color w:val="auto"/>
        </w:rPr>
      </w:pPr>
      <w:r>
        <w:rPr>
          <w:rFonts w:ascii="Arial" w:cs="Arial" w:eastAsia="Arial" w:hAnsi="Arial"/>
          <w:sz w:val="22"/>
          <w:szCs w:val="22"/>
          <w:b w:val="1"/>
          <w:bCs w:val="1"/>
          <w:color w:val="auto"/>
        </w:rPr>
        <w:t>Arbitrator</w:t>
      </w:r>
      <w:r>
        <w:rPr>
          <w:rFonts w:ascii="Arial" w:cs="Arial" w:eastAsia="Arial" w:hAnsi="Arial"/>
          <w:sz w:val="22"/>
          <w:szCs w:val="22"/>
          <w:color w:val="auto"/>
        </w:rPr>
        <w:t>. The arbitration will be conducted by one arbitrator skilled in the arbitration of executive</w:t>
      </w:r>
      <w:r>
        <w:rPr>
          <w:rFonts w:ascii="Arial" w:cs="Arial" w:eastAsia="Arial" w:hAnsi="Arial"/>
          <w:sz w:val="22"/>
          <w:szCs w:val="22"/>
          <w:b w:val="1"/>
          <w:bCs w:val="1"/>
          <w:color w:val="auto"/>
        </w:rPr>
        <w:t xml:space="preserve"> </w:t>
      </w:r>
      <w:r>
        <w:rPr>
          <w:rFonts w:ascii="Arial" w:cs="Arial" w:eastAsia="Arial" w:hAnsi="Arial"/>
          <w:sz w:val="22"/>
          <w:szCs w:val="22"/>
          <w:color w:val="auto"/>
        </w:rPr>
        <w:t>employment matters. The parties to the arbitration will jointly appoint the arbitrator within 30 days after initiation of the arbitration. If the parties fail to appoint an arbitrator as provided above, an arbitrator with substantial experience in executive employment matters will be appointed by the AAA as provided in the Arbitration Rules. The Corporation will pay all of the fees, if any, and expenses of the arbitrator and the arbitration, unless otherwise determined by the arbitrator. Each party to the arbitration will be responsible for his/its respective attorneys fees or other costs of representation.</w:t>
      </w:r>
    </w:p>
    <w:p>
      <w:pPr>
        <w:spacing w:after="0" w:line="189" w:lineRule="exact"/>
        <w:rPr>
          <w:rFonts w:ascii="Arial" w:cs="Arial" w:eastAsia="Arial" w:hAnsi="Arial"/>
          <w:sz w:val="22"/>
          <w:szCs w:val="22"/>
          <w:color w:val="auto"/>
        </w:rPr>
      </w:pPr>
    </w:p>
    <w:p>
      <w:pPr>
        <w:ind w:left="2420" w:hanging="467"/>
        <w:spacing w:after="0"/>
        <w:tabs>
          <w:tab w:leader="none" w:pos="2420" w:val="left"/>
        </w:tabs>
        <w:numPr>
          <w:ilvl w:val="1"/>
          <w:numId w:val="124"/>
        </w:numPr>
        <w:rPr>
          <w:rFonts w:ascii="Arial" w:cs="Arial" w:eastAsia="Arial" w:hAnsi="Arial"/>
          <w:sz w:val="22"/>
          <w:szCs w:val="22"/>
          <w:color w:val="auto"/>
        </w:rPr>
      </w:pPr>
      <w:r>
        <w:rPr>
          <w:rFonts w:ascii="Arial" w:cs="Arial" w:eastAsia="Arial" w:hAnsi="Arial"/>
          <w:sz w:val="22"/>
          <w:szCs w:val="22"/>
          <w:b w:val="1"/>
          <w:bCs w:val="1"/>
          <w:color w:val="auto"/>
        </w:rPr>
        <w:t>Location</w:t>
      </w:r>
      <w:r>
        <w:rPr>
          <w:rFonts w:ascii="Arial" w:cs="Arial" w:eastAsia="Arial" w:hAnsi="Arial"/>
          <w:sz w:val="22"/>
          <w:szCs w:val="22"/>
          <w:color w:val="auto"/>
        </w:rPr>
        <w:t>. The arbitration will be conducted in Oakland County, Michigan.</w:t>
      </w:r>
    </w:p>
    <w:p>
      <w:pPr>
        <w:spacing w:after="0" w:line="219" w:lineRule="exact"/>
        <w:rPr>
          <w:rFonts w:ascii="Arial" w:cs="Arial" w:eastAsia="Arial" w:hAnsi="Arial"/>
          <w:sz w:val="22"/>
          <w:szCs w:val="22"/>
          <w:color w:val="auto"/>
        </w:rPr>
      </w:pPr>
    </w:p>
    <w:p>
      <w:pPr>
        <w:jc w:val="both"/>
        <w:ind w:left="1300" w:firstLine="653"/>
        <w:spacing w:after="0" w:line="249" w:lineRule="auto"/>
        <w:tabs>
          <w:tab w:leader="none" w:pos="2470" w:val="left"/>
        </w:tabs>
        <w:numPr>
          <w:ilvl w:val="1"/>
          <w:numId w:val="124"/>
        </w:numPr>
        <w:rPr>
          <w:rFonts w:ascii="Arial" w:cs="Arial" w:eastAsia="Arial" w:hAnsi="Arial"/>
          <w:sz w:val="22"/>
          <w:szCs w:val="22"/>
          <w:color w:val="auto"/>
        </w:rPr>
      </w:pPr>
      <w:r>
        <w:rPr>
          <w:rFonts w:ascii="Arial" w:cs="Arial" w:eastAsia="Arial" w:hAnsi="Arial"/>
          <w:sz w:val="22"/>
          <w:szCs w:val="22"/>
          <w:b w:val="1"/>
          <w:bCs w:val="1"/>
          <w:color w:val="auto"/>
        </w:rPr>
        <w:t>Procedure</w:t>
      </w:r>
      <w:r>
        <w:rPr>
          <w:rFonts w:ascii="Arial" w:cs="Arial" w:eastAsia="Arial" w:hAnsi="Arial"/>
          <w:sz w:val="22"/>
          <w:szCs w:val="22"/>
          <w:color w:val="auto"/>
        </w:rPr>
        <w:t>. At any oral hearing of evidence in connection with the arbitration, each party or its legal</w:t>
      </w:r>
      <w:r>
        <w:rPr>
          <w:rFonts w:ascii="Arial" w:cs="Arial" w:eastAsia="Arial" w:hAnsi="Arial"/>
          <w:sz w:val="22"/>
          <w:szCs w:val="22"/>
          <w:b w:val="1"/>
          <w:bCs w:val="1"/>
          <w:color w:val="auto"/>
        </w:rPr>
        <w:t xml:space="preserve"> </w:t>
      </w:r>
      <w:r>
        <w:rPr>
          <w:rFonts w:ascii="Arial" w:cs="Arial" w:eastAsia="Arial" w:hAnsi="Arial"/>
          <w:sz w:val="22"/>
          <w:szCs w:val="22"/>
          <w:color w:val="auto"/>
        </w:rPr>
        <w:t>counsel will have the right to examine its witnesses and cross-examine the witnesses of any opposing party. No evidence of any witness may be presented in any form unless the opposing party or parties has the opportunity to cross-examine the witness, except under extraordinary circumstances in which the arbitrator determines that the interests of justice require a different procedure.</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631" w:right="239" w:bottom="1440" w:gutter="0" w:footer="0" w:header="0"/>
        </w:sectPr>
      </w:pPr>
    </w:p>
    <w:bookmarkStart w:id="119" w:name="page120"/>
    <w:bookmarkEnd w:id="119"/>
    <w:p>
      <w:pPr>
        <w:jc w:val="both"/>
        <w:ind w:left="1300" w:firstLine="653"/>
        <w:spacing w:after="0" w:line="252" w:lineRule="auto"/>
        <w:tabs>
          <w:tab w:leader="none" w:pos="2470" w:val="left"/>
        </w:tabs>
        <w:numPr>
          <w:ilvl w:val="0"/>
          <w:numId w:val="125"/>
        </w:numPr>
        <w:rPr>
          <w:rFonts w:ascii="Arial" w:cs="Arial" w:eastAsia="Arial" w:hAnsi="Arial"/>
          <w:sz w:val="22"/>
          <w:szCs w:val="22"/>
          <w:color w:val="auto"/>
        </w:rPr>
      </w:pPr>
      <w:r>
        <w:rPr>
          <w:rFonts w:ascii="Arial" w:cs="Arial" w:eastAsia="Arial" w:hAnsi="Arial"/>
          <w:sz w:val="22"/>
          <w:szCs w:val="22"/>
          <w:b w:val="1"/>
          <w:bCs w:val="1"/>
          <w:color w:val="auto"/>
        </w:rPr>
        <w:t>Decision</w:t>
      </w:r>
      <w:r>
        <w:rPr>
          <w:rFonts w:ascii="Arial" w:cs="Arial" w:eastAsia="Arial" w:hAnsi="Arial"/>
          <w:sz w:val="22"/>
          <w:szCs w:val="22"/>
          <w:color w:val="auto"/>
        </w:rPr>
        <w:t>. Any decision or award of the arbitrator is final and binding on the parties to the arbitration</w:t>
      </w:r>
      <w:r>
        <w:rPr>
          <w:rFonts w:ascii="Arial" w:cs="Arial" w:eastAsia="Arial" w:hAnsi="Arial"/>
          <w:sz w:val="22"/>
          <w:szCs w:val="22"/>
          <w:b w:val="1"/>
          <w:bCs w:val="1"/>
          <w:color w:val="auto"/>
        </w:rPr>
        <w:t xml:space="preserve"> </w:t>
      </w:r>
      <w:r>
        <w:rPr>
          <w:rFonts w:ascii="Arial" w:cs="Arial" w:eastAsia="Arial" w:hAnsi="Arial"/>
          <w:sz w:val="22"/>
          <w:szCs w:val="22"/>
          <w:color w:val="auto"/>
        </w:rPr>
        <w:t>proceeding. The parties agree that the arbitration award may be enforced against the parties to the arbitration proceeding or their assets wherever they may be found and that a judgment upon the arbitration award may be entered in any court having jurisdiction.</w:t>
      </w:r>
    </w:p>
    <w:p>
      <w:pPr>
        <w:spacing w:after="0" w:line="180" w:lineRule="exact"/>
        <w:rPr>
          <w:rFonts w:ascii="Arial" w:cs="Arial" w:eastAsia="Arial" w:hAnsi="Arial"/>
          <w:sz w:val="22"/>
          <w:szCs w:val="22"/>
          <w:color w:val="auto"/>
        </w:rPr>
      </w:pPr>
    </w:p>
    <w:p>
      <w:pPr>
        <w:ind w:left="1300" w:firstLine="653"/>
        <w:spacing w:after="0" w:line="350" w:lineRule="auto"/>
        <w:tabs>
          <w:tab w:leader="none" w:pos="2551" w:val="left"/>
        </w:tabs>
        <w:numPr>
          <w:ilvl w:val="0"/>
          <w:numId w:val="125"/>
        </w:numPr>
        <w:rPr>
          <w:rFonts w:ascii="Arial" w:cs="Arial" w:eastAsia="Arial" w:hAnsi="Arial"/>
          <w:sz w:val="19"/>
          <w:szCs w:val="19"/>
          <w:color w:val="auto"/>
        </w:rPr>
      </w:pPr>
      <w:r>
        <w:rPr>
          <w:rFonts w:ascii="Arial" w:cs="Arial" w:eastAsia="Arial" w:hAnsi="Arial"/>
          <w:sz w:val="19"/>
          <w:szCs w:val="19"/>
          <w:b w:val="1"/>
          <w:bCs w:val="1"/>
          <w:color w:val="auto"/>
        </w:rPr>
        <w:t>Power</w:t>
      </w:r>
      <w:r>
        <w:rPr>
          <w:rFonts w:ascii="Arial" w:cs="Arial" w:eastAsia="Arial" w:hAnsi="Arial"/>
          <w:sz w:val="19"/>
          <w:szCs w:val="19"/>
          <w:color w:val="auto"/>
        </w:rPr>
        <w:t>. Nothing contained in this Agreement may be deemed to give the arbitrator any authority,</w:t>
      </w:r>
      <w:r>
        <w:rPr>
          <w:rFonts w:ascii="Arial" w:cs="Arial" w:eastAsia="Arial" w:hAnsi="Arial"/>
          <w:sz w:val="19"/>
          <w:szCs w:val="19"/>
          <w:b w:val="1"/>
          <w:bCs w:val="1"/>
          <w:color w:val="auto"/>
        </w:rPr>
        <w:t xml:space="preserve"> </w:t>
      </w:r>
      <w:r>
        <w:rPr>
          <w:rFonts w:ascii="Arial" w:cs="Arial" w:eastAsia="Arial" w:hAnsi="Arial"/>
          <w:sz w:val="19"/>
          <w:szCs w:val="19"/>
          <w:color w:val="auto"/>
        </w:rPr>
        <w:t>power, or right to alter, change, amend, modify, add to, or subtract from any of the provisions of this Agreement.</w:t>
      </w:r>
    </w:p>
    <w:p>
      <w:pPr>
        <w:spacing w:after="0" w:line="98"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The provisions of this Section II.B.3 survive the termination or expiration of this Agreement, are binding on the Corporation’s and Grantee’s respective successors, heirs, personal representatives, designated beneficiaries and any other person asserting a claim described above, and may not be modified without the consent of the Corporation. To the extent arbitration is required, no person asserting a claim has the right to resort to any federal, state or local court or administrative agency concerning the claim unless expressly provided by federal statute, and the decision of the arbitrator is a complete defense to any action or proceeding instituted in any tribunal or agency with respect to any dispute, unless precluded by federal statute.</w:t>
      </w:r>
    </w:p>
    <w:p>
      <w:pPr>
        <w:spacing w:after="0" w:line="144" w:lineRule="exact"/>
        <w:rPr>
          <w:sz w:val="20"/>
          <w:szCs w:val="20"/>
          <w:color w:val="auto"/>
        </w:rPr>
      </w:pPr>
    </w:p>
    <w:p>
      <w:pPr>
        <w:ind w:firstLine="1305"/>
        <w:spacing w:after="0" w:line="350" w:lineRule="auto"/>
        <w:tabs>
          <w:tab w:leader="none" w:pos="1688" w:val="left"/>
        </w:tabs>
        <w:numPr>
          <w:ilvl w:val="0"/>
          <w:numId w:val="126"/>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Code Section 409A</w:t>
      </w:r>
      <w:r>
        <w:rPr>
          <w:rFonts w:ascii="Arial" w:cs="Arial" w:eastAsia="Arial" w:hAnsi="Arial"/>
          <w:sz w:val="19"/>
          <w:szCs w:val="19"/>
          <w:u w:val="single" w:color="auto"/>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Without limiting the generality of any other provision of this Agreement, and to the extent</w:t>
      </w:r>
      <w:r>
        <w:rPr>
          <w:rFonts w:ascii="Arial" w:cs="Arial" w:eastAsia="Arial" w:hAnsi="Arial"/>
          <w:sz w:val="19"/>
          <w:szCs w:val="19"/>
          <w:b w:val="1"/>
          <w:bCs w:val="1"/>
          <w:color w:val="auto"/>
        </w:rPr>
        <w:t xml:space="preserve"> </w:t>
      </w:r>
      <w:r>
        <w:rPr>
          <w:rFonts w:ascii="Arial" w:cs="Arial" w:eastAsia="Arial" w:hAnsi="Arial"/>
          <w:sz w:val="19"/>
          <w:szCs w:val="19"/>
          <w:color w:val="auto"/>
        </w:rPr>
        <w:t>applicable, Section 11.9 of the Plan pertaining to Code Section 409A is hereby explicitly incorporated into this Agreement.</w:t>
      </w:r>
    </w:p>
    <w:p>
      <w:pPr>
        <w:spacing w:after="0" w:line="92" w:lineRule="exact"/>
        <w:rPr>
          <w:rFonts w:ascii="Arial" w:cs="Arial" w:eastAsia="Arial" w:hAnsi="Arial"/>
          <w:sz w:val="19"/>
          <w:szCs w:val="19"/>
          <w:b w:val="1"/>
          <w:bCs w:val="1"/>
          <w:color w:val="auto"/>
        </w:rPr>
      </w:pPr>
    </w:p>
    <w:p>
      <w:pPr>
        <w:jc w:val="both"/>
        <w:ind w:firstLine="1305"/>
        <w:spacing w:after="0" w:line="249" w:lineRule="auto"/>
        <w:tabs>
          <w:tab w:leader="none" w:pos="1742" w:val="left"/>
        </w:tabs>
        <w:numPr>
          <w:ilvl w:val="0"/>
          <w:numId w:val="12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 Continued Right as Service Provider.</w:t>
      </w:r>
      <w:r>
        <w:rPr>
          <w:rFonts w:ascii="Arial" w:cs="Arial" w:eastAsia="Arial" w:hAnsi="Arial"/>
          <w:sz w:val="22"/>
          <w:szCs w:val="22"/>
          <w:b w:val="1"/>
          <w:bCs w:val="1"/>
          <w:color w:val="auto"/>
        </w:rPr>
        <w:t xml:space="preserve"> </w:t>
      </w:r>
      <w:r>
        <w:rPr>
          <w:rFonts w:ascii="Arial" w:cs="Arial" w:eastAsia="Arial" w:hAnsi="Arial"/>
          <w:sz w:val="22"/>
          <w:szCs w:val="22"/>
          <w:color w:val="auto"/>
        </w:rPr>
        <w:t>Nothing in the Plan or in this Agreement confers on Grantee any</w:t>
      </w:r>
      <w:r>
        <w:rPr>
          <w:rFonts w:ascii="Arial" w:cs="Arial" w:eastAsia="Arial" w:hAnsi="Arial"/>
          <w:sz w:val="22"/>
          <w:szCs w:val="22"/>
          <w:b w:val="1"/>
          <w:bCs w:val="1"/>
          <w:color w:val="auto"/>
        </w:rPr>
        <w:t xml:space="preserve"> </w:t>
      </w:r>
      <w:r>
        <w:rPr>
          <w:rFonts w:ascii="Arial" w:cs="Arial" w:eastAsia="Arial" w:hAnsi="Arial"/>
          <w:sz w:val="22"/>
          <w:szCs w:val="22"/>
          <w:color w:val="auto"/>
        </w:rPr>
        <w:t>right to continue as a Service Provider, or interferes with or restricts in any way the rights of the Corporation or any Subsidiary or Affiliate, which are hereby expressly reserved, to discharge Grantee at any time for any reason whatsoever, with or without Cause, except to the extent expressly provided otherwise in a written employment agreement between Grantee and the Corporation or any Subsidiary or Affiliate.</w:t>
      </w:r>
    </w:p>
    <w:p>
      <w:pPr>
        <w:spacing w:after="0" w:line="186" w:lineRule="exact"/>
        <w:rPr>
          <w:rFonts w:ascii="Arial" w:cs="Arial" w:eastAsia="Arial" w:hAnsi="Arial"/>
          <w:sz w:val="22"/>
          <w:szCs w:val="22"/>
          <w:b w:val="1"/>
          <w:bCs w:val="1"/>
          <w:color w:val="auto"/>
        </w:rPr>
      </w:pPr>
    </w:p>
    <w:p>
      <w:pPr>
        <w:jc w:val="both"/>
        <w:ind w:firstLine="1305"/>
        <w:spacing w:after="0" w:line="252" w:lineRule="auto"/>
        <w:tabs>
          <w:tab w:leader="none" w:pos="1742" w:val="left"/>
        </w:tabs>
        <w:numPr>
          <w:ilvl w:val="0"/>
          <w:numId w:val="12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Effect on Other Benefits</w:t>
      </w:r>
      <w:r>
        <w:rPr>
          <w:rFonts w:ascii="Arial" w:cs="Arial" w:eastAsia="Arial" w:hAnsi="Arial"/>
          <w:sz w:val="22"/>
          <w:szCs w:val="22"/>
          <w:u w:val="single" w:color="auto"/>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In no event will the value, at any time, of the Restricted Stock Units or any other</w:t>
      </w:r>
      <w:r>
        <w:rPr>
          <w:rFonts w:ascii="Arial" w:cs="Arial" w:eastAsia="Arial" w:hAnsi="Arial"/>
          <w:sz w:val="22"/>
          <w:szCs w:val="22"/>
          <w:b w:val="1"/>
          <w:bCs w:val="1"/>
          <w:color w:val="auto"/>
        </w:rPr>
        <w:t xml:space="preserve"> </w:t>
      </w:r>
      <w:r>
        <w:rPr>
          <w:rFonts w:ascii="Arial" w:cs="Arial" w:eastAsia="Arial" w:hAnsi="Arial"/>
          <w:sz w:val="22"/>
          <w:szCs w:val="22"/>
          <w:color w:val="auto"/>
        </w:rPr>
        <w:t>payment or right to payment under this Agreement be included as compensation or earnings for purposes of any other compensation, retirement, or benefit plan offered to employees of, or other Service Providers to, the Corporation or any Subsidiary or Affiliate unless otherwise specifically provided for in such plan.</w:t>
      </w:r>
    </w:p>
    <w:p>
      <w:pPr>
        <w:spacing w:after="0" w:line="180" w:lineRule="exact"/>
        <w:rPr>
          <w:rFonts w:ascii="Arial" w:cs="Arial" w:eastAsia="Arial" w:hAnsi="Arial"/>
          <w:sz w:val="22"/>
          <w:szCs w:val="22"/>
          <w:b w:val="1"/>
          <w:bCs w:val="1"/>
          <w:color w:val="auto"/>
        </w:rPr>
      </w:pPr>
    </w:p>
    <w:p>
      <w:pPr>
        <w:jc w:val="both"/>
        <w:ind w:firstLine="1305"/>
        <w:spacing w:after="0" w:line="252" w:lineRule="auto"/>
        <w:tabs>
          <w:tab w:leader="none" w:pos="1756" w:val="left"/>
        </w:tabs>
        <w:numPr>
          <w:ilvl w:val="0"/>
          <w:numId w:val="12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Severability</w:t>
      </w:r>
      <w:r>
        <w:rPr>
          <w:rFonts w:ascii="Arial" w:cs="Arial" w:eastAsia="Arial" w:hAnsi="Arial"/>
          <w:sz w:val="22"/>
          <w:szCs w:val="22"/>
          <w:color w:val="auto"/>
        </w:rPr>
        <w:t>. If any provision of this Agreement or the application of any provision hereof to any person or</w:t>
      </w:r>
      <w:r>
        <w:rPr>
          <w:rFonts w:ascii="Arial" w:cs="Arial" w:eastAsia="Arial" w:hAnsi="Arial"/>
          <w:sz w:val="22"/>
          <w:szCs w:val="22"/>
          <w:b w:val="1"/>
          <w:bCs w:val="1"/>
          <w:color w:val="auto"/>
        </w:rPr>
        <w:t xml:space="preserve"> </w:t>
      </w:r>
      <w:r>
        <w:rPr>
          <w:rFonts w:ascii="Arial" w:cs="Arial" w:eastAsia="Arial" w:hAnsi="Arial"/>
          <w:sz w:val="22"/>
          <w:szCs w:val="22"/>
          <w:color w:val="auto"/>
        </w:rPr>
        <w:t>circumstances is held invalid or unenforceable, the remainder of this Agreement and the application of such provision to any other person or circumstances shall not be affected, and the provisions so held to be invalid or unenforceable shall be reformed to the extent (and only to the extent) necessary to make it enforceable and valid.</w:t>
      </w:r>
    </w:p>
    <w:p>
      <w:pPr>
        <w:spacing w:after="0" w:line="180" w:lineRule="exact"/>
        <w:rPr>
          <w:rFonts w:ascii="Arial" w:cs="Arial" w:eastAsia="Arial" w:hAnsi="Arial"/>
          <w:sz w:val="22"/>
          <w:szCs w:val="22"/>
          <w:b w:val="1"/>
          <w:bCs w:val="1"/>
          <w:color w:val="auto"/>
        </w:rPr>
      </w:pPr>
    </w:p>
    <w:p>
      <w:pPr>
        <w:jc w:val="both"/>
        <w:ind w:firstLine="1305"/>
        <w:spacing w:after="0" w:line="252" w:lineRule="auto"/>
        <w:tabs>
          <w:tab w:leader="none" w:pos="1877" w:val="left"/>
        </w:tabs>
        <w:numPr>
          <w:ilvl w:val="0"/>
          <w:numId w:val="12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Electronic Delivery</w:t>
      </w:r>
      <w:r>
        <w:rPr>
          <w:rFonts w:ascii="Arial" w:cs="Arial" w:eastAsia="Arial" w:hAnsi="Arial"/>
          <w:sz w:val="22"/>
          <w:szCs w:val="22"/>
          <w:color w:val="auto"/>
        </w:rPr>
        <w:t>. The Corporation may, in its sole discretion, deliver any documents related to the</w:t>
      </w:r>
      <w:r>
        <w:rPr>
          <w:rFonts w:ascii="Arial" w:cs="Arial" w:eastAsia="Arial" w:hAnsi="Arial"/>
          <w:sz w:val="22"/>
          <w:szCs w:val="22"/>
          <w:b w:val="1"/>
          <w:bCs w:val="1"/>
          <w:color w:val="auto"/>
        </w:rPr>
        <w:t xml:space="preserve"> </w:t>
      </w:r>
      <w:r>
        <w:rPr>
          <w:rFonts w:ascii="Arial" w:cs="Arial" w:eastAsia="Arial" w:hAnsi="Arial"/>
          <w:sz w:val="22"/>
          <w:szCs w:val="22"/>
          <w:color w:val="auto"/>
        </w:rPr>
        <w:t>Restricted Stock Units and Grantee’s participation in the Plan, or future awards that may be granted under the Plan, by electronic means or request Grantee’s consent to participate in the Plan by electronic means. Grantee hereby consents to receive such documents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625" w:right="239" w:bottom="1440" w:gutter="0" w:footer="0" w:header="0"/>
        </w:sectPr>
      </w:pPr>
    </w:p>
    <w:bookmarkStart w:id="120" w:name="page121"/>
    <w:bookmarkEnd w:id="120"/>
    <w:p>
      <w:pPr>
        <w:ind w:right="20"/>
        <w:spacing w:after="0" w:line="263" w:lineRule="auto"/>
        <w:rPr>
          <w:sz w:val="20"/>
          <w:szCs w:val="20"/>
          <w:color w:val="auto"/>
        </w:rPr>
      </w:pPr>
      <w:r>
        <w:rPr>
          <w:rFonts w:ascii="Arial" w:cs="Arial" w:eastAsia="Arial" w:hAnsi="Arial"/>
          <w:sz w:val="22"/>
          <w:szCs w:val="22"/>
          <w:color w:val="auto"/>
        </w:rPr>
        <w:t>by electronic delivery and, if requested, agrees to participate in the Plan through an on-line or electronic system established and maintained by the Corporation or another third party designated by the Corporation.</w:t>
      </w:r>
    </w:p>
    <w:p>
      <w:pPr>
        <w:spacing w:after="0" w:line="169" w:lineRule="exact"/>
        <w:rPr>
          <w:sz w:val="20"/>
          <w:szCs w:val="20"/>
          <w:color w:val="auto"/>
        </w:rPr>
      </w:pPr>
    </w:p>
    <w:p>
      <w:pPr>
        <w:ind w:left="1680" w:hanging="375"/>
        <w:spacing w:after="0"/>
        <w:tabs>
          <w:tab w:leader="none" w:pos="1680" w:val="left"/>
        </w:tabs>
        <w:numPr>
          <w:ilvl w:val="0"/>
          <w:numId w:val="12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Nature of Grant</w:t>
      </w:r>
      <w:r>
        <w:rPr>
          <w:rFonts w:ascii="Arial" w:cs="Arial" w:eastAsia="Arial" w:hAnsi="Arial"/>
          <w:sz w:val="22"/>
          <w:szCs w:val="22"/>
          <w:b w:val="1"/>
          <w:bCs w:val="1"/>
          <w:color w:val="auto"/>
        </w:rPr>
        <w:t xml:space="preserve">. </w:t>
      </w:r>
      <w:r>
        <w:rPr>
          <w:rFonts w:ascii="Arial" w:cs="Arial" w:eastAsia="Arial" w:hAnsi="Arial"/>
          <w:sz w:val="22"/>
          <w:szCs w:val="22"/>
          <w:color w:val="auto"/>
        </w:rPr>
        <w:t>In accepting the Award, Grantee acknowledges that:</w:t>
      </w:r>
    </w:p>
    <w:p>
      <w:pPr>
        <w:spacing w:after="0" w:line="226" w:lineRule="exact"/>
        <w:rPr>
          <w:sz w:val="20"/>
          <w:szCs w:val="20"/>
          <w:color w:val="auto"/>
        </w:rPr>
      </w:pPr>
    </w:p>
    <w:p>
      <w:pPr>
        <w:ind w:left="660" w:firstLine="645"/>
        <w:spacing w:after="0" w:line="343" w:lineRule="auto"/>
        <w:tabs>
          <w:tab w:leader="none" w:pos="1862" w:val="left"/>
        </w:tabs>
        <w:numPr>
          <w:ilvl w:val="0"/>
          <w:numId w:val="128"/>
        </w:numPr>
        <w:rPr>
          <w:rFonts w:ascii="Arial" w:cs="Arial" w:eastAsia="Arial" w:hAnsi="Arial"/>
          <w:sz w:val="19"/>
          <w:szCs w:val="19"/>
          <w:color w:val="auto"/>
        </w:rPr>
      </w:pPr>
      <w:r>
        <w:rPr>
          <w:rFonts w:ascii="Arial" w:cs="Arial" w:eastAsia="Arial" w:hAnsi="Arial"/>
          <w:sz w:val="19"/>
          <w:szCs w:val="19"/>
          <w:color w:val="auto"/>
        </w:rPr>
        <w:t>the Plan is established voluntarily by the Corporation, it is discretionary in nature and it may be modified, amended, suspended or terminated by the Corporation at any time unless otherwise provided in the Plan or this Agreement;</w:t>
      </w:r>
    </w:p>
    <w:p>
      <w:pPr>
        <w:spacing w:after="0" w:line="104" w:lineRule="exact"/>
        <w:rPr>
          <w:rFonts w:ascii="Arial" w:cs="Arial" w:eastAsia="Arial" w:hAnsi="Arial"/>
          <w:sz w:val="19"/>
          <w:szCs w:val="19"/>
          <w:color w:val="auto"/>
        </w:rPr>
      </w:pPr>
    </w:p>
    <w:p>
      <w:pPr>
        <w:jc w:val="both"/>
        <w:ind w:left="660" w:firstLine="645"/>
        <w:spacing w:after="0" w:line="253" w:lineRule="auto"/>
        <w:tabs>
          <w:tab w:leader="none" w:pos="1794" w:val="left"/>
        </w:tabs>
        <w:numPr>
          <w:ilvl w:val="0"/>
          <w:numId w:val="128"/>
        </w:numPr>
        <w:rPr>
          <w:rFonts w:ascii="Arial" w:cs="Arial" w:eastAsia="Arial" w:hAnsi="Arial"/>
          <w:sz w:val="22"/>
          <w:szCs w:val="22"/>
          <w:color w:val="auto"/>
        </w:rPr>
      </w:pPr>
      <w:r>
        <w:rPr>
          <w:rFonts w:ascii="Arial" w:cs="Arial" w:eastAsia="Arial" w:hAnsi="Arial"/>
          <w:sz w:val="22"/>
          <w:szCs w:val="22"/>
          <w:color w:val="auto"/>
        </w:rPr>
        <w:t>the grant of the Restricted Stock Units is voluntary and occasional and does not create any contractual or other right to receive future grants of restricted stock units, or benefits in lieu of restricted stock units, even if restricted stock units have been granted repeatedly in the past;</w:t>
      </w:r>
    </w:p>
    <w:p>
      <w:pPr>
        <w:spacing w:after="0" w:line="185" w:lineRule="exact"/>
        <w:rPr>
          <w:rFonts w:ascii="Arial" w:cs="Arial" w:eastAsia="Arial" w:hAnsi="Arial"/>
          <w:sz w:val="22"/>
          <w:szCs w:val="22"/>
          <w:color w:val="auto"/>
        </w:rPr>
      </w:pPr>
    </w:p>
    <w:p>
      <w:pPr>
        <w:ind w:left="1880" w:hanging="575"/>
        <w:spacing w:after="0"/>
        <w:tabs>
          <w:tab w:leader="none" w:pos="1880" w:val="left"/>
        </w:tabs>
        <w:numPr>
          <w:ilvl w:val="0"/>
          <w:numId w:val="128"/>
        </w:numPr>
        <w:rPr>
          <w:rFonts w:ascii="Arial" w:cs="Arial" w:eastAsia="Arial" w:hAnsi="Arial"/>
          <w:sz w:val="19"/>
          <w:szCs w:val="19"/>
          <w:color w:val="auto"/>
        </w:rPr>
      </w:pPr>
      <w:r>
        <w:rPr>
          <w:rFonts w:ascii="Arial" w:cs="Arial" w:eastAsia="Arial" w:hAnsi="Arial"/>
          <w:sz w:val="19"/>
          <w:szCs w:val="19"/>
          <w:color w:val="auto"/>
        </w:rPr>
        <w:t>all decisions with respect to future restricted stock unit grants, if any, will be at the sole discretion of the</w:t>
      </w:r>
    </w:p>
    <w:p>
      <w:pPr>
        <w:spacing w:after="0" w:line="56"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Corporation;</w:t>
      </w:r>
    </w:p>
    <w:p>
      <w:pPr>
        <w:spacing w:after="0" w:line="201" w:lineRule="exact"/>
        <w:rPr>
          <w:rFonts w:ascii="Arial" w:cs="Arial" w:eastAsia="Arial" w:hAnsi="Arial"/>
          <w:sz w:val="19"/>
          <w:szCs w:val="19"/>
          <w:color w:val="auto"/>
        </w:rPr>
      </w:pPr>
    </w:p>
    <w:p>
      <w:pPr>
        <w:ind w:left="1780" w:hanging="475"/>
        <w:spacing w:after="0"/>
        <w:tabs>
          <w:tab w:leader="none" w:pos="1780" w:val="left"/>
        </w:tabs>
        <w:numPr>
          <w:ilvl w:val="0"/>
          <w:numId w:val="128"/>
        </w:numPr>
        <w:rPr>
          <w:rFonts w:ascii="Arial" w:cs="Arial" w:eastAsia="Arial" w:hAnsi="Arial"/>
          <w:sz w:val="22"/>
          <w:szCs w:val="22"/>
          <w:color w:val="auto"/>
        </w:rPr>
      </w:pPr>
      <w:r>
        <w:rPr>
          <w:rFonts w:ascii="Arial" w:cs="Arial" w:eastAsia="Arial" w:hAnsi="Arial"/>
          <w:sz w:val="22"/>
          <w:szCs w:val="22"/>
          <w:color w:val="auto"/>
        </w:rPr>
        <w:t>Grantee is voluntarily participating in the Plan;</w:t>
      </w:r>
    </w:p>
    <w:p>
      <w:pPr>
        <w:spacing w:after="0" w:line="219" w:lineRule="exact"/>
        <w:rPr>
          <w:rFonts w:ascii="Arial" w:cs="Arial" w:eastAsia="Arial" w:hAnsi="Arial"/>
          <w:sz w:val="22"/>
          <w:szCs w:val="22"/>
          <w:color w:val="auto"/>
        </w:rPr>
      </w:pPr>
    </w:p>
    <w:p>
      <w:pPr>
        <w:jc w:val="both"/>
        <w:ind w:left="660" w:right="20" w:firstLine="645"/>
        <w:spacing w:after="0" w:line="253" w:lineRule="auto"/>
        <w:tabs>
          <w:tab w:leader="none" w:pos="1824" w:val="left"/>
        </w:tabs>
        <w:numPr>
          <w:ilvl w:val="0"/>
          <w:numId w:val="128"/>
        </w:numPr>
        <w:rPr>
          <w:rFonts w:ascii="Arial" w:cs="Arial" w:eastAsia="Arial" w:hAnsi="Arial"/>
          <w:sz w:val="22"/>
          <w:szCs w:val="22"/>
          <w:color w:val="auto"/>
        </w:rPr>
      </w:pPr>
      <w:r>
        <w:rPr>
          <w:rFonts w:ascii="Arial" w:cs="Arial" w:eastAsia="Arial" w:hAnsi="Arial"/>
          <w:sz w:val="22"/>
          <w:szCs w:val="22"/>
          <w:color w:val="auto"/>
        </w:rPr>
        <w:t>the Restricted Stock Units and the Common Stock subject to the Restricted Stock Units are an extraordinary item that does not constitute compensation of any kind for services of any kind rendered to the Corporation or Grantee’s employer, and which is outside the scope of Grantee’s employment contract, if any;</w:t>
      </w:r>
    </w:p>
    <w:p>
      <w:pPr>
        <w:spacing w:after="0" w:line="185" w:lineRule="exact"/>
        <w:rPr>
          <w:rFonts w:ascii="Arial" w:cs="Arial" w:eastAsia="Arial" w:hAnsi="Arial"/>
          <w:sz w:val="22"/>
          <w:szCs w:val="22"/>
          <w:color w:val="auto"/>
        </w:rPr>
      </w:pPr>
    </w:p>
    <w:p>
      <w:pPr>
        <w:ind w:left="660" w:firstLine="645"/>
        <w:spacing w:after="0" w:line="263" w:lineRule="auto"/>
        <w:tabs>
          <w:tab w:leader="none" w:pos="1828" w:val="left"/>
        </w:tabs>
        <w:numPr>
          <w:ilvl w:val="0"/>
          <w:numId w:val="128"/>
        </w:numPr>
        <w:rPr>
          <w:rFonts w:ascii="Arial" w:cs="Arial" w:eastAsia="Arial" w:hAnsi="Arial"/>
          <w:sz w:val="22"/>
          <w:szCs w:val="22"/>
          <w:color w:val="auto"/>
        </w:rPr>
      </w:pPr>
      <w:r>
        <w:rPr>
          <w:rFonts w:ascii="Arial" w:cs="Arial" w:eastAsia="Arial" w:hAnsi="Arial"/>
          <w:sz w:val="22"/>
          <w:szCs w:val="22"/>
          <w:color w:val="auto"/>
        </w:rPr>
        <w:t>the Restricted Stock Units and the Common Stock subject to the Restricted Stock Units are not intended to replace any pension rights or compensation;</w:t>
      </w:r>
    </w:p>
    <w:p>
      <w:pPr>
        <w:spacing w:after="0" w:line="174" w:lineRule="exact"/>
        <w:rPr>
          <w:rFonts w:ascii="Arial" w:cs="Arial" w:eastAsia="Arial" w:hAnsi="Arial"/>
          <w:sz w:val="22"/>
          <w:szCs w:val="22"/>
          <w:color w:val="auto"/>
        </w:rPr>
      </w:pPr>
    </w:p>
    <w:p>
      <w:pPr>
        <w:ind w:left="1780" w:hanging="475"/>
        <w:spacing w:after="0"/>
        <w:tabs>
          <w:tab w:leader="none" w:pos="1780" w:val="left"/>
        </w:tabs>
        <w:numPr>
          <w:ilvl w:val="0"/>
          <w:numId w:val="128"/>
        </w:numPr>
        <w:rPr>
          <w:rFonts w:ascii="Arial" w:cs="Arial" w:eastAsia="Arial" w:hAnsi="Arial"/>
          <w:sz w:val="21"/>
          <w:szCs w:val="21"/>
          <w:color w:val="auto"/>
        </w:rPr>
      </w:pPr>
      <w:r>
        <w:rPr>
          <w:rFonts w:ascii="Arial" w:cs="Arial" w:eastAsia="Arial" w:hAnsi="Arial"/>
          <w:sz w:val="21"/>
          <w:szCs w:val="21"/>
          <w:color w:val="auto"/>
        </w:rPr>
        <w:t>the future value of the underlying Common Stock is unknown and cannot be predicted with certainty;</w:t>
      </w:r>
    </w:p>
    <w:p>
      <w:pPr>
        <w:spacing w:after="0" w:line="231" w:lineRule="exact"/>
        <w:rPr>
          <w:rFonts w:ascii="Arial" w:cs="Arial" w:eastAsia="Arial" w:hAnsi="Arial"/>
          <w:sz w:val="21"/>
          <w:szCs w:val="21"/>
          <w:color w:val="auto"/>
        </w:rPr>
      </w:pPr>
    </w:p>
    <w:p>
      <w:pPr>
        <w:jc w:val="both"/>
        <w:ind w:left="660" w:firstLine="645"/>
        <w:spacing w:after="0" w:line="312" w:lineRule="auto"/>
        <w:tabs>
          <w:tab w:leader="none" w:pos="1862" w:val="left"/>
        </w:tabs>
        <w:numPr>
          <w:ilvl w:val="0"/>
          <w:numId w:val="128"/>
        </w:numPr>
        <w:rPr>
          <w:rFonts w:ascii="Arial" w:cs="Arial" w:eastAsia="Arial" w:hAnsi="Arial"/>
          <w:sz w:val="19"/>
          <w:szCs w:val="19"/>
          <w:color w:val="auto"/>
        </w:rPr>
      </w:pPr>
      <w:r>
        <w:rPr>
          <w:rFonts w:ascii="Arial" w:cs="Arial" w:eastAsia="Arial" w:hAnsi="Arial"/>
          <w:sz w:val="19"/>
          <w:szCs w:val="19"/>
          <w:color w:val="auto"/>
        </w:rPr>
        <w:t>Awards and resulting benefits are not part of normal or expected compensation or salary for any purposes, including, but not limited to, calculating any severance, resignation, termination, redundancy, end of service payments, bonuses, long-service awards, pension or retirement benefits or similar payments insofar as permitted by law;</w:t>
      </w:r>
    </w:p>
    <w:p>
      <w:pPr>
        <w:spacing w:after="0" w:line="134" w:lineRule="exact"/>
        <w:rPr>
          <w:sz w:val="20"/>
          <w:szCs w:val="20"/>
          <w:color w:val="auto"/>
        </w:rPr>
      </w:pPr>
    </w:p>
    <w:p>
      <w:pPr>
        <w:jc w:val="both"/>
        <w:ind w:left="660" w:firstLine="645"/>
        <w:spacing w:after="0" w:line="261" w:lineRule="auto"/>
        <w:tabs>
          <w:tab w:leader="none" w:pos="1741" w:val="left"/>
        </w:tabs>
        <w:numPr>
          <w:ilvl w:val="0"/>
          <w:numId w:val="129"/>
        </w:numPr>
        <w:rPr>
          <w:rFonts w:ascii="Arial" w:cs="Arial" w:eastAsia="Arial" w:hAnsi="Arial"/>
          <w:sz w:val="21"/>
          <w:szCs w:val="21"/>
          <w:color w:val="auto"/>
        </w:rPr>
      </w:pPr>
      <w:r>
        <w:rPr>
          <w:rFonts w:ascii="Arial" w:cs="Arial" w:eastAsia="Arial" w:hAnsi="Arial"/>
          <w:sz w:val="21"/>
          <w:szCs w:val="21"/>
          <w:color w:val="auto"/>
        </w:rPr>
        <w:t>in consideration of the grant of the Restricted Stock Units, no claim or entitlement to compensation or damages shall arise from forfeiture of the Restricted Stock Units resulting from termination of Grantee’s employment with the Corporation or Grantee’s employer (for any reason whatsoever and whether or not in breach of local labor laws) and Grantee irrevocably releases the Corporation and Grantee’s employer from any such claim that may arise; if, notwithstanding the foregoing, any such claim is found by a court of competent jurisdiction to have arisen, Grantee shall be deemed irrevocably to have waive any entitlement to pursue such claim; and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631" w:right="239" w:bottom="1440" w:gutter="0" w:footer="0" w:header="0"/>
        </w:sectPr>
      </w:pPr>
    </w:p>
    <w:bookmarkStart w:id="121" w:name="page122"/>
    <w:bookmarkEnd w:id="121"/>
    <w:p>
      <w:pPr>
        <w:jc w:val="both"/>
        <w:ind w:left="640" w:firstLine="645"/>
        <w:spacing w:after="0" w:line="297" w:lineRule="auto"/>
        <w:tabs>
          <w:tab w:leader="none" w:pos="1801" w:val="left"/>
        </w:tabs>
        <w:numPr>
          <w:ilvl w:val="0"/>
          <w:numId w:val="130"/>
        </w:numPr>
        <w:rPr>
          <w:rFonts w:ascii="Arial" w:cs="Arial" w:eastAsia="Arial" w:hAnsi="Arial"/>
          <w:sz w:val="19"/>
          <w:szCs w:val="19"/>
          <w:color w:val="auto"/>
        </w:rPr>
      </w:pPr>
      <w:r>
        <w:rPr>
          <w:rFonts w:ascii="Arial" w:cs="Arial" w:eastAsia="Arial" w:hAnsi="Arial"/>
          <w:sz w:val="19"/>
          <w:szCs w:val="19"/>
          <w:color w:val="auto"/>
        </w:rPr>
        <w:t>in the event Grantee ceases to be a Service Provider (whether or not in breach of local labor laws), Grantee’s right to vest in the Restricted Stock Units under the Plan, if any, will terminate effective as of the date that Grantee is no longer a Service Provider and will not be extended by any notice period mandated under local law (e.g., active service would not include a period of “garden leave” or similar period pursuant to local law); the Administrator shall have the exclusive discretion to determine when Grantee is no longer a Service Provider for purposes of the Restricted Stock Units.</w:t>
      </w:r>
    </w:p>
    <w:p>
      <w:pPr>
        <w:spacing w:after="0" w:line="141" w:lineRule="exact"/>
        <w:rPr>
          <w:sz w:val="20"/>
          <w:szCs w:val="20"/>
          <w:color w:val="auto"/>
        </w:rPr>
      </w:pPr>
    </w:p>
    <w:p>
      <w:pPr>
        <w:jc w:val="both"/>
        <w:ind w:left="-20" w:firstLine="1305"/>
        <w:spacing w:after="0" w:line="295" w:lineRule="auto"/>
        <w:tabs>
          <w:tab w:leader="none" w:pos="1857" w:val="left"/>
        </w:tabs>
        <w:numPr>
          <w:ilvl w:val="0"/>
          <w:numId w:val="131"/>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Non-U.S. Addendum</w:t>
      </w:r>
      <w:r>
        <w:rPr>
          <w:rFonts w:ascii="Arial" w:cs="Arial" w:eastAsia="Arial" w:hAnsi="Arial"/>
          <w:sz w:val="19"/>
          <w:szCs w:val="19"/>
          <w:b w:val="1"/>
          <w:bCs w:val="1"/>
          <w:color w:val="auto"/>
        </w:rPr>
        <w:t xml:space="preserve">. </w:t>
      </w:r>
      <w:r>
        <w:rPr>
          <w:rFonts w:ascii="Arial" w:cs="Arial" w:eastAsia="Arial" w:hAnsi="Arial"/>
          <w:sz w:val="19"/>
          <w:szCs w:val="19"/>
          <w:color w:val="auto"/>
        </w:rPr>
        <w:t>Notwithstanding any provisions in this Agreement, the Restricted Stock Units shall</w:t>
      </w:r>
      <w:r>
        <w:rPr>
          <w:rFonts w:ascii="Arial" w:cs="Arial" w:eastAsia="Arial" w:hAnsi="Arial"/>
          <w:sz w:val="19"/>
          <w:szCs w:val="19"/>
          <w:b w:val="1"/>
          <w:bCs w:val="1"/>
          <w:color w:val="auto"/>
        </w:rPr>
        <w:t xml:space="preserve"> </w:t>
      </w:r>
      <w:r>
        <w:rPr>
          <w:rFonts w:ascii="Arial" w:cs="Arial" w:eastAsia="Arial" w:hAnsi="Arial"/>
          <w:sz w:val="19"/>
          <w:szCs w:val="19"/>
          <w:color w:val="auto"/>
        </w:rPr>
        <w:t>also be subject to the special terms and conditions set forth in the Non-U.S. Addendum attached as Appendix B to this Agreement for Grantee’s country. Moreover, if Grantee relocates to one of the countries included in the Non-U.S. Addendum, the special terms and conditions for such country will apply to Grantee to the extent the Corporation determines that the application of such terms and conditions are necessary or advisable in order to comply with local law or facilitate the administration of the Plan. The Non-U.S. Addendum attached hereto as Appendix B constitutes part of this Agreement.</w:t>
      </w:r>
    </w:p>
    <w:p>
      <w:pPr>
        <w:spacing w:after="0" w:line="144" w:lineRule="exact"/>
        <w:rPr>
          <w:rFonts w:ascii="Arial" w:cs="Arial" w:eastAsia="Arial" w:hAnsi="Arial"/>
          <w:sz w:val="19"/>
          <w:szCs w:val="19"/>
          <w:b w:val="1"/>
          <w:bCs w:val="1"/>
          <w:color w:val="auto"/>
        </w:rPr>
      </w:pPr>
    </w:p>
    <w:p>
      <w:pPr>
        <w:ind w:left="-20" w:right="20" w:firstLine="1305"/>
        <w:spacing w:after="0" w:line="269" w:lineRule="auto"/>
        <w:tabs>
          <w:tab w:leader="none" w:pos="1818" w:val="left"/>
        </w:tabs>
        <w:numPr>
          <w:ilvl w:val="0"/>
          <w:numId w:val="13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Governing Law</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is governed by and construed in accordance with the laws of the State of</w:t>
      </w:r>
      <w:r>
        <w:rPr>
          <w:rFonts w:ascii="Arial" w:cs="Arial" w:eastAsia="Arial" w:hAnsi="Arial"/>
          <w:sz w:val="22"/>
          <w:szCs w:val="22"/>
          <w:b w:val="1"/>
          <w:bCs w:val="1"/>
          <w:color w:val="auto"/>
        </w:rPr>
        <w:t xml:space="preserve"> </w:t>
      </w:r>
      <w:r>
        <w:rPr>
          <w:rFonts w:ascii="Arial" w:cs="Arial" w:eastAsia="Arial" w:hAnsi="Arial"/>
          <w:sz w:val="22"/>
          <w:szCs w:val="22"/>
          <w:color w:val="auto"/>
        </w:rPr>
        <w:t>Michigan, notwithstanding conflict of law provisions.</w:t>
      </w:r>
    </w:p>
    <w:p>
      <w:pPr>
        <w:spacing w:after="0" w:line="162" w:lineRule="exact"/>
        <w:rPr>
          <w:rFonts w:ascii="Arial" w:cs="Arial" w:eastAsia="Arial" w:hAnsi="Arial"/>
          <w:sz w:val="22"/>
          <w:szCs w:val="22"/>
          <w:b w:val="1"/>
          <w:bCs w:val="1"/>
          <w:color w:val="auto"/>
        </w:rPr>
      </w:pPr>
    </w:p>
    <w:p>
      <w:pPr>
        <w:ind w:left="-20" w:right="1000" w:firstLine="1305"/>
        <w:spacing w:after="0" w:line="269" w:lineRule="auto"/>
        <w:tabs>
          <w:tab w:leader="none" w:pos="1763" w:val="left"/>
        </w:tabs>
        <w:numPr>
          <w:ilvl w:val="0"/>
          <w:numId w:val="13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Clawback Policy</w:t>
      </w:r>
      <w:r>
        <w:rPr>
          <w:rFonts w:ascii="Arial" w:cs="Arial" w:eastAsia="Arial" w:hAnsi="Arial"/>
          <w:sz w:val="22"/>
          <w:szCs w:val="22"/>
          <w:b w:val="1"/>
          <w:bCs w:val="1"/>
          <w:color w:val="auto"/>
        </w:rPr>
        <w:t xml:space="preserve">. </w:t>
      </w:r>
      <w:r>
        <w:rPr>
          <w:rFonts w:ascii="Arial" w:cs="Arial" w:eastAsia="Arial" w:hAnsi="Arial"/>
          <w:sz w:val="22"/>
          <w:szCs w:val="22"/>
          <w:color w:val="auto"/>
        </w:rPr>
        <w:t>Any Restricted Stock Units that have vested shall be subject to the Corporation’s</w:t>
      </w:r>
      <w:r>
        <w:rPr>
          <w:rFonts w:ascii="Arial" w:cs="Arial" w:eastAsia="Arial" w:hAnsi="Arial"/>
          <w:sz w:val="22"/>
          <w:szCs w:val="22"/>
          <w:b w:val="1"/>
          <w:bCs w:val="1"/>
          <w:color w:val="auto"/>
        </w:rPr>
        <w:t xml:space="preserve"> </w:t>
      </w:r>
      <w:r>
        <w:rPr>
          <w:rFonts w:ascii="Arial" w:cs="Arial" w:eastAsia="Arial" w:hAnsi="Arial"/>
          <w:sz w:val="22"/>
          <w:szCs w:val="22"/>
          <w:color w:val="auto"/>
        </w:rPr>
        <w:t>recoupment policy, as in effect from time to time.</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00"/>
          </w:cols>
          <w:pgMar w:left="260" w:top="631" w:right="239" w:bottom="1440" w:gutter="0" w:footer="0" w:header="0"/>
        </w:sectPr>
      </w:pPr>
    </w:p>
    <w:bookmarkStart w:id="122" w:name="page123"/>
    <w:bookmarkEnd w:id="122"/>
    <w:p>
      <w:pPr>
        <w:ind w:firstLine="648"/>
        <w:spacing w:after="0" w:line="263" w:lineRule="auto"/>
        <w:rPr>
          <w:sz w:val="20"/>
          <w:szCs w:val="20"/>
          <w:color w:val="auto"/>
        </w:rPr>
      </w:pPr>
      <w:r>
        <w:rPr>
          <w:rFonts w:ascii="Arial" w:cs="Arial" w:eastAsia="Arial" w:hAnsi="Arial"/>
          <w:sz w:val="22"/>
          <w:szCs w:val="22"/>
          <w:color w:val="auto"/>
        </w:rPr>
        <w:t>This Agreement may be executed in two or more counterparts, each of which is deemed an original and all of which constitute one document.</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281"/>
        </w:trPr>
        <w:tc>
          <w:tcPr>
            <w:tcW w:w="2820" w:type="dxa"/>
            <w:vAlign w:val="bottom"/>
          </w:tcPr>
          <w:p>
            <w:pPr>
              <w:spacing w:after="0"/>
              <w:rPr>
                <w:sz w:val="24"/>
                <w:szCs w:val="24"/>
                <w:color w:val="auto"/>
              </w:rPr>
            </w:pPr>
          </w:p>
        </w:tc>
        <w:tc>
          <w:tcPr>
            <w:tcW w:w="8240" w:type="dxa"/>
            <w:vAlign w:val="bottom"/>
            <w:gridSpan w:val="3"/>
          </w:tcPr>
          <w:p>
            <w:pPr>
              <w:ind w:left="880"/>
              <w:spacing w:after="0"/>
              <w:rPr>
                <w:sz w:val="20"/>
                <w:szCs w:val="20"/>
                <w:color w:val="auto"/>
              </w:rPr>
            </w:pPr>
            <w:r>
              <w:rPr>
                <w:rFonts w:ascii="Arial" w:cs="Arial" w:eastAsia="Arial" w:hAnsi="Arial"/>
                <w:sz w:val="22"/>
                <w:szCs w:val="22"/>
                <w:b w:val="1"/>
                <w:bCs w:val="1"/>
                <w:color w:val="auto"/>
              </w:rPr>
              <w:t>TRIMAS CORPORATION</w:t>
            </w:r>
          </w:p>
        </w:tc>
      </w:tr>
      <w:tr>
        <w:trPr>
          <w:trHeight w:val="571"/>
        </w:trPr>
        <w:tc>
          <w:tcPr>
            <w:tcW w:w="2820" w:type="dxa"/>
            <w:vAlign w:val="bottom"/>
          </w:tcPr>
          <w:p>
            <w:pPr>
              <w:spacing w:after="0"/>
              <w:rPr>
                <w:sz w:val="20"/>
                <w:szCs w:val="20"/>
                <w:color w:val="auto"/>
              </w:rPr>
            </w:pPr>
            <w:r>
              <w:rPr>
                <w:rFonts w:ascii="Arial" w:cs="Arial" w:eastAsia="Arial" w:hAnsi="Arial"/>
                <w:sz w:val="22"/>
                <w:szCs w:val="22"/>
                <w:color w:val="auto"/>
              </w:rPr>
              <w:t xml:space="preserve">Dated: </w:t>
            </w:r>
            <w:r>
              <w:rPr>
                <w:rFonts w:ascii="Arial" w:cs="Arial" w:eastAsia="Arial" w:hAnsi="Arial"/>
                <w:sz w:val="22"/>
                <w:szCs w:val="22"/>
                <w:b w:val="1"/>
                <w:bCs w:val="1"/>
                <w:color w:val="auto"/>
              </w:rPr>
              <w:t>March 1, 2016</w:t>
            </w:r>
          </w:p>
        </w:tc>
        <w:tc>
          <w:tcPr>
            <w:tcW w:w="8240" w:type="dxa"/>
            <w:vAlign w:val="bottom"/>
            <w:gridSpan w:val="3"/>
          </w:tcPr>
          <w:p>
            <w:pPr>
              <w:ind w:left="2200"/>
              <w:spacing w:after="0"/>
              <w:rPr>
                <w:sz w:val="20"/>
                <w:szCs w:val="20"/>
                <w:color w:val="auto"/>
              </w:rPr>
            </w:pPr>
            <w:r>
              <w:rPr>
                <w:rFonts w:ascii="Arial" w:cs="Arial" w:eastAsia="Arial" w:hAnsi="Arial"/>
                <w:sz w:val="22"/>
                <w:szCs w:val="22"/>
                <w:color w:val="auto"/>
              </w:rPr>
              <w:t>By: /s/ Joshua A Sherbin</w:t>
            </w:r>
          </w:p>
        </w:tc>
      </w:tr>
      <w:tr>
        <w:trPr>
          <w:trHeight w:val="20"/>
        </w:trPr>
        <w:tc>
          <w:tcPr>
            <w:tcW w:w="28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r>
      <w:tr>
        <w:trPr>
          <w:trHeight w:val="242"/>
        </w:trPr>
        <w:tc>
          <w:tcPr>
            <w:tcW w:w="2820" w:type="dxa"/>
            <w:vAlign w:val="bottom"/>
          </w:tcPr>
          <w:p>
            <w:pPr>
              <w:spacing w:after="0"/>
              <w:rPr>
                <w:sz w:val="21"/>
                <w:szCs w:val="21"/>
                <w:color w:val="auto"/>
              </w:rPr>
            </w:pPr>
          </w:p>
        </w:tc>
        <w:tc>
          <w:tcPr>
            <w:tcW w:w="8240" w:type="dxa"/>
            <w:vAlign w:val="bottom"/>
            <w:gridSpan w:val="3"/>
          </w:tcPr>
          <w:p>
            <w:pPr>
              <w:ind w:left="2200"/>
              <w:spacing w:after="0" w:line="242" w:lineRule="exact"/>
              <w:rPr>
                <w:sz w:val="20"/>
                <w:szCs w:val="20"/>
                <w:color w:val="auto"/>
              </w:rPr>
            </w:pPr>
            <w:r>
              <w:rPr>
                <w:rFonts w:ascii="Arial" w:cs="Arial" w:eastAsia="Arial" w:hAnsi="Arial"/>
                <w:sz w:val="22"/>
                <w:szCs w:val="22"/>
                <w:color w:val="auto"/>
              </w:rPr>
              <w:t>Name: Joshua A. Sherbin</w:t>
            </w:r>
          </w:p>
        </w:tc>
      </w:tr>
      <w:tr>
        <w:trPr>
          <w:trHeight w:val="243"/>
        </w:trPr>
        <w:tc>
          <w:tcPr>
            <w:tcW w:w="2820" w:type="dxa"/>
            <w:vAlign w:val="bottom"/>
          </w:tcPr>
          <w:p>
            <w:pPr>
              <w:spacing w:after="0"/>
              <w:rPr>
                <w:sz w:val="21"/>
                <w:szCs w:val="21"/>
                <w:color w:val="auto"/>
              </w:rPr>
            </w:pPr>
          </w:p>
        </w:tc>
        <w:tc>
          <w:tcPr>
            <w:tcW w:w="8240" w:type="dxa"/>
            <w:vAlign w:val="bottom"/>
            <w:gridSpan w:val="3"/>
          </w:tcPr>
          <w:p>
            <w:pPr>
              <w:ind w:left="2200"/>
              <w:spacing w:after="0" w:line="243" w:lineRule="exact"/>
              <w:rPr>
                <w:sz w:val="20"/>
                <w:szCs w:val="20"/>
                <w:color w:val="auto"/>
              </w:rPr>
            </w:pPr>
            <w:r>
              <w:rPr>
                <w:rFonts w:ascii="Arial" w:cs="Arial" w:eastAsia="Arial" w:hAnsi="Arial"/>
                <w:sz w:val="22"/>
                <w:szCs w:val="22"/>
                <w:color w:val="auto"/>
                <w:w w:val="89"/>
              </w:rPr>
              <w:t>Title: Vice President, General Counsel, Chief Compliance Officer and</w:t>
            </w:r>
          </w:p>
        </w:tc>
      </w:tr>
      <w:tr>
        <w:trPr>
          <w:trHeight w:val="275"/>
        </w:trPr>
        <w:tc>
          <w:tcPr>
            <w:tcW w:w="2820" w:type="dxa"/>
            <w:vAlign w:val="bottom"/>
          </w:tcPr>
          <w:p>
            <w:pPr>
              <w:spacing w:after="0"/>
              <w:rPr>
                <w:sz w:val="23"/>
                <w:szCs w:val="23"/>
                <w:color w:val="auto"/>
              </w:rPr>
            </w:pPr>
          </w:p>
        </w:tc>
        <w:tc>
          <w:tcPr>
            <w:tcW w:w="8240" w:type="dxa"/>
            <w:vAlign w:val="bottom"/>
            <w:gridSpan w:val="3"/>
          </w:tcPr>
          <w:p>
            <w:pPr>
              <w:ind w:left="2200"/>
              <w:spacing w:after="0"/>
              <w:rPr>
                <w:sz w:val="20"/>
                <w:szCs w:val="20"/>
                <w:color w:val="auto"/>
              </w:rPr>
            </w:pPr>
            <w:r>
              <w:rPr>
                <w:rFonts w:ascii="Arial" w:cs="Arial" w:eastAsia="Arial" w:hAnsi="Arial"/>
                <w:sz w:val="22"/>
                <w:szCs w:val="22"/>
                <w:color w:val="auto"/>
              </w:rPr>
              <w:t>Corporate Secretary</w:t>
            </w:r>
          </w:p>
        </w:tc>
      </w:tr>
    </w:tbl>
    <w:p>
      <w:pPr>
        <w:spacing w:after="0" w:line="200" w:lineRule="exact"/>
        <w:rPr>
          <w:sz w:val="20"/>
          <w:szCs w:val="20"/>
          <w:color w:val="auto"/>
        </w:rPr>
      </w:pPr>
    </w:p>
    <w:p>
      <w:pPr>
        <w:spacing w:after="0" w:line="316" w:lineRule="exact"/>
        <w:rPr>
          <w:sz w:val="20"/>
          <w:szCs w:val="20"/>
          <w:color w:val="auto"/>
        </w:rPr>
      </w:pPr>
    </w:p>
    <w:p>
      <w:pPr>
        <w:jc w:val="both"/>
        <w:ind w:left="660"/>
        <w:spacing w:after="0" w:line="247" w:lineRule="auto"/>
        <w:rPr>
          <w:sz w:val="20"/>
          <w:szCs w:val="20"/>
          <w:color w:val="auto"/>
        </w:rPr>
      </w:pPr>
      <w:r>
        <w:rPr>
          <w:rFonts w:ascii="Arial" w:cs="Arial" w:eastAsia="Arial" w:hAnsi="Arial"/>
          <w:sz w:val="22"/>
          <w:szCs w:val="22"/>
          <w:b w:val="1"/>
          <w:bCs w:val="1"/>
          <w:color w:val="auto"/>
        </w:rPr>
        <w:t>GRANTEE ACKNOWLEDGES AND AGREES THAT NOTHING IN THIS RESTRICTED STOCK UNITS AGREEMENT, NOR IN THE CORPORATION’S 2006 LONG TERM EQUITY INCENTIVE PLAN, WHICH IS INCORPORATED INTO THIS AGREEMENT BY REFERENCE, CONFERS ON GRANTEE ANY RIGHT WITH RESPECT TO CONTINUATION AS A SERVICE PROVIDER OF THE CORPORATION OR ANY PARENT OR SUBSIDIARY OR AFFILIATE, NOR INTERFERES IN ANY WAY WITH GRANTEE’S RIGHT OR THE CORPORATION’S RIGHT TO TERMINATE GRANTEE’S SERVICE PROVIDER RELATIONSHIP AT ANY TIME, WITH OR WITHOUT CAUSE AND WITH OR WITHOUT PRIOR NOTICE.</w:t>
      </w:r>
    </w:p>
    <w:p>
      <w:pPr>
        <w:spacing w:after="0" w:line="190" w:lineRule="exact"/>
        <w:rPr>
          <w:sz w:val="20"/>
          <w:szCs w:val="20"/>
          <w:color w:val="auto"/>
        </w:rPr>
      </w:pPr>
    </w:p>
    <w:p>
      <w:pPr>
        <w:jc w:val="both"/>
        <w:ind w:left="660"/>
        <w:spacing w:after="0" w:line="247" w:lineRule="auto"/>
        <w:rPr>
          <w:sz w:val="20"/>
          <w:szCs w:val="20"/>
          <w:color w:val="auto"/>
        </w:rPr>
      </w:pPr>
      <w:r>
        <w:rPr>
          <w:rFonts w:ascii="Arial" w:cs="Arial" w:eastAsia="Arial" w:hAnsi="Arial"/>
          <w:sz w:val="22"/>
          <w:szCs w:val="22"/>
          <w:b w:val="1"/>
          <w:bCs w:val="1"/>
          <w:color w:val="auto"/>
        </w:rPr>
        <w:t>BY CLICKING THE “ACCEPT” BUTTON BELOW, GRANTEE ACKNOWLEDGES RECEIPT OF A COPY OF THE PLAN AND REPRESENTS THAT GRANTEE IS FAMILIAR WITH THE TERMS AND PROVISIONS OF THE PLAN. GRANTEE ACCEPTS THIS RESTRICTED STOCK UNIT AWARD SUBJECT TO ALL OF THE TERMS AND PROVISIONS OF THIS AGREEMENT AND THE PLAN. GRANTEE HAS REVIEWED THE PLAN AND THIS AGREEMENT IN THEIR ENTIRETY. GRANTEE AGREES TO ACCEPT AS BINDING, CONCLUSIVE AND FINAL ALL DECISIONS OR INTERPRETATIONS OF THE ADMINISTRATOR UPON ANY QUESTIONS ARISING UNDER THE PLAN OR THIS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631" w:right="239" w:bottom="1440" w:gutter="0" w:footer="0" w:header="0"/>
        </w:sectPr>
      </w:pPr>
    </w:p>
    <w:bookmarkStart w:id="123" w:name="page124"/>
    <w:bookmarkEnd w:id="123"/>
    <w:p>
      <w:pPr>
        <w:jc w:val="center"/>
        <w:spacing w:after="0"/>
        <w:rPr>
          <w:sz w:val="20"/>
          <w:szCs w:val="20"/>
          <w:color w:val="auto"/>
        </w:rPr>
      </w:pPr>
      <w:r>
        <w:rPr>
          <w:rFonts w:ascii="Arial" w:cs="Arial" w:eastAsia="Arial" w:hAnsi="Arial"/>
          <w:sz w:val="22"/>
          <w:szCs w:val="22"/>
          <w:b w:val="1"/>
          <w:bCs w:val="1"/>
          <w:color w:val="auto"/>
        </w:rPr>
        <w:t>APPENDIX A</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UNITS AGREEMENT</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GLOSSARY</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For purposes of this Agreement:</w:t>
      </w:r>
    </w:p>
    <w:p>
      <w:pPr>
        <w:spacing w:after="0" w:line="214"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Affiliate</w:t>
      </w:r>
      <w:r>
        <w:rPr>
          <w:rFonts w:ascii="Arial" w:cs="Arial" w:eastAsia="Arial" w:hAnsi="Arial"/>
          <w:sz w:val="21"/>
          <w:szCs w:val="21"/>
          <w:color w:val="auto"/>
        </w:rPr>
        <w:t>” means any person or entity which controls, is controlled by, or is under common control with the Corporation.</w:t>
      </w: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Beneficial Owner</w:t>
      </w:r>
      <w:r>
        <w:rPr>
          <w:rFonts w:ascii="Arial" w:cs="Arial" w:eastAsia="Arial" w:hAnsi="Arial"/>
          <w:sz w:val="22"/>
          <w:szCs w:val="22"/>
          <w:color w:val="auto"/>
        </w:rPr>
        <w:t>” shall have the meaning set forth in Rule 13d-3 under the Exchange Act.</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A “</w:t>
      </w:r>
      <w:r>
        <w:rPr>
          <w:rFonts w:ascii="Arial" w:cs="Arial" w:eastAsia="Arial" w:hAnsi="Arial"/>
          <w:sz w:val="22"/>
          <w:szCs w:val="22"/>
          <w:b w:val="1"/>
          <w:bCs w:val="1"/>
          <w:color w:val="auto"/>
        </w:rPr>
        <w:t>Change of Control</w:t>
      </w:r>
      <w:r>
        <w:rPr>
          <w:rFonts w:ascii="Arial" w:cs="Arial" w:eastAsia="Arial" w:hAnsi="Arial"/>
          <w:sz w:val="22"/>
          <w:szCs w:val="22"/>
          <w:color w:val="auto"/>
        </w:rPr>
        <w:t>” shall be deemed to have occurred upon the first of the following events to occur:</w:t>
      </w:r>
    </w:p>
    <w:p>
      <w:pPr>
        <w:spacing w:after="0" w:line="266" w:lineRule="exact"/>
        <w:rPr>
          <w:sz w:val="20"/>
          <w:szCs w:val="20"/>
          <w:color w:val="auto"/>
        </w:rPr>
      </w:pPr>
    </w:p>
    <w:p>
      <w:pPr>
        <w:jc w:val="both"/>
        <w:ind w:left="1300" w:hanging="644"/>
        <w:spacing w:after="0" w:line="286" w:lineRule="auto"/>
        <w:tabs>
          <w:tab w:leader="none" w:pos="1300" w:val="left"/>
        </w:tabs>
        <w:numPr>
          <w:ilvl w:val="0"/>
          <w:numId w:val="132"/>
        </w:numPr>
        <w:rPr>
          <w:rFonts w:ascii="Arial" w:cs="Arial" w:eastAsia="Arial" w:hAnsi="Arial"/>
          <w:sz w:val="19"/>
          <w:szCs w:val="19"/>
          <w:color w:val="auto"/>
        </w:rPr>
      </w:pPr>
      <w:r>
        <w:rPr>
          <w:rFonts w:ascii="Arial" w:cs="Arial" w:eastAsia="Arial" w:hAnsi="Arial"/>
          <w:sz w:val="19"/>
          <w:szCs w:val="19"/>
          <w:color w:val="auto"/>
        </w:rPr>
        <w:t>any Person is or becomes the Beneficial Owner, directly or indirectly, of securities of the Corporation (not including in the securities beneficially owned by such Person any securities acquired directly from the Corporation or its Affiliates) representing 35% or more of the combined voting power of the Corporation’s then outstanding securities, excluding any Person who becomes such a Beneficial Owner in connection with a transaction described in clause</w:t>
      </w:r>
    </w:p>
    <w:p>
      <w:pPr>
        <w:spacing w:after="0" w:line="2" w:lineRule="exact"/>
        <w:rPr>
          <w:rFonts w:ascii="Arial" w:cs="Arial" w:eastAsia="Arial" w:hAnsi="Arial"/>
          <w:sz w:val="19"/>
          <w:szCs w:val="19"/>
          <w:color w:val="auto"/>
        </w:rPr>
      </w:pPr>
    </w:p>
    <w:p>
      <w:pPr>
        <w:ind w:left="1300"/>
        <w:spacing w:after="0"/>
        <w:rPr>
          <w:rFonts w:ascii="Arial" w:cs="Arial" w:eastAsia="Arial" w:hAnsi="Arial"/>
          <w:sz w:val="19"/>
          <w:szCs w:val="19"/>
          <w:color w:val="auto"/>
        </w:rPr>
      </w:pPr>
      <w:r>
        <w:rPr>
          <w:rFonts w:ascii="Arial" w:cs="Arial" w:eastAsia="Arial" w:hAnsi="Arial"/>
          <w:sz w:val="22"/>
          <w:szCs w:val="22"/>
          <w:color w:val="auto"/>
        </w:rPr>
        <w:t>(A) of paragraph (iii) below;</w:t>
      </w:r>
    </w:p>
    <w:p>
      <w:pPr>
        <w:spacing w:after="0" w:line="242" w:lineRule="exact"/>
        <w:rPr>
          <w:rFonts w:ascii="Arial" w:cs="Arial" w:eastAsia="Arial" w:hAnsi="Arial"/>
          <w:sz w:val="19"/>
          <w:szCs w:val="19"/>
          <w:color w:val="auto"/>
        </w:rPr>
      </w:pPr>
    </w:p>
    <w:p>
      <w:pPr>
        <w:jc w:val="both"/>
        <w:ind w:left="1300" w:hanging="644"/>
        <w:spacing w:after="0" w:line="258" w:lineRule="auto"/>
        <w:tabs>
          <w:tab w:leader="none" w:pos="1300" w:val="left"/>
        </w:tabs>
        <w:numPr>
          <w:ilvl w:val="0"/>
          <w:numId w:val="132"/>
        </w:numPr>
        <w:rPr>
          <w:rFonts w:ascii="Arial" w:cs="Arial" w:eastAsia="Arial" w:hAnsi="Arial"/>
          <w:sz w:val="21"/>
          <w:szCs w:val="21"/>
          <w:color w:val="auto"/>
        </w:rPr>
      </w:pPr>
      <w:r>
        <w:rPr>
          <w:rFonts w:ascii="Arial" w:cs="Arial" w:eastAsia="Arial" w:hAnsi="Arial"/>
          <w:sz w:val="21"/>
          <w:szCs w:val="21"/>
          <w:color w:val="auto"/>
        </w:rPr>
        <w:t>the following individuals cease for any reason to constitute a majority of the number of directors then serving on the Board: individuals who, on the date hereof, constitute the Board and any new director (other than a director whose initial assumption of office is in connection with an actual or threatened election contest, including but not limited to a consent solicitation, relating to the election of directors of the Corporation) whose appointment or election by the Board or nomination for election by the Corporation’s stockholders was approved or recommended by a vote of at least two-thirds (2/3) of the directors then still in office who either were directors on the date hereof or whose appointment, election or nomination for election was previously so approved or recommended (the “Incumbent Board”); provided, however, that no individual shall be considered a member of the Incumbent Board if such individual initially assumed office as a result of either an actual or threatened election contest (an “Election Contest”) or other actual or threatened solicitation of proxies or consents by or on behalf of a Person other than the Board (a “Proxy Contest”), including by reason of any agreement intended to avoid or settle any Election Contest or Proxy Contest;</w:t>
      </w:r>
    </w:p>
    <w:p>
      <w:pPr>
        <w:spacing w:after="0" w:line="220" w:lineRule="exact"/>
        <w:rPr>
          <w:rFonts w:ascii="Arial" w:cs="Arial" w:eastAsia="Arial" w:hAnsi="Arial"/>
          <w:sz w:val="21"/>
          <w:szCs w:val="21"/>
          <w:color w:val="auto"/>
        </w:rPr>
      </w:pPr>
    </w:p>
    <w:p>
      <w:pPr>
        <w:jc w:val="both"/>
        <w:ind w:left="1300" w:hanging="644"/>
        <w:spacing w:after="0" w:line="265" w:lineRule="auto"/>
        <w:tabs>
          <w:tab w:leader="none" w:pos="1300" w:val="left"/>
        </w:tabs>
        <w:numPr>
          <w:ilvl w:val="0"/>
          <w:numId w:val="132"/>
        </w:numPr>
        <w:rPr>
          <w:rFonts w:ascii="Arial" w:cs="Arial" w:eastAsia="Arial" w:hAnsi="Arial"/>
          <w:sz w:val="21"/>
          <w:szCs w:val="21"/>
          <w:color w:val="auto"/>
        </w:rPr>
      </w:pPr>
      <w:r>
        <w:rPr>
          <w:rFonts w:ascii="Arial" w:cs="Arial" w:eastAsia="Arial" w:hAnsi="Arial"/>
          <w:sz w:val="21"/>
          <w:szCs w:val="21"/>
          <w:color w:val="auto"/>
        </w:rPr>
        <w:t>there is consummated a merger, consolidation, wind-up, reorganization or restructuring of the Corporation with or into any other entity, or a similar event or series of such events, other than (A) any such event or series of events which results in (1) the voting securities of the Corporation outstanding immediately prior to such event or series of events continuing to represent (either by remaining outstanding or</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1420"/>
          </w:cols>
          <w:pgMar w:left="240" w:top="625" w:right="239" w:bottom="1440" w:gutter="0" w:footer="0" w:header="0"/>
        </w:sectPr>
      </w:pPr>
    </w:p>
    <w:bookmarkStart w:id="124" w:name="page125"/>
    <w:bookmarkEnd w:id="124"/>
    <w:p>
      <w:pPr>
        <w:jc w:val="both"/>
        <w:ind w:left="1300"/>
        <w:spacing w:after="0" w:line="288" w:lineRule="auto"/>
        <w:rPr>
          <w:sz w:val="20"/>
          <w:szCs w:val="20"/>
          <w:color w:val="auto"/>
        </w:rPr>
      </w:pPr>
      <w:r>
        <w:rPr>
          <w:rFonts w:ascii="Arial" w:cs="Arial" w:eastAsia="Arial" w:hAnsi="Arial"/>
          <w:sz w:val="19"/>
          <w:szCs w:val="19"/>
          <w:color w:val="auto"/>
        </w:rPr>
        <w:t>by being converted into voting securities of the surviving entity or any parent thereof), in combination with the ownership of any trustee or other fiduciary holding securities under an employee benefit plan of the Corporation or any subsidiary of the Corporation, at least 51% of the combined voting power of the securities of the Corporation or such surviving entity or any parent thereof outstanding immediately after such merger or consolidation and (2) the individuals who comprise the Board immediately prior thereto constituting immediately thereafter at least a majority of the board of directors of the Corporation, the entity surviving such merger or consolidation or, if the Corporation or the entity surviving such merger is then a subsidiary, the ultimate parent thereof, or (B) any such event or series of events effected to implement a recapitalization of the Corporation (or similar transaction) in which no Person is or becomes the Beneficial Owner, directly or indirectly, of securities of the Corporation (not including in the securities Beneficially Owned by such Person any securities acquired directly from the Corporation or its Affiliates) representing 35% or more of the combined voting power of the Corporation’s then outstanding securities; or</w:t>
      </w:r>
    </w:p>
    <w:p>
      <w:pPr>
        <w:spacing w:after="0" w:line="195" w:lineRule="exact"/>
        <w:rPr>
          <w:sz w:val="20"/>
          <w:szCs w:val="20"/>
          <w:color w:val="auto"/>
        </w:rPr>
      </w:pPr>
    </w:p>
    <w:p>
      <w:pPr>
        <w:jc w:val="both"/>
        <w:ind w:left="1300" w:hanging="644"/>
        <w:spacing w:after="0" w:line="258" w:lineRule="auto"/>
        <w:tabs>
          <w:tab w:leader="none" w:pos="1300" w:val="left"/>
        </w:tabs>
        <w:numPr>
          <w:ilvl w:val="0"/>
          <w:numId w:val="133"/>
        </w:numPr>
        <w:rPr>
          <w:rFonts w:ascii="Arial" w:cs="Arial" w:eastAsia="Arial" w:hAnsi="Arial"/>
          <w:sz w:val="21"/>
          <w:szCs w:val="21"/>
          <w:color w:val="auto"/>
        </w:rPr>
      </w:pPr>
      <w:r>
        <w:rPr>
          <w:rFonts w:ascii="Arial" w:cs="Arial" w:eastAsia="Arial" w:hAnsi="Arial"/>
          <w:sz w:val="21"/>
          <w:szCs w:val="21"/>
          <w:color w:val="auto"/>
        </w:rPr>
        <w:t>the stockholders of the Corporation approve a plan of complete liquidation or dissolution of the Corporation or there is consummated an agreement for the sale or disposition by the Corporation of all or substantially all of the Corporation’s assets (it being conclusively presumed that any sale or disposition is a sale or disposition by the Corporation of all or substantially all of its assets if the consummation of the sale or disposition is contingent upon approval by the Corporation’s stockholders unless the Board expressly determines in writing that such approval is required solely by reason of any relationship between the Corporation and any other Person or an Affiliate of the Corporation and any other Person), other than a sale or disposition by the Corporation of all or substantially all of the Corporation’s assets to an entity (A) at least 51% of the combined voting power of the voting securities of which are owned by stockholders of the Corporation in substantially the same proportions as their ownership of the Corporation immediately prior to such sale or disposition and (B) the majority of whose board of directors immediately following such sale or disposition consists of individuals who comprise the Board immediately prior thereto.</w:t>
      </w:r>
    </w:p>
    <w:p>
      <w:pPr>
        <w:spacing w:after="0" w:line="221"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Notwithstanding the foregoing, (A) a “Change of Control” shall not be deemed to have occurred by virtue of the consummation of any transaction or series of integrated transactions immediately following which the record holders of the common stock of the Corporation immediately prior to such transaction or series of transactions continue to have substantially the same proportionate ownership in an entity which owns all or substantially all of the assets of the Corporation immediately following such transaction or series of transactions and (B) if required to avoid accelerated taxation and/or tax penalties under Section 409A of the Code, a “Change of Control” shall be deemed to have occurred only if a “change in the ownership of the corporation,” a “change in effective control of the corporation” or a “change in the ownership of a substantial portion of the assets of the corporation,” within the meaning of Section 409A(a)(2)(A)(v) of the Code shall also be deemed to have occurred under Section 409A of the Code.</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11420"/>
          </w:cols>
          <w:pgMar w:left="240" w:top="631" w:right="239" w:bottom="1440" w:gutter="0" w:footer="0" w:header="0"/>
        </w:sectPr>
      </w:pPr>
    </w:p>
    <w:bookmarkStart w:id="125" w:name="page126"/>
    <w:bookmarkEnd w:id="125"/>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Good Reason</w:t>
      </w:r>
      <w:r>
        <w:rPr>
          <w:rFonts w:ascii="Arial" w:cs="Arial" w:eastAsia="Arial" w:hAnsi="Arial"/>
          <w:sz w:val="22"/>
          <w:szCs w:val="22"/>
          <w:color w:val="auto"/>
        </w:rPr>
        <w:t>” means:</w:t>
      </w:r>
    </w:p>
    <w:p>
      <w:pPr>
        <w:spacing w:after="0" w:line="266" w:lineRule="exact"/>
        <w:rPr>
          <w:sz w:val="20"/>
          <w:szCs w:val="20"/>
          <w:color w:val="auto"/>
        </w:rPr>
      </w:pPr>
    </w:p>
    <w:p>
      <w:pPr>
        <w:ind w:left="1300" w:hanging="644"/>
        <w:spacing w:after="0"/>
        <w:tabs>
          <w:tab w:leader="none" w:pos="1300" w:val="left"/>
        </w:tabs>
        <w:numPr>
          <w:ilvl w:val="0"/>
          <w:numId w:val="134"/>
        </w:numPr>
        <w:rPr>
          <w:rFonts w:ascii="Arial" w:cs="Arial" w:eastAsia="Arial" w:hAnsi="Arial"/>
          <w:sz w:val="22"/>
          <w:szCs w:val="22"/>
          <w:color w:val="auto"/>
        </w:rPr>
      </w:pPr>
      <w:r>
        <w:rPr>
          <w:rFonts w:ascii="Arial" w:cs="Arial" w:eastAsia="Arial" w:hAnsi="Arial"/>
          <w:sz w:val="22"/>
          <w:szCs w:val="22"/>
          <w:color w:val="auto"/>
        </w:rPr>
        <w:t>A material and permanent diminution in Grantee’s duties or responsibilities;</w:t>
      </w:r>
    </w:p>
    <w:p>
      <w:pPr>
        <w:spacing w:after="0" w:line="219" w:lineRule="exact"/>
        <w:rPr>
          <w:rFonts w:ascii="Arial" w:cs="Arial" w:eastAsia="Arial" w:hAnsi="Arial"/>
          <w:sz w:val="22"/>
          <w:szCs w:val="22"/>
          <w:color w:val="auto"/>
        </w:rPr>
      </w:pPr>
    </w:p>
    <w:p>
      <w:pPr>
        <w:ind w:left="1300" w:hanging="644"/>
        <w:spacing w:after="0" w:line="263" w:lineRule="auto"/>
        <w:tabs>
          <w:tab w:leader="none" w:pos="1300" w:val="left"/>
        </w:tabs>
        <w:numPr>
          <w:ilvl w:val="0"/>
          <w:numId w:val="134"/>
        </w:numPr>
        <w:rPr>
          <w:rFonts w:ascii="Arial" w:cs="Arial" w:eastAsia="Arial" w:hAnsi="Arial"/>
          <w:sz w:val="22"/>
          <w:szCs w:val="22"/>
          <w:color w:val="auto"/>
        </w:rPr>
      </w:pPr>
      <w:r>
        <w:rPr>
          <w:rFonts w:ascii="Arial" w:cs="Arial" w:eastAsia="Arial" w:hAnsi="Arial"/>
          <w:sz w:val="22"/>
          <w:szCs w:val="22"/>
          <w:color w:val="auto"/>
        </w:rPr>
        <w:t>A material reduction in the aggregate value of base salary and bonus opportunity provided to Grantee by the Corporation; or</w:t>
      </w:r>
    </w:p>
    <w:p>
      <w:pPr>
        <w:spacing w:after="0" w:line="174" w:lineRule="exact"/>
        <w:rPr>
          <w:rFonts w:ascii="Arial" w:cs="Arial" w:eastAsia="Arial" w:hAnsi="Arial"/>
          <w:sz w:val="22"/>
          <w:szCs w:val="22"/>
          <w:color w:val="auto"/>
        </w:rPr>
      </w:pPr>
    </w:p>
    <w:p>
      <w:pPr>
        <w:ind w:left="1300" w:hanging="644"/>
        <w:spacing w:after="0"/>
        <w:tabs>
          <w:tab w:leader="none" w:pos="1300" w:val="left"/>
        </w:tabs>
        <w:numPr>
          <w:ilvl w:val="0"/>
          <w:numId w:val="134"/>
        </w:numPr>
        <w:rPr>
          <w:rFonts w:ascii="Arial" w:cs="Arial" w:eastAsia="Arial" w:hAnsi="Arial"/>
          <w:sz w:val="19"/>
          <w:szCs w:val="19"/>
          <w:color w:val="auto"/>
        </w:rPr>
      </w:pPr>
      <w:r>
        <w:rPr>
          <w:rFonts w:ascii="Arial" w:cs="Arial" w:eastAsia="Arial" w:hAnsi="Arial"/>
          <w:sz w:val="19"/>
          <w:szCs w:val="19"/>
          <w:color w:val="auto"/>
        </w:rPr>
        <w:t>A permanent reassignment of Grantee to another primary office more than 50 miles from the current office location.</w:t>
      </w:r>
    </w:p>
    <w:p>
      <w:pPr>
        <w:spacing w:after="0" w:line="254" w:lineRule="exact"/>
        <w:rPr>
          <w:sz w:val="20"/>
          <w:szCs w:val="20"/>
          <w:color w:val="auto"/>
        </w:rPr>
      </w:pPr>
    </w:p>
    <w:p>
      <w:pPr>
        <w:jc w:val="both"/>
        <w:ind w:left="720"/>
        <w:spacing w:after="0" w:line="302" w:lineRule="auto"/>
        <w:rPr>
          <w:sz w:val="20"/>
          <w:szCs w:val="20"/>
          <w:color w:val="auto"/>
        </w:rPr>
      </w:pPr>
      <w:r>
        <w:rPr>
          <w:rFonts w:ascii="Arial" w:cs="Arial" w:eastAsia="Arial" w:hAnsi="Arial"/>
          <w:sz w:val="19"/>
          <w:szCs w:val="19"/>
          <w:color w:val="auto"/>
        </w:rPr>
        <w:t>Grantee must notify the Corporation of Grantee’s intention to invoke termination for Good Reason within 90 days after Grantee has knowledge of such event, provide the Corporation 30 days’ opportunity for cure, and actually terminate employment within 45 days of the expiration of the Company’s cure period or such event shall not constitute Good Reason. Grantee may not invoke termination for Good Reason if Cause exists at the time of such termination.</w:t>
      </w:r>
    </w:p>
    <w:p>
      <w:pPr>
        <w:spacing w:after="0" w:line="137" w:lineRule="exact"/>
        <w:rPr>
          <w:sz w:val="20"/>
          <w:szCs w:val="20"/>
          <w:color w:val="auto"/>
        </w:rPr>
      </w:pPr>
    </w:p>
    <w:p>
      <w:pPr>
        <w:jc w:val="both"/>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Person</w:t>
      </w:r>
      <w:r>
        <w:rPr>
          <w:rFonts w:ascii="Arial" w:cs="Arial" w:eastAsia="Arial" w:hAnsi="Arial"/>
          <w:sz w:val="21"/>
          <w:szCs w:val="21"/>
          <w:color w:val="auto"/>
        </w:rPr>
        <w:t>” shall have the meaning given in Section 3(a)(9) of the Exchange Act, as modified and used in Sections 13(d) and 14(d) thereof, except that such term shall not include (i) the Corporation or any of its subsidiaries, (ii) a trustee or other fiduciary holding securities under an employee benefit plan of the Corporation or any of its Affiliates, (iii) an underwriter temporarily holding securities pursuant to an offering of such securities, or (iv) a corporation owned, directly or indirectly, by the stockholders of the Corporation in substantially the same proportions as their ownership of stock of the Corporation.</w:t>
      </w:r>
    </w:p>
    <w:p>
      <w:pPr>
        <w:spacing w:after="0" w:line="21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“Qualifying Termination” </w:t>
      </w:r>
      <w:r>
        <w:rPr>
          <w:rFonts w:ascii="Arial" w:cs="Arial" w:eastAsia="Arial" w:hAnsi="Arial"/>
          <w:sz w:val="19"/>
          <w:szCs w:val="19"/>
          <w:color w:val="auto"/>
        </w:rPr>
        <w:t>means a termination of Grantee’s services with the Corporation or a Subsidiary or an Affiliate of the</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color w:val="auto"/>
        </w:rPr>
        <w:t>Corporation for any reason other than:</w:t>
      </w:r>
    </w:p>
    <w:p>
      <w:pPr>
        <w:spacing w:after="0" w:line="202" w:lineRule="exact"/>
        <w:rPr>
          <w:sz w:val="20"/>
          <w:szCs w:val="20"/>
          <w:color w:val="auto"/>
        </w:rPr>
      </w:pPr>
    </w:p>
    <w:p>
      <w:pPr>
        <w:ind w:left="1080" w:hanging="424"/>
        <w:spacing w:after="0"/>
        <w:tabs>
          <w:tab w:leader="none" w:pos="1080" w:val="left"/>
        </w:tabs>
        <w:numPr>
          <w:ilvl w:val="0"/>
          <w:numId w:val="135"/>
        </w:numPr>
        <w:rPr>
          <w:rFonts w:ascii="Arial" w:cs="Arial" w:eastAsia="Arial" w:hAnsi="Arial"/>
          <w:sz w:val="22"/>
          <w:szCs w:val="22"/>
          <w:color w:val="auto"/>
        </w:rPr>
      </w:pPr>
      <w:r>
        <w:rPr>
          <w:rFonts w:ascii="Arial" w:cs="Arial" w:eastAsia="Arial" w:hAnsi="Arial"/>
          <w:sz w:val="22"/>
          <w:szCs w:val="22"/>
          <w:color w:val="auto"/>
        </w:rPr>
        <w:t>death;</w:t>
      </w:r>
    </w:p>
    <w:p>
      <w:pPr>
        <w:spacing w:after="0" w:line="219" w:lineRule="exact"/>
        <w:rPr>
          <w:rFonts w:ascii="Arial" w:cs="Arial" w:eastAsia="Arial" w:hAnsi="Arial"/>
          <w:sz w:val="22"/>
          <w:szCs w:val="22"/>
          <w:color w:val="auto"/>
        </w:rPr>
      </w:pPr>
    </w:p>
    <w:p>
      <w:pPr>
        <w:ind w:left="1140" w:hanging="484"/>
        <w:spacing w:after="0"/>
        <w:tabs>
          <w:tab w:leader="none" w:pos="1140" w:val="left"/>
        </w:tabs>
        <w:numPr>
          <w:ilvl w:val="0"/>
          <w:numId w:val="135"/>
        </w:numPr>
        <w:rPr>
          <w:rFonts w:ascii="Arial" w:cs="Arial" w:eastAsia="Arial" w:hAnsi="Arial"/>
          <w:sz w:val="22"/>
          <w:szCs w:val="22"/>
          <w:color w:val="auto"/>
        </w:rPr>
      </w:pPr>
      <w:r>
        <w:rPr>
          <w:rFonts w:ascii="Arial" w:cs="Arial" w:eastAsia="Arial" w:hAnsi="Arial"/>
          <w:sz w:val="22"/>
          <w:szCs w:val="22"/>
          <w:color w:val="auto"/>
        </w:rPr>
        <w:t>Disability;</w:t>
      </w:r>
    </w:p>
    <w:p>
      <w:pPr>
        <w:spacing w:after="0" w:line="219" w:lineRule="exact"/>
        <w:rPr>
          <w:rFonts w:ascii="Arial" w:cs="Arial" w:eastAsia="Arial" w:hAnsi="Arial"/>
          <w:sz w:val="22"/>
          <w:szCs w:val="22"/>
          <w:color w:val="auto"/>
        </w:rPr>
      </w:pPr>
    </w:p>
    <w:p>
      <w:pPr>
        <w:ind w:left="1200" w:hanging="544"/>
        <w:spacing w:after="0"/>
        <w:tabs>
          <w:tab w:leader="none" w:pos="1200" w:val="left"/>
        </w:tabs>
        <w:numPr>
          <w:ilvl w:val="0"/>
          <w:numId w:val="135"/>
        </w:numPr>
        <w:rPr>
          <w:rFonts w:ascii="Arial" w:cs="Arial" w:eastAsia="Arial" w:hAnsi="Arial"/>
          <w:sz w:val="22"/>
          <w:szCs w:val="22"/>
          <w:color w:val="auto"/>
        </w:rPr>
      </w:pPr>
      <w:r>
        <w:rPr>
          <w:rFonts w:ascii="Arial" w:cs="Arial" w:eastAsia="Arial" w:hAnsi="Arial"/>
          <w:sz w:val="22"/>
          <w:szCs w:val="22"/>
          <w:color w:val="auto"/>
        </w:rPr>
        <w:t>Cause; or</w:t>
      </w:r>
    </w:p>
    <w:p>
      <w:pPr>
        <w:spacing w:after="0" w:line="219" w:lineRule="exact"/>
        <w:rPr>
          <w:rFonts w:ascii="Arial" w:cs="Arial" w:eastAsia="Arial" w:hAnsi="Arial"/>
          <w:sz w:val="22"/>
          <w:szCs w:val="22"/>
          <w:color w:val="auto"/>
        </w:rPr>
      </w:pPr>
    </w:p>
    <w:p>
      <w:pPr>
        <w:ind w:left="1240" w:hanging="584"/>
        <w:spacing w:after="0"/>
        <w:tabs>
          <w:tab w:leader="none" w:pos="1240" w:val="left"/>
        </w:tabs>
        <w:numPr>
          <w:ilvl w:val="0"/>
          <w:numId w:val="135"/>
        </w:numPr>
        <w:rPr>
          <w:rFonts w:ascii="Arial" w:cs="Arial" w:eastAsia="Arial" w:hAnsi="Arial"/>
          <w:sz w:val="22"/>
          <w:szCs w:val="22"/>
          <w:color w:val="auto"/>
        </w:rPr>
      </w:pPr>
      <w:r>
        <w:rPr>
          <w:rFonts w:ascii="Arial" w:cs="Arial" w:eastAsia="Arial" w:hAnsi="Arial"/>
          <w:sz w:val="22"/>
          <w:szCs w:val="22"/>
          <w:color w:val="auto"/>
        </w:rPr>
        <w:t>a termination of services by Grantee without Good Reason (as defined above).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iii</w:t>
      </w:r>
    </w:p>
    <w:p>
      <w:pPr>
        <w:sectPr>
          <w:pgSz w:w="11900" w:h="16838" w:orient="portrait"/>
          <w:cols w:equalWidth="0" w:num="1">
            <w:col w:w="11420"/>
          </w:cols>
          <w:pgMar w:left="240" w:top="882" w:right="239" w:bottom="1440" w:gutter="0" w:footer="0" w:header="0"/>
        </w:sectPr>
      </w:pPr>
    </w:p>
    <w:bookmarkStart w:id="126" w:name="page127"/>
    <w:bookmarkEnd w:id="126"/>
    <w:p>
      <w:pPr>
        <w:jc w:val="center"/>
        <w:spacing w:after="0"/>
        <w:rPr>
          <w:sz w:val="20"/>
          <w:szCs w:val="20"/>
          <w:color w:val="auto"/>
        </w:rPr>
      </w:pPr>
      <w:r>
        <w:rPr>
          <w:rFonts w:ascii="Arial" w:cs="Arial" w:eastAsia="Arial" w:hAnsi="Arial"/>
          <w:sz w:val="22"/>
          <w:szCs w:val="22"/>
          <w:b w:val="1"/>
          <w:bCs w:val="1"/>
          <w:color w:val="auto"/>
        </w:rPr>
        <w:t>APPENDIX B</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UNITS AGREEMENT</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NON-U.S. ADDENDUM</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Additional Terms and Conditions for Equity Grants Under the TriMas Corporation 2006 Long Term Equity Incentive Plan</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January 2016</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Terms and Conditions</w:t>
      </w:r>
    </w:p>
    <w:p>
      <w:pPr>
        <w:spacing w:after="0" w:line="266"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This Addendum includes additional terms and conditions that govern the restricted stock units (“</w:t>
      </w:r>
      <w:r>
        <w:rPr>
          <w:rFonts w:ascii="Arial" w:cs="Arial" w:eastAsia="Arial" w:hAnsi="Arial"/>
          <w:sz w:val="21"/>
          <w:szCs w:val="21"/>
          <w:u w:val="single" w:color="auto"/>
          <w:color w:val="auto"/>
        </w:rPr>
        <w:t>RSUs</w:t>
      </w:r>
      <w:r>
        <w:rPr>
          <w:rFonts w:ascii="Arial" w:cs="Arial" w:eastAsia="Arial" w:hAnsi="Arial"/>
          <w:sz w:val="21"/>
          <w:szCs w:val="21"/>
          <w:color w:val="auto"/>
        </w:rPr>
        <w:t>”) granted to you under the TriMas Corporation 2006 Long Term Equity Incentive Plan (referred to as the “</w:t>
      </w:r>
      <w:r>
        <w:rPr>
          <w:rFonts w:ascii="Arial" w:cs="Arial" w:eastAsia="Arial" w:hAnsi="Arial"/>
          <w:sz w:val="21"/>
          <w:szCs w:val="21"/>
          <w:u w:val="single" w:color="auto"/>
          <w:color w:val="auto"/>
        </w:rPr>
        <w:t>Plan</w:t>
      </w:r>
      <w:r>
        <w:rPr>
          <w:rFonts w:ascii="Arial" w:cs="Arial" w:eastAsia="Arial" w:hAnsi="Arial"/>
          <w:sz w:val="21"/>
          <w:szCs w:val="21"/>
          <w:color w:val="auto"/>
        </w:rPr>
        <w:t>”) if you reside in one of the countries listed below. Certain capitalized terms used but not defined in this Addendum have the meanings set forth in the Plan and/or your award agreement (the “</w:t>
      </w:r>
      <w:r>
        <w:rPr>
          <w:rFonts w:ascii="Arial" w:cs="Arial" w:eastAsia="Arial" w:hAnsi="Arial"/>
          <w:sz w:val="21"/>
          <w:szCs w:val="21"/>
          <w:u w:val="single" w:color="auto"/>
          <w:color w:val="auto"/>
        </w:rPr>
        <w:t>Agreement</w:t>
      </w:r>
      <w:r>
        <w:rPr>
          <w:rFonts w:ascii="Arial" w:cs="Arial" w:eastAsia="Arial" w:hAnsi="Arial"/>
          <w:sz w:val="21"/>
          <w:szCs w:val="21"/>
          <w:color w:val="auto"/>
        </w:rPr>
        <w:t>”) that relates to your award. By accepting your award, you agree to be bound by the terms and conditions contained in the paragraphs below in addition to the terms of the Plan, the Agreement, and the terms of any other document that may apply to you and your award.</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Notifications</w:t>
      </w:r>
    </w:p>
    <w:p>
      <w:pPr>
        <w:spacing w:after="0" w:line="266"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This Addendum also includes information regarding exchange controls and certain other issues of which you should be aware with respect to participation in the Plan. The information is based on the securities, exchange control, and other laws in effect in the respective countries as of January 2016. Such laws are often complex and change frequently. As a result, it is strongly recommended that you not rely on the information in this Addendum as the only source of information relating to the consequences of your participation in the Plan because the information may be out of date at the time you vest in your RSUs or sell shares acquired under the Plan.</w:t>
      </w:r>
    </w:p>
    <w:p>
      <w:pPr>
        <w:spacing w:after="0" w:line="234"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In addition, the information contained herein is general in nature and may not apply to your particular situation, and TriMas Corporation (the “</w:t>
      </w:r>
      <w:r>
        <w:rPr>
          <w:rFonts w:ascii="Arial" w:cs="Arial" w:eastAsia="Arial" w:hAnsi="Arial"/>
          <w:sz w:val="21"/>
          <w:szCs w:val="21"/>
          <w:u w:val="single" w:color="auto"/>
          <w:color w:val="auto"/>
        </w:rPr>
        <w:t>Corporation</w:t>
      </w:r>
      <w:r>
        <w:rPr>
          <w:rFonts w:ascii="Arial" w:cs="Arial" w:eastAsia="Arial" w:hAnsi="Arial"/>
          <w:sz w:val="21"/>
          <w:szCs w:val="21"/>
          <w:color w:val="auto"/>
        </w:rPr>
        <w:t>”) is not in a position to assure you of a particular result. Accordingly, you are advised to seek appropriate professional advice as to how the relevant laws in your country may apply to your situation.</w:t>
      </w:r>
    </w:p>
    <w:p>
      <w:pPr>
        <w:spacing w:after="0" w:line="208"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Finally, if you are a citizen or resident of a country other than the one in which you are currently working, transferred employment after the RSUs were granted to you, or are considered a resident of another country for local law purposes, the information contained herein may not apply.</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COUNTRY-SPECIFIC LANGUAGE</w:t>
      </w:r>
    </w:p>
    <w:p>
      <w:pPr>
        <w:spacing w:after="0" w:line="28" w:lineRule="exact"/>
        <w:rPr>
          <w:sz w:val="20"/>
          <w:szCs w:val="20"/>
          <w:color w:val="auto"/>
        </w:rPr>
      </w:pPr>
    </w:p>
    <w:p>
      <w:pPr>
        <w:spacing w:after="0"/>
        <w:rPr>
          <w:sz w:val="20"/>
          <w:szCs w:val="20"/>
          <w:color w:val="auto"/>
        </w:rPr>
      </w:pPr>
      <w:r>
        <w:rPr>
          <w:rFonts w:ascii="Arial" w:cs="Arial" w:eastAsia="Arial" w:hAnsi="Arial"/>
          <w:sz w:val="21"/>
          <w:szCs w:val="21"/>
          <w:color w:val="auto"/>
        </w:rPr>
        <w:t>Below please find country specific language that applies to Participants in the following countries: the United Kingdom.</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iv</w:t>
      </w:r>
    </w:p>
    <w:p>
      <w:pPr>
        <w:sectPr>
          <w:pgSz w:w="11900" w:h="16838" w:orient="portrait"/>
          <w:cols w:equalWidth="0" w:num="1">
            <w:col w:w="11420"/>
          </w:cols>
          <w:pgMar w:left="240" w:top="625" w:right="239" w:bottom="1440" w:gutter="0" w:footer="0" w:header="0"/>
        </w:sectPr>
      </w:pPr>
    </w:p>
    <w:bookmarkStart w:id="127" w:name="page128"/>
    <w:bookmarkEnd w:id="127"/>
    <w:p>
      <w:pPr>
        <w:jc w:val="center"/>
        <w:spacing w:after="0"/>
        <w:rPr>
          <w:sz w:val="20"/>
          <w:szCs w:val="20"/>
          <w:color w:val="auto"/>
        </w:rPr>
      </w:pPr>
      <w:r>
        <w:rPr>
          <w:rFonts w:ascii="Arial" w:cs="Arial" w:eastAsia="Arial" w:hAnsi="Arial"/>
          <w:sz w:val="22"/>
          <w:szCs w:val="22"/>
          <w:b w:val="1"/>
          <w:bCs w:val="1"/>
          <w:i w:val="1"/>
          <w:iCs w:val="1"/>
          <w:u w:val="single" w:color="auto"/>
          <w:color w:val="auto"/>
        </w:rPr>
        <w:t>UNITED KINGDOM</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Terms and Conditions</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Non-Transferability of Award</w:t>
      </w:r>
      <w:r>
        <w:rPr>
          <w:rFonts w:ascii="Arial" w:cs="Arial" w:eastAsia="Arial" w:hAnsi="Arial"/>
          <w:sz w:val="22"/>
          <w:szCs w:val="22"/>
          <w:color w:val="auto"/>
        </w:rPr>
        <w:t>. Section II.B.1 of the Agreement is hereby amended in its entirety to read as follows:</w:t>
      </w:r>
    </w:p>
    <w:p>
      <w:pPr>
        <w:spacing w:after="0" w:line="266" w:lineRule="exact"/>
        <w:rPr>
          <w:sz w:val="20"/>
          <w:szCs w:val="20"/>
          <w:color w:val="auto"/>
        </w:rPr>
      </w:pPr>
    </w:p>
    <w:p>
      <w:pPr>
        <w:jc w:val="both"/>
        <w:ind w:left="660" w:firstLine="648"/>
        <w:spacing w:after="0" w:line="247" w:lineRule="auto"/>
        <w:rPr>
          <w:sz w:val="20"/>
          <w:szCs w:val="20"/>
          <w:color w:val="auto"/>
        </w:rPr>
      </w:pPr>
      <w:r>
        <w:rPr>
          <w:rFonts w:ascii="Arial" w:cs="Arial" w:eastAsia="Arial" w:hAnsi="Arial"/>
          <w:sz w:val="22"/>
          <w:szCs w:val="22"/>
          <w:color w:val="auto"/>
        </w:rPr>
        <w:t>“Except as described below, this Award and the Restricted Stock Units subject to this Award may not be sold, pledged, assigned, hypothecated, transferred, or disposed of in any manner other than by will or by the laws of descent or distribution and the Award shall lapse and any unvested Restricted Stock Units subject to this Award shall be forfeited if a bankruptcy order is made in respect of Grantee. For the avoidance of doubt, the provisions contained in Section 11.13 of the Plan which allow each Participant to designate a beneficiary for the Restricted Stock Units awarded to him or her under the Plan shall not apply to this Award.”</w:t>
      </w: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Withholding</w:t>
      </w:r>
      <w:r>
        <w:rPr>
          <w:rFonts w:ascii="Arial" w:cs="Arial" w:eastAsia="Arial" w:hAnsi="Arial"/>
          <w:sz w:val="22"/>
          <w:szCs w:val="22"/>
          <w:color w:val="auto"/>
        </w:rPr>
        <w:t>. Section II.B.2 of the Agreement is hereby amended in its entirety to read as follows:</w:t>
      </w:r>
    </w:p>
    <w:p>
      <w:pPr>
        <w:spacing w:after="0" w:line="2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“Grantee hereby indemnifies the Corporation, Grantee’s employer or any other person in respect of:</w:t>
      </w:r>
    </w:p>
    <w:p>
      <w:pPr>
        <w:spacing w:after="0" w:line="260" w:lineRule="exact"/>
        <w:rPr>
          <w:sz w:val="20"/>
          <w:szCs w:val="20"/>
          <w:color w:val="auto"/>
        </w:rPr>
      </w:pPr>
    </w:p>
    <w:p>
      <w:pPr>
        <w:jc w:val="both"/>
        <w:ind w:left="1960" w:hanging="655"/>
        <w:spacing w:after="0" w:line="250" w:lineRule="auto"/>
        <w:tabs>
          <w:tab w:leader="none" w:pos="1960" w:val="left"/>
        </w:tabs>
        <w:numPr>
          <w:ilvl w:val="0"/>
          <w:numId w:val="136"/>
        </w:numPr>
        <w:rPr>
          <w:rFonts w:ascii="Arial" w:cs="Arial" w:eastAsia="Arial" w:hAnsi="Arial"/>
          <w:sz w:val="22"/>
          <w:szCs w:val="22"/>
          <w:color w:val="auto"/>
        </w:rPr>
      </w:pPr>
      <w:r>
        <w:rPr>
          <w:rFonts w:ascii="Arial" w:cs="Arial" w:eastAsia="Arial" w:hAnsi="Arial"/>
          <w:sz w:val="22"/>
          <w:szCs w:val="22"/>
          <w:color w:val="auto"/>
        </w:rPr>
        <w:t>any amount of income tax for which the Corporation, Grantee’s employer or any other person is obliged to account under the Pay-As-You-Earn system and any amounts of employee’s national insurance contributions arising from the vesting of the Award (or which would not otherwise have arisen but for the grant of the Award to Grantee); and</w:t>
      </w:r>
    </w:p>
    <w:p>
      <w:pPr>
        <w:spacing w:after="0" w:line="228" w:lineRule="exact"/>
        <w:rPr>
          <w:rFonts w:ascii="Arial" w:cs="Arial" w:eastAsia="Arial" w:hAnsi="Arial"/>
          <w:sz w:val="22"/>
          <w:szCs w:val="22"/>
          <w:color w:val="auto"/>
        </w:rPr>
      </w:pPr>
    </w:p>
    <w:p>
      <w:pPr>
        <w:jc w:val="both"/>
        <w:ind w:left="1960" w:hanging="655"/>
        <w:spacing w:after="0" w:line="297" w:lineRule="auto"/>
        <w:tabs>
          <w:tab w:leader="none" w:pos="1960" w:val="left"/>
        </w:tabs>
        <w:numPr>
          <w:ilvl w:val="0"/>
          <w:numId w:val="136"/>
        </w:numPr>
        <w:rPr>
          <w:rFonts w:ascii="Arial" w:cs="Arial" w:eastAsia="Arial" w:hAnsi="Arial"/>
          <w:sz w:val="19"/>
          <w:szCs w:val="19"/>
          <w:color w:val="auto"/>
        </w:rPr>
      </w:pPr>
      <w:r>
        <w:rPr>
          <w:rFonts w:ascii="Arial" w:cs="Arial" w:eastAsia="Arial" w:hAnsi="Arial"/>
          <w:sz w:val="19"/>
          <w:szCs w:val="19"/>
          <w:color w:val="auto"/>
        </w:rPr>
        <w:t>any amount of income tax for which the Corporation, Grantee’s employer or any other person is obliged to account under the Pay-As-You-Earn system and any amounts of employee’s national insurance contributions arising in respect of, or in connection with the holding or disposal by Grantee of the shares of Common Stock acquired pursuant to the Award or the conversion of such shares of Common Stock into securities of another description whilst such shares of Common Stock are held by Grantee,</w:t>
      </w:r>
    </w:p>
    <w:p>
      <w:pPr>
        <w:spacing w:after="0" w:line="188" w:lineRule="exact"/>
        <w:rPr>
          <w:sz w:val="20"/>
          <w:szCs w:val="20"/>
          <w:color w:val="auto"/>
        </w:rPr>
      </w:pPr>
    </w:p>
    <w:p>
      <w:pPr>
        <w:jc w:val="both"/>
        <w:ind w:left="660" w:firstLine="648"/>
        <w:spacing w:after="0" w:line="261" w:lineRule="auto"/>
        <w:rPr>
          <w:sz w:val="20"/>
          <w:szCs w:val="20"/>
          <w:color w:val="auto"/>
        </w:rPr>
      </w:pPr>
      <w:r>
        <w:rPr>
          <w:rFonts w:ascii="Arial" w:cs="Arial" w:eastAsia="Arial" w:hAnsi="Arial"/>
          <w:sz w:val="21"/>
          <w:szCs w:val="21"/>
          <w:color w:val="auto"/>
        </w:rPr>
        <w:t>and in pursuance of such indemnity, Grantee hereby agrees that he or she shall pay to the Corporation (or to such other entity as directed by it) such amount as shall be notified to Grantee by the Corporation as being due on any occasion under such indemnity, within seven days after being so notified. To the extent that Grantee fails to pay any amount so notified to him or by the Corporation within seven days after such notification, Grantee hereby agrees that the Corporation may withhold, or procure the withholding, from any salary, wages, payment or payments due to Grantee from the Corporation or the Employer an amount which is equal to the</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v</w:t>
      </w:r>
    </w:p>
    <w:p>
      <w:pPr>
        <w:sectPr>
          <w:pgSz w:w="11900" w:h="16838" w:orient="portrait"/>
          <w:cols w:equalWidth="0" w:num="1">
            <w:col w:w="11420"/>
          </w:cols>
          <w:pgMar w:left="240" w:top="631" w:right="239" w:bottom="1440" w:gutter="0" w:footer="0" w:header="0"/>
        </w:sectPr>
      </w:pPr>
    </w:p>
    <w:bookmarkStart w:id="128" w:name="page129"/>
    <w:bookmarkEnd w:id="128"/>
    <w:p>
      <w:pPr>
        <w:jc w:val="both"/>
        <w:ind w:left="660"/>
        <w:spacing w:after="0" w:line="260" w:lineRule="auto"/>
        <w:rPr>
          <w:sz w:val="20"/>
          <w:szCs w:val="20"/>
          <w:color w:val="auto"/>
        </w:rPr>
      </w:pPr>
      <w:r>
        <w:rPr>
          <w:rFonts w:ascii="Arial" w:cs="Arial" w:eastAsia="Arial" w:hAnsi="Arial"/>
          <w:sz w:val="21"/>
          <w:szCs w:val="21"/>
          <w:color w:val="auto"/>
        </w:rPr>
        <w:t>amount notified to Grantee, sell or procure the sale of sufficient of the shares of Common Stock acquired by Grantee pursuant to the Award on behalf of Grantee to produce a sum which after any costs of sale is sufficient to discharge the amount so notified to Grantee and retain such sum or make such other arrangements, by which Grantee hereby agrees to be bound, so as to ensure that the amount notified to Grantee is discharged in full. The Corporation will not be obliged to deliver any shares of Common Stock to Grantee pursuant to the Award if Grantee fails to comply with his or her obligations under the foregoing provisions of this Section II.B.2 and Grantee shall not be entitled to receive the delivery of such shares of Common Stock.”</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Clawback Policy</w:t>
      </w:r>
      <w:r>
        <w:rPr>
          <w:rFonts w:ascii="Arial" w:cs="Arial" w:eastAsia="Arial" w:hAnsi="Arial"/>
          <w:sz w:val="22"/>
          <w:szCs w:val="22"/>
          <w:color w:val="auto"/>
        </w:rPr>
        <w:t>. Section II.B.12 of the Agreement shall not apply.</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Data Privacy</w:t>
      </w:r>
      <w:r>
        <w:rPr>
          <w:rFonts w:ascii="Arial" w:cs="Arial" w:eastAsia="Arial" w:hAnsi="Arial"/>
          <w:sz w:val="22"/>
          <w:szCs w:val="22"/>
          <w:color w:val="auto"/>
        </w:rPr>
        <w:t>. A new Section II.B.13 is added to the Agreement to read as follows:</w:t>
      </w:r>
    </w:p>
    <w:p>
      <w:pPr>
        <w:spacing w:after="0" w:line="266" w:lineRule="exact"/>
        <w:rPr>
          <w:sz w:val="20"/>
          <w:szCs w:val="20"/>
          <w:color w:val="auto"/>
        </w:rPr>
      </w:pPr>
    </w:p>
    <w:p>
      <w:pPr>
        <w:jc w:val="both"/>
        <w:ind w:left="1300"/>
        <w:spacing w:after="0" w:line="250" w:lineRule="auto"/>
        <w:rPr>
          <w:sz w:val="20"/>
          <w:szCs w:val="20"/>
          <w:color w:val="auto"/>
        </w:rPr>
      </w:pPr>
      <w:r>
        <w:rPr>
          <w:rFonts w:ascii="Arial" w:cs="Arial" w:eastAsia="Arial" w:hAnsi="Arial"/>
          <w:sz w:val="22"/>
          <w:szCs w:val="22"/>
          <w:color w:val="auto"/>
        </w:rPr>
        <w:t>“The Corporation and Grantee’s employer (together the “Data Processors”) will process the Grantee’s personal data and each may transfer the Grantee’s personal data to their Subsidiaries, HM Revenue and Customs and third party service providers, for the purposes of managing and administering the Award and the operation of the Plan including but not limited to:</w:t>
      </w:r>
    </w:p>
    <w:p>
      <w:pPr>
        <w:spacing w:after="0" w:line="188" w:lineRule="exact"/>
        <w:rPr>
          <w:sz w:val="20"/>
          <w:szCs w:val="20"/>
          <w:color w:val="auto"/>
        </w:rPr>
      </w:pPr>
    </w:p>
    <w:p>
      <w:pPr>
        <w:ind w:left="1960" w:hanging="655"/>
        <w:spacing w:after="0"/>
        <w:tabs>
          <w:tab w:leader="none" w:pos="1960" w:val="left"/>
        </w:tabs>
        <w:numPr>
          <w:ilvl w:val="0"/>
          <w:numId w:val="137"/>
        </w:numPr>
        <w:rPr>
          <w:rFonts w:ascii="Arial" w:cs="Arial" w:eastAsia="Arial" w:hAnsi="Arial"/>
          <w:sz w:val="22"/>
          <w:szCs w:val="22"/>
          <w:color w:val="auto"/>
        </w:rPr>
      </w:pPr>
      <w:r>
        <w:rPr>
          <w:rFonts w:ascii="Arial" w:cs="Arial" w:eastAsia="Arial" w:hAnsi="Arial"/>
          <w:sz w:val="22"/>
          <w:szCs w:val="22"/>
          <w:color w:val="auto"/>
        </w:rPr>
        <w:t>administering and maintaining records relating to Grantee;</w:t>
      </w:r>
    </w:p>
    <w:p>
      <w:pPr>
        <w:spacing w:after="0" w:line="260" w:lineRule="exact"/>
        <w:rPr>
          <w:rFonts w:ascii="Arial" w:cs="Arial" w:eastAsia="Arial" w:hAnsi="Arial"/>
          <w:sz w:val="22"/>
          <w:szCs w:val="22"/>
          <w:color w:val="auto"/>
        </w:rPr>
      </w:pPr>
    </w:p>
    <w:p>
      <w:pPr>
        <w:ind w:left="1960" w:right="20" w:hanging="655"/>
        <w:spacing w:after="0" w:line="263" w:lineRule="auto"/>
        <w:tabs>
          <w:tab w:leader="none" w:pos="1960" w:val="left"/>
        </w:tabs>
        <w:numPr>
          <w:ilvl w:val="0"/>
          <w:numId w:val="137"/>
        </w:numPr>
        <w:rPr>
          <w:rFonts w:ascii="Arial" w:cs="Arial" w:eastAsia="Arial" w:hAnsi="Arial"/>
          <w:sz w:val="22"/>
          <w:szCs w:val="22"/>
          <w:color w:val="auto"/>
        </w:rPr>
      </w:pPr>
      <w:r>
        <w:rPr>
          <w:rFonts w:ascii="Arial" w:cs="Arial" w:eastAsia="Arial" w:hAnsi="Arial"/>
          <w:sz w:val="22"/>
          <w:szCs w:val="22"/>
          <w:color w:val="auto"/>
        </w:rPr>
        <w:t>providing information to (i) trustees of any employee benefit trust or (ii) other third party administrators involved directly or indirectly in the operation of the Plan;</w:t>
      </w:r>
    </w:p>
    <w:p>
      <w:pPr>
        <w:spacing w:after="0" w:line="215" w:lineRule="exact"/>
        <w:rPr>
          <w:rFonts w:ascii="Arial" w:cs="Arial" w:eastAsia="Arial" w:hAnsi="Arial"/>
          <w:sz w:val="22"/>
          <w:szCs w:val="22"/>
          <w:color w:val="auto"/>
        </w:rPr>
      </w:pPr>
    </w:p>
    <w:p>
      <w:pPr>
        <w:ind w:left="1960" w:hanging="655"/>
        <w:spacing w:after="0" w:line="263" w:lineRule="auto"/>
        <w:tabs>
          <w:tab w:leader="none" w:pos="1960" w:val="left"/>
        </w:tabs>
        <w:numPr>
          <w:ilvl w:val="0"/>
          <w:numId w:val="137"/>
        </w:numPr>
        <w:rPr>
          <w:rFonts w:ascii="Arial" w:cs="Arial" w:eastAsia="Arial" w:hAnsi="Arial"/>
          <w:sz w:val="22"/>
          <w:szCs w:val="22"/>
          <w:color w:val="auto"/>
        </w:rPr>
      </w:pPr>
      <w:r>
        <w:rPr>
          <w:rFonts w:ascii="Arial" w:cs="Arial" w:eastAsia="Arial" w:hAnsi="Arial"/>
          <w:sz w:val="22"/>
          <w:szCs w:val="22"/>
          <w:color w:val="auto"/>
        </w:rPr>
        <w:t>providing information relating to the Grantee in connection with the operation of the Plan to HM Revenue and Customs;</w:t>
      </w:r>
    </w:p>
    <w:p>
      <w:pPr>
        <w:spacing w:after="0" w:line="215" w:lineRule="exact"/>
        <w:rPr>
          <w:rFonts w:ascii="Arial" w:cs="Arial" w:eastAsia="Arial" w:hAnsi="Arial"/>
          <w:sz w:val="22"/>
          <w:szCs w:val="22"/>
          <w:color w:val="auto"/>
        </w:rPr>
      </w:pPr>
    </w:p>
    <w:p>
      <w:pPr>
        <w:ind w:left="1960" w:hanging="655"/>
        <w:spacing w:after="0"/>
        <w:tabs>
          <w:tab w:leader="none" w:pos="1960" w:val="left"/>
        </w:tabs>
        <w:numPr>
          <w:ilvl w:val="0"/>
          <w:numId w:val="137"/>
        </w:numPr>
        <w:rPr>
          <w:rFonts w:ascii="Arial" w:cs="Arial" w:eastAsia="Arial" w:hAnsi="Arial"/>
          <w:sz w:val="22"/>
          <w:szCs w:val="22"/>
          <w:color w:val="auto"/>
        </w:rPr>
      </w:pPr>
      <w:r>
        <w:rPr>
          <w:rFonts w:ascii="Arial" w:cs="Arial" w:eastAsia="Arial" w:hAnsi="Arial"/>
          <w:sz w:val="22"/>
          <w:szCs w:val="22"/>
          <w:color w:val="auto"/>
        </w:rPr>
        <w:t>providing information to potential purchasers of one or more of the Data Processors; and</w:t>
      </w:r>
    </w:p>
    <w:p>
      <w:pPr>
        <w:spacing w:after="0" w:line="260" w:lineRule="exact"/>
        <w:rPr>
          <w:rFonts w:ascii="Arial" w:cs="Arial" w:eastAsia="Arial" w:hAnsi="Arial"/>
          <w:sz w:val="22"/>
          <w:szCs w:val="22"/>
          <w:color w:val="auto"/>
        </w:rPr>
      </w:pPr>
    </w:p>
    <w:p>
      <w:pPr>
        <w:jc w:val="both"/>
        <w:ind w:left="1960" w:hanging="655"/>
        <w:spacing w:after="0" w:line="253" w:lineRule="auto"/>
        <w:tabs>
          <w:tab w:leader="none" w:pos="1960" w:val="left"/>
        </w:tabs>
        <w:numPr>
          <w:ilvl w:val="0"/>
          <w:numId w:val="137"/>
        </w:numPr>
        <w:rPr>
          <w:rFonts w:ascii="Arial" w:cs="Arial" w:eastAsia="Arial" w:hAnsi="Arial"/>
          <w:sz w:val="22"/>
          <w:szCs w:val="22"/>
          <w:color w:val="auto"/>
        </w:rPr>
      </w:pPr>
      <w:r>
        <w:rPr>
          <w:rFonts w:ascii="Arial" w:cs="Arial" w:eastAsia="Arial" w:hAnsi="Arial"/>
          <w:sz w:val="22"/>
          <w:szCs w:val="22"/>
          <w:color w:val="auto"/>
        </w:rPr>
        <w:t>allowing any personal data provided by Grantee to be sent to and kept and used by any third party engaged by the Corporation to administer the Plan, including but not limited to the maintenance by such a third party of a database of Participants in the Plan.</w:t>
      </w:r>
    </w:p>
    <w:p>
      <w:pPr>
        <w:spacing w:after="0" w:line="226" w:lineRule="exact"/>
        <w:rPr>
          <w:sz w:val="20"/>
          <w:szCs w:val="20"/>
          <w:color w:val="auto"/>
        </w:rPr>
      </w:pPr>
    </w:p>
    <w:p>
      <w:pPr>
        <w:jc w:val="both"/>
        <w:ind w:left="1300"/>
        <w:spacing w:after="0" w:line="297" w:lineRule="auto"/>
        <w:rPr>
          <w:sz w:val="20"/>
          <w:szCs w:val="20"/>
          <w:color w:val="auto"/>
        </w:rPr>
      </w:pPr>
      <w:r>
        <w:rPr>
          <w:rFonts w:ascii="Arial" w:cs="Arial" w:eastAsia="Arial" w:hAnsi="Arial"/>
          <w:sz w:val="19"/>
          <w:szCs w:val="19"/>
          <w:color w:val="auto"/>
        </w:rPr>
        <w:t>Such personal data includes (without limitation) Grantee’s name, home address and telephone number; date of birth; social insurance or national insurance number or other identification number; salary; nationality; job title; any Common Stock or directorships held in the any of the Data Processors; alleged, proven and convicted offences, felonies and/or wilful misconduct; wilful failure or refusal to follow directions from the board of the Corporation; breach of fiduciary duty to the Corporation or a Subsidiary; and details of all Awards or any other entitlement to</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vi</w:t>
      </w:r>
    </w:p>
    <w:p>
      <w:pPr>
        <w:sectPr>
          <w:pgSz w:w="11900" w:h="16838" w:orient="portrait"/>
          <w:cols w:equalWidth="0" w:num="1">
            <w:col w:w="11420"/>
          </w:cols>
          <w:pgMar w:left="240" w:top="631" w:right="239" w:bottom="1440" w:gutter="0" w:footer="0" w:header="0"/>
        </w:sectPr>
      </w:pPr>
    </w:p>
    <w:bookmarkStart w:id="129" w:name="page130"/>
    <w:bookmarkEnd w:id="129"/>
    <w:p>
      <w:pPr>
        <w:ind w:left="1300"/>
        <w:spacing w:after="0"/>
        <w:rPr>
          <w:sz w:val="20"/>
          <w:szCs w:val="20"/>
          <w:color w:val="auto"/>
        </w:rPr>
      </w:pPr>
      <w:r>
        <w:rPr>
          <w:rFonts w:ascii="Arial" w:cs="Arial" w:eastAsia="Arial" w:hAnsi="Arial"/>
          <w:sz w:val="22"/>
          <w:szCs w:val="22"/>
          <w:color w:val="auto"/>
        </w:rPr>
        <w:t>Common Stock awarded, cancelled, exercised, vested, unvested or outstanding in Grantee’s favour.</w:t>
      </w:r>
    </w:p>
    <w:p>
      <w:pPr>
        <w:spacing w:after="0" w:line="220" w:lineRule="exact"/>
        <w:rPr>
          <w:sz w:val="20"/>
          <w:szCs w:val="20"/>
          <w:color w:val="auto"/>
        </w:rPr>
      </w:pPr>
    </w:p>
    <w:p>
      <w:pPr>
        <w:jc w:val="both"/>
        <w:ind w:left="1300"/>
        <w:spacing w:after="0" w:line="263" w:lineRule="auto"/>
        <w:rPr>
          <w:sz w:val="20"/>
          <w:szCs w:val="20"/>
          <w:color w:val="auto"/>
        </w:rPr>
      </w:pPr>
      <w:r>
        <w:rPr>
          <w:rFonts w:ascii="Arial" w:cs="Arial" w:eastAsia="Arial" w:hAnsi="Arial"/>
          <w:sz w:val="21"/>
          <w:szCs w:val="21"/>
          <w:color w:val="auto"/>
        </w:rPr>
        <w:t>Grantee’s personal data may be transferred to the Data Processors or to any third parties assisting in the implementation, administration and management of the Plan and/or the Award which are based outside of the UK. Grantee’s employer and the Corporation (as appropriate) will implement safeguards to ensure the appropriate levels of protection for all such personal data. Grantee may request a list with the names and addresses of any potential recipients of the data by contacting their local human resources representative.</w:t>
      </w:r>
    </w:p>
    <w:p>
      <w:pPr>
        <w:spacing w:after="0" w:line="176" w:lineRule="exact"/>
        <w:rPr>
          <w:sz w:val="20"/>
          <w:szCs w:val="20"/>
          <w:color w:val="auto"/>
        </w:rPr>
      </w:pPr>
    </w:p>
    <w:p>
      <w:pPr>
        <w:jc w:val="both"/>
        <w:ind w:left="1300"/>
        <w:spacing w:after="0" w:line="302" w:lineRule="auto"/>
        <w:rPr>
          <w:sz w:val="20"/>
          <w:szCs w:val="20"/>
          <w:color w:val="auto"/>
        </w:rPr>
      </w:pPr>
      <w:r>
        <w:rPr>
          <w:rFonts w:ascii="Arial" w:cs="Arial" w:eastAsia="Arial" w:hAnsi="Arial"/>
          <w:sz w:val="19"/>
          <w:szCs w:val="19"/>
          <w:color w:val="auto"/>
        </w:rPr>
        <w:t>Grantee’s personal data will be held only as long as is necessary for the purpose for which it was collected. Grantee may (without cost) by contacting in writing their local human resources representative (i) view or request additional information about the storage and processing of their personal data, and/or (ii) request that any personal data that the Data Processors hold about Grantee which is inaccurate or out of date is corrected where appropriate.”</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Loss of Office or Employment</w:t>
      </w:r>
      <w:r>
        <w:rPr>
          <w:rFonts w:ascii="Arial" w:cs="Arial" w:eastAsia="Arial" w:hAnsi="Arial"/>
          <w:sz w:val="22"/>
          <w:szCs w:val="22"/>
          <w:color w:val="auto"/>
        </w:rPr>
        <w:t>. A new Section II.B.14 is added to the Agreement to read as follows:</w:t>
      </w:r>
    </w:p>
    <w:p>
      <w:pPr>
        <w:spacing w:after="0" w:line="266" w:lineRule="exact"/>
        <w:rPr>
          <w:sz w:val="20"/>
          <w:szCs w:val="20"/>
          <w:color w:val="auto"/>
        </w:rPr>
      </w:pPr>
    </w:p>
    <w:p>
      <w:pPr>
        <w:jc w:val="both"/>
        <w:ind w:left="1300"/>
        <w:spacing w:after="0" w:line="248" w:lineRule="auto"/>
        <w:rPr>
          <w:sz w:val="20"/>
          <w:szCs w:val="20"/>
          <w:color w:val="auto"/>
        </w:rPr>
      </w:pPr>
      <w:r>
        <w:rPr>
          <w:rFonts w:ascii="Arial" w:cs="Arial" w:eastAsia="Arial" w:hAnsi="Arial"/>
          <w:sz w:val="22"/>
          <w:szCs w:val="22"/>
          <w:color w:val="auto"/>
        </w:rPr>
        <w:t>“In no circumstances shall Grantee, on ceasing to hold the office or employment by virtue of which he has been granted this Award, be entitled to any compensation for any loss of any right or benefit or prospective right or benefit under the Award or the Plan which he might otherwise have enjoyed whether such compensation is claimed by way of damages for wrongful dismissal or other breach of contract or by way of compensation for loss of office or otherwise.”</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Notifications</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There are no country-specific notifications.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vii</w:t>
      </w:r>
    </w:p>
    <w:p>
      <w:pPr>
        <w:sectPr>
          <w:pgSz w:w="11900" w:h="16838" w:orient="portrait"/>
          <w:cols w:equalWidth="0" w:num="1">
            <w:col w:w="11420"/>
          </w:cols>
          <w:pgMar w:left="240" w:top="631" w:right="239" w:bottom="1440" w:gutter="0" w:footer="0" w:header="0"/>
        </w:sectPr>
      </w:pPr>
    </w:p>
    <w:bookmarkStart w:id="130" w:name="page131"/>
    <w:bookmarkEnd w:id="130"/>
    <w:p>
      <w:pPr>
        <w:jc w:val="right"/>
        <w:spacing w:after="0"/>
        <w:rPr>
          <w:sz w:val="20"/>
          <w:szCs w:val="20"/>
          <w:color w:val="auto"/>
        </w:rPr>
      </w:pPr>
      <w:r>
        <w:rPr>
          <w:rFonts w:ascii="Arial" w:cs="Arial" w:eastAsia="Arial" w:hAnsi="Arial"/>
          <w:sz w:val="22"/>
          <w:szCs w:val="22"/>
          <w:b w:val="1"/>
          <w:bCs w:val="1"/>
          <w:color w:val="auto"/>
        </w:rPr>
        <w:t>Exhibit 10.7</w:t>
      </w:r>
    </w:p>
    <w:p>
      <w:pPr>
        <w:spacing w:after="0" w:line="26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Restricted Stock Unit</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Three-Year Vest</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TRIMAS CORPORATION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2011 OMNIBUS INCENTIVE COMPENSATION PLAN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UNITS AGREEMENT</w:t>
      </w:r>
    </w:p>
    <w:p>
      <w:pPr>
        <w:spacing w:after="0" w:line="266"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TriMas Corporation (the “Corporation”), as permitted by the TriMas Corporation 2011 Omnibus Incentive Compensation Plan, as amended (“Plan”), and as approved by the Committee, grants to the individual listed below (“Grantee”), a Restricted Stock Units Award (“Award”) for the number of Restricted Stock Units set forth below (“Restricted Stock Units”), subject to the terms and conditions of the Plan and this Restricted Stock Units Agreement (“Agreement”).</w:t>
      </w:r>
    </w:p>
    <w:p>
      <w:pPr>
        <w:spacing w:after="0" w:line="17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Unless otherwise defined in this Agreement or in Appendix A to this Agreement, the terms used in this Agreement have the same meaning as defined in the Plan. The term “Service Provider” as used in this Agreement means an individual actively providing services to the Corporation or a Subsidiary or Affiliate of the Corporation.</w:t>
      </w:r>
    </w:p>
    <w:p>
      <w:pPr>
        <w:spacing w:after="0" w:line="180" w:lineRule="exact"/>
        <w:rPr>
          <w:sz w:val="20"/>
          <w:szCs w:val="20"/>
          <w:color w:val="auto"/>
        </w:rPr>
      </w:pPr>
    </w:p>
    <w:p>
      <w:pPr>
        <w:ind w:left="360" w:hanging="352"/>
        <w:spacing w:after="0"/>
        <w:tabs>
          <w:tab w:leader="none" w:pos="360" w:val="left"/>
        </w:tabs>
        <w:numPr>
          <w:ilvl w:val="0"/>
          <w:numId w:val="13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NOTICE OF RESTRICTED STOCK UNITS AWARD</w:t>
      </w:r>
    </w:p>
    <w:p>
      <w:pPr>
        <w:sectPr>
          <w:pgSz w:w="11900" w:h="16838" w:orient="portrait"/>
          <w:cols w:equalWidth="0" w:num="1">
            <w:col w:w="11420"/>
          </w:cols>
          <w:pgMar w:left="240" w:top="625" w:right="239" w:bottom="1440" w:gutter="0" w:footer="0" w:header="0"/>
        </w:sectPr>
      </w:pPr>
    </w:p>
    <w:p>
      <w:pPr>
        <w:spacing w:after="0" w:line="368" w:lineRule="exact"/>
        <w:rPr>
          <w:sz w:val="20"/>
          <w:szCs w:val="20"/>
          <w:color w:val="auto"/>
        </w:rPr>
      </w:pPr>
    </w:p>
    <w:p>
      <w:pPr>
        <w:ind w:left="420"/>
        <w:spacing w:after="0"/>
        <w:rPr>
          <w:sz w:val="20"/>
          <w:szCs w:val="20"/>
          <w:color w:val="auto"/>
        </w:rPr>
      </w:pPr>
      <w:r>
        <w:rPr>
          <w:rFonts w:ascii="Arial" w:cs="Arial" w:eastAsia="Arial" w:hAnsi="Arial"/>
          <w:sz w:val="22"/>
          <w:szCs w:val="22"/>
          <w:b w:val="1"/>
          <w:bCs w:val="1"/>
          <w:color w:val="auto"/>
        </w:rPr>
        <w:t>Grantee:</w:t>
      </w:r>
    </w:p>
    <w:p>
      <w:pPr>
        <w:spacing w:after="0" w:line="44" w:lineRule="exact"/>
        <w:rPr>
          <w:sz w:val="20"/>
          <w:szCs w:val="20"/>
          <w:color w:val="auto"/>
        </w:rPr>
      </w:pPr>
    </w:p>
    <w:p>
      <w:pPr>
        <w:ind w:left="420"/>
        <w:spacing w:after="0"/>
        <w:rPr>
          <w:sz w:val="20"/>
          <w:szCs w:val="20"/>
          <w:color w:val="auto"/>
        </w:rPr>
      </w:pPr>
      <w:r>
        <w:rPr>
          <w:rFonts w:ascii="Arial" w:cs="Arial" w:eastAsia="Arial" w:hAnsi="Arial"/>
          <w:sz w:val="22"/>
          <w:szCs w:val="22"/>
          <w:b w:val="1"/>
          <w:bCs w:val="1"/>
          <w:color w:val="auto"/>
        </w:rPr>
        <w:t>Date of Agreement:</w:t>
      </w:r>
    </w:p>
    <w:p>
      <w:pPr>
        <w:spacing w:after="0" w:line="44" w:lineRule="exact"/>
        <w:rPr>
          <w:sz w:val="20"/>
          <w:szCs w:val="20"/>
          <w:color w:val="auto"/>
        </w:rPr>
      </w:pPr>
    </w:p>
    <w:p>
      <w:pPr>
        <w:ind w:left="420"/>
        <w:spacing w:after="0"/>
        <w:rPr>
          <w:sz w:val="20"/>
          <w:szCs w:val="20"/>
          <w:color w:val="auto"/>
        </w:rPr>
      </w:pPr>
      <w:r>
        <w:rPr>
          <w:rFonts w:ascii="Arial" w:cs="Arial" w:eastAsia="Arial" w:hAnsi="Arial"/>
          <w:sz w:val="22"/>
          <w:szCs w:val="22"/>
          <w:b w:val="1"/>
          <w:bCs w:val="1"/>
          <w:color w:val="auto"/>
        </w:rPr>
        <w:t>Grant Date:</w:t>
      </w:r>
    </w:p>
    <w:p>
      <w:pPr>
        <w:spacing w:after="0" w:line="44" w:lineRule="exact"/>
        <w:rPr>
          <w:sz w:val="20"/>
          <w:szCs w:val="20"/>
          <w:color w:val="auto"/>
        </w:rPr>
      </w:pPr>
    </w:p>
    <w:p>
      <w:pPr>
        <w:ind w:left="420"/>
        <w:spacing w:after="0"/>
        <w:rPr>
          <w:sz w:val="20"/>
          <w:szCs w:val="20"/>
          <w:color w:val="auto"/>
        </w:rPr>
      </w:pPr>
      <w:r>
        <w:rPr>
          <w:rFonts w:ascii="Arial" w:cs="Arial" w:eastAsia="Arial" w:hAnsi="Arial"/>
          <w:sz w:val="19"/>
          <w:szCs w:val="19"/>
          <w:b w:val="1"/>
          <w:bCs w:val="1"/>
          <w:color w:val="auto"/>
        </w:rPr>
        <w:t>Number of Restricted Stock Units:</w:t>
      </w:r>
    </w:p>
    <w:p>
      <w:pPr>
        <w:spacing w:after="0" w:line="20" w:lineRule="exact"/>
        <w:rPr>
          <w:sz w:val="20"/>
          <w:szCs w:val="20"/>
          <w:color w:val="auto"/>
        </w:rPr>
      </w:pPr>
      <w:r>
        <w:rPr>
          <w:sz w:val="20"/>
          <w:szCs w:val="20"/>
          <w:color w:val="auto"/>
        </w:rPr>
        <w:br w:type="column"/>
      </w:r>
    </w:p>
    <w:p>
      <w:pPr>
        <w:spacing w:after="0" w:line="3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[specify Grantee’s name]</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[grant date]</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March 1, 2016</w:t>
      </w:r>
    </w:p>
    <w:p>
      <w:pPr>
        <w:spacing w:after="0" w:line="4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[number of Restricted Stock Units]</w:t>
      </w:r>
    </w:p>
    <w:p>
      <w:pPr>
        <w:spacing w:after="0" w:line="200" w:lineRule="exact"/>
        <w:rPr>
          <w:sz w:val="20"/>
          <w:szCs w:val="20"/>
          <w:color w:val="auto"/>
        </w:rPr>
      </w:pPr>
    </w:p>
    <w:p>
      <w:pPr>
        <w:sectPr>
          <w:pgSz w:w="11900" w:h="16838" w:orient="portrait"/>
          <w:cols w:equalWidth="0" w:num="2">
            <w:col w:w="6100" w:space="720"/>
            <w:col w:w="4600"/>
          </w:cols>
          <w:pgMar w:left="240" w:top="625" w:right="239" w:bottom="1440" w:gutter="0" w:footer="0" w:header="0"/>
          <w:type w:val="continuous"/>
        </w:sectPr>
      </w:pPr>
    </w:p>
    <w:p>
      <w:pPr>
        <w:spacing w:after="0" w:line="122" w:lineRule="exact"/>
        <w:rPr>
          <w:sz w:val="20"/>
          <w:szCs w:val="20"/>
          <w:color w:val="auto"/>
        </w:rPr>
      </w:pPr>
    </w:p>
    <w:p>
      <w:pPr>
        <w:ind w:left="420" w:hanging="412"/>
        <w:spacing w:after="0"/>
        <w:tabs>
          <w:tab w:leader="none" w:pos="420" w:val="left"/>
        </w:tabs>
        <w:numPr>
          <w:ilvl w:val="0"/>
          <w:numId w:val="139"/>
        </w:numPr>
        <w:rPr>
          <w:rFonts w:ascii="Arial" w:cs="Arial" w:eastAsia="Arial" w:hAnsi="Arial"/>
          <w:sz w:val="22"/>
          <w:szCs w:val="22"/>
          <w:color w:val="auto"/>
        </w:rPr>
      </w:pPr>
      <w:r>
        <w:rPr>
          <w:rFonts w:ascii="Arial" w:cs="Arial" w:eastAsia="Arial" w:hAnsi="Arial"/>
          <w:sz w:val="22"/>
          <w:szCs w:val="22"/>
          <w:b w:val="1"/>
          <w:bCs w:val="1"/>
          <w:u w:val="single" w:color="auto"/>
          <w:color w:val="auto"/>
        </w:rPr>
        <w:t>AGREEMENT</w:t>
      </w:r>
    </w:p>
    <w:p>
      <w:pPr>
        <w:spacing w:after="0" w:line="219" w:lineRule="exact"/>
        <w:rPr>
          <w:rFonts w:ascii="Arial" w:cs="Arial" w:eastAsia="Arial" w:hAnsi="Arial"/>
          <w:sz w:val="22"/>
          <w:szCs w:val="22"/>
          <w:color w:val="auto"/>
        </w:rPr>
      </w:pPr>
    </w:p>
    <w:p>
      <w:pPr>
        <w:jc w:val="both"/>
        <w:ind w:firstLine="648"/>
        <w:spacing w:after="0" w:line="298" w:lineRule="auto"/>
        <w:rPr>
          <w:rFonts w:ascii="Arial" w:cs="Arial" w:eastAsia="Arial" w:hAnsi="Arial"/>
          <w:sz w:val="22"/>
          <w:szCs w:val="22"/>
          <w:color w:val="auto"/>
        </w:rPr>
      </w:pPr>
      <w:r>
        <w:rPr>
          <w:rFonts w:ascii="Arial" w:cs="Arial" w:eastAsia="Arial" w:hAnsi="Arial"/>
          <w:sz w:val="19"/>
          <w:szCs w:val="19"/>
          <w:b w:val="1"/>
          <w:bCs w:val="1"/>
          <w:color w:val="auto"/>
        </w:rPr>
        <w:t xml:space="preserve">A. </w:t>
      </w:r>
      <w:r>
        <w:rPr>
          <w:rFonts w:ascii="Arial" w:cs="Arial" w:eastAsia="Arial" w:hAnsi="Arial"/>
          <w:sz w:val="19"/>
          <w:szCs w:val="19"/>
          <w:b w:val="1"/>
          <w:bCs w:val="1"/>
          <w:u w:val="single" w:color="auto"/>
          <w:color w:val="auto"/>
        </w:rPr>
        <w:t>Grant of Restricted Stock Units.</w:t>
      </w:r>
      <w:r>
        <w:rPr>
          <w:rFonts w:ascii="Arial" w:cs="Arial" w:eastAsia="Arial" w:hAnsi="Arial"/>
          <w:sz w:val="19"/>
          <w:szCs w:val="19"/>
          <w:b w:val="1"/>
          <w:bCs w:val="1"/>
          <w:color w:val="auto"/>
        </w:rPr>
        <w:t xml:space="preserve"> </w:t>
      </w:r>
      <w:r>
        <w:rPr>
          <w:rFonts w:ascii="Arial" w:cs="Arial" w:eastAsia="Arial" w:hAnsi="Arial"/>
          <w:sz w:val="19"/>
          <w:szCs w:val="19"/>
          <w:color w:val="auto"/>
        </w:rPr>
        <w:t>The Corporation grants to Grantee (who, pursuant to this Award is a Participant in</w:t>
      </w:r>
      <w:r>
        <w:rPr>
          <w:rFonts w:ascii="Arial" w:cs="Arial" w:eastAsia="Arial" w:hAnsi="Arial"/>
          <w:sz w:val="19"/>
          <w:szCs w:val="19"/>
          <w:b w:val="1"/>
          <w:bCs w:val="1"/>
          <w:color w:val="auto"/>
        </w:rPr>
        <w:t xml:space="preserve"> </w:t>
      </w:r>
      <w:r>
        <w:rPr>
          <w:rFonts w:ascii="Arial" w:cs="Arial" w:eastAsia="Arial" w:hAnsi="Arial"/>
          <w:sz w:val="19"/>
          <w:szCs w:val="19"/>
          <w:color w:val="auto"/>
        </w:rPr>
        <w:t>the Plan) the number of Restricted Stock Units set forth above, subject to adjustment as provided in this Agreement. The Restricted Stock Units granted under this Agreement are payable only in shares of Stock as described in Section II.A.2. Notwithstanding anything to the contrary anywhere else in this Agreement, the Restricted Stock Units subject to this Award are subject to the terms and provisions of the Plan, which are incorporated by reference into this Agreement.</w:t>
      </w:r>
    </w:p>
    <w:p>
      <w:pPr>
        <w:spacing w:after="0" w:line="142" w:lineRule="exact"/>
        <w:rPr>
          <w:rFonts w:ascii="Arial" w:cs="Arial" w:eastAsia="Arial" w:hAnsi="Arial"/>
          <w:sz w:val="22"/>
          <w:szCs w:val="22"/>
          <w:color w:val="auto"/>
        </w:rPr>
      </w:pPr>
    </w:p>
    <w:p>
      <w:pPr>
        <w:ind w:left="1680" w:hanging="375"/>
        <w:spacing w:after="0"/>
        <w:tabs>
          <w:tab w:leader="none" w:pos="1680" w:val="left"/>
        </w:tabs>
        <w:numPr>
          <w:ilvl w:val="2"/>
          <w:numId w:val="13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Vesting</w:t>
      </w:r>
      <w:r>
        <w:rPr>
          <w:rFonts w:ascii="Arial" w:cs="Arial" w:eastAsia="Arial" w:hAnsi="Arial"/>
          <w:sz w:val="22"/>
          <w:szCs w:val="22"/>
          <w:color w:val="auto"/>
        </w:rPr>
        <w:t>.</w:t>
      </w:r>
    </w:p>
    <w:p>
      <w:pPr>
        <w:sectPr>
          <w:pgSz w:w="11900" w:h="16838" w:orient="portrait"/>
          <w:cols w:equalWidth="0" w:num="1">
            <w:col w:w="11420"/>
          </w:cols>
          <w:pgMar w:left="240" w:top="625" w:right="239" w:bottom="1440" w:gutter="0" w:footer="0" w:header="0"/>
          <w:type w:val="continuous"/>
        </w:sectPr>
      </w:pPr>
    </w:p>
    <w:bookmarkStart w:id="131" w:name="page132"/>
    <w:bookmarkEnd w:id="131"/>
    <w:p>
      <w:pPr>
        <w:jc w:val="both"/>
        <w:ind w:firstLine="645"/>
        <w:spacing w:after="0" w:line="256" w:lineRule="auto"/>
        <w:tabs>
          <w:tab w:leader="none" w:pos="1536" w:val="left"/>
        </w:tabs>
        <w:numPr>
          <w:ilvl w:val="0"/>
          <w:numId w:val="140"/>
        </w:numPr>
        <w:rPr>
          <w:rFonts w:ascii="Arial" w:cs="Arial" w:eastAsia="Arial" w:hAnsi="Arial"/>
          <w:sz w:val="22"/>
          <w:szCs w:val="22"/>
          <w:color w:val="auto"/>
        </w:rPr>
      </w:pPr>
      <w:r>
        <w:rPr>
          <w:rFonts w:ascii="Arial" w:cs="Arial" w:eastAsia="Arial" w:hAnsi="Arial"/>
          <w:sz w:val="22"/>
          <w:szCs w:val="22"/>
          <w:b w:val="1"/>
          <w:bCs w:val="1"/>
          <w:color w:val="auto"/>
        </w:rPr>
        <w:t>General</w:t>
      </w:r>
      <w:r>
        <w:rPr>
          <w:rFonts w:ascii="Arial" w:cs="Arial" w:eastAsia="Arial" w:hAnsi="Arial"/>
          <w:sz w:val="22"/>
          <w:szCs w:val="22"/>
          <w:color w:val="auto"/>
        </w:rPr>
        <w:t>. Subject to Section II.A.1(b), the Restricted Stock Units will vest in three equal installments on</w:t>
      </w:r>
      <w:r>
        <w:rPr>
          <w:rFonts w:ascii="Arial" w:cs="Arial" w:eastAsia="Arial" w:hAnsi="Arial"/>
          <w:sz w:val="22"/>
          <w:szCs w:val="22"/>
          <w:b w:val="1"/>
          <w:bCs w:val="1"/>
          <w:color w:val="auto"/>
        </w:rPr>
        <w:t xml:space="preserve"> </w:t>
      </w:r>
      <w:r>
        <w:rPr>
          <w:rFonts w:ascii="Arial" w:cs="Arial" w:eastAsia="Arial" w:hAnsi="Arial"/>
          <w:sz w:val="22"/>
          <w:szCs w:val="22"/>
          <w:color w:val="auto"/>
        </w:rPr>
        <w:t>the first three anniversaries of the Grant Date (each, a “Vesting Date”), subject to Grantee’s continued status as a Service Provider through each such Vesting Date.</w:t>
      </w:r>
    </w:p>
    <w:p>
      <w:pPr>
        <w:spacing w:after="0" w:line="216" w:lineRule="exact"/>
        <w:rPr>
          <w:rFonts w:ascii="Arial" w:cs="Arial" w:eastAsia="Arial" w:hAnsi="Arial"/>
          <w:sz w:val="22"/>
          <w:szCs w:val="22"/>
          <w:color w:val="auto"/>
        </w:rPr>
      </w:pPr>
    </w:p>
    <w:p>
      <w:pPr>
        <w:ind w:left="1540" w:hanging="895"/>
        <w:spacing w:after="0"/>
        <w:tabs>
          <w:tab w:leader="none" w:pos="1540" w:val="left"/>
        </w:tabs>
        <w:numPr>
          <w:ilvl w:val="0"/>
          <w:numId w:val="140"/>
        </w:numPr>
        <w:rPr>
          <w:rFonts w:ascii="Arial" w:cs="Arial" w:eastAsia="Arial" w:hAnsi="Arial"/>
          <w:sz w:val="22"/>
          <w:szCs w:val="22"/>
          <w:color w:val="auto"/>
        </w:rPr>
      </w:pPr>
      <w:r>
        <w:rPr>
          <w:rFonts w:ascii="Arial" w:cs="Arial" w:eastAsia="Arial" w:hAnsi="Arial"/>
          <w:sz w:val="22"/>
          <w:szCs w:val="22"/>
          <w:b w:val="1"/>
          <w:bCs w:val="1"/>
          <w:color w:val="auto"/>
        </w:rPr>
        <w:t>Termination of Service; Forfeiture</w:t>
      </w:r>
      <w:r>
        <w:rPr>
          <w:rFonts w:ascii="Arial" w:cs="Arial" w:eastAsia="Arial" w:hAnsi="Arial"/>
          <w:sz w:val="22"/>
          <w:szCs w:val="22"/>
          <w:color w:val="auto"/>
        </w:rPr>
        <w:t>. Notwithstanding any other provision of this Agreement:</w:t>
      </w:r>
    </w:p>
    <w:p>
      <w:pPr>
        <w:spacing w:after="0" w:line="260" w:lineRule="exact"/>
        <w:rPr>
          <w:rFonts w:ascii="Arial" w:cs="Arial" w:eastAsia="Arial" w:hAnsi="Arial"/>
          <w:sz w:val="22"/>
          <w:szCs w:val="22"/>
          <w:color w:val="auto"/>
        </w:rPr>
      </w:pPr>
    </w:p>
    <w:p>
      <w:pPr>
        <w:jc w:val="both"/>
        <w:ind w:left="640" w:firstLine="653"/>
        <w:spacing w:after="0" w:line="290" w:lineRule="auto"/>
        <w:tabs>
          <w:tab w:leader="none" w:pos="1749" w:val="left"/>
        </w:tabs>
        <w:numPr>
          <w:ilvl w:val="1"/>
          <w:numId w:val="140"/>
        </w:numPr>
        <w:rPr>
          <w:rFonts w:ascii="Arial" w:cs="Arial" w:eastAsia="Arial" w:hAnsi="Arial"/>
          <w:sz w:val="19"/>
          <w:szCs w:val="19"/>
          <w:color w:val="auto"/>
        </w:rPr>
      </w:pPr>
      <w:r>
        <w:rPr>
          <w:rFonts w:ascii="Arial" w:cs="Arial" w:eastAsia="Arial" w:hAnsi="Arial"/>
          <w:sz w:val="19"/>
          <w:szCs w:val="19"/>
          <w:b w:val="1"/>
          <w:bCs w:val="1"/>
          <w:color w:val="auto"/>
        </w:rPr>
        <w:t>Voluntary Termination; Termination for Cause</w:t>
      </w:r>
      <w:r>
        <w:rPr>
          <w:rFonts w:ascii="Arial" w:cs="Arial" w:eastAsia="Arial" w:hAnsi="Arial"/>
          <w:sz w:val="19"/>
          <w:szCs w:val="19"/>
          <w:color w:val="auto"/>
        </w:rPr>
        <w:t>. Any unvested Restricted Stock Units subject to the</w:t>
      </w:r>
      <w:r>
        <w:rPr>
          <w:rFonts w:ascii="Arial" w:cs="Arial" w:eastAsia="Arial" w:hAnsi="Arial"/>
          <w:sz w:val="19"/>
          <w:szCs w:val="19"/>
          <w:b w:val="1"/>
          <w:bCs w:val="1"/>
          <w:color w:val="auto"/>
        </w:rPr>
        <w:t xml:space="preserve"> </w:t>
      </w:r>
      <w:r>
        <w:rPr>
          <w:rFonts w:ascii="Arial" w:cs="Arial" w:eastAsia="Arial" w:hAnsi="Arial"/>
          <w:sz w:val="19"/>
          <w:szCs w:val="19"/>
          <w:color w:val="auto"/>
        </w:rPr>
        <w:t>Award will be canceled and forfeited if Grantee voluntarily terminates as a Service Provider (other than for Good Reason as provided below), or if Grantee’s status as a Service Provider is involuntarily terminated by the Corporation or a Subsidiary or Affiliate of the Corporation for Cause. Notwithstanding the foregoing, no termination of Grantee’s employment shall qualify as a termination for Cause unless (x) the Corporation notifies Grantee in writing of the Corporation’s intention to terminate Grantee’s employment for Cause within 90 days following the initial existence of the occurrence or event giving rise to Cause, (y) Grantee fails to cure such occurrence or event within 30 days after receipt of such notice from the Corporation and (z) the Corporation terminates Grantee’s employment within 45 days after the expiration of Grantee’s cure period in subsection (y).</w:t>
      </w:r>
    </w:p>
    <w:p>
      <w:pPr>
        <w:spacing w:after="0" w:line="149" w:lineRule="exact"/>
        <w:rPr>
          <w:rFonts w:ascii="Arial" w:cs="Arial" w:eastAsia="Arial" w:hAnsi="Arial"/>
          <w:sz w:val="19"/>
          <w:szCs w:val="19"/>
          <w:color w:val="auto"/>
        </w:rPr>
      </w:pPr>
    </w:p>
    <w:p>
      <w:pPr>
        <w:jc w:val="both"/>
        <w:ind w:left="640" w:firstLine="653"/>
        <w:spacing w:after="0" w:line="252" w:lineRule="auto"/>
        <w:tabs>
          <w:tab w:leader="none" w:pos="1822" w:val="left"/>
        </w:tabs>
        <w:numPr>
          <w:ilvl w:val="1"/>
          <w:numId w:val="140"/>
        </w:numPr>
        <w:rPr>
          <w:rFonts w:ascii="Arial" w:cs="Arial" w:eastAsia="Arial" w:hAnsi="Arial"/>
          <w:sz w:val="22"/>
          <w:szCs w:val="22"/>
          <w:color w:val="auto"/>
        </w:rPr>
      </w:pPr>
      <w:r>
        <w:rPr>
          <w:rFonts w:ascii="Arial" w:cs="Arial" w:eastAsia="Arial" w:hAnsi="Arial"/>
          <w:sz w:val="22"/>
          <w:szCs w:val="22"/>
          <w:b w:val="1"/>
          <w:bCs w:val="1"/>
          <w:color w:val="auto"/>
        </w:rPr>
        <w:t>Death; Disability</w:t>
      </w:r>
      <w:r>
        <w:rPr>
          <w:rFonts w:ascii="Arial" w:cs="Arial" w:eastAsia="Arial" w:hAnsi="Arial"/>
          <w:sz w:val="22"/>
          <w:szCs w:val="22"/>
          <w:color w:val="auto"/>
        </w:rPr>
        <w:t>. If Grantee ceases to be a Service Provider prior to any Vesting Date as a result of</w:t>
      </w:r>
      <w:r>
        <w:rPr>
          <w:rFonts w:ascii="Arial" w:cs="Arial" w:eastAsia="Arial" w:hAnsi="Arial"/>
          <w:sz w:val="22"/>
          <w:szCs w:val="22"/>
          <w:b w:val="1"/>
          <w:bCs w:val="1"/>
          <w:color w:val="auto"/>
        </w:rPr>
        <w:t xml:space="preserve"> </w:t>
      </w:r>
      <w:r>
        <w:rPr>
          <w:rFonts w:ascii="Arial" w:cs="Arial" w:eastAsia="Arial" w:hAnsi="Arial"/>
          <w:sz w:val="22"/>
          <w:szCs w:val="22"/>
          <w:color w:val="auto"/>
        </w:rPr>
        <w:t>Grantee’s death or Disability, Grantee shall fully vest in the Restricted Stock Units subject to the Award that have not already vested as of the date on which Grantee ceases to be a Service Provider due to Grantee’s death or Disability.</w:t>
      </w:r>
    </w:p>
    <w:p>
      <w:pPr>
        <w:spacing w:after="0" w:line="180" w:lineRule="exact"/>
        <w:rPr>
          <w:rFonts w:ascii="Arial" w:cs="Arial" w:eastAsia="Arial" w:hAnsi="Arial"/>
          <w:sz w:val="22"/>
          <w:szCs w:val="22"/>
          <w:color w:val="auto"/>
        </w:rPr>
      </w:pPr>
    </w:p>
    <w:p>
      <w:pPr>
        <w:jc w:val="both"/>
        <w:ind w:left="640" w:firstLine="653"/>
        <w:spacing w:after="0" w:line="261" w:lineRule="auto"/>
        <w:tabs>
          <w:tab w:leader="none" w:pos="1882" w:val="left"/>
        </w:tabs>
        <w:numPr>
          <w:ilvl w:val="1"/>
          <w:numId w:val="140"/>
        </w:numPr>
        <w:rPr>
          <w:rFonts w:ascii="Arial" w:cs="Arial" w:eastAsia="Arial" w:hAnsi="Arial"/>
          <w:sz w:val="21"/>
          <w:szCs w:val="21"/>
          <w:color w:val="auto"/>
        </w:rPr>
      </w:pPr>
      <w:r>
        <w:rPr>
          <w:rFonts w:ascii="Arial" w:cs="Arial" w:eastAsia="Arial" w:hAnsi="Arial"/>
          <w:sz w:val="21"/>
          <w:szCs w:val="21"/>
          <w:b w:val="1"/>
          <w:bCs w:val="1"/>
          <w:color w:val="auto"/>
        </w:rPr>
        <w:t>Qualifying Termination Prior to a Change of Control</w:t>
      </w:r>
      <w:r>
        <w:rPr>
          <w:rFonts w:ascii="Arial" w:cs="Arial" w:eastAsia="Arial" w:hAnsi="Arial"/>
          <w:sz w:val="21"/>
          <w:szCs w:val="21"/>
          <w:color w:val="auto"/>
        </w:rPr>
        <w:t>. If Grantee has a “Qualifying Termination”</w:t>
      </w:r>
      <w:r>
        <w:rPr>
          <w:rFonts w:ascii="Arial" w:cs="Arial" w:eastAsia="Arial" w:hAnsi="Arial"/>
          <w:sz w:val="21"/>
          <w:szCs w:val="21"/>
          <w:b w:val="1"/>
          <w:bCs w:val="1"/>
          <w:color w:val="auto"/>
        </w:rPr>
        <w:t xml:space="preserve"> </w:t>
      </w:r>
      <w:r>
        <w:rPr>
          <w:rFonts w:ascii="Arial" w:cs="Arial" w:eastAsia="Arial" w:hAnsi="Arial"/>
          <w:sz w:val="21"/>
          <w:szCs w:val="21"/>
          <w:color w:val="auto"/>
        </w:rPr>
        <w:t>(as defined in Appendix A) that occurs prior to a “Change of Control” (as defined in Appendix A) and before the final Vesting Date, Grantee shall vest in a pro-rata portion of Grantee’s unvested Restricted Stock Units, with the pro-rata amount calculated by (x) multiplying the total number of Restricted Stock Units subject to this Award by a fraction with (i) a numerator equaling the number of whole calendar months that have elapsed from the Grant Date to the date of Grantee’s termination, and (ii) a denominator equal to 36, and then (y) subtracting the number of Restricted Stock Units that have already vested under this Award.</w:t>
      </w:r>
    </w:p>
    <w:p>
      <w:pPr>
        <w:spacing w:after="0" w:line="174" w:lineRule="exact"/>
        <w:rPr>
          <w:rFonts w:ascii="Arial" w:cs="Arial" w:eastAsia="Arial" w:hAnsi="Arial"/>
          <w:sz w:val="21"/>
          <w:szCs w:val="21"/>
          <w:color w:val="auto"/>
        </w:rPr>
      </w:pPr>
    </w:p>
    <w:p>
      <w:pPr>
        <w:jc w:val="both"/>
        <w:ind w:left="640" w:right="20" w:firstLine="653"/>
        <w:spacing w:after="0" w:line="256" w:lineRule="auto"/>
        <w:tabs>
          <w:tab w:leader="none" w:pos="1884" w:val="left"/>
        </w:tabs>
        <w:numPr>
          <w:ilvl w:val="1"/>
          <w:numId w:val="140"/>
        </w:numPr>
        <w:rPr>
          <w:rFonts w:ascii="Arial" w:cs="Arial" w:eastAsia="Arial" w:hAnsi="Arial"/>
          <w:sz w:val="22"/>
          <w:szCs w:val="22"/>
          <w:color w:val="auto"/>
        </w:rPr>
      </w:pPr>
      <w:r>
        <w:rPr>
          <w:rFonts w:ascii="Arial" w:cs="Arial" w:eastAsia="Arial" w:hAnsi="Arial"/>
          <w:sz w:val="22"/>
          <w:szCs w:val="22"/>
          <w:b w:val="1"/>
          <w:bCs w:val="1"/>
          <w:color w:val="auto"/>
        </w:rPr>
        <w:t>Qualifying Termination Following a Change of Control</w:t>
      </w:r>
      <w:r>
        <w:rPr>
          <w:rFonts w:ascii="Arial" w:cs="Arial" w:eastAsia="Arial" w:hAnsi="Arial"/>
          <w:sz w:val="22"/>
          <w:szCs w:val="22"/>
          <w:color w:val="auto"/>
        </w:rPr>
        <w:t>. If Grantee has a Qualifying Termination</w:t>
      </w:r>
      <w:r>
        <w:rPr>
          <w:rFonts w:ascii="Arial" w:cs="Arial" w:eastAsia="Arial" w:hAnsi="Arial"/>
          <w:sz w:val="22"/>
          <w:szCs w:val="22"/>
          <w:b w:val="1"/>
          <w:bCs w:val="1"/>
          <w:color w:val="auto"/>
        </w:rPr>
        <w:t xml:space="preserve"> </w:t>
      </w:r>
      <w:r>
        <w:rPr>
          <w:rFonts w:ascii="Arial" w:cs="Arial" w:eastAsia="Arial" w:hAnsi="Arial"/>
          <w:sz w:val="22"/>
          <w:szCs w:val="22"/>
          <w:color w:val="auto"/>
        </w:rPr>
        <w:t>within two years following a Change of Control, Grantee shall fully vest in the Restricted Stock Units subject to the Award that have not already vested.</w:t>
      </w:r>
    </w:p>
    <w:p>
      <w:pPr>
        <w:spacing w:after="0" w:line="182" w:lineRule="exact"/>
        <w:rPr>
          <w:sz w:val="20"/>
          <w:szCs w:val="20"/>
          <w:color w:val="auto"/>
        </w:rPr>
      </w:pPr>
    </w:p>
    <w:p>
      <w:pPr>
        <w:ind w:right="20"/>
        <w:spacing w:after="0" w:line="263" w:lineRule="auto"/>
        <w:rPr>
          <w:sz w:val="20"/>
          <w:szCs w:val="20"/>
          <w:color w:val="auto"/>
        </w:rPr>
      </w:pPr>
      <w:r>
        <w:rPr>
          <w:rFonts w:ascii="Arial" w:cs="Arial" w:eastAsia="Arial" w:hAnsi="Arial"/>
          <w:sz w:val="22"/>
          <w:szCs w:val="22"/>
          <w:color w:val="auto"/>
        </w:rPr>
        <w:t>Any Restricted Stock Units that do not vest in accordance with Section II.A.1(a) or this Section II.A.1(b) shall be canceled and forfeited as of the date of Grantee’s termination of</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0760"/>
          </w:cols>
          <w:pgMar w:left="900" w:top="625" w:right="239" w:bottom="1440" w:gutter="0" w:footer="0" w:header="0"/>
        </w:sectPr>
      </w:pPr>
    </w:p>
    <w:bookmarkStart w:id="132" w:name="page133"/>
    <w:bookmarkEnd w:id="132"/>
    <w:p>
      <w:pPr>
        <w:ind w:left="660"/>
        <w:spacing w:after="0" w:line="263" w:lineRule="auto"/>
        <w:rPr>
          <w:sz w:val="20"/>
          <w:szCs w:val="20"/>
          <w:color w:val="auto"/>
        </w:rPr>
      </w:pPr>
      <w:r>
        <w:rPr>
          <w:rFonts w:ascii="Arial" w:cs="Arial" w:eastAsia="Arial" w:hAnsi="Arial"/>
          <w:sz w:val="22"/>
          <w:szCs w:val="22"/>
          <w:color w:val="auto"/>
        </w:rPr>
        <w:t>services. Further, subject to Code Section 409A, the Corporation retains the right to accelerate the vesting of all or a portion of the Restricted Stock Units subject to this Award.</w:t>
      </w:r>
    </w:p>
    <w:p>
      <w:pPr>
        <w:spacing w:after="0" w:line="169" w:lineRule="exact"/>
        <w:rPr>
          <w:sz w:val="20"/>
          <w:szCs w:val="20"/>
          <w:color w:val="auto"/>
        </w:rPr>
      </w:pPr>
    </w:p>
    <w:p>
      <w:pPr>
        <w:ind w:left="1680" w:hanging="375"/>
        <w:spacing w:after="0"/>
        <w:tabs>
          <w:tab w:leader="none" w:pos="1680" w:val="left"/>
        </w:tabs>
        <w:numPr>
          <w:ilvl w:val="0"/>
          <w:numId w:val="14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Settlement</w:t>
      </w:r>
      <w:r>
        <w:rPr>
          <w:rFonts w:ascii="Arial" w:cs="Arial" w:eastAsia="Arial" w:hAnsi="Arial"/>
          <w:sz w:val="22"/>
          <w:szCs w:val="22"/>
          <w:color w:val="auto"/>
        </w:rPr>
        <w:t>.</w:t>
      </w:r>
    </w:p>
    <w:p>
      <w:pPr>
        <w:spacing w:after="0" w:line="220" w:lineRule="exact"/>
        <w:rPr>
          <w:sz w:val="20"/>
          <w:szCs w:val="20"/>
          <w:color w:val="auto"/>
        </w:rPr>
      </w:pPr>
    </w:p>
    <w:p>
      <w:pPr>
        <w:jc w:val="both"/>
        <w:ind w:left="660" w:firstLine="645"/>
        <w:spacing w:after="0" w:line="256" w:lineRule="auto"/>
        <w:tabs>
          <w:tab w:leader="none" w:pos="1764" w:val="left"/>
        </w:tabs>
        <w:numPr>
          <w:ilvl w:val="0"/>
          <w:numId w:val="142"/>
        </w:numPr>
        <w:rPr>
          <w:rFonts w:ascii="Arial" w:cs="Arial" w:eastAsia="Arial" w:hAnsi="Arial"/>
          <w:sz w:val="22"/>
          <w:szCs w:val="22"/>
          <w:color w:val="auto"/>
        </w:rPr>
      </w:pPr>
      <w:r>
        <w:rPr>
          <w:rFonts w:ascii="Arial" w:cs="Arial" w:eastAsia="Arial" w:hAnsi="Arial"/>
          <w:sz w:val="22"/>
          <w:szCs w:val="22"/>
          <w:b w:val="1"/>
          <w:bCs w:val="1"/>
          <w:color w:val="auto"/>
        </w:rPr>
        <w:t>General</w:t>
      </w:r>
      <w:r>
        <w:rPr>
          <w:rFonts w:ascii="Arial" w:cs="Arial" w:eastAsia="Arial" w:hAnsi="Arial"/>
          <w:sz w:val="22"/>
          <w:szCs w:val="22"/>
          <w:color w:val="auto"/>
        </w:rPr>
        <w:t>. Subject to Section II.A.2(b) below, and as soon as administratively practicable following (but no later</w:t>
      </w:r>
      <w:r>
        <w:rPr>
          <w:rFonts w:ascii="Arial" w:cs="Arial" w:eastAsia="Arial" w:hAnsi="Arial"/>
          <w:sz w:val="22"/>
          <w:szCs w:val="22"/>
          <w:b w:val="1"/>
          <w:bCs w:val="1"/>
          <w:color w:val="auto"/>
        </w:rPr>
        <w:t xml:space="preserve"> </w:t>
      </w:r>
      <w:r>
        <w:rPr>
          <w:rFonts w:ascii="Arial" w:cs="Arial" w:eastAsia="Arial" w:hAnsi="Arial"/>
          <w:sz w:val="22"/>
          <w:szCs w:val="22"/>
          <w:color w:val="auto"/>
        </w:rPr>
        <w:t>than thirty (30) days following) each applicable Vesting Date, the Corporation shall issue Grantee one share of Stock for each Restricted Stock Unit that is vested on such Vesting Date.</w:t>
      </w:r>
    </w:p>
    <w:p>
      <w:pPr>
        <w:spacing w:after="0" w:line="176" w:lineRule="exact"/>
        <w:rPr>
          <w:rFonts w:ascii="Arial" w:cs="Arial" w:eastAsia="Arial" w:hAnsi="Arial"/>
          <w:sz w:val="22"/>
          <w:szCs w:val="22"/>
          <w:color w:val="auto"/>
        </w:rPr>
      </w:pPr>
    </w:p>
    <w:p>
      <w:pPr>
        <w:jc w:val="both"/>
        <w:ind w:left="660" w:firstLine="645"/>
        <w:spacing w:after="0" w:line="248" w:lineRule="auto"/>
        <w:tabs>
          <w:tab w:leader="none" w:pos="1817" w:val="left"/>
        </w:tabs>
        <w:numPr>
          <w:ilvl w:val="0"/>
          <w:numId w:val="142"/>
        </w:numPr>
        <w:rPr>
          <w:rFonts w:ascii="Arial" w:cs="Arial" w:eastAsia="Arial" w:hAnsi="Arial"/>
          <w:sz w:val="22"/>
          <w:szCs w:val="22"/>
          <w:color w:val="auto"/>
        </w:rPr>
      </w:pPr>
      <w:r>
        <w:rPr>
          <w:rFonts w:ascii="Arial" w:cs="Arial" w:eastAsia="Arial" w:hAnsi="Arial"/>
          <w:sz w:val="22"/>
          <w:szCs w:val="22"/>
          <w:b w:val="1"/>
          <w:bCs w:val="1"/>
          <w:color w:val="auto"/>
        </w:rPr>
        <w:t>Other Payment Events</w:t>
      </w:r>
      <w:r>
        <w:rPr>
          <w:rFonts w:ascii="Arial" w:cs="Arial" w:eastAsia="Arial" w:hAnsi="Arial"/>
          <w:sz w:val="22"/>
          <w:szCs w:val="22"/>
          <w:color w:val="auto"/>
        </w:rPr>
        <w:t>. Notwithstanding Section II.A.2(a), to the extent the Restricted Stock Units have not</w:t>
      </w:r>
      <w:r>
        <w:rPr>
          <w:rFonts w:ascii="Arial" w:cs="Arial" w:eastAsia="Arial" w:hAnsi="Arial"/>
          <w:sz w:val="22"/>
          <w:szCs w:val="22"/>
          <w:b w:val="1"/>
          <w:bCs w:val="1"/>
          <w:color w:val="auto"/>
        </w:rPr>
        <w:t xml:space="preserve"> </w:t>
      </w:r>
      <w:r>
        <w:rPr>
          <w:rFonts w:ascii="Arial" w:cs="Arial" w:eastAsia="Arial" w:hAnsi="Arial"/>
          <w:sz w:val="22"/>
          <w:szCs w:val="22"/>
          <w:color w:val="auto"/>
        </w:rPr>
        <w:t>previously been settled, if Grantee ceases to be a Service Provider prior to any Vesting Date as a result of Grantee’s death, Disability, or Qualifying Termination, and such cessation to be a Service Provider constitutes a separation from service (within the meaning of Treasury Regulation Section 1.409A-1(h)), the Corporation shall issue Grantee one share of Stock for each vested Restricted Stock Unit as soon as practicable following (but no later than thirty (30) days following) the date of such cessation.</w:t>
      </w:r>
    </w:p>
    <w:p>
      <w:pPr>
        <w:spacing w:after="0" w:line="187" w:lineRule="exact"/>
        <w:rPr>
          <w:sz w:val="20"/>
          <w:szCs w:val="20"/>
          <w:color w:val="auto"/>
        </w:rPr>
      </w:pPr>
    </w:p>
    <w:p>
      <w:pPr>
        <w:jc w:val="both"/>
        <w:ind w:firstLine="1305"/>
        <w:spacing w:after="0" w:line="289" w:lineRule="auto"/>
        <w:tabs>
          <w:tab w:leader="none" w:pos="1783" w:val="left"/>
        </w:tabs>
        <w:numPr>
          <w:ilvl w:val="1"/>
          <w:numId w:val="143"/>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Dividend Equivalent Rights</w:t>
      </w:r>
      <w:r>
        <w:rPr>
          <w:rFonts w:ascii="Arial" w:cs="Arial" w:eastAsia="Arial" w:hAnsi="Arial"/>
          <w:sz w:val="19"/>
          <w:szCs w:val="19"/>
          <w:color w:val="auto"/>
        </w:rPr>
        <w:t>. From and after the Grant Date and until the earlier of (a) the time when the</w:t>
      </w:r>
      <w:r>
        <w:rPr>
          <w:rFonts w:ascii="Arial" w:cs="Arial" w:eastAsia="Arial" w:hAnsi="Arial"/>
          <w:sz w:val="19"/>
          <w:szCs w:val="19"/>
          <w:b w:val="1"/>
          <w:bCs w:val="1"/>
          <w:color w:val="auto"/>
        </w:rPr>
        <w:t xml:space="preserve"> </w:t>
      </w:r>
      <w:r>
        <w:rPr>
          <w:rFonts w:ascii="Arial" w:cs="Arial" w:eastAsia="Arial" w:hAnsi="Arial"/>
          <w:sz w:val="19"/>
          <w:szCs w:val="19"/>
          <w:color w:val="auto"/>
        </w:rPr>
        <w:t>Restricted Stock Units vest and are settled in accordance with Section II.A.2 hereof or (b) the time when Grantee’s rights to the Restricted Stock Units are forfeited in accordance with Section II.A.1(b) hereof, on the date that the Corporation pays a cash dividend (if any) to holders of Stock generally, Grantee shall be credited with cash per Restricted Stock Unit equal to the amount of such dividend. Any amounts credited pursuant to the immediately preceding sentence shall be subject to the same applicable terms and conditions (including vesting, payment or forfeitability) as apply to the Restricted Stock Units based on which the dividend equivalents were credited, and such amounts shall be paid in either cash or Stock, as determined by the Committee in its sole discretion, at the same time as the Restricted Stock Units to which they relate. If such amounts are paid in Stock, the number of shares so paid shall be rounded down to the nearest whole number and shall be determined by dividing such credited amounts by the Fair Market Value per share of Stock on the payment date.</w:t>
      </w:r>
    </w:p>
    <w:p>
      <w:pPr>
        <w:spacing w:after="0" w:line="151" w:lineRule="exact"/>
        <w:rPr>
          <w:rFonts w:ascii="Arial" w:cs="Arial" w:eastAsia="Arial" w:hAnsi="Arial"/>
          <w:sz w:val="19"/>
          <w:szCs w:val="19"/>
          <w:b w:val="1"/>
          <w:bCs w:val="1"/>
          <w:color w:val="auto"/>
        </w:rPr>
      </w:pPr>
    </w:p>
    <w:p>
      <w:pPr>
        <w:ind w:firstLine="1305"/>
        <w:spacing w:after="0" w:line="350" w:lineRule="auto"/>
        <w:tabs>
          <w:tab w:leader="none" w:pos="1769" w:val="left"/>
        </w:tabs>
        <w:numPr>
          <w:ilvl w:val="1"/>
          <w:numId w:val="143"/>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Rights as a Shareholder</w:t>
      </w:r>
      <w:r>
        <w:rPr>
          <w:rFonts w:ascii="Arial" w:cs="Arial" w:eastAsia="Arial" w:hAnsi="Arial"/>
          <w:sz w:val="19"/>
          <w:szCs w:val="19"/>
          <w:b w:val="1"/>
          <w:bCs w:val="1"/>
          <w:color w:val="auto"/>
        </w:rPr>
        <w:t xml:space="preserve">. </w:t>
      </w:r>
      <w:r>
        <w:rPr>
          <w:rFonts w:ascii="Arial" w:cs="Arial" w:eastAsia="Arial" w:hAnsi="Arial"/>
          <w:sz w:val="19"/>
          <w:szCs w:val="19"/>
          <w:color w:val="auto"/>
        </w:rPr>
        <w:t>Grantee will not have any rights of a stockholder (including voting and dividend</w:t>
      </w:r>
      <w:r>
        <w:rPr>
          <w:rFonts w:ascii="Arial" w:cs="Arial" w:eastAsia="Arial" w:hAnsi="Arial"/>
          <w:sz w:val="19"/>
          <w:szCs w:val="19"/>
          <w:b w:val="1"/>
          <w:bCs w:val="1"/>
          <w:color w:val="auto"/>
        </w:rPr>
        <w:t xml:space="preserve"> </w:t>
      </w:r>
      <w:r>
        <w:rPr>
          <w:rFonts w:ascii="Arial" w:cs="Arial" w:eastAsia="Arial" w:hAnsi="Arial"/>
          <w:sz w:val="19"/>
          <w:szCs w:val="19"/>
          <w:color w:val="auto"/>
        </w:rPr>
        <w:t>rights) with respect to the Restricted Stock Units covered by this Award (except as otherwise provided in Section II.A.3).</w:t>
      </w:r>
    </w:p>
    <w:p>
      <w:pPr>
        <w:spacing w:after="0" w:line="92" w:lineRule="exact"/>
        <w:rPr>
          <w:rFonts w:ascii="Arial" w:cs="Arial" w:eastAsia="Arial" w:hAnsi="Arial"/>
          <w:sz w:val="19"/>
          <w:szCs w:val="19"/>
          <w:b w:val="1"/>
          <w:bCs w:val="1"/>
          <w:color w:val="auto"/>
        </w:rPr>
      </w:pPr>
    </w:p>
    <w:p>
      <w:pPr>
        <w:ind w:firstLine="1305"/>
        <w:spacing w:after="0" w:line="269" w:lineRule="auto"/>
        <w:tabs>
          <w:tab w:leader="none" w:pos="1729" w:val="left"/>
        </w:tabs>
        <w:numPr>
          <w:ilvl w:val="1"/>
          <w:numId w:val="14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Adjustments</w:t>
      </w:r>
      <w:r>
        <w:rPr>
          <w:rFonts w:ascii="Arial" w:cs="Arial" w:eastAsia="Arial" w:hAnsi="Arial"/>
          <w:sz w:val="22"/>
          <w:szCs w:val="22"/>
          <w:color w:val="auto"/>
        </w:rPr>
        <w:t>. The Restricted Stock Units covered by this Award will be subject to adjustment as provided in</w:t>
      </w:r>
      <w:r>
        <w:rPr>
          <w:rFonts w:ascii="Arial" w:cs="Arial" w:eastAsia="Arial" w:hAnsi="Arial"/>
          <w:sz w:val="22"/>
          <w:szCs w:val="22"/>
          <w:b w:val="1"/>
          <w:bCs w:val="1"/>
          <w:color w:val="auto"/>
        </w:rPr>
        <w:t xml:space="preserve"> </w:t>
      </w:r>
      <w:r>
        <w:rPr>
          <w:rFonts w:ascii="Arial" w:cs="Arial" w:eastAsia="Arial" w:hAnsi="Arial"/>
          <w:sz w:val="22"/>
          <w:szCs w:val="22"/>
          <w:color w:val="auto"/>
        </w:rPr>
        <w:t>Section 17 of the Plan.</w:t>
      </w:r>
    </w:p>
    <w:p>
      <w:pPr>
        <w:spacing w:after="0" w:line="162" w:lineRule="exact"/>
        <w:rPr>
          <w:rFonts w:ascii="Arial" w:cs="Arial" w:eastAsia="Arial" w:hAnsi="Arial"/>
          <w:sz w:val="22"/>
          <w:szCs w:val="22"/>
          <w:b w:val="1"/>
          <w:bCs w:val="1"/>
          <w:color w:val="auto"/>
        </w:rPr>
      </w:pPr>
    </w:p>
    <w:p>
      <w:pPr>
        <w:ind w:left="1080" w:hanging="424"/>
        <w:spacing w:after="0"/>
        <w:tabs>
          <w:tab w:leader="none" w:pos="1080" w:val="left"/>
        </w:tabs>
        <w:numPr>
          <w:ilvl w:val="0"/>
          <w:numId w:val="14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Other Terms and Conditions</w:t>
      </w:r>
      <w:r>
        <w:rPr>
          <w:rFonts w:ascii="Arial" w:cs="Arial" w:eastAsia="Arial" w:hAnsi="Arial"/>
          <w:sz w:val="22"/>
          <w:szCs w:val="22"/>
          <w:b w:val="1"/>
          <w:bCs w:val="1"/>
          <w:color w:val="auto"/>
        </w:rPr>
        <w:t>.</w:t>
      </w:r>
    </w:p>
    <w:p>
      <w:pPr>
        <w:spacing w:after="0" w:line="219" w:lineRule="exact"/>
        <w:rPr>
          <w:rFonts w:ascii="Arial" w:cs="Arial" w:eastAsia="Arial" w:hAnsi="Arial"/>
          <w:sz w:val="22"/>
          <w:szCs w:val="22"/>
          <w:b w:val="1"/>
          <w:bCs w:val="1"/>
          <w:color w:val="auto"/>
        </w:rPr>
      </w:pPr>
    </w:p>
    <w:p>
      <w:pPr>
        <w:jc w:val="both"/>
        <w:ind w:firstLine="1305"/>
        <w:spacing w:after="0" w:line="252" w:lineRule="auto"/>
        <w:tabs>
          <w:tab w:leader="none" w:pos="1715" w:val="left"/>
        </w:tabs>
        <w:numPr>
          <w:ilvl w:val="1"/>
          <w:numId w:val="14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Non-Transferability of Award</w:t>
      </w:r>
      <w:r>
        <w:rPr>
          <w:rFonts w:ascii="Arial" w:cs="Arial" w:eastAsia="Arial" w:hAnsi="Arial"/>
          <w:sz w:val="22"/>
          <w:szCs w:val="22"/>
          <w:color w:val="auto"/>
        </w:rPr>
        <w:t>. Except as described below, this Award and the Restricted Stock Units subject</w:t>
      </w:r>
      <w:r>
        <w:rPr>
          <w:rFonts w:ascii="Arial" w:cs="Arial" w:eastAsia="Arial" w:hAnsi="Arial"/>
          <w:sz w:val="22"/>
          <w:szCs w:val="22"/>
          <w:b w:val="1"/>
          <w:bCs w:val="1"/>
          <w:color w:val="auto"/>
        </w:rPr>
        <w:t xml:space="preserve"> </w:t>
      </w:r>
      <w:r>
        <w:rPr>
          <w:rFonts w:ascii="Arial" w:cs="Arial" w:eastAsia="Arial" w:hAnsi="Arial"/>
          <w:sz w:val="22"/>
          <w:szCs w:val="22"/>
          <w:color w:val="auto"/>
        </w:rPr>
        <w:t>to this Award may not be sold, pledged, assigned, hypothecated, transferred, or disposed of in any manner other than by will or by the laws of descent or distribution. The terms of this Award are binding on the executors, administrators, heirs, successors and assigns of Grantee.</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631" w:right="239" w:bottom="1440" w:gutter="0" w:footer="0" w:header="0"/>
        </w:sectPr>
      </w:pPr>
    </w:p>
    <w:bookmarkStart w:id="133" w:name="page134"/>
    <w:bookmarkEnd w:id="133"/>
    <w:p>
      <w:pPr>
        <w:jc w:val="both"/>
        <w:ind w:firstLine="1305"/>
        <w:spacing w:after="0" w:line="247" w:lineRule="auto"/>
        <w:tabs>
          <w:tab w:leader="none" w:pos="1675" w:val="left"/>
        </w:tabs>
        <w:numPr>
          <w:ilvl w:val="0"/>
          <w:numId w:val="14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Withholding</w:t>
      </w:r>
      <w:r>
        <w:rPr>
          <w:rFonts w:ascii="Arial" w:cs="Arial" w:eastAsia="Arial" w:hAnsi="Arial"/>
          <w:sz w:val="22"/>
          <w:szCs w:val="22"/>
          <w:b w:val="1"/>
          <w:bCs w:val="1"/>
          <w:color w:val="auto"/>
        </w:rPr>
        <w:t xml:space="preserve">. </w:t>
      </w:r>
      <w:r>
        <w:rPr>
          <w:rFonts w:ascii="Arial" w:cs="Arial" w:eastAsia="Arial" w:hAnsi="Arial"/>
          <w:sz w:val="22"/>
          <w:szCs w:val="22"/>
          <w:color w:val="auto"/>
        </w:rPr>
        <w:t>Grantee authorizes the Corporation or Grantee’s employer to withhold from the shares of Stock to</w:t>
      </w:r>
      <w:r>
        <w:rPr>
          <w:rFonts w:ascii="Arial" w:cs="Arial" w:eastAsia="Arial" w:hAnsi="Arial"/>
          <w:sz w:val="22"/>
          <w:szCs w:val="22"/>
          <w:b w:val="1"/>
          <w:bCs w:val="1"/>
          <w:color w:val="auto"/>
        </w:rPr>
        <w:t xml:space="preserve"> </w:t>
      </w:r>
      <w:r>
        <w:rPr>
          <w:rFonts w:ascii="Arial" w:cs="Arial" w:eastAsia="Arial" w:hAnsi="Arial"/>
          <w:sz w:val="22"/>
          <w:szCs w:val="22"/>
          <w:color w:val="auto"/>
        </w:rPr>
        <w:t>be delivered as payment the number of shares of Stock needed to satisfy any applicable minimum income and employment tax withholding obligations, or Grantee agrees to tender sufficient funds to satisfy any applicable income and employment tax withholding obligations in connection with the vesting of the Restricted Stock Units under this Award. Notwithstanding any other provision of this Agreement or the Plan, the Corporation shall not be obligated to guarantee any particular tax result for Grantee with respect to any payment provided to Grantee hereunder, and Grantee shall be responsible for any taxes imposed on Grantee with respect to any such payment.</w:t>
      </w:r>
    </w:p>
    <w:p>
      <w:pPr>
        <w:spacing w:after="0" w:line="189" w:lineRule="exact"/>
        <w:rPr>
          <w:rFonts w:ascii="Arial" w:cs="Arial" w:eastAsia="Arial" w:hAnsi="Arial"/>
          <w:sz w:val="22"/>
          <w:szCs w:val="22"/>
          <w:b w:val="1"/>
          <w:bCs w:val="1"/>
          <w:color w:val="auto"/>
        </w:rPr>
      </w:pPr>
    </w:p>
    <w:p>
      <w:pPr>
        <w:jc w:val="both"/>
        <w:ind w:firstLine="1305"/>
        <w:spacing w:after="0" w:line="267" w:lineRule="auto"/>
        <w:tabs>
          <w:tab w:leader="none" w:pos="1729" w:val="left"/>
        </w:tabs>
        <w:numPr>
          <w:ilvl w:val="0"/>
          <w:numId w:val="145"/>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Dispute Resolution</w:t>
      </w:r>
      <w:r>
        <w:rPr>
          <w:rFonts w:ascii="Arial" w:cs="Arial" w:eastAsia="Arial" w:hAnsi="Arial"/>
          <w:sz w:val="21"/>
          <w:szCs w:val="21"/>
          <w:color w:val="auto"/>
        </w:rPr>
        <w:t>. Grantee and the Corporation agree that any disagreement, dispute, controversy, or claim</w:t>
      </w:r>
      <w:r>
        <w:rPr>
          <w:rFonts w:ascii="Arial" w:cs="Arial" w:eastAsia="Arial" w:hAnsi="Arial"/>
          <w:sz w:val="21"/>
          <w:szCs w:val="21"/>
          <w:b w:val="1"/>
          <w:bCs w:val="1"/>
          <w:color w:val="auto"/>
        </w:rPr>
        <w:t xml:space="preserve"> </w:t>
      </w:r>
      <w:r>
        <w:rPr>
          <w:rFonts w:ascii="Arial" w:cs="Arial" w:eastAsia="Arial" w:hAnsi="Arial"/>
          <w:sz w:val="21"/>
          <w:szCs w:val="21"/>
          <w:color w:val="auto"/>
        </w:rPr>
        <w:t>arising out of or relating to this Agreement, its interpretation, validity, or the alleged breach of this Agreement, will be settled exclusively and, consistent with the procedures specified in this Section II.B.3., irrespective of its magnitude, the amount in controversy, or the nature of the relief sought, in accordance with the following:</w:t>
      </w:r>
    </w:p>
    <w:p>
      <w:pPr>
        <w:spacing w:after="0" w:line="168" w:lineRule="exact"/>
        <w:rPr>
          <w:sz w:val="20"/>
          <w:szCs w:val="20"/>
          <w:color w:val="auto"/>
        </w:rPr>
      </w:pPr>
    </w:p>
    <w:p>
      <w:pPr>
        <w:jc w:val="both"/>
        <w:ind w:left="660" w:firstLine="645"/>
        <w:spacing w:after="0" w:line="256" w:lineRule="auto"/>
        <w:tabs>
          <w:tab w:leader="none" w:pos="1845" w:val="left"/>
        </w:tabs>
        <w:numPr>
          <w:ilvl w:val="0"/>
          <w:numId w:val="146"/>
        </w:numPr>
        <w:rPr>
          <w:rFonts w:ascii="Arial" w:cs="Arial" w:eastAsia="Arial" w:hAnsi="Arial"/>
          <w:sz w:val="22"/>
          <w:szCs w:val="22"/>
          <w:color w:val="auto"/>
        </w:rPr>
      </w:pPr>
      <w:r>
        <w:rPr>
          <w:rFonts w:ascii="Arial" w:cs="Arial" w:eastAsia="Arial" w:hAnsi="Arial"/>
          <w:sz w:val="22"/>
          <w:szCs w:val="22"/>
          <w:b w:val="1"/>
          <w:bCs w:val="1"/>
          <w:color w:val="auto"/>
        </w:rPr>
        <w:t>Negotiation</w:t>
      </w:r>
      <w:r>
        <w:rPr>
          <w:rFonts w:ascii="Arial" w:cs="Arial" w:eastAsia="Arial" w:hAnsi="Arial"/>
          <w:sz w:val="22"/>
          <w:szCs w:val="22"/>
          <w:color w:val="auto"/>
        </w:rPr>
        <w:t>. Grantee and the Corporation will use their best efforts to settle the dispute, claim, question or</w:t>
      </w:r>
      <w:r>
        <w:rPr>
          <w:rFonts w:ascii="Arial" w:cs="Arial" w:eastAsia="Arial" w:hAnsi="Arial"/>
          <w:sz w:val="22"/>
          <w:szCs w:val="22"/>
          <w:b w:val="1"/>
          <w:bCs w:val="1"/>
          <w:color w:val="auto"/>
        </w:rPr>
        <w:t xml:space="preserve"> </w:t>
      </w:r>
      <w:r>
        <w:rPr>
          <w:rFonts w:ascii="Arial" w:cs="Arial" w:eastAsia="Arial" w:hAnsi="Arial"/>
          <w:sz w:val="22"/>
          <w:szCs w:val="22"/>
          <w:color w:val="auto"/>
        </w:rPr>
        <w:t>disagreement. To this effect, they will consult and negotiate with each other in good faith and, recognizing their mutual interests, attempt to reach a just and equitable solution satisfactory to both parties.</w:t>
      </w:r>
    </w:p>
    <w:p>
      <w:pPr>
        <w:spacing w:after="0" w:line="176" w:lineRule="exact"/>
        <w:rPr>
          <w:rFonts w:ascii="Arial" w:cs="Arial" w:eastAsia="Arial" w:hAnsi="Arial"/>
          <w:sz w:val="22"/>
          <w:szCs w:val="22"/>
          <w:color w:val="auto"/>
        </w:rPr>
      </w:pPr>
    </w:p>
    <w:p>
      <w:pPr>
        <w:jc w:val="both"/>
        <w:ind w:left="660" w:firstLine="645"/>
        <w:spacing w:after="0" w:line="249" w:lineRule="auto"/>
        <w:tabs>
          <w:tab w:leader="none" w:pos="1817" w:val="left"/>
        </w:tabs>
        <w:numPr>
          <w:ilvl w:val="0"/>
          <w:numId w:val="146"/>
        </w:numPr>
        <w:rPr>
          <w:rFonts w:ascii="Arial" w:cs="Arial" w:eastAsia="Arial" w:hAnsi="Arial"/>
          <w:sz w:val="22"/>
          <w:szCs w:val="22"/>
          <w:color w:val="auto"/>
        </w:rPr>
      </w:pPr>
      <w:r>
        <w:rPr>
          <w:rFonts w:ascii="Arial" w:cs="Arial" w:eastAsia="Arial" w:hAnsi="Arial"/>
          <w:sz w:val="22"/>
          <w:szCs w:val="22"/>
          <w:b w:val="1"/>
          <w:bCs w:val="1"/>
          <w:color w:val="auto"/>
        </w:rPr>
        <w:t>Arbitration</w:t>
      </w:r>
      <w:r>
        <w:rPr>
          <w:rFonts w:ascii="Arial" w:cs="Arial" w:eastAsia="Arial" w:hAnsi="Arial"/>
          <w:sz w:val="22"/>
          <w:szCs w:val="22"/>
          <w:color w:val="auto"/>
        </w:rPr>
        <w:t>. If Grantee and the Corporation do not reach a solution within a period of 30 days from the date</w:t>
      </w:r>
      <w:r>
        <w:rPr>
          <w:rFonts w:ascii="Arial" w:cs="Arial" w:eastAsia="Arial" w:hAnsi="Arial"/>
          <w:sz w:val="22"/>
          <w:szCs w:val="22"/>
          <w:b w:val="1"/>
          <w:bCs w:val="1"/>
          <w:color w:val="auto"/>
        </w:rPr>
        <w:t xml:space="preserve"> </w:t>
      </w:r>
      <w:r>
        <w:rPr>
          <w:rFonts w:ascii="Arial" w:cs="Arial" w:eastAsia="Arial" w:hAnsi="Arial"/>
          <w:sz w:val="22"/>
          <w:szCs w:val="22"/>
          <w:color w:val="auto"/>
        </w:rPr>
        <w:t>on which the dispute, claim, disagreement, or controversy arises, then, upon written notice by Grantee to the Corporation or the Corporation to Grantee, all disputes, claims, questions, controversies, or differences will be submitted to arbitration administered by the American Arbitration Association (the “AAA”) in accordance with the provisions of its Employment Arbitration Rules (the “Arbitration Rules”).</w:t>
      </w:r>
    </w:p>
    <w:p>
      <w:pPr>
        <w:spacing w:after="0" w:line="186" w:lineRule="exact"/>
        <w:rPr>
          <w:rFonts w:ascii="Arial" w:cs="Arial" w:eastAsia="Arial" w:hAnsi="Arial"/>
          <w:sz w:val="22"/>
          <w:szCs w:val="22"/>
          <w:color w:val="auto"/>
        </w:rPr>
      </w:pPr>
    </w:p>
    <w:p>
      <w:pPr>
        <w:jc w:val="both"/>
        <w:ind w:left="1300" w:firstLine="653"/>
        <w:spacing w:after="0" w:line="247" w:lineRule="auto"/>
        <w:tabs>
          <w:tab w:leader="none" w:pos="2470" w:val="left"/>
        </w:tabs>
        <w:numPr>
          <w:ilvl w:val="1"/>
          <w:numId w:val="146"/>
        </w:numPr>
        <w:rPr>
          <w:rFonts w:ascii="Arial" w:cs="Arial" w:eastAsia="Arial" w:hAnsi="Arial"/>
          <w:sz w:val="22"/>
          <w:szCs w:val="22"/>
          <w:color w:val="auto"/>
        </w:rPr>
      </w:pPr>
      <w:r>
        <w:rPr>
          <w:rFonts w:ascii="Arial" w:cs="Arial" w:eastAsia="Arial" w:hAnsi="Arial"/>
          <w:sz w:val="22"/>
          <w:szCs w:val="22"/>
          <w:b w:val="1"/>
          <w:bCs w:val="1"/>
          <w:color w:val="auto"/>
        </w:rPr>
        <w:t>Arbitrator</w:t>
      </w:r>
      <w:r>
        <w:rPr>
          <w:rFonts w:ascii="Arial" w:cs="Arial" w:eastAsia="Arial" w:hAnsi="Arial"/>
          <w:sz w:val="22"/>
          <w:szCs w:val="22"/>
          <w:color w:val="auto"/>
        </w:rPr>
        <w:t>. The arbitration will be conducted by one arbitrator skilled in the arbitration of executive</w:t>
      </w:r>
      <w:r>
        <w:rPr>
          <w:rFonts w:ascii="Arial" w:cs="Arial" w:eastAsia="Arial" w:hAnsi="Arial"/>
          <w:sz w:val="22"/>
          <w:szCs w:val="22"/>
          <w:b w:val="1"/>
          <w:bCs w:val="1"/>
          <w:color w:val="auto"/>
        </w:rPr>
        <w:t xml:space="preserve"> </w:t>
      </w:r>
      <w:r>
        <w:rPr>
          <w:rFonts w:ascii="Arial" w:cs="Arial" w:eastAsia="Arial" w:hAnsi="Arial"/>
          <w:sz w:val="22"/>
          <w:szCs w:val="22"/>
          <w:color w:val="auto"/>
        </w:rPr>
        <w:t>employment matters. The parties to the arbitration will jointly appoint the arbitrator within 30 days after initiation of the arbitration. If the parties fail to appoint an arbitrator as provided above, an arbitrator with substantial experience in executive employment matters will be appointed by the AAA as provided in the Arbitration Rules. The Corporation will pay all of the fees, if any, and expenses of the arbitrator and the arbitration, unless otherwise determined by the arbitrator. Each party to the arbitration will be responsible for his/its respective attorneys fees or other costs of representation.</w:t>
      </w:r>
    </w:p>
    <w:p>
      <w:pPr>
        <w:spacing w:after="0" w:line="189" w:lineRule="exact"/>
        <w:rPr>
          <w:rFonts w:ascii="Arial" w:cs="Arial" w:eastAsia="Arial" w:hAnsi="Arial"/>
          <w:sz w:val="22"/>
          <w:szCs w:val="22"/>
          <w:color w:val="auto"/>
        </w:rPr>
      </w:pPr>
    </w:p>
    <w:p>
      <w:pPr>
        <w:ind w:left="2420" w:hanging="467"/>
        <w:spacing w:after="0"/>
        <w:tabs>
          <w:tab w:leader="none" w:pos="2420" w:val="left"/>
        </w:tabs>
        <w:numPr>
          <w:ilvl w:val="1"/>
          <w:numId w:val="146"/>
        </w:numPr>
        <w:rPr>
          <w:rFonts w:ascii="Arial" w:cs="Arial" w:eastAsia="Arial" w:hAnsi="Arial"/>
          <w:sz w:val="22"/>
          <w:szCs w:val="22"/>
          <w:color w:val="auto"/>
        </w:rPr>
      </w:pPr>
      <w:r>
        <w:rPr>
          <w:rFonts w:ascii="Arial" w:cs="Arial" w:eastAsia="Arial" w:hAnsi="Arial"/>
          <w:sz w:val="22"/>
          <w:szCs w:val="22"/>
          <w:b w:val="1"/>
          <w:bCs w:val="1"/>
          <w:color w:val="auto"/>
        </w:rPr>
        <w:t>Location</w:t>
      </w:r>
      <w:r>
        <w:rPr>
          <w:rFonts w:ascii="Arial" w:cs="Arial" w:eastAsia="Arial" w:hAnsi="Arial"/>
          <w:sz w:val="22"/>
          <w:szCs w:val="22"/>
          <w:color w:val="auto"/>
        </w:rPr>
        <w:t>. The arbitration will be conducted in Oakland County, Michigan.</w:t>
      </w:r>
    </w:p>
    <w:p>
      <w:pPr>
        <w:spacing w:after="0" w:line="219" w:lineRule="exact"/>
        <w:rPr>
          <w:rFonts w:ascii="Arial" w:cs="Arial" w:eastAsia="Arial" w:hAnsi="Arial"/>
          <w:sz w:val="22"/>
          <w:szCs w:val="22"/>
          <w:color w:val="auto"/>
        </w:rPr>
      </w:pPr>
    </w:p>
    <w:p>
      <w:pPr>
        <w:jc w:val="both"/>
        <w:ind w:left="1300" w:firstLine="653"/>
        <w:spacing w:after="0" w:line="315" w:lineRule="auto"/>
        <w:tabs>
          <w:tab w:leader="none" w:pos="2470" w:val="left"/>
        </w:tabs>
        <w:numPr>
          <w:ilvl w:val="1"/>
          <w:numId w:val="146"/>
        </w:numPr>
        <w:rPr>
          <w:rFonts w:ascii="Arial" w:cs="Arial" w:eastAsia="Arial" w:hAnsi="Arial"/>
          <w:sz w:val="19"/>
          <w:szCs w:val="19"/>
          <w:color w:val="auto"/>
        </w:rPr>
      </w:pPr>
      <w:r>
        <w:rPr>
          <w:rFonts w:ascii="Arial" w:cs="Arial" w:eastAsia="Arial" w:hAnsi="Arial"/>
          <w:sz w:val="19"/>
          <w:szCs w:val="19"/>
          <w:b w:val="1"/>
          <w:bCs w:val="1"/>
          <w:color w:val="auto"/>
        </w:rPr>
        <w:t>Procedure</w:t>
      </w:r>
      <w:r>
        <w:rPr>
          <w:rFonts w:ascii="Arial" w:cs="Arial" w:eastAsia="Arial" w:hAnsi="Arial"/>
          <w:sz w:val="19"/>
          <w:szCs w:val="19"/>
          <w:color w:val="auto"/>
        </w:rPr>
        <w:t>. At any oral hearing of evidence in connection with the arbitration, each party or its legal</w:t>
      </w:r>
      <w:r>
        <w:rPr>
          <w:rFonts w:ascii="Arial" w:cs="Arial" w:eastAsia="Arial" w:hAnsi="Arial"/>
          <w:sz w:val="19"/>
          <w:szCs w:val="19"/>
          <w:b w:val="1"/>
          <w:bCs w:val="1"/>
          <w:color w:val="auto"/>
        </w:rPr>
        <w:t xml:space="preserve"> </w:t>
      </w:r>
      <w:r>
        <w:rPr>
          <w:rFonts w:ascii="Arial" w:cs="Arial" w:eastAsia="Arial" w:hAnsi="Arial"/>
          <w:sz w:val="19"/>
          <w:szCs w:val="19"/>
          <w:color w:val="auto"/>
        </w:rPr>
        <w:t>counsel will have the right to examine its witnesses and cross-examine the witnesses of any opposing party. No evidence of any witness may be presented in any form unless the opposing party or parties has the opportunity</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625" w:right="239" w:bottom="1440" w:gutter="0" w:footer="0" w:header="0"/>
        </w:sectPr>
      </w:pPr>
    </w:p>
    <w:bookmarkStart w:id="134" w:name="page135"/>
    <w:bookmarkEnd w:id="134"/>
    <w:p>
      <w:pPr>
        <w:ind w:left="1300"/>
        <w:spacing w:after="0" w:line="263" w:lineRule="auto"/>
        <w:rPr>
          <w:sz w:val="20"/>
          <w:szCs w:val="20"/>
          <w:color w:val="auto"/>
        </w:rPr>
      </w:pPr>
      <w:r>
        <w:rPr>
          <w:rFonts w:ascii="Arial" w:cs="Arial" w:eastAsia="Arial" w:hAnsi="Arial"/>
          <w:sz w:val="22"/>
          <w:szCs w:val="22"/>
          <w:color w:val="auto"/>
        </w:rPr>
        <w:t>to cross-examine the witness, except under extraordinary circumstances in which the arbitrator determines that the interests of justice require a different procedure.</w:t>
      </w:r>
    </w:p>
    <w:p>
      <w:pPr>
        <w:spacing w:after="0" w:line="169" w:lineRule="exact"/>
        <w:rPr>
          <w:sz w:val="20"/>
          <w:szCs w:val="20"/>
          <w:color w:val="auto"/>
        </w:rPr>
      </w:pPr>
    </w:p>
    <w:p>
      <w:pPr>
        <w:jc w:val="both"/>
        <w:ind w:left="1300" w:firstLine="653"/>
        <w:spacing w:after="0" w:line="252" w:lineRule="auto"/>
        <w:tabs>
          <w:tab w:leader="none" w:pos="2470" w:val="left"/>
        </w:tabs>
        <w:numPr>
          <w:ilvl w:val="0"/>
          <w:numId w:val="147"/>
        </w:numPr>
        <w:rPr>
          <w:rFonts w:ascii="Arial" w:cs="Arial" w:eastAsia="Arial" w:hAnsi="Arial"/>
          <w:sz w:val="22"/>
          <w:szCs w:val="22"/>
          <w:color w:val="auto"/>
        </w:rPr>
      </w:pPr>
      <w:r>
        <w:rPr>
          <w:rFonts w:ascii="Arial" w:cs="Arial" w:eastAsia="Arial" w:hAnsi="Arial"/>
          <w:sz w:val="22"/>
          <w:szCs w:val="22"/>
          <w:b w:val="1"/>
          <w:bCs w:val="1"/>
          <w:color w:val="auto"/>
        </w:rPr>
        <w:t>Decision</w:t>
      </w:r>
      <w:r>
        <w:rPr>
          <w:rFonts w:ascii="Arial" w:cs="Arial" w:eastAsia="Arial" w:hAnsi="Arial"/>
          <w:sz w:val="22"/>
          <w:szCs w:val="22"/>
          <w:color w:val="auto"/>
        </w:rPr>
        <w:t>. Any decision or award of the arbitrator is final and binding on the parties to the arbitration</w:t>
      </w:r>
      <w:r>
        <w:rPr>
          <w:rFonts w:ascii="Arial" w:cs="Arial" w:eastAsia="Arial" w:hAnsi="Arial"/>
          <w:sz w:val="22"/>
          <w:szCs w:val="22"/>
          <w:b w:val="1"/>
          <w:bCs w:val="1"/>
          <w:color w:val="auto"/>
        </w:rPr>
        <w:t xml:space="preserve"> </w:t>
      </w:r>
      <w:r>
        <w:rPr>
          <w:rFonts w:ascii="Arial" w:cs="Arial" w:eastAsia="Arial" w:hAnsi="Arial"/>
          <w:sz w:val="22"/>
          <w:szCs w:val="22"/>
          <w:color w:val="auto"/>
        </w:rPr>
        <w:t>proceeding. The parties agree that the arbitration award may be enforced against the parties to the arbitration proceeding or their assets wherever they may be found and that a judgment upon the arbitration award may be entered in any court having jurisdiction.</w:t>
      </w:r>
    </w:p>
    <w:p>
      <w:pPr>
        <w:spacing w:after="0" w:line="180" w:lineRule="exact"/>
        <w:rPr>
          <w:rFonts w:ascii="Arial" w:cs="Arial" w:eastAsia="Arial" w:hAnsi="Arial"/>
          <w:sz w:val="22"/>
          <w:szCs w:val="22"/>
          <w:color w:val="auto"/>
        </w:rPr>
      </w:pPr>
    </w:p>
    <w:p>
      <w:pPr>
        <w:ind w:left="1300" w:firstLine="653"/>
        <w:spacing w:after="0" w:line="350" w:lineRule="auto"/>
        <w:tabs>
          <w:tab w:leader="none" w:pos="2551" w:val="left"/>
        </w:tabs>
        <w:numPr>
          <w:ilvl w:val="0"/>
          <w:numId w:val="147"/>
        </w:numPr>
        <w:rPr>
          <w:rFonts w:ascii="Arial" w:cs="Arial" w:eastAsia="Arial" w:hAnsi="Arial"/>
          <w:sz w:val="19"/>
          <w:szCs w:val="19"/>
          <w:color w:val="auto"/>
        </w:rPr>
      </w:pPr>
      <w:r>
        <w:rPr>
          <w:rFonts w:ascii="Arial" w:cs="Arial" w:eastAsia="Arial" w:hAnsi="Arial"/>
          <w:sz w:val="19"/>
          <w:szCs w:val="19"/>
          <w:b w:val="1"/>
          <w:bCs w:val="1"/>
          <w:color w:val="auto"/>
        </w:rPr>
        <w:t>Power</w:t>
      </w:r>
      <w:r>
        <w:rPr>
          <w:rFonts w:ascii="Arial" w:cs="Arial" w:eastAsia="Arial" w:hAnsi="Arial"/>
          <w:sz w:val="19"/>
          <w:szCs w:val="19"/>
          <w:color w:val="auto"/>
        </w:rPr>
        <w:t>. Nothing contained in this Agreement may be deemed to give the arbitrator any authority,</w:t>
      </w:r>
      <w:r>
        <w:rPr>
          <w:rFonts w:ascii="Arial" w:cs="Arial" w:eastAsia="Arial" w:hAnsi="Arial"/>
          <w:sz w:val="19"/>
          <w:szCs w:val="19"/>
          <w:b w:val="1"/>
          <w:bCs w:val="1"/>
          <w:color w:val="auto"/>
        </w:rPr>
        <w:t xml:space="preserve"> </w:t>
      </w:r>
      <w:r>
        <w:rPr>
          <w:rFonts w:ascii="Arial" w:cs="Arial" w:eastAsia="Arial" w:hAnsi="Arial"/>
          <w:sz w:val="19"/>
          <w:szCs w:val="19"/>
          <w:color w:val="auto"/>
        </w:rPr>
        <w:t>power, or right to alter, change, amend, modify, add to, or subtract from any of the provisions of this Agreement.</w:t>
      </w:r>
    </w:p>
    <w:p>
      <w:pPr>
        <w:spacing w:after="0" w:line="98"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The provisions of this Section II.B.3 survive the termination or expiration of this Agreement, are binding on the Corporation’s and Grantee’s respective successors, heirs, personal representatives, designated beneficiaries and any other person asserting a claim described above, and may not be modified without the consent of the Corporation. To the extent arbitration is required, no person asserting a claim has the right to resort to any federal, state or local court or administrative agency concerning the claim unless expressly provided by federal statute, and the decision of the arbitrator is a complete defense to any action or proceeding instituted in any tribunal or agency with respect to any dispute, unless precluded by federal statute.</w:t>
      </w:r>
    </w:p>
    <w:p>
      <w:pPr>
        <w:spacing w:after="0" w:line="144" w:lineRule="exact"/>
        <w:rPr>
          <w:sz w:val="20"/>
          <w:szCs w:val="20"/>
          <w:color w:val="auto"/>
        </w:rPr>
      </w:pPr>
    </w:p>
    <w:p>
      <w:pPr>
        <w:ind w:firstLine="1305"/>
        <w:spacing w:after="0" w:line="350" w:lineRule="auto"/>
        <w:tabs>
          <w:tab w:leader="none" w:pos="1702" w:val="left"/>
        </w:tabs>
        <w:numPr>
          <w:ilvl w:val="0"/>
          <w:numId w:val="148"/>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Code Section 409A</w:t>
      </w:r>
      <w:r>
        <w:rPr>
          <w:rFonts w:ascii="Arial" w:cs="Arial" w:eastAsia="Arial" w:hAnsi="Arial"/>
          <w:sz w:val="19"/>
          <w:szCs w:val="19"/>
          <w:u w:val="single" w:color="auto"/>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Without limiting the generality of any other provision of this Agreement and to the extent</w:t>
      </w:r>
      <w:r>
        <w:rPr>
          <w:rFonts w:ascii="Arial" w:cs="Arial" w:eastAsia="Arial" w:hAnsi="Arial"/>
          <w:sz w:val="19"/>
          <w:szCs w:val="19"/>
          <w:b w:val="1"/>
          <w:bCs w:val="1"/>
          <w:color w:val="auto"/>
        </w:rPr>
        <w:t xml:space="preserve"> </w:t>
      </w:r>
      <w:r>
        <w:rPr>
          <w:rFonts w:ascii="Arial" w:cs="Arial" w:eastAsia="Arial" w:hAnsi="Arial"/>
          <w:sz w:val="19"/>
          <w:szCs w:val="19"/>
          <w:color w:val="auto"/>
        </w:rPr>
        <w:t>applicable, Sections 18.9 and 18.10 of the Plan pertaining to Code Section 409A are explicitly incorporated into this Agreement.</w:t>
      </w:r>
    </w:p>
    <w:p>
      <w:pPr>
        <w:spacing w:after="0" w:line="92" w:lineRule="exact"/>
        <w:rPr>
          <w:rFonts w:ascii="Arial" w:cs="Arial" w:eastAsia="Arial" w:hAnsi="Arial"/>
          <w:sz w:val="19"/>
          <w:szCs w:val="19"/>
          <w:b w:val="1"/>
          <w:bCs w:val="1"/>
          <w:color w:val="auto"/>
        </w:rPr>
      </w:pPr>
    </w:p>
    <w:p>
      <w:pPr>
        <w:jc w:val="both"/>
        <w:ind w:firstLine="1305"/>
        <w:spacing w:after="0" w:line="264" w:lineRule="auto"/>
        <w:tabs>
          <w:tab w:leader="none" w:pos="1742" w:val="left"/>
        </w:tabs>
        <w:numPr>
          <w:ilvl w:val="0"/>
          <w:numId w:val="148"/>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No Continued Right as Service Provider.</w:t>
      </w:r>
      <w:r>
        <w:rPr>
          <w:rFonts w:ascii="Arial" w:cs="Arial" w:eastAsia="Arial" w:hAnsi="Arial"/>
          <w:sz w:val="21"/>
          <w:szCs w:val="21"/>
          <w:b w:val="1"/>
          <w:bCs w:val="1"/>
          <w:color w:val="auto"/>
        </w:rPr>
        <w:t xml:space="preserve"> </w:t>
      </w:r>
      <w:r>
        <w:rPr>
          <w:rFonts w:ascii="Arial" w:cs="Arial" w:eastAsia="Arial" w:hAnsi="Arial"/>
          <w:sz w:val="21"/>
          <w:szCs w:val="21"/>
          <w:color w:val="auto"/>
        </w:rPr>
        <w:t>Nothing in the Plan or in this Agreement confers on Grantee any</w:t>
      </w:r>
      <w:r>
        <w:rPr>
          <w:rFonts w:ascii="Arial" w:cs="Arial" w:eastAsia="Arial" w:hAnsi="Arial"/>
          <w:sz w:val="21"/>
          <w:szCs w:val="21"/>
          <w:b w:val="1"/>
          <w:bCs w:val="1"/>
          <w:color w:val="auto"/>
        </w:rPr>
        <w:t xml:space="preserve"> </w:t>
      </w:r>
      <w:r>
        <w:rPr>
          <w:rFonts w:ascii="Arial" w:cs="Arial" w:eastAsia="Arial" w:hAnsi="Arial"/>
          <w:sz w:val="21"/>
          <w:szCs w:val="21"/>
          <w:color w:val="auto"/>
        </w:rPr>
        <w:t>right to continue as a Service Provider, or interferes with or restricts in any way the rights of the Corporation or any Subsidiary or Affiliate of the Corporation, which are hereby expressly reserved, to discharge Grantee at any time for any reason whatsoever, with or without Cause, except to the extent expressly provided otherwise in a written employment agreement between Grantee and the Corporation or any Subsidiary or Affiliate of the Corporation.</w:t>
      </w:r>
    </w:p>
    <w:p>
      <w:pPr>
        <w:spacing w:after="0" w:line="170" w:lineRule="exact"/>
        <w:rPr>
          <w:rFonts w:ascii="Arial" w:cs="Arial" w:eastAsia="Arial" w:hAnsi="Arial"/>
          <w:sz w:val="21"/>
          <w:szCs w:val="21"/>
          <w:b w:val="1"/>
          <w:bCs w:val="1"/>
          <w:color w:val="auto"/>
        </w:rPr>
      </w:pPr>
    </w:p>
    <w:p>
      <w:pPr>
        <w:jc w:val="both"/>
        <w:ind w:firstLine="1305"/>
        <w:spacing w:after="0" w:line="252" w:lineRule="auto"/>
        <w:tabs>
          <w:tab w:leader="none" w:pos="1742" w:val="left"/>
        </w:tabs>
        <w:numPr>
          <w:ilvl w:val="0"/>
          <w:numId w:val="14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Effect on Other Benefits</w:t>
      </w:r>
      <w:r>
        <w:rPr>
          <w:rFonts w:ascii="Arial" w:cs="Arial" w:eastAsia="Arial" w:hAnsi="Arial"/>
          <w:sz w:val="22"/>
          <w:szCs w:val="22"/>
          <w:u w:val="single" w:color="auto"/>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In no event will the value, at any time, of the Restricted Stock Units or any other</w:t>
      </w:r>
      <w:r>
        <w:rPr>
          <w:rFonts w:ascii="Arial" w:cs="Arial" w:eastAsia="Arial" w:hAnsi="Arial"/>
          <w:sz w:val="22"/>
          <w:szCs w:val="22"/>
          <w:b w:val="1"/>
          <w:bCs w:val="1"/>
          <w:color w:val="auto"/>
        </w:rPr>
        <w:t xml:space="preserve"> </w:t>
      </w:r>
      <w:r>
        <w:rPr>
          <w:rFonts w:ascii="Arial" w:cs="Arial" w:eastAsia="Arial" w:hAnsi="Arial"/>
          <w:sz w:val="22"/>
          <w:szCs w:val="22"/>
          <w:color w:val="auto"/>
        </w:rPr>
        <w:t>payment or right to payment under this Agreement be included as compensation or earnings for purposes of any other compensation, retirement, or benefit plan offered to employees of, or other Service Providers to, the Corporation or any Subsidiary or Affiliate of the Corporation unless otherwise specifically provided for in such plan.</w:t>
      </w:r>
    </w:p>
    <w:p>
      <w:pPr>
        <w:spacing w:after="0" w:line="180" w:lineRule="exact"/>
        <w:rPr>
          <w:rFonts w:ascii="Arial" w:cs="Arial" w:eastAsia="Arial" w:hAnsi="Arial"/>
          <w:sz w:val="22"/>
          <w:szCs w:val="22"/>
          <w:b w:val="1"/>
          <w:bCs w:val="1"/>
          <w:color w:val="auto"/>
        </w:rPr>
      </w:pPr>
    </w:p>
    <w:p>
      <w:pPr>
        <w:jc w:val="both"/>
        <w:ind w:firstLine="1305"/>
        <w:spacing w:after="0" w:line="252" w:lineRule="auto"/>
        <w:tabs>
          <w:tab w:leader="none" w:pos="1756" w:val="left"/>
        </w:tabs>
        <w:numPr>
          <w:ilvl w:val="0"/>
          <w:numId w:val="14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Severability</w:t>
      </w:r>
      <w:r>
        <w:rPr>
          <w:rFonts w:ascii="Arial" w:cs="Arial" w:eastAsia="Arial" w:hAnsi="Arial"/>
          <w:sz w:val="22"/>
          <w:szCs w:val="22"/>
          <w:color w:val="auto"/>
        </w:rPr>
        <w:t>. If any provision of this Agreement or the application of any provision hereof to any person or</w:t>
      </w:r>
      <w:r>
        <w:rPr>
          <w:rFonts w:ascii="Arial" w:cs="Arial" w:eastAsia="Arial" w:hAnsi="Arial"/>
          <w:sz w:val="22"/>
          <w:szCs w:val="22"/>
          <w:b w:val="1"/>
          <w:bCs w:val="1"/>
          <w:color w:val="auto"/>
        </w:rPr>
        <w:t xml:space="preserve"> </w:t>
      </w:r>
      <w:r>
        <w:rPr>
          <w:rFonts w:ascii="Arial" w:cs="Arial" w:eastAsia="Arial" w:hAnsi="Arial"/>
          <w:sz w:val="22"/>
          <w:szCs w:val="22"/>
          <w:color w:val="auto"/>
        </w:rPr>
        <w:t>circumstances is held invalid or unenforceable, the remainder of this Agreement and the application of such provision to any other person or circumstances shall not be affected, and the provisions so held to be invalid or unenforceable shall be reformed to the extent (and only to the extent) necessary to make it enforceable and valid.</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631" w:right="239" w:bottom="1440" w:gutter="0" w:footer="0" w:header="0"/>
        </w:sectPr>
      </w:pPr>
    </w:p>
    <w:bookmarkStart w:id="135" w:name="page136"/>
    <w:bookmarkEnd w:id="135"/>
    <w:p>
      <w:pPr>
        <w:jc w:val="both"/>
        <w:ind w:firstLine="1305"/>
        <w:spacing w:after="0" w:line="264" w:lineRule="auto"/>
        <w:tabs>
          <w:tab w:leader="none" w:pos="1877" w:val="left"/>
        </w:tabs>
        <w:numPr>
          <w:ilvl w:val="0"/>
          <w:numId w:val="149"/>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Electronic Delivery</w:t>
      </w:r>
      <w:r>
        <w:rPr>
          <w:rFonts w:ascii="Arial" w:cs="Arial" w:eastAsia="Arial" w:hAnsi="Arial"/>
          <w:sz w:val="21"/>
          <w:szCs w:val="21"/>
          <w:color w:val="auto"/>
        </w:rPr>
        <w:t>. The Corporation may, in its sole discretion, deliver any documents related to the</w:t>
      </w:r>
      <w:r>
        <w:rPr>
          <w:rFonts w:ascii="Arial" w:cs="Arial" w:eastAsia="Arial" w:hAnsi="Arial"/>
          <w:sz w:val="21"/>
          <w:szCs w:val="21"/>
          <w:b w:val="1"/>
          <w:bCs w:val="1"/>
          <w:color w:val="auto"/>
        </w:rPr>
        <w:t xml:space="preserve"> </w:t>
      </w:r>
      <w:r>
        <w:rPr>
          <w:rFonts w:ascii="Arial" w:cs="Arial" w:eastAsia="Arial" w:hAnsi="Arial"/>
          <w:sz w:val="21"/>
          <w:szCs w:val="21"/>
          <w:color w:val="auto"/>
        </w:rPr>
        <w:t>Restricted Stock Units and Grantee’s participation in the Plan, or future awards that may be granted under the Plan, by electronic means or request Grantee’s consent to participate in the Plan by electronic means. Grantee hereby consents to receive such documents by electronic delivery and, if requested, agrees to participate in the Plan through an on-line or electronic system established and maintained by the Corporation or another third party designated by the Corporation.</w:t>
      </w:r>
    </w:p>
    <w:p>
      <w:pPr>
        <w:spacing w:after="0" w:line="170" w:lineRule="exact"/>
        <w:rPr>
          <w:rFonts w:ascii="Arial" w:cs="Arial" w:eastAsia="Arial" w:hAnsi="Arial"/>
          <w:sz w:val="21"/>
          <w:szCs w:val="21"/>
          <w:b w:val="1"/>
          <w:bCs w:val="1"/>
          <w:color w:val="auto"/>
        </w:rPr>
      </w:pPr>
    </w:p>
    <w:p>
      <w:pPr>
        <w:ind w:left="1680" w:hanging="375"/>
        <w:spacing w:after="0"/>
        <w:tabs>
          <w:tab w:leader="none" w:pos="1680" w:val="left"/>
        </w:tabs>
        <w:numPr>
          <w:ilvl w:val="0"/>
          <w:numId w:val="14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Nature of Grant</w:t>
      </w:r>
      <w:r>
        <w:rPr>
          <w:rFonts w:ascii="Arial" w:cs="Arial" w:eastAsia="Arial" w:hAnsi="Arial"/>
          <w:sz w:val="22"/>
          <w:szCs w:val="22"/>
          <w:b w:val="1"/>
          <w:bCs w:val="1"/>
          <w:color w:val="auto"/>
        </w:rPr>
        <w:t xml:space="preserve">. </w:t>
      </w:r>
      <w:r>
        <w:rPr>
          <w:rFonts w:ascii="Arial" w:cs="Arial" w:eastAsia="Arial" w:hAnsi="Arial"/>
          <w:sz w:val="22"/>
          <w:szCs w:val="22"/>
          <w:color w:val="auto"/>
        </w:rPr>
        <w:t>In accepting the Award, Grantee acknowledges that:</w:t>
      </w:r>
    </w:p>
    <w:p>
      <w:pPr>
        <w:spacing w:after="0" w:line="226" w:lineRule="exact"/>
        <w:rPr>
          <w:sz w:val="20"/>
          <w:szCs w:val="20"/>
          <w:color w:val="auto"/>
        </w:rPr>
      </w:pPr>
    </w:p>
    <w:p>
      <w:pPr>
        <w:ind w:left="660" w:firstLine="645"/>
        <w:spacing w:after="0" w:line="343" w:lineRule="auto"/>
        <w:tabs>
          <w:tab w:leader="none" w:pos="1859" w:val="left"/>
        </w:tabs>
        <w:numPr>
          <w:ilvl w:val="0"/>
          <w:numId w:val="150"/>
        </w:numPr>
        <w:rPr>
          <w:rFonts w:ascii="Arial" w:cs="Arial" w:eastAsia="Arial" w:hAnsi="Arial"/>
          <w:sz w:val="19"/>
          <w:szCs w:val="19"/>
          <w:color w:val="auto"/>
        </w:rPr>
      </w:pPr>
      <w:r>
        <w:rPr>
          <w:rFonts w:ascii="Arial" w:cs="Arial" w:eastAsia="Arial" w:hAnsi="Arial"/>
          <w:sz w:val="19"/>
          <w:szCs w:val="19"/>
          <w:color w:val="auto"/>
        </w:rPr>
        <w:t>the Plan is established voluntarily by the Corporation, it is discretionary in nature and it may be modified, amended, suspended or terminated by the Corporation at any time unless otherwise provided in the Plan or this Agreement;</w:t>
      </w:r>
    </w:p>
    <w:p>
      <w:pPr>
        <w:spacing w:after="0" w:line="104" w:lineRule="exact"/>
        <w:rPr>
          <w:rFonts w:ascii="Arial" w:cs="Arial" w:eastAsia="Arial" w:hAnsi="Arial"/>
          <w:sz w:val="19"/>
          <w:szCs w:val="19"/>
          <w:color w:val="auto"/>
        </w:rPr>
      </w:pPr>
    </w:p>
    <w:p>
      <w:pPr>
        <w:jc w:val="both"/>
        <w:ind w:left="660" w:firstLine="645"/>
        <w:spacing w:after="0" w:line="253" w:lineRule="auto"/>
        <w:tabs>
          <w:tab w:leader="none" w:pos="1790" w:val="left"/>
        </w:tabs>
        <w:numPr>
          <w:ilvl w:val="0"/>
          <w:numId w:val="150"/>
        </w:numPr>
        <w:rPr>
          <w:rFonts w:ascii="Arial" w:cs="Arial" w:eastAsia="Arial" w:hAnsi="Arial"/>
          <w:sz w:val="22"/>
          <w:szCs w:val="22"/>
          <w:color w:val="auto"/>
        </w:rPr>
      </w:pPr>
      <w:r>
        <w:rPr>
          <w:rFonts w:ascii="Arial" w:cs="Arial" w:eastAsia="Arial" w:hAnsi="Arial"/>
          <w:sz w:val="22"/>
          <w:szCs w:val="22"/>
          <w:color w:val="auto"/>
        </w:rPr>
        <w:t>the grant of the Restricted Stock Units is voluntary and occasional and does not create any contractual or other right to receive future grants of restricted stock units, or benefits in lieu of restricted stock units, even if restricted stock units have been granted repeatedly in the past;</w:t>
      </w:r>
    </w:p>
    <w:p>
      <w:pPr>
        <w:spacing w:after="0" w:line="185" w:lineRule="exact"/>
        <w:rPr>
          <w:rFonts w:ascii="Arial" w:cs="Arial" w:eastAsia="Arial" w:hAnsi="Arial"/>
          <w:sz w:val="22"/>
          <w:szCs w:val="22"/>
          <w:color w:val="auto"/>
        </w:rPr>
      </w:pPr>
    </w:p>
    <w:p>
      <w:pPr>
        <w:ind w:left="1860" w:hanging="555"/>
        <w:spacing w:after="0"/>
        <w:tabs>
          <w:tab w:leader="none" w:pos="1860" w:val="left"/>
        </w:tabs>
        <w:numPr>
          <w:ilvl w:val="0"/>
          <w:numId w:val="150"/>
        </w:numPr>
        <w:rPr>
          <w:rFonts w:ascii="Arial" w:cs="Arial" w:eastAsia="Arial" w:hAnsi="Arial"/>
          <w:sz w:val="21"/>
          <w:szCs w:val="21"/>
          <w:color w:val="auto"/>
        </w:rPr>
      </w:pPr>
      <w:r>
        <w:rPr>
          <w:rFonts w:ascii="Arial" w:cs="Arial" w:eastAsia="Arial" w:hAnsi="Arial"/>
          <w:sz w:val="21"/>
          <w:szCs w:val="21"/>
          <w:color w:val="auto"/>
        </w:rPr>
        <w:t>all decisions with respect to future restricted stock unit grants, if any, will be at the sole discretion of the</w:t>
      </w:r>
    </w:p>
    <w:p>
      <w:pPr>
        <w:spacing w:after="0" w:line="33" w:lineRule="exact"/>
        <w:rPr>
          <w:rFonts w:ascii="Arial" w:cs="Arial" w:eastAsia="Arial" w:hAnsi="Arial"/>
          <w:sz w:val="21"/>
          <w:szCs w:val="21"/>
          <w:color w:val="auto"/>
        </w:rPr>
      </w:pPr>
    </w:p>
    <w:p>
      <w:pPr>
        <w:ind w:left="660"/>
        <w:spacing w:after="0"/>
        <w:rPr>
          <w:rFonts w:ascii="Arial" w:cs="Arial" w:eastAsia="Arial" w:hAnsi="Arial"/>
          <w:sz w:val="21"/>
          <w:szCs w:val="21"/>
          <w:color w:val="auto"/>
        </w:rPr>
      </w:pPr>
      <w:r>
        <w:rPr>
          <w:rFonts w:ascii="Arial" w:cs="Arial" w:eastAsia="Arial" w:hAnsi="Arial"/>
          <w:sz w:val="22"/>
          <w:szCs w:val="22"/>
          <w:color w:val="auto"/>
        </w:rPr>
        <w:t>Corporation;</w:t>
      </w:r>
    </w:p>
    <w:p>
      <w:pPr>
        <w:spacing w:after="0" w:line="201" w:lineRule="exact"/>
        <w:rPr>
          <w:rFonts w:ascii="Arial" w:cs="Arial" w:eastAsia="Arial" w:hAnsi="Arial"/>
          <w:sz w:val="21"/>
          <w:szCs w:val="21"/>
          <w:color w:val="auto"/>
        </w:rPr>
      </w:pPr>
    </w:p>
    <w:p>
      <w:pPr>
        <w:ind w:left="1780" w:hanging="475"/>
        <w:spacing w:after="0"/>
        <w:tabs>
          <w:tab w:leader="none" w:pos="1780" w:val="left"/>
        </w:tabs>
        <w:numPr>
          <w:ilvl w:val="0"/>
          <w:numId w:val="150"/>
        </w:numPr>
        <w:rPr>
          <w:rFonts w:ascii="Arial" w:cs="Arial" w:eastAsia="Arial" w:hAnsi="Arial"/>
          <w:sz w:val="22"/>
          <w:szCs w:val="22"/>
          <w:color w:val="auto"/>
        </w:rPr>
      </w:pPr>
      <w:r>
        <w:rPr>
          <w:rFonts w:ascii="Arial" w:cs="Arial" w:eastAsia="Arial" w:hAnsi="Arial"/>
          <w:sz w:val="22"/>
          <w:szCs w:val="22"/>
          <w:color w:val="auto"/>
        </w:rPr>
        <w:t>Grantee is voluntarily participating in the Plan;</w:t>
      </w:r>
    </w:p>
    <w:p>
      <w:pPr>
        <w:spacing w:after="0" w:line="219" w:lineRule="exact"/>
        <w:rPr>
          <w:rFonts w:ascii="Arial" w:cs="Arial" w:eastAsia="Arial" w:hAnsi="Arial"/>
          <w:sz w:val="22"/>
          <w:szCs w:val="22"/>
          <w:color w:val="auto"/>
        </w:rPr>
      </w:pPr>
    </w:p>
    <w:p>
      <w:pPr>
        <w:jc w:val="both"/>
        <w:ind w:left="660" w:firstLine="645"/>
        <w:spacing w:after="0" w:line="253" w:lineRule="auto"/>
        <w:tabs>
          <w:tab w:leader="none" w:pos="1818" w:val="left"/>
        </w:tabs>
        <w:numPr>
          <w:ilvl w:val="0"/>
          <w:numId w:val="150"/>
        </w:numPr>
        <w:rPr>
          <w:rFonts w:ascii="Arial" w:cs="Arial" w:eastAsia="Arial" w:hAnsi="Arial"/>
          <w:sz w:val="22"/>
          <w:szCs w:val="22"/>
          <w:color w:val="auto"/>
        </w:rPr>
      </w:pPr>
      <w:r>
        <w:rPr>
          <w:rFonts w:ascii="Arial" w:cs="Arial" w:eastAsia="Arial" w:hAnsi="Arial"/>
          <w:sz w:val="22"/>
          <w:szCs w:val="22"/>
          <w:color w:val="auto"/>
        </w:rPr>
        <w:t>the Restricted Stock Units and the Stock subject to the Restricted Stock Units are an extraordinary item that does not constitute compensation of any kind for services of any kind rendered to the Corporation or Grantee’s employer, and which is outside the scope of Grantee’s employment contract, if any;</w:t>
      </w:r>
    </w:p>
    <w:p>
      <w:pPr>
        <w:spacing w:after="0" w:line="185" w:lineRule="exact"/>
        <w:rPr>
          <w:rFonts w:ascii="Arial" w:cs="Arial" w:eastAsia="Arial" w:hAnsi="Arial"/>
          <w:sz w:val="22"/>
          <w:szCs w:val="22"/>
          <w:color w:val="auto"/>
        </w:rPr>
      </w:pPr>
    </w:p>
    <w:p>
      <w:pPr>
        <w:ind w:left="660" w:firstLine="645"/>
        <w:spacing w:after="0" w:line="263" w:lineRule="auto"/>
        <w:tabs>
          <w:tab w:leader="none" w:pos="1781" w:val="left"/>
        </w:tabs>
        <w:numPr>
          <w:ilvl w:val="0"/>
          <w:numId w:val="150"/>
        </w:numPr>
        <w:rPr>
          <w:rFonts w:ascii="Arial" w:cs="Arial" w:eastAsia="Arial" w:hAnsi="Arial"/>
          <w:sz w:val="22"/>
          <w:szCs w:val="22"/>
          <w:color w:val="auto"/>
        </w:rPr>
      </w:pPr>
      <w:r>
        <w:rPr>
          <w:rFonts w:ascii="Arial" w:cs="Arial" w:eastAsia="Arial" w:hAnsi="Arial"/>
          <w:sz w:val="22"/>
          <w:szCs w:val="22"/>
          <w:color w:val="auto"/>
        </w:rPr>
        <w:t>the Restricted Stock Units and the Stock subject to the Restricted Stock Units are not intended to replace any pension rights or compensation;</w:t>
      </w:r>
    </w:p>
    <w:p>
      <w:pPr>
        <w:spacing w:after="0" w:line="174" w:lineRule="exact"/>
        <w:rPr>
          <w:rFonts w:ascii="Arial" w:cs="Arial" w:eastAsia="Arial" w:hAnsi="Arial"/>
          <w:sz w:val="22"/>
          <w:szCs w:val="22"/>
          <w:color w:val="auto"/>
        </w:rPr>
      </w:pPr>
    </w:p>
    <w:p>
      <w:pPr>
        <w:ind w:left="1780" w:hanging="475"/>
        <w:spacing w:after="0"/>
        <w:tabs>
          <w:tab w:leader="none" w:pos="1780" w:val="left"/>
        </w:tabs>
        <w:numPr>
          <w:ilvl w:val="0"/>
          <w:numId w:val="150"/>
        </w:numPr>
        <w:rPr>
          <w:rFonts w:ascii="Arial" w:cs="Arial" w:eastAsia="Arial" w:hAnsi="Arial"/>
          <w:sz w:val="22"/>
          <w:szCs w:val="22"/>
          <w:color w:val="auto"/>
        </w:rPr>
      </w:pPr>
      <w:r>
        <w:rPr>
          <w:rFonts w:ascii="Arial" w:cs="Arial" w:eastAsia="Arial" w:hAnsi="Arial"/>
          <w:sz w:val="22"/>
          <w:szCs w:val="22"/>
          <w:color w:val="auto"/>
        </w:rPr>
        <w:t>the future value of the underlying Stock is unknown and cannot be predicted with certainty;</w:t>
      </w:r>
    </w:p>
    <w:p>
      <w:pPr>
        <w:spacing w:after="0" w:line="219" w:lineRule="exact"/>
        <w:rPr>
          <w:rFonts w:ascii="Arial" w:cs="Arial" w:eastAsia="Arial" w:hAnsi="Arial"/>
          <w:sz w:val="22"/>
          <w:szCs w:val="22"/>
          <w:color w:val="auto"/>
        </w:rPr>
      </w:pPr>
    </w:p>
    <w:p>
      <w:pPr>
        <w:jc w:val="both"/>
        <w:ind w:left="660" w:firstLine="645"/>
        <w:spacing w:after="0" w:line="312" w:lineRule="auto"/>
        <w:tabs>
          <w:tab w:leader="none" w:pos="1871" w:val="left"/>
        </w:tabs>
        <w:numPr>
          <w:ilvl w:val="0"/>
          <w:numId w:val="150"/>
        </w:numPr>
        <w:rPr>
          <w:rFonts w:ascii="Arial" w:cs="Arial" w:eastAsia="Arial" w:hAnsi="Arial"/>
          <w:sz w:val="19"/>
          <w:szCs w:val="19"/>
          <w:color w:val="auto"/>
        </w:rPr>
      </w:pPr>
      <w:r>
        <w:rPr>
          <w:rFonts w:ascii="Arial" w:cs="Arial" w:eastAsia="Arial" w:hAnsi="Arial"/>
          <w:sz w:val="19"/>
          <w:szCs w:val="19"/>
          <w:color w:val="auto"/>
        </w:rPr>
        <w:t>Awards and resulting benefits are not part of normal or expected compensation or salary for any purposes, including, but not limited to, calculating any severance, resignation, termination, redundancy, end of service payments, bonuses, long-service awards, pension or retirement benefits or similar payments insofar as permitted by law;</w:t>
      </w:r>
    </w:p>
    <w:p>
      <w:pPr>
        <w:spacing w:after="0" w:line="133" w:lineRule="exact"/>
        <w:rPr>
          <w:rFonts w:ascii="Arial" w:cs="Arial" w:eastAsia="Arial" w:hAnsi="Arial"/>
          <w:sz w:val="19"/>
          <w:szCs w:val="19"/>
          <w:color w:val="auto"/>
        </w:rPr>
      </w:pPr>
    </w:p>
    <w:p>
      <w:pPr>
        <w:jc w:val="both"/>
        <w:ind w:left="660" w:firstLine="645"/>
        <w:spacing w:after="0" w:line="265" w:lineRule="auto"/>
        <w:tabs>
          <w:tab w:leader="none" w:pos="1728" w:val="left"/>
        </w:tabs>
        <w:numPr>
          <w:ilvl w:val="0"/>
          <w:numId w:val="150"/>
        </w:numPr>
        <w:rPr>
          <w:rFonts w:ascii="Arial" w:cs="Arial" w:eastAsia="Arial" w:hAnsi="Arial"/>
          <w:sz w:val="21"/>
          <w:szCs w:val="21"/>
          <w:color w:val="auto"/>
        </w:rPr>
      </w:pPr>
      <w:r>
        <w:rPr>
          <w:rFonts w:ascii="Arial" w:cs="Arial" w:eastAsia="Arial" w:hAnsi="Arial"/>
          <w:sz w:val="21"/>
          <w:szCs w:val="21"/>
          <w:color w:val="auto"/>
        </w:rPr>
        <w:t>in consideration of the grant of the Restricted Stock Units, no claim or entitlement to compensation or damages shall arise from forfeiture of the Restricted Stock Units resulting from termination of Grantee’s employment with the Corporation or Grantee’s employer (for any reason whatsoever and whether or not in breach of local labor laws) and Grantee irrevocably releases the Corporation and Grantee’s employer from any such claim</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625" w:right="239" w:bottom="1440" w:gutter="0" w:footer="0" w:header="0"/>
        </w:sectPr>
      </w:pPr>
    </w:p>
    <w:bookmarkStart w:id="136" w:name="page137"/>
    <w:bookmarkEnd w:id="136"/>
    <w:p>
      <w:pPr>
        <w:ind w:left="660"/>
        <w:spacing w:after="0" w:line="263" w:lineRule="auto"/>
        <w:rPr>
          <w:sz w:val="20"/>
          <w:szCs w:val="20"/>
          <w:color w:val="auto"/>
        </w:rPr>
      </w:pPr>
      <w:r>
        <w:rPr>
          <w:rFonts w:ascii="Arial" w:cs="Arial" w:eastAsia="Arial" w:hAnsi="Arial"/>
          <w:sz w:val="22"/>
          <w:szCs w:val="22"/>
          <w:color w:val="auto"/>
        </w:rPr>
        <w:t>that may arise; if, notwithstanding the foregoing, any such claim is found by a court of competent jurisdiction to have arisen, Grantee shall be deemed irrevocably to have waive any entitlement to pursue such claim; and</w:t>
      </w:r>
    </w:p>
    <w:p>
      <w:pPr>
        <w:spacing w:after="0" w:line="175" w:lineRule="exact"/>
        <w:rPr>
          <w:sz w:val="20"/>
          <w:szCs w:val="20"/>
          <w:color w:val="auto"/>
        </w:rPr>
      </w:pPr>
    </w:p>
    <w:p>
      <w:pPr>
        <w:jc w:val="both"/>
        <w:ind w:left="660" w:firstLine="645"/>
        <w:spacing w:after="0" w:line="297" w:lineRule="auto"/>
        <w:tabs>
          <w:tab w:leader="none" w:pos="1782" w:val="left"/>
        </w:tabs>
        <w:numPr>
          <w:ilvl w:val="0"/>
          <w:numId w:val="151"/>
        </w:numPr>
        <w:rPr>
          <w:rFonts w:ascii="Arial" w:cs="Arial" w:eastAsia="Arial" w:hAnsi="Arial"/>
          <w:sz w:val="19"/>
          <w:szCs w:val="19"/>
          <w:color w:val="auto"/>
        </w:rPr>
      </w:pPr>
      <w:r>
        <w:rPr>
          <w:rFonts w:ascii="Arial" w:cs="Arial" w:eastAsia="Arial" w:hAnsi="Arial"/>
          <w:sz w:val="19"/>
          <w:szCs w:val="19"/>
          <w:color w:val="auto"/>
        </w:rPr>
        <w:t>in the event Grantee ceases to be a Service Provider (whether or not in breach of local labor laws), Grantee’s right to vest in the Restricted Stock Units under the Plan, if any, will terminate effective as of the date that Grantee is no longer a Service Provider and will not be extended by any notice period mandated under local law (e.g., active service would not include a period of “garden leave” or similar period pursuant to local law); the Committee shall have the exclusive discretion to determine when Grantee is no longer a Service Provider for purposes of the Restricted Stock Units.</w:t>
      </w:r>
    </w:p>
    <w:p>
      <w:pPr>
        <w:spacing w:after="0" w:line="141" w:lineRule="exact"/>
        <w:rPr>
          <w:sz w:val="20"/>
          <w:szCs w:val="20"/>
          <w:color w:val="auto"/>
        </w:rPr>
      </w:pPr>
    </w:p>
    <w:p>
      <w:pPr>
        <w:jc w:val="both"/>
        <w:ind w:firstLine="1305"/>
        <w:spacing w:after="0" w:line="295" w:lineRule="auto"/>
        <w:tabs>
          <w:tab w:leader="none" w:pos="1877" w:val="left"/>
        </w:tabs>
        <w:numPr>
          <w:ilvl w:val="0"/>
          <w:numId w:val="152"/>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Non-U.S. Addendum</w:t>
      </w:r>
      <w:r>
        <w:rPr>
          <w:rFonts w:ascii="Arial" w:cs="Arial" w:eastAsia="Arial" w:hAnsi="Arial"/>
          <w:sz w:val="19"/>
          <w:szCs w:val="19"/>
          <w:b w:val="1"/>
          <w:bCs w:val="1"/>
          <w:color w:val="auto"/>
        </w:rPr>
        <w:t xml:space="preserve">. </w:t>
      </w:r>
      <w:r>
        <w:rPr>
          <w:rFonts w:ascii="Arial" w:cs="Arial" w:eastAsia="Arial" w:hAnsi="Arial"/>
          <w:sz w:val="19"/>
          <w:szCs w:val="19"/>
          <w:color w:val="auto"/>
        </w:rPr>
        <w:t>Notwithstanding any provisions in this Agreement, the Restricted Stock Units shall</w:t>
      </w:r>
      <w:r>
        <w:rPr>
          <w:rFonts w:ascii="Arial" w:cs="Arial" w:eastAsia="Arial" w:hAnsi="Arial"/>
          <w:sz w:val="19"/>
          <w:szCs w:val="19"/>
          <w:b w:val="1"/>
          <w:bCs w:val="1"/>
          <w:color w:val="auto"/>
        </w:rPr>
        <w:t xml:space="preserve"> </w:t>
      </w:r>
      <w:r>
        <w:rPr>
          <w:rFonts w:ascii="Arial" w:cs="Arial" w:eastAsia="Arial" w:hAnsi="Arial"/>
          <w:sz w:val="19"/>
          <w:szCs w:val="19"/>
          <w:color w:val="auto"/>
        </w:rPr>
        <w:t>also be subject to the special terms and conditions set forth in the Non-U.S. Addendum attached as Appendix B to this Agreement for Grantee’s country. Moreover, if Grantee relocates to one of the countries included in the Non-U.S. Addendum, the special terms and conditions for such country will apply to Grantee to the extent the Corporation determines that the application of such terms and conditions are necessary or advisable in order to comply with local law or facilitate the administration of the Plan. The Non-U.S. Addendum attached hereto as Appendix B constitutes part of this Agreement.</w:t>
      </w:r>
    </w:p>
    <w:p>
      <w:pPr>
        <w:spacing w:after="0" w:line="144" w:lineRule="exact"/>
        <w:rPr>
          <w:rFonts w:ascii="Arial" w:cs="Arial" w:eastAsia="Arial" w:hAnsi="Arial"/>
          <w:sz w:val="19"/>
          <w:szCs w:val="19"/>
          <w:b w:val="1"/>
          <w:bCs w:val="1"/>
          <w:color w:val="auto"/>
        </w:rPr>
      </w:pPr>
    </w:p>
    <w:p>
      <w:pPr>
        <w:ind w:right="20" w:firstLine="1305"/>
        <w:spacing w:after="0" w:line="269" w:lineRule="auto"/>
        <w:tabs>
          <w:tab w:leader="none" w:pos="1838" w:val="left"/>
        </w:tabs>
        <w:numPr>
          <w:ilvl w:val="0"/>
          <w:numId w:val="15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Governing Law</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is governed by and construed in accordance with the laws of the State of</w:t>
      </w:r>
      <w:r>
        <w:rPr>
          <w:rFonts w:ascii="Arial" w:cs="Arial" w:eastAsia="Arial" w:hAnsi="Arial"/>
          <w:sz w:val="22"/>
          <w:szCs w:val="22"/>
          <w:b w:val="1"/>
          <w:bCs w:val="1"/>
          <w:color w:val="auto"/>
        </w:rPr>
        <w:t xml:space="preserve"> </w:t>
      </w:r>
      <w:r>
        <w:rPr>
          <w:rFonts w:ascii="Arial" w:cs="Arial" w:eastAsia="Arial" w:hAnsi="Arial"/>
          <w:sz w:val="22"/>
          <w:szCs w:val="22"/>
          <w:color w:val="auto"/>
        </w:rPr>
        <w:t>Michigan, notwithstanding conflict of law provisions.</w:t>
      </w:r>
    </w:p>
    <w:p>
      <w:pPr>
        <w:spacing w:after="0" w:line="162" w:lineRule="exact"/>
        <w:rPr>
          <w:rFonts w:ascii="Arial" w:cs="Arial" w:eastAsia="Arial" w:hAnsi="Arial"/>
          <w:sz w:val="22"/>
          <w:szCs w:val="22"/>
          <w:b w:val="1"/>
          <w:bCs w:val="1"/>
          <w:color w:val="auto"/>
        </w:rPr>
      </w:pPr>
    </w:p>
    <w:p>
      <w:pPr>
        <w:ind w:firstLine="1305"/>
        <w:spacing w:after="0" w:line="269" w:lineRule="auto"/>
        <w:tabs>
          <w:tab w:leader="none" w:pos="1999" w:val="left"/>
        </w:tabs>
        <w:numPr>
          <w:ilvl w:val="0"/>
          <w:numId w:val="15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Clawback Policy</w:t>
      </w:r>
      <w:r>
        <w:rPr>
          <w:rFonts w:ascii="Arial" w:cs="Arial" w:eastAsia="Arial" w:hAnsi="Arial"/>
          <w:sz w:val="22"/>
          <w:szCs w:val="22"/>
          <w:b w:val="1"/>
          <w:bCs w:val="1"/>
          <w:color w:val="auto"/>
        </w:rPr>
        <w:t xml:space="preserve">. </w:t>
      </w:r>
      <w:r>
        <w:rPr>
          <w:rFonts w:ascii="Arial" w:cs="Arial" w:eastAsia="Arial" w:hAnsi="Arial"/>
          <w:sz w:val="22"/>
          <w:szCs w:val="22"/>
          <w:color w:val="auto"/>
        </w:rPr>
        <w:t>Any Restricted Stock Units that have vested shall be subject to the Corporation’s</w:t>
      </w:r>
      <w:r>
        <w:rPr>
          <w:rFonts w:ascii="Arial" w:cs="Arial" w:eastAsia="Arial" w:hAnsi="Arial"/>
          <w:sz w:val="22"/>
          <w:szCs w:val="22"/>
          <w:b w:val="1"/>
          <w:bCs w:val="1"/>
          <w:color w:val="auto"/>
        </w:rPr>
        <w:t xml:space="preserve"> </w:t>
      </w:r>
      <w:r>
        <w:rPr>
          <w:rFonts w:ascii="Arial" w:cs="Arial" w:eastAsia="Arial" w:hAnsi="Arial"/>
          <w:sz w:val="22"/>
          <w:szCs w:val="22"/>
          <w:color w:val="auto"/>
        </w:rPr>
        <w:t>recoupment policy, as in effect from time to time.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631" w:right="239" w:bottom="1440" w:gutter="0" w:footer="0" w:header="0"/>
        </w:sectPr>
      </w:pPr>
    </w:p>
    <w:bookmarkStart w:id="137" w:name="page138"/>
    <w:bookmarkEnd w:id="137"/>
    <w:p>
      <w:pPr>
        <w:ind w:firstLine="648"/>
        <w:spacing w:after="0" w:line="263" w:lineRule="auto"/>
        <w:rPr>
          <w:sz w:val="20"/>
          <w:szCs w:val="20"/>
          <w:color w:val="auto"/>
        </w:rPr>
      </w:pPr>
      <w:r>
        <w:rPr>
          <w:rFonts w:ascii="Arial" w:cs="Arial" w:eastAsia="Arial" w:hAnsi="Arial"/>
          <w:sz w:val="22"/>
          <w:szCs w:val="22"/>
          <w:color w:val="auto"/>
        </w:rPr>
        <w:t>This Agreement may be executed in two or more counterparts, each of which is deemed an original and all of which constitute one document.</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40" w:type="dxa"/>
        <w:tblCellMar>
          <w:top w:w="0" w:type="dxa"/>
          <w:left w:w="0" w:type="dxa"/>
          <w:bottom w:w="0" w:type="dxa"/>
          <w:right w:w="0" w:type="dxa"/>
        </w:tblCellMar>
      </w:tblPr>
      <w:tr>
        <w:trPr>
          <w:trHeight w:val="281"/>
        </w:trPr>
        <w:tc>
          <w:tcPr>
            <w:tcW w:w="2820" w:type="dxa"/>
            <w:vAlign w:val="bottom"/>
          </w:tcPr>
          <w:p>
            <w:pPr>
              <w:spacing w:after="0"/>
              <w:rPr>
                <w:sz w:val="24"/>
                <w:szCs w:val="24"/>
                <w:color w:val="auto"/>
              </w:rPr>
            </w:pPr>
          </w:p>
        </w:tc>
        <w:tc>
          <w:tcPr>
            <w:tcW w:w="8240" w:type="dxa"/>
            <w:vAlign w:val="bottom"/>
            <w:gridSpan w:val="3"/>
          </w:tcPr>
          <w:p>
            <w:pPr>
              <w:ind w:left="880"/>
              <w:spacing w:after="0"/>
              <w:rPr>
                <w:sz w:val="20"/>
                <w:szCs w:val="20"/>
                <w:color w:val="auto"/>
              </w:rPr>
            </w:pPr>
            <w:r>
              <w:rPr>
                <w:rFonts w:ascii="Arial" w:cs="Arial" w:eastAsia="Arial" w:hAnsi="Arial"/>
                <w:sz w:val="22"/>
                <w:szCs w:val="22"/>
                <w:b w:val="1"/>
                <w:bCs w:val="1"/>
                <w:color w:val="auto"/>
              </w:rPr>
              <w:t>TRIMAS CORPORATION</w:t>
            </w:r>
          </w:p>
        </w:tc>
      </w:tr>
      <w:tr>
        <w:trPr>
          <w:trHeight w:val="571"/>
        </w:trPr>
        <w:tc>
          <w:tcPr>
            <w:tcW w:w="2820" w:type="dxa"/>
            <w:vAlign w:val="bottom"/>
          </w:tcPr>
          <w:p>
            <w:pPr>
              <w:spacing w:after="0"/>
              <w:rPr>
                <w:sz w:val="20"/>
                <w:szCs w:val="20"/>
                <w:color w:val="auto"/>
              </w:rPr>
            </w:pPr>
            <w:r>
              <w:rPr>
                <w:rFonts w:ascii="Arial" w:cs="Arial" w:eastAsia="Arial" w:hAnsi="Arial"/>
                <w:sz w:val="22"/>
                <w:szCs w:val="22"/>
                <w:color w:val="auto"/>
              </w:rPr>
              <w:t xml:space="preserve">Dated: </w:t>
            </w:r>
            <w:r>
              <w:rPr>
                <w:rFonts w:ascii="Arial" w:cs="Arial" w:eastAsia="Arial" w:hAnsi="Arial"/>
                <w:sz w:val="22"/>
                <w:szCs w:val="22"/>
                <w:b w:val="1"/>
                <w:bCs w:val="1"/>
                <w:color w:val="auto"/>
              </w:rPr>
              <w:t>March 1, 2016</w:t>
            </w:r>
          </w:p>
        </w:tc>
        <w:tc>
          <w:tcPr>
            <w:tcW w:w="8240" w:type="dxa"/>
            <w:vAlign w:val="bottom"/>
            <w:gridSpan w:val="3"/>
          </w:tcPr>
          <w:p>
            <w:pPr>
              <w:ind w:left="2200"/>
              <w:spacing w:after="0"/>
              <w:rPr>
                <w:sz w:val="20"/>
                <w:szCs w:val="20"/>
                <w:color w:val="auto"/>
              </w:rPr>
            </w:pPr>
            <w:r>
              <w:rPr>
                <w:rFonts w:ascii="Arial" w:cs="Arial" w:eastAsia="Arial" w:hAnsi="Arial"/>
                <w:sz w:val="22"/>
                <w:szCs w:val="22"/>
                <w:color w:val="auto"/>
              </w:rPr>
              <w:t>By: /s/ Joshua A. Sherbin</w:t>
            </w:r>
          </w:p>
        </w:tc>
      </w:tr>
      <w:tr>
        <w:trPr>
          <w:trHeight w:val="20"/>
        </w:trPr>
        <w:tc>
          <w:tcPr>
            <w:tcW w:w="28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r>
      <w:tr>
        <w:trPr>
          <w:trHeight w:val="242"/>
        </w:trPr>
        <w:tc>
          <w:tcPr>
            <w:tcW w:w="2820" w:type="dxa"/>
            <w:vAlign w:val="bottom"/>
          </w:tcPr>
          <w:p>
            <w:pPr>
              <w:spacing w:after="0"/>
              <w:rPr>
                <w:sz w:val="21"/>
                <w:szCs w:val="21"/>
                <w:color w:val="auto"/>
              </w:rPr>
            </w:pPr>
          </w:p>
        </w:tc>
        <w:tc>
          <w:tcPr>
            <w:tcW w:w="8240" w:type="dxa"/>
            <w:vAlign w:val="bottom"/>
            <w:gridSpan w:val="3"/>
          </w:tcPr>
          <w:p>
            <w:pPr>
              <w:ind w:left="2200"/>
              <w:spacing w:after="0" w:line="242" w:lineRule="exact"/>
              <w:rPr>
                <w:sz w:val="20"/>
                <w:szCs w:val="20"/>
                <w:color w:val="auto"/>
              </w:rPr>
            </w:pPr>
            <w:r>
              <w:rPr>
                <w:rFonts w:ascii="Arial" w:cs="Arial" w:eastAsia="Arial" w:hAnsi="Arial"/>
                <w:sz w:val="22"/>
                <w:szCs w:val="22"/>
                <w:color w:val="auto"/>
              </w:rPr>
              <w:t>Name: Joshua A. Sherbin</w:t>
            </w:r>
          </w:p>
        </w:tc>
      </w:tr>
      <w:tr>
        <w:trPr>
          <w:trHeight w:val="243"/>
        </w:trPr>
        <w:tc>
          <w:tcPr>
            <w:tcW w:w="2820" w:type="dxa"/>
            <w:vAlign w:val="bottom"/>
          </w:tcPr>
          <w:p>
            <w:pPr>
              <w:spacing w:after="0"/>
              <w:rPr>
                <w:sz w:val="21"/>
                <w:szCs w:val="21"/>
                <w:color w:val="auto"/>
              </w:rPr>
            </w:pPr>
          </w:p>
        </w:tc>
        <w:tc>
          <w:tcPr>
            <w:tcW w:w="8240" w:type="dxa"/>
            <w:vAlign w:val="bottom"/>
            <w:gridSpan w:val="3"/>
          </w:tcPr>
          <w:p>
            <w:pPr>
              <w:ind w:left="2200"/>
              <w:spacing w:after="0" w:line="243" w:lineRule="exact"/>
              <w:rPr>
                <w:sz w:val="20"/>
                <w:szCs w:val="20"/>
                <w:color w:val="auto"/>
              </w:rPr>
            </w:pPr>
            <w:r>
              <w:rPr>
                <w:rFonts w:ascii="Arial" w:cs="Arial" w:eastAsia="Arial" w:hAnsi="Arial"/>
                <w:sz w:val="22"/>
                <w:szCs w:val="22"/>
                <w:color w:val="auto"/>
                <w:w w:val="89"/>
              </w:rPr>
              <w:t>Title: Vice President, General Counsel, Chief Compliance Officer and</w:t>
            </w:r>
          </w:p>
        </w:tc>
      </w:tr>
      <w:tr>
        <w:trPr>
          <w:trHeight w:val="275"/>
        </w:trPr>
        <w:tc>
          <w:tcPr>
            <w:tcW w:w="2820" w:type="dxa"/>
            <w:vAlign w:val="bottom"/>
          </w:tcPr>
          <w:p>
            <w:pPr>
              <w:spacing w:after="0"/>
              <w:rPr>
                <w:sz w:val="23"/>
                <w:szCs w:val="23"/>
                <w:color w:val="auto"/>
              </w:rPr>
            </w:pPr>
          </w:p>
        </w:tc>
        <w:tc>
          <w:tcPr>
            <w:tcW w:w="8240" w:type="dxa"/>
            <w:vAlign w:val="bottom"/>
            <w:gridSpan w:val="3"/>
          </w:tcPr>
          <w:p>
            <w:pPr>
              <w:ind w:left="2200"/>
              <w:spacing w:after="0"/>
              <w:rPr>
                <w:sz w:val="20"/>
                <w:szCs w:val="20"/>
                <w:color w:val="auto"/>
              </w:rPr>
            </w:pPr>
            <w:r>
              <w:rPr>
                <w:rFonts w:ascii="Arial" w:cs="Arial" w:eastAsia="Arial" w:hAnsi="Arial"/>
                <w:sz w:val="22"/>
                <w:szCs w:val="22"/>
                <w:color w:val="auto"/>
              </w:rPr>
              <w:t>Corporate Secretary</w:t>
            </w:r>
          </w:p>
        </w:tc>
      </w:tr>
    </w:tbl>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left="660"/>
        <w:spacing w:after="0" w:line="247" w:lineRule="auto"/>
        <w:rPr>
          <w:sz w:val="20"/>
          <w:szCs w:val="20"/>
          <w:color w:val="auto"/>
        </w:rPr>
      </w:pPr>
      <w:r>
        <w:rPr>
          <w:rFonts w:ascii="Arial" w:cs="Arial" w:eastAsia="Arial" w:hAnsi="Arial"/>
          <w:sz w:val="22"/>
          <w:szCs w:val="22"/>
          <w:b w:val="1"/>
          <w:bCs w:val="1"/>
          <w:color w:val="auto"/>
        </w:rPr>
        <w:t>GRANTEE ACKNOWLEDGES AND AGREES THAT NOTHING IN THIS RESTRICTED STOCK UNITS AGREEMENT, NOR IN THE CORPORATION’S 2011 OMNIBUS INCENTIVE COMPENSATION PLAN, AS AMENDED, WHICH IS INCORPORATED INTO THIS AGREEMENT BY REFERENCE, CONFERS ON GRANTEE ANY RIGHT WITH RESPECT TO CONTINUATION AS A SERVICE PROVIDER OF THE CORPORATION OR ANY PARENT OR SUBSIDIARY OR AFFILIATE OF THE CORPORATION, NOR INTERFERES IN ANY WAY WITH GRANTEE’S RIGHT OR THE CORPORATION’S RIGHT TO TERMINATE GRANTEE’S SERVICE PROVIDER RELATIONSHIP AT ANY TIME, WITH OR WITHOUT CAUSE AND WITH OR WITHOUT PRIOR NOTICE.</w:t>
      </w:r>
    </w:p>
    <w:p>
      <w:pPr>
        <w:spacing w:after="0" w:line="186" w:lineRule="exact"/>
        <w:rPr>
          <w:sz w:val="20"/>
          <w:szCs w:val="20"/>
          <w:color w:val="auto"/>
        </w:rPr>
      </w:pPr>
    </w:p>
    <w:p>
      <w:pPr>
        <w:jc w:val="both"/>
        <w:ind w:left="660"/>
        <w:spacing w:after="0" w:line="247" w:lineRule="auto"/>
        <w:rPr>
          <w:sz w:val="20"/>
          <w:szCs w:val="20"/>
          <w:color w:val="auto"/>
        </w:rPr>
      </w:pPr>
      <w:r>
        <w:rPr>
          <w:rFonts w:ascii="Arial" w:cs="Arial" w:eastAsia="Arial" w:hAnsi="Arial"/>
          <w:sz w:val="22"/>
          <w:szCs w:val="22"/>
          <w:b w:val="1"/>
          <w:bCs w:val="1"/>
          <w:color w:val="auto"/>
        </w:rPr>
        <w:t>BY CLICKING THE “ACCEPT” BUTTON BELOW, GRANTEE ACKNOWLEDGES RECEIPT OF A COPY OF THE PLAN AND REPRESENTS THAT GRANTEE IS FAMILIAR WITH THE TERMS AND PROVISIONS OF THE PLAN. GRANTEE ACCEPTS THIS RESTRICTED STOCK UNIT AWARD SUBJECT TO ALL OF THE TERMS AND PROVISIONS OF THIS AGREEMENT AND THE PLAN. GRANTEE HAS REVIEWED THE PLAN AND THIS AGREEMENT IN THEIR ENTIRETY. GRANTEE AGREES TO ACCEPT AS BINDING, CONCLUSIVE AND FINAL ALL DECISIONS OR INTERPRETATIONS OF THE COMMITTEE UPON ANY QUESTIONS ARISING UNDER THE PLAN OR THIS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631" w:right="239" w:bottom="1440" w:gutter="0" w:footer="0" w:header="0"/>
        </w:sectPr>
      </w:pPr>
    </w:p>
    <w:bookmarkStart w:id="138" w:name="page139"/>
    <w:bookmarkEnd w:id="138"/>
    <w:p>
      <w:pPr>
        <w:jc w:val="center"/>
        <w:spacing w:after="0"/>
        <w:rPr>
          <w:sz w:val="20"/>
          <w:szCs w:val="20"/>
          <w:color w:val="auto"/>
        </w:rPr>
      </w:pPr>
      <w:r>
        <w:rPr>
          <w:rFonts w:ascii="Arial" w:cs="Arial" w:eastAsia="Arial" w:hAnsi="Arial"/>
          <w:sz w:val="22"/>
          <w:szCs w:val="22"/>
          <w:b w:val="1"/>
          <w:bCs w:val="1"/>
          <w:color w:val="auto"/>
        </w:rPr>
        <w:t>APPENDIX A</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UNITS AGREEMENT</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GLOSSARY</w:t>
      </w:r>
    </w:p>
    <w:p>
      <w:pPr>
        <w:spacing w:after="0" w:line="226" w:lineRule="exact"/>
        <w:rPr>
          <w:sz w:val="20"/>
          <w:szCs w:val="20"/>
          <w:color w:val="auto"/>
        </w:rPr>
      </w:pPr>
    </w:p>
    <w:p>
      <w:pPr>
        <w:ind w:left="120"/>
        <w:spacing w:after="0"/>
        <w:rPr>
          <w:sz w:val="20"/>
          <w:szCs w:val="20"/>
          <w:color w:val="auto"/>
        </w:rPr>
      </w:pPr>
      <w:r>
        <w:rPr>
          <w:rFonts w:ascii="Arial" w:cs="Arial" w:eastAsia="Arial" w:hAnsi="Arial"/>
          <w:sz w:val="22"/>
          <w:szCs w:val="22"/>
          <w:color w:val="auto"/>
        </w:rPr>
        <w:t>For purposes of this Agreement:</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Beneficial Owner</w:t>
      </w:r>
      <w:r>
        <w:rPr>
          <w:rFonts w:ascii="Arial" w:cs="Arial" w:eastAsia="Arial" w:hAnsi="Arial"/>
          <w:sz w:val="22"/>
          <w:szCs w:val="22"/>
          <w:color w:val="auto"/>
        </w:rPr>
        <w:t>” shall have the meaning set forth in Rule 13d-3 under the Exchange Act.</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A “</w:t>
      </w:r>
      <w:r>
        <w:rPr>
          <w:rFonts w:ascii="Arial" w:cs="Arial" w:eastAsia="Arial" w:hAnsi="Arial"/>
          <w:sz w:val="22"/>
          <w:szCs w:val="22"/>
          <w:b w:val="1"/>
          <w:bCs w:val="1"/>
          <w:color w:val="auto"/>
        </w:rPr>
        <w:t>Change of Control</w:t>
      </w:r>
      <w:r>
        <w:rPr>
          <w:rFonts w:ascii="Arial" w:cs="Arial" w:eastAsia="Arial" w:hAnsi="Arial"/>
          <w:sz w:val="22"/>
          <w:szCs w:val="22"/>
          <w:color w:val="auto"/>
        </w:rPr>
        <w:t>” shall be deemed to have occurred upon the first of the following events to occur:</w:t>
      </w:r>
    </w:p>
    <w:p>
      <w:pPr>
        <w:spacing w:after="0" w:line="266" w:lineRule="exact"/>
        <w:rPr>
          <w:sz w:val="20"/>
          <w:szCs w:val="20"/>
          <w:color w:val="auto"/>
        </w:rPr>
      </w:pPr>
    </w:p>
    <w:p>
      <w:pPr>
        <w:jc w:val="both"/>
        <w:ind w:left="1300" w:hanging="644"/>
        <w:spacing w:after="0" w:line="286" w:lineRule="auto"/>
        <w:tabs>
          <w:tab w:leader="none" w:pos="1300" w:val="left"/>
        </w:tabs>
        <w:numPr>
          <w:ilvl w:val="0"/>
          <w:numId w:val="153"/>
        </w:numPr>
        <w:rPr>
          <w:rFonts w:ascii="Arial" w:cs="Arial" w:eastAsia="Arial" w:hAnsi="Arial"/>
          <w:sz w:val="19"/>
          <w:szCs w:val="19"/>
          <w:color w:val="auto"/>
        </w:rPr>
      </w:pPr>
      <w:r>
        <w:rPr>
          <w:rFonts w:ascii="Arial" w:cs="Arial" w:eastAsia="Arial" w:hAnsi="Arial"/>
          <w:sz w:val="19"/>
          <w:szCs w:val="19"/>
          <w:color w:val="auto"/>
        </w:rPr>
        <w:t>any Person is or becomes the Beneficial Owner, directly or indirectly, of securities of the Corporation (not including in the securities beneficially owned by such Person any securities acquired directly from the Corporation or its Affiliates) representing 35% or more of the combined voting power of the Corporation’s then outstanding securities, excluding any Person who becomes such a Beneficial Owner in connection with a transaction described in clause</w:t>
      </w:r>
    </w:p>
    <w:p>
      <w:pPr>
        <w:spacing w:after="0" w:line="2" w:lineRule="exact"/>
        <w:rPr>
          <w:rFonts w:ascii="Arial" w:cs="Arial" w:eastAsia="Arial" w:hAnsi="Arial"/>
          <w:sz w:val="19"/>
          <w:szCs w:val="19"/>
          <w:color w:val="auto"/>
        </w:rPr>
      </w:pPr>
    </w:p>
    <w:p>
      <w:pPr>
        <w:ind w:left="1300"/>
        <w:spacing w:after="0"/>
        <w:rPr>
          <w:rFonts w:ascii="Arial" w:cs="Arial" w:eastAsia="Arial" w:hAnsi="Arial"/>
          <w:sz w:val="19"/>
          <w:szCs w:val="19"/>
          <w:color w:val="auto"/>
        </w:rPr>
      </w:pPr>
      <w:r>
        <w:rPr>
          <w:rFonts w:ascii="Arial" w:cs="Arial" w:eastAsia="Arial" w:hAnsi="Arial"/>
          <w:sz w:val="22"/>
          <w:szCs w:val="22"/>
          <w:color w:val="auto"/>
        </w:rPr>
        <w:t>(A) of paragraph (iii) below;</w:t>
      </w:r>
    </w:p>
    <w:p>
      <w:pPr>
        <w:spacing w:after="0" w:line="242" w:lineRule="exact"/>
        <w:rPr>
          <w:rFonts w:ascii="Arial" w:cs="Arial" w:eastAsia="Arial" w:hAnsi="Arial"/>
          <w:sz w:val="19"/>
          <w:szCs w:val="19"/>
          <w:color w:val="auto"/>
        </w:rPr>
      </w:pPr>
    </w:p>
    <w:p>
      <w:pPr>
        <w:jc w:val="both"/>
        <w:ind w:left="1300" w:hanging="644"/>
        <w:spacing w:after="0" w:line="258" w:lineRule="auto"/>
        <w:tabs>
          <w:tab w:leader="none" w:pos="1300" w:val="left"/>
        </w:tabs>
        <w:numPr>
          <w:ilvl w:val="0"/>
          <w:numId w:val="153"/>
        </w:numPr>
        <w:rPr>
          <w:rFonts w:ascii="Arial" w:cs="Arial" w:eastAsia="Arial" w:hAnsi="Arial"/>
          <w:sz w:val="21"/>
          <w:szCs w:val="21"/>
          <w:color w:val="auto"/>
        </w:rPr>
      </w:pPr>
      <w:r>
        <w:rPr>
          <w:rFonts w:ascii="Arial" w:cs="Arial" w:eastAsia="Arial" w:hAnsi="Arial"/>
          <w:sz w:val="21"/>
          <w:szCs w:val="21"/>
          <w:color w:val="auto"/>
        </w:rPr>
        <w:t>the following individuals cease for any reason to constitute a majority of the number of directors then serving on the Board: individuals who, on the date hereof, constitute the Board and any new director (other than a director whose initial assumption of office is in connection with an actual or threatened election contest, including but not limited to a consent solicitation, relating to the election of directors of the Corporation) whose appointment or election by the Board or nomination for election by the Corporation’s stockholders was approved or recommended by a vote of at least two-thirds (2/3) of the directors then still in office who either were directors on the date hereof or whose appointment, election or nomination for election was previously so approved or recommended (the “Incumbent Board”); provided, however, that no individual shall be considered a member of the Incumbent Board if such individual initially assumed office as a result of either an actual or threatened election contest (an “Election Contest”) or other actual or threatened solicitation of proxies or consents by or on behalf of a Person other than the Board (a “Proxy Contest”), including by reason of any agreement intended to avoid or settle any Election Contest or Proxy Contest;</w:t>
      </w:r>
    </w:p>
    <w:p>
      <w:pPr>
        <w:spacing w:after="0" w:line="220" w:lineRule="exact"/>
        <w:rPr>
          <w:rFonts w:ascii="Arial" w:cs="Arial" w:eastAsia="Arial" w:hAnsi="Arial"/>
          <w:sz w:val="21"/>
          <w:szCs w:val="21"/>
          <w:color w:val="auto"/>
        </w:rPr>
      </w:pPr>
    </w:p>
    <w:p>
      <w:pPr>
        <w:jc w:val="both"/>
        <w:ind w:left="1300" w:hanging="644"/>
        <w:spacing w:after="0" w:line="294" w:lineRule="auto"/>
        <w:tabs>
          <w:tab w:leader="none" w:pos="1300" w:val="left"/>
        </w:tabs>
        <w:numPr>
          <w:ilvl w:val="0"/>
          <w:numId w:val="153"/>
        </w:numPr>
        <w:rPr>
          <w:rFonts w:ascii="Arial" w:cs="Arial" w:eastAsia="Arial" w:hAnsi="Arial"/>
          <w:sz w:val="19"/>
          <w:szCs w:val="19"/>
          <w:color w:val="auto"/>
        </w:rPr>
      </w:pPr>
      <w:r>
        <w:rPr>
          <w:rFonts w:ascii="Arial" w:cs="Arial" w:eastAsia="Arial" w:hAnsi="Arial"/>
          <w:sz w:val="19"/>
          <w:szCs w:val="19"/>
          <w:color w:val="auto"/>
        </w:rPr>
        <w:t>there is consummated a merger, consolidation, wind-up, reorganization or restructuring of the Corporation with or into any other entity, or a similar event or series of such events, other than (A) any such event or series of events which results in (1) the voting securities of the Corporation outstanding immediately prior to such event or series of events continuing to represent (either by remaining outstanding or by being converted into voting securities of the surviving entity or any parent thereof), in combination with the ownership of any trustee or other fiduciary holding securities under an employee benefit plan of the Corporation or any subsidiary of the</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1420"/>
          </w:cols>
          <w:pgMar w:left="240" w:top="625" w:right="239" w:bottom="1440" w:gutter="0" w:footer="0" w:header="0"/>
        </w:sectPr>
      </w:pPr>
    </w:p>
    <w:bookmarkStart w:id="139" w:name="page140"/>
    <w:bookmarkEnd w:id="139"/>
    <w:p>
      <w:pPr>
        <w:jc w:val="both"/>
        <w:ind w:left="1300"/>
        <w:spacing w:after="0" w:line="289" w:lineRule="auto"/>
        <w:rPr>
          <w:sz w:val="20"/>
          <w:szCs w:val="20"/>
          <w:color w:val="auto"/>
        </w:rPr>
      </w:pPr>
      <w:r>
        <w:rPr>
          <w:rFonts w:ascii="Arial" w:cs="Arial" w:eastAsia="Arial" w:hAnsi="Arial"/>
          <w:sz w:val="19"/>
          <w:szCs w:val="19"/>
          <w:color w:val="auto"/>
        </w:rPr>
        <w:t>Corporation, at least 51% of the combined voting power of the securities of the Corporation or such surviving entity or any parent thereof outstanding immediately after such merger or consolidation and (2) the individuals who comprise the Board immediately prior thereto constituting immediately thereafter at least a majority of the board of directors of the Corporation, the entity surviving such merger or consolidation or, if the Corporation or the entity surviving such merger is then a subsidiary, the ultimate parent thereof, or (B) any such event or series of events effected to implement a recapitalization of the Corporation (or similar transaction) in which no Person is or becomes the Beneficial Owner, directly or indirectly, of securities of the Corporation (not including in the securities Beneficially Owned by such Person any securities acquired directly from the Corporation or its Affiliates) representing 35% or more of the combined voting power of the Corporation’s then outstanding securities; or</w:t>
      </w:r>
    </w:p>
    <w:p>
      <w:pPr>
        <w:spacing w:after="0" w:line="198" w:lineRule="exact"/>
        <w:rPr>
          <w:sz w:val="20"/>
          <w:szCs w:val="20"/>
          <w:color w:val="auto"/>
        </w:rPr>
      </w:pPr>
    </w:p>
    <w:p>
      <w:pPr>
        <w:jc w:val="both"/>
        <w:ind w:left="1300" w:hanging="644"/>
        <w:spacing w:after="0" w:line="258" w:lineRule="auto"/>
        <w:tabs>
          <w:tab w:leader="none" w:pos="1300" w:val="left"/>
        </w:tabs>
        <w:numPr>
          <w:ilvl w:val="0"/>
          <w:numId w:val="154"/>
        </w:numPr>
        <w:rPr>
          <w:rFonts w:ascii="Arial" w:cs="Arial" w:eastAsia="Arial" w:hAnsi="Arial"/>
          <w:sz w:val="21"/>
          <w:szCs w:val="21"/>
          <w:color w:val="auto"/>
        </w:rPr>
      </w:pPr>
      <w:r>
        <w:rPr>
          <w:rFonts w:ascii="Arial" w:cs="Arial" w:eastAsia="Arial" w:hAnsi="Arial"/>
          <w:sz w:val="21"/>
          <w:szCs w:val="21"/>
          <w:color w:val="auto"/>
        </w:rPr>
        <w:t>the stockholders of the Corporation approve a plan of complete liquidation or dissolution of the Corporation or there is consummated an agreement for the sale or disposition by the Corporation of all or substantially all of the Corporation’s assets (it being conclusively presumed that any sale or disposition is a sale or disposition by the Corporation of all or substantially all of its assets if the consummation of the sale or disposition is contingent upon approval by the Corporation’s stockholders unless the Board expressly determines in writing that such approval is required solely by reason of any relationship between the Corporation and any other Person or an Affiliate of the Corporation and any other Person), other than a sale or disposition by the Corporation of all or substantially all of the Corporation’s assets to an entity (A) at least 51% of the combined voting power of the voting securities of which are owned by stockholders of the Corporation in substantially the same proportions as their ownership of the Corporation immediately prior to such sale or disposition and (B) the majority of whose board of directors immediately following such sale or disposition consists of individuals who comprise the Board immediately prior thereto.</w:t>
      </w:r>
    </w:p>
    <w:p>
      <w:pPr>
        <w:spacing w:after="0" w:line="221"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Notwithstanding the foregoing, (A) a “Change of Control” shall not be deemed to have occurred by virtue of the consummation of any transaction or series of integrated transactions immediately following which the record holders of the common stock of the Corporation immediately prior to such transaction or series of transactions continue to have substantially the same proportionate ownership in an entity which owns all or substantially all of the assets of the Corporation immediately following such transaction or series of transactions and (B) if required to avoid accelerated taxation and/or tax penalties under Section 409A of the Code, a “Change of Control” shall be deemed to have occurred only if a “change in the ownership of the corporation,” a “change in effective control of the corporation” or a “change in the ownership of a substantial portion of the assets of the corporation,” within the meaning of Section 409A(a)(2)(A)(v) of the Code shall also be deemed to have occurred under Section 409A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11420"/>
          </w:cols>
          <w:pgMar w:left="240" w:top="631" w:right="239" w:bottom="1440" w:gutter="0" w:footer="0" w:header="0"/>
        </w:sectPr>
      </w:pPr>
    </w:p>
    <w:bookmarkStart w:id="140" w:name="page141"/>
    <w:bookmarkEnd w:id="140"/>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Good Reason</w:t>
      </w:r>
      <w:r>
        <w:rPr>
          <w:rFonts w:ascii="Arial" w:cs="Arial" w:eastAsia="Arial" w:hAnsi="Arial"/>
          <w:sz w:val="22"/>
          <w:szCs w:val="22"/>
          <w:color w:val="auto"/>
        </w:rPr>
        <w:t>” means:</w:t>
      </w:r>
    </w:p>
    <w:p>
      <w:pPr>
        <w:spacing w:after="0" w:line="266" w:lineRule="exact"/>
        <w:rPr>
          <w:sz w:val="20"/>
          <w:szCs w:val="20"/>
          <w:color w:val="auto"/>
        </w:rPr>
      </w:pPr>
    </w:p>
    <w:p>
      <w:pPr>
        <w:ind w:left="1300" w:hanging="644"/>
        <w:spacing w:after="0"/>
        <w:tabs>
          <w:tab w:leader="none" w:pos="1300" w:val="left"/>
        </w:tabs>
        <w:numPr>
          <w:ilvl w:val="0"/>
          <w:numId w:val="155"/>
        </w:numPr>
        <w:rPr>
          <w:rFonts w:ascii="Arial" w:cs="Arial" w:eastAsia="Arial" w:hAnsi="Arial"/>
          <w:sz w:val="22"/>
          <w:szCs w:val="22"/>
          <w:color w:val="auto"/>
        </w:rPr>
      </w:pPr>
      <w:r>
        <w:rPr>
          <w:rFonts w:ascii="Arial" w:cs="Arial" w:eastAsia="Arial" w:hAnsi="Arial"/>
          <w:sz w:val="22"/>
          <w:szCs w:val="22"/>
          <w:color w:val="auto"/>
        </w:rPr>
        <w:t>A material and permanent diminution in Grantee’s duties or responsibilities;</w:t>
      </w:r>
    </w:p>
    <w:p>
      <w:pPr>
        <w:spacing w:after="0" w:line="260" w:lineRule="exact"/>
        <w:rPr>
          <w:rFonts w:ascii="Arial" w:cs="Arial" w:eastAsia="Arial" w:hAnsi="Arial"/>
          <w:sz w:val="22"/>
          <w:szCs w:val="22"/>
          <w:color w:val="auto"/>
        </w:rPr>
      </w:pPr>
    </w:p>
    <w:p>
      <w:pPr>
        <w:ind w:left="1300" w:hanging="644"/>
        <w:spacing w:after="0" w:line="263" w:lineRule="auto"/>
        <w:tabs>
          <w:tab w:leader="none" w:pos="1300" w:val="left"/>
        </w:tabs>
        <w:numPr>
          <w:ilvl w:val="0"/>
          <w:numId w:val="155"/>
        </w:numPr>
        <w:rPr>
          <w:rFonts w:ascii="Arial" w:cs="Arial" w:eastAsia="Arial" w:hAnsi="Arial"/>
          <w:sz w:val="22"/>
          <w:szCs w:val="22"/>
          <w:color w:val="auto"/>
        </w:rPr>
      </w:pPr>
      <w:r>
        <w:rPr>
          <w:rFonts w:ascii="Arial" w:cs="Arial" w:eastAsia="Arial" w:hAnsi="Arial"/>
          <w:sz w:val="22"/>
          <w:szCs w:val="22"/>
          <w:color w:val="auto"/>
        </w:rPr>
        <w:t>A material reduction in the aggregate value of base salary and bonus opportunity provided to Grantee by the Corporation; or</w:t>
      </w:r>
    </w:p>
    <w:p>
      <w:pPr>
        <w:spacing w:after="0" w:line="215" w:lineRule="exact"/>
        <w:rPr>
          <w:rFonts w:ascii="Arial" w:cs="Arial" w:eastAsia="Arial" w:hAnsi="Arial"/>
          <w:sz w:val="22"/>
          <w:szCs w:val="22"/>
          <w:color w:val="auto"/>
        </w:rPr>
      </w:pPr>
    </w:p>
    <w:p>
      <w:pPr>
        <w:ind w:left="1300" w:hanging="644"/>
        <w:spacing w:after="0"/>
        <w:tabs>
          <w:tab w:leader="none" w:pos="1300" w:val="left"/>
        </w:tabs>
        <w:numPr>
          <w:ilvl w:val="0"/>
          <w:numId w:val="155"/>
        </w:numPr>
        <w:rPr>
          <w:rFonts w:ascii="Arial" w:cs="Arial" w:eastAsia="Arial" w:hAnsi="Arial"/>
          <w:sz w:val="19"/>
          <w:szCs w:val="19"/>
          <w:color w:val="auto"/>
        </w:rPr>
      </w:pPr>
      <w:r>
        <w:rPr>
          <w:rFonts w:ascii="Arial" w:cs="Arial" w:eastAsia="Arial" w:hAnsi="Arial"/>
          <w:sz w:val="19"/>
          <w:szCs w:val="19"/>
          <w:color w:val="auto"/>
        </w:rPr>
        <w:t>A permanent reassignment of Grantee to another primary office more than 50 miles from the current office location.</w:t>
      </w:r>
    </w:p>
    <w:p>
      <w:pPr>
        <w:spacing w:after="0" w:line="295" w:lineRule="exact"/>
        <w:rPr>
          <w:sz w:val="20"/>
          <w:szCs w:val="20"/>
          <w:color w:val="auto"/>
        </w:rPr>
      </w:pPr>
    </w:p>
    <w:p>
      <w:pPr>
        <w:jc w:val="both"/>
        <w:ind w:left="660"/>
        <w:spacing w:after="0" w:line="250" w:lineRule="auto"/>
        <w:rPr>
          <w:sz w:val="20"/>
          <w:szCs w:val="20"/>
          <w:color w:val="auto"/>
        </w:rPr>
      </w:pPr>
      <w:r>
        <w:rPr>
          <w:rFonts w:ascii="Arial" w:cs="Arial" w:eastAsia="Arial" w:hAnsi="Arial"/>
          <w:sz w:val="22"/>
          <w:szCs w:val="22"/>
          <w:color w:val="auto"/>
        </w:rPr>
        <w:t>Grantee must notify the Corporation of Grantee’s intention to invoke termination for Good Reason within 90 days after Grantee has knowledge of such event and provide the Corporation 30 days’ opportunity for cure, or such event shall not constitute Good Reason. Grantee may not invoke termination for Good Reason if Cause exists at the time of such termination.</w:t>
      </w:r>
    </w:p>
    <w:p>
      <w:pPr>
        <w:spacing w:after="0" w:line="223" w:lineRule="exact"/>
        <w:rPr>
          <w:sz w:val="20"/>
          <w:szCs w:val="20"/>
          <w:color w:val="auto"/>
        </w:rPr>
      </w:pPr>
    </w:p>
    <w:p>
      <w:pPr>
        <w:jc w:val="both"/>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Person</w:t>
      </w:r>
      <w:r>
        <w:rPr>
          <w:rFonts w:ascii="Arial" w:cs="Arial" w:eastAsia="Arial" w:hAnsi="Arial"/>
          <w:sz w:val="21"/>
          <w:szCs w:val="21"/>
          <w:color w:val="auto"/>
        </w:rPr>
        <w:t>” shall have the meaning given in Section 3(a)(9) of the Exchange Act, as modified and used in Sections 13(d) and 14(d) thereof, except that such term shall not include (i) the Corporation or any of its subsidiaries, (ii) a trustee or other fiduciary holding securities under an employee benefit plan of the Corporation or any of its Affiliates, (iii) an underwriter temporarily holding securities pursuant to an offering of such securities, or (iv) a corporation owned, directly or indirectly, by the stockholders of the Corporation in substantially the same proportions as their ownership of stock of the Corporation.</w:t>
      </w:r>
    </w:p>
    <w:p>
      <w:pPr>
        <w:spacing w:after="0" w:line="21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“Qualifying Termination” </w:t>
      </w:r>
      <w:r>
        <w:rPr>
          <w:rFonts w:ascii="Arial" w:cs="Arial" w:eastAsia="Arial" w:hAnsi="Arial"/>
          <w:sz w:val="19"/>
          <w:szCs w:val="19"/>
          <w:color w:val="auto"/>
        </w:rPr>
        <w:t>means a termination of Grantee’s Service with the Corporation or a Subsidiary or an Affiliate of the</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color w:val="auto"/>
        </w:rPr>
        <w:t>Corporation for any reason other than:</w:t>
      </w:r>
    </w:p>
    <w:p>
      <w:pPr>
        <w:spacing w:after="0" w:line="202" w:lineRule="exact"/>
        <w:rPr>
          <w:sz w:val="20"/>
          <w:szCs w:val="20"/>
          <w:color w:val="auto"/>
        </w:rPr>
      </w:pPr>
    </w:p>
    <w:p>
      <w:pPr>
        <w:ind w:left="1140" w:hanging="484"/>
        <w:spacing w:after="0"/>
        <w:tabs>
          <w:tab w:leader="none" w:pos="1140" w:val="left"/>
        </w:tabs>
        <w:numPr>
          <w:ilvl w:val="1"/>
          <w:numId w:val="156"/>
        </w:numPr>
        <w:rPr>
          <w:rFonts w:ascii="Arial" w:cs="Arial" w:eastAsia="Arial" w:hAnsi="Arial"/>
          <w:sz w:val="22"/>
          <w:szCs w:val="22"/>
          <w:color w:val="auto"/>
        </w:rPr>
      </w:pPr>
      <w:r>
        <w:rPr>
          <w:rFonts w:ascii="Arial" w:cs="Arial" w:eastAsia="Arial" w:hAnsi="Arial"/>
          <w:sz w:val="22"/>
          <w:szCs w:val="22"/>
          <w:color w:val="auto"/>
        </w:rPr>
        <w:t>death;</w:t>
      </w:r>
    </w:p>
    <w:p>
      <w:pPr>
        <w:spacing w:after="0" w:line="219" w:lineRule="exact"/>
        <w:rPr>
          <w:rFonts w:ascii="Arial" w:cs="Arial" w:eastAsia="Arial" w:hAnsi="Arial"/>
          <w:sz w:val="22"/>
          <w:szCs w:val="22"/>
          <w:color w:val="auto"/>
        </w:rPr>
      </w:pPr>
    </w:p>
    <w:p>
      <w:pPr>
        <w:ind w:left="1200" w:hanging="544"/>
        <w:spacing w:after="0"/>
        <w:tabs>
          <w:tab w:leader="none" w:pos="1200" w:val="left"/>
        </w:tabs>
        <w:numPr>
          <w:ilvl w:val="1"/>
          <w:numId w:val="156"/>
        </w:numPr>
        <w:rPr>
          <w:rFonts w:ascii="Arial" w:cs="Arial" w:eastAsia="Arial" w:hAnsi="Arial"/>
          <w:sz w:val="22"/>
          <w:szCs w:val="22"/>
          <w:color w:val="auto"/>
        </w:rPr>
      </w:pPr>
      <w:r>
        <w:rPr>
          <w:rFonts w:ascii="Arial" w:cs="Arial" w:eastAsia="Arial" w:hAnsi="Arial"/>
          <w:sz w:val="22"/>
          <w:szCs w:val="22"/>
          <w:color w:val="auto"/>
        </w:rPr>
        <w:t>Disability;</w:t>
      </w:r>
    </w:p>
    <w:p>
      <w:pPr>
        <w:spacing w:after="0" w:line="219" w:lineRule="exact"/>
        <w:rPr>
          <w:rFonts w:ascii="Arial" w:cs="Arial" w:eastAsia="Arial" w:hAnsi="Arial"/>
          <w:sz w:val="22"/>
          <w:szCs w:val="22"/>
          <w:color w:val="auto"/>
        </w:rPr>
      </w:pPr>
    </w:p>
    <w:p>
      <w:pPr>
        <w:ind w:left="1260" w:hanging="604"/>
        <w:spacing w:after="0"/>
        <w:tabs>
          <w:tab w:leader="none" w:pos="1260" w:val="left"/>
        </w:tabs>
        <w:numPr>
          <w:ilvl w:val="1"/>
          <w:numId w:val="156"/>
        </w:numPr>
        <w:rPr>
          <w:rFonts w:ascii="Arial" w:cs="Arial" w:eastAsia="Arial" w:hAnsi="Arial"/>
          <w:sz w:val="22"/>
          <w:szCs w:val="22"/>
          <w:color w:val="auto"/>
        </w:rPr>
      </w:pPr>
      <w:r>
        <w:rPr>
          <w:rFonts w:ascii="Arial" w:cs="Arial" w:eastAsia="Arial" w:hAnsi="Arial"/>
          <w:sz w:val="22"/>
          <w:szCs w:val="22"/>
          <w:color w:val="auto"/>
        </w:rPr>
        <w:t>Cause; or</w:t>
      </w:r>
    </w:p>
    <w:p>
      <w:pPr>
        <w:spacing w:after="0" w:line="219" w:lineRule="exact"/>
        <w:rPr>
          <w:rFonts w:ascii="Arial" w:cs="Arial" w:eastAsia="Arial" w:hAnsi="Arial"/>
          <w:sz w:val="22"/>
          <w:szCs w:val="22"/>
          <w:color w:val="auto"/>
        </w:rPr>
      </w:pPr>
    </w:p>
    <w:p>
      <w:pPr>
        <w:ind w:left="540" w:hanging="532"/>
        <w:spacing w:after="0"/>
        <w:tabs>
          <w:tab w:leader="none" w:pos="540" w:val="left"/>
        </w:tabs>
        <w:numPr>
          <w:ilvl w:val="0"/>
          <w:numId w:val="157"/>
        </w:numPr>
        <w:rPr>
          <w:rFonts w:ascii="Arial" w:cs="Arial" w:eastAsia="Arial" w:hAnsi="Arial"/>
          <w:sz w:val="22"/>
          <w:szCs w:val="22"/>
          <w:color w:val="auto"/>
        </w:rPr>
      </w:pPr>
      <w:r>
        <w:rPr>
          <w:rFonts w:ascii="Arial" w:cs="Arial" w:eastAsia="Arial" w:hAnsi="Arial"/>
          <w:sz w:val="22"/>
          <w:szCs w:val="22"/>
          <w:color w:val="auto"/>
        </w:rPr>
        <w:t>a termination of Service by Grantee without Good Reason (as defined above).</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iii</w:t>
      </w:r>
    </w:p>
    <w:p>
      <w:pPr>
        <w:sectPr>
          <w:pgSz w:w="11900" w:h="16838" w:orient="portrait"/>
          <w:cols w:equalWidth="0" w:num="1">
            <w:col w:w="11420"/>
          </w:cols>
          <w:pgMar w:left="240" w:top="625" w:right="239" w:bottom="1440" w:gutter="0" w:footer="0" w:header="0"/>
        </w:sectPr>
      </w:pPr>
    </w:p>
    <w:bookmarkStart w:id="141" w:name="page142"/>
    <w:bookmarkEnd w:id="141"/>
    <w:p>
      <w:pPr>
        <w:jc w:val="center"/>
        <w:spacing w:after="0"/>
        <w:rPr>
          <w:sz w:val="20"/>
          <w:szCs w:val="20"/>
          <w:color w:val="auto"/>
        </w:rPr>
      </w:pPr>
      <w:r>
        <w:rPr>
          <w:rFonts w:ascii="Arial" w:cs="Arial" w:eastAsia="Arial" w:hAnsi="Arial"/>
          <w:sz w:val="22"/>
          <w:szCs w:val="22"/>
          <w:b w:val="1"/>
          <w:bCs w:val="1"/>
          <w:color w:val="auto"/>
        </w:rPr>
        <w:t>APPENDIX B</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UNITS AGREEMENT</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NON-U.S. ADDENDUM</w:t>
      </w:r>
    </w:p>
    <w:p>
      <w:pPr>
        <w:spacing w:after="0" w:line="260" w:lineRule="exact"/>
        <w:rPr>
          <w:sz w:val="20"/>
          <w:szCs w:val="20"/>
          <w:color w:val="auto"/>
        </w:rPr>
      </w:pPr>
    </w:p>
    <w:p>
      <w:pPr>
        <w:jc w:val="center"/>
        <w:ind w:left="260"/>
        <w:spacing w:after="0" w:line="269" w:lineRule="auto"/>
        <w:rPr>
          <w:sz w:val="20"/>
          <w:szCs w:val="20"/>
          <w:color w:val="auto"/>
        </w:rPr>
      </w:pPr>
      <w:r>
        <w:rPr>
          <w:rFonts w:ascii="Arial" w:cs="Arial" w:eastAsia="Arial" w:hAnsi="Arial"/>
          <w:sz w:val="22"/>
          <w:szCs w:val="22"/>
          <w:b w:val="1"/>
          <w:bCs w:val="1"/>
          <w:color w:val="auto"/>
        </w:rPr>
        <w:t>Additional Terms and Conditions for Equity Grants Under the TriMas Corporation 2011 Omnibus Incentive Compensation Plan, as amended</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January 2016</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Terms and Conditions</w:t>
      </w:r>
    </w:p>
    <w:p>
      <w:pPr>
        <w:spacing w:after="0" w:line="266"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This Addendum includes additional terms and conditions that govern the performance stock units (“</w:t>
      </w:r>
      <w:r>
        <w:rPr>
          <w:rFonts w:ascii="Arial" w:cs="Arial" w:eastAsia="Arial" w:hAnsi="Arial"/>
          <w:sz w:val="21"/>
          <w:szCs w:val="21"/>
          <w:u w:val="single" w:color="auto"/>
          <w:color w:val="auto"/>
        </w:rPr>
        <w:t>RSUs</w:t>
      </w:r>
      <w:r>
        <w:rPr>
          <w:rFonts w:ascii="Arial" w:cs="Arial" w:eastAsia="Arial" w:hAnsi="Arial"/>
          <w:sz w:val="21"/>
          <w:szCs w:val="21"/>
          <w:color w:val="auto"/>
        </w:rPr>
        <w:t>”) granted to you under the TriMas Corporation 2011 Omnibus Incentive Compensation Plan, as amended (referred to as the “</w:t>
      </w:r>
      <w:r>
        <w:rPr>
          <w:rFonts w:ascii="Arial" w:cs="Arial" w:eastAsia="Arial" w:hAnsi="Arial"/>
          <w:sz w:val="21"/>
          <w:szCs w:val="21"/>
          <w:u w:val="single" w:color="auto"/>
          <w:color w:val="auto"/>
        </w:rPr>
        <w:t>Plan</w:t>
      </w:r>
      <w:r>
        <w:rPr>
          <w:rFonts w:ascii="Arial" w:cs="Arial" w:eastAsia="Arial" w:hAnsi="Arial"/>
          <w:sz w:val="21"/>
          <w:szCs w:val="21"/>
          <w:color w:val="auto"/>
        </w:rPr>
        <w:t>”) if you reside in one of the countries listed below. Certain capitalized terms used but not defined in this Addendum have the meanings set forth in the Plan and/or your award agreement (the “</w:t>
      </w:r>
      <w:r>
        <w:rPr>
          <w:rFonts w:ascii="Arial" w:cs="Arial" w:eastAsia="Arial" w:hAnsi="Arial"/>
          <w:sz w:val="21"/>
          <w:szCs w:val="21"/>
          <w:u w:val="single" w:color="auto"/>
          <w:color w:val="auto"/>
        </w:rPr>
        <w:t>Agreement</w:t>
      </w:r>
      <w:r>
        <w:rPr>
          <w:rFonts w:ascii="Arial" w:cs="Arial" w:eastAsia="Arial" w:hAnsi="Arial"/>
          <w:sz w:val="21"/>
          <w:szCs w:val="21"/>
          <w:color w:val="auto"/>
        </w:rPr>
        <w:t>”) that relates to your award. By accepting your award, you agree to be bound by the terms and conditions contained in the paragraphs below in addition to the terms of the Plan, the Agreement, and the terms of any other document that may apply to you and your award.</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Notifications</w:t>
      </w:r>
    </w:p>
    <w:p>
      <w:pPr>
        <w:spacing w:after="0" w:line="266"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This Addendum also includes information regarding exchange controls and certain other issues of which you should be aware with respect to participation in the Plan. The information is based on the securities, exchange control, and other laws in effect in the respective countries as of January 2016. Such laws are often complex and change frequently. As a result, it is strongly recommended that you not rely on the information in this Addendum as the only source of information relating to the consequences of your participation in the Plan because the information may be out of date at the time you vest in your RSUs or sell shares acquired under the Plan.</w:t>
      </w:r>
    </w:p>
    <w:p>
      <w:pPr>
        <w:spacing w:after="0" w:line="234"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In addition, the information contained herein is general in nature and may not apply to your particular situation, and TriMas Corporation (the “</w:t>
      </w:r>
      <w:r>
        <w:rPr>
          <w:rFonts w:ascii="Arial" w:cs="Arial" w:eastAsia="Arial" w:hAnsi="Arial"/>
          <w:sz w:val="21"/>
          <w:szCs w:val="21"/>
          <w:u w:val="single" w:color="auto"/>
          <w:color w:val="auto"/>
        </w:rPr>
        <w:t>Corporation</w:t>
      </w:r>
      <w:r>
        <w:rPr>
          <w:rFonts w:ascii="Arial" w:cs="Arial" w:eastAsia="Arial" w:hAnsi="Arial"/>
          <w:sz w:val="21"/>
          <w:szCs w:val="21"/>
          <w:color w:val="auto"/>
        </w:rPr>
        <w:t>”) is not in a position to assure you of a particular result. Accordingly, you are advised to seek appropriate professional advice as to how the relevant laws in your country may apply to your situation.</w:t>
      </w:r>
    </w:p>
    <w:p>
      <w:pPr>
        <w:spacing w:after="0" w:line="208"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Finally, if you are a citizen or resident of a country other than the one in which you are currently working, transferred employment after the RSUs were granted to you, or are considered a resident of another country for local law purposes, the information contained herein may not apply.</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COUNTRY-SPECIFIC LANGUAGE</w:t>
      </w:r>
    </w:p>
    <w:p>
      <w:pPr>
        <w:spacing w:after="0" w:line="28" w:lineRule="exact"/>
        <w:rPr>
          <w:sz w:val="20"/>
          <w:szCs w:val="20"/>
          <w:color w:val="auto"/>
        </w:rPr>
      </w:pPr>
    </w:p>
    <w:p>
      <w:pPr>
        <w:spacing w:after="0"/>
        <w:rPr>
          <w:sz w:val="20"/>
          <w:szCs w:val="20"/>
          <w:color w:val="auto"/>
        </w:rPr>
      </w:pPr>
      <w:r>
        <w:rPr>
          <w:rFonts w:ascii="Arial" w:cs="Arial" w:eastAsia="Arial" w:hAnsi="Arial"/>
          <w:sz w:val="21"/>
          <w:szCs w:val="21"/>
          <w:color w:val="auto"/>
        </w:rPr>
        <w:t>Below please find country specific language that applies to Participants in the following countries: the United Kingdom.</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iv</w:t>
      </w:r>
    </w:p>
    <w:p>
      <w:pPr>
        <w:sectPr>
          <w:pgSz w:w="11900" w:h="16838" w:orient="portrait"/>
          <w:cols w:equalWidth="0" w:num="1">
            <w:col w:w="11420"/>
          </w:cols>
          <w:pgMar w:left="240" w:top="625" w:right="239" w:bottom="1440" w:gutter="0" w:footer="0" w:header="0"/>
        </w:sectPr>
      </w:pPr>
    </w:p>
    <w:bookmarkStart w:id="142" w:name="page143"/>
    <w:bookmarkEnd w:id="142"/>
    <w:p>
      <w:pPr>
        <w:jc w:val="center"/>
        <w:spacing w:after="0"/>
        <w:rPr>
          <w:sz w:val="20"/>
          <w:szCs w:val="20"/>
          <w:color w:val="auto"/>
        </w:rPr>
      </w:pPr>
      <w:r>
        <w:rPr>
          <w:rFonts w:ascii="Arial" w:cs="Arial" w:eastAsia="Arial" w:hAnsi="Arial"/>
          <w:sz w:val="22"/>
          <w:szCs w:val="22"/>
          <w:b w:val="1"/>
          <w:bCs w:val="1"/>
          <w:i w:val="1"/>
          <w:iCs w:val="1"/>
          <w:u w:val="single" w:color="auto"/>
          <w:color w:val="auto"/>
        </w:rPr>
        <w:t>UNITED KINGDOM</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Terms and Conditions</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Dividend Equivalent Rights</w:t>
      </w:r>
      <w:r>
        <w:rPr>
          <w:rFonts w:ascii="Arial" w:cs="Arial" w:eastAsia="Arial" w:hAnsi="Arial"/>
          <w:sz w:val="22"/>
          <w:szCs w:val="22"/>
          <w:color w:val="auto"/>
        </w:rPr>
        <w:t>. Section II.A.3 of the Agreement is hereby amended in its entirety to read as follows:</w:t>
      </w:r>
    </w:p>
    <w:p>
      <w:pPr>
        <w:spacing w:after="0" w:line="266"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From and after the Grant Date and until the earlier of (a) the time when the Restricted Stock Units vest and are settled in accordance with Section II.A.2 hereof or (b) the time when Grantee’s rights to the Restricted Stock Units are forfeited in accordance with Section II.A.1(b) hereof, on the date that the Corporation pays a cash dividend (if any) to holders of Stock generally, Grantee shall be notionally credited with cash per Restricted Stock Unit equal to the amount of such dividend. Any amounts notionally credited pursuant to the immediately preceding sentence shall be subject to the same applicable terms and conditions (including vesting, payment or forfeitability) as apply to the Restricted Stock Units based on which the dividend equivalents were notionally credited, and such amounts shall be paid in either cash or Stock, as determined by the Committee in its sole discretion, at the same time as the Restricted Stock Units to which they relate. If such amounts are paid in Stock, the number of shares so paid shall be rounded down to the nearest whole number and shall be determined by dividing such credited amounts by the Fair Market Value per share of Stock on the payment date. Notwithstanding the foregoing provisions of this Section II.A.3, Grantee shall not be entitled to the cash notionally credited at any time to the Restricted Stock Units (or the Stock representing the same, as the case may be) either legally or beneficially unless and until Grantee becomes entitled to receive the actual Stock in respect of the Award pursuant to Section II.A.2 of this Agreement.</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Non-Transferability of Award</w:t>
      </w:r>
      <w:r>
        <w:rPr>
          <w:rFonts w:ascii="Arial" w:cs="Arial" w:eastAsia="Arial" w:hAnsi="Arial"/>
          <w:sz w:val="22"/>
          <w:szCs w:val="22"/>
          <w:color w:val="auto"/>
        </w:rPr>
        <w:t>. Section II.B.1 of the Agreement is hereby amended in its entirety to read as follows:</w:t>
      </w:r>
    </w:p>
    <w:p>
      <w:pPr>
        <w:spacing w:after="0" w:line="266" w:lineRule="exact"/>
        <w:rPr>
          <w:sz w:val="20"/>
          <w:szCs w:val="20"/>
          <w:color w:val="auto"/>
        </w:rPr>
      </w:pPr>
    </w:p>
    <w:p>
      <w:pPr>
        <w:jc w:val="both"/>
        <w:ind w:left="660" w:firstLine="648"/>
        <w:spacing w:after="0" w:line="247" w:lineRule="auto"/>
        <w:rPr>
          <w:sz w:val="20"/>
          <w:szCs w:val="20"/>
          <w:color w:val="auto"/>
        </w:rPr>
      </w:pPr>
      <w:r>
        <w:rPr>
          <w:rFonts w:ascii="Arial" w:cs="Arial" w:eastAsia="Arial" w:hAnsi="Arial"/>
          <w:sz w:val="22"/>
          <w:szCs w:val="22"/>
          <w:color w:val="auto"/>
        </w:rPr>
        <w:t>“Except as described below, this Award and the Restricted Stock Units subject to this Award may not be sold, pledged, assigned, hypothecated, transferred, or disposed of in any manner other than by will or by the laws of descent or distribution and the Award shall lapse and any unvested Restricted Stock Units subject to this Award shall be forfeited if a bankruptcy order is made in respect of Grantee. For the avoidance of doubt, the provisions contained in Section 10.2 of the Plan which allow each Participant to designate a beneficiary for the Restricted Stock Units awarded to him or her under the Plan shall not apply to this Award.”</w:t>
      </w: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Withholding</w:t>
      </w:r>
      <w:r>
        <w:rPr>
          <w:rFonts w:ascii="Arial" w:cs="Arial" w:eastAsia="Arial" w:hAnsi="Arial"/>
          <w:sz w:val="22"/>
          <w:szCs w:val="22"/>
          <w:color w:val="auto"/>
        </w:rPr>
        <w:t>. Section II.B.2 of the Agreement is hereby amended in its entirety to read as follows:</w:t>
      </w:r>
    </w:p>
    <w:p>
      <w:pPr>
        <w:spacing w:after="0" w:line="2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“Grantee hereby indemnifies the Corporation, Grantee’s employer or any other person in respect of:</w:t>
      </w:r>
    </w:p>
    <w:p>
      <w:pPr>
        <w:spacing w:after="0" w:line="260" w:lineRule="exact"/>
        <w:rPr>
          <w:sz w:val="20"/>
          <w:szCs w:val="20"/>
          <w:color w:val="auto"/>
        </w:rPr>
      </w:pPr>
    </w:p>
    <w:p>
      <w:pPr>
        <w:ind w:left="1960" w:hanging="655"/>
        <w:spacing w:after="0" w:line="263" w:lineRule="auto"/>
        <w:tabs>
          <w:tab w:leader="none" w:pos="1960" w:val="left"/>
        </w:tabs>
        <w:numPr>
          <w:ilvl w:val="0"/>
          <w:numId w:val="158"/>
        </w:numPr>
        <w:rPr>
          <w:rFonts w:ascii="Arial" w:cs="Arial" w:eastAsia="Arial" w:hAnsi="Arial"/>
          <w:sz w:val="22"/>
          <w:szCs w:val="22"/>
          <w:color w:val="auto"/>
        </w:rPr>
      </w:pPr>
      <w:r>
        <w:rPr>
          <w:rFonts w:ascii="Arial" w:cs="Arial" w:eastAsia="Arial" w:hAnsi="Arial"/>
          <w:sz w:val="22"/>
          <w:szCs w:val="22"/>
          <w:color w:val="auto"/>
        </w:rPr>
        <w:t>any amount of income tax for which the Corporation, Grantee’s employer or any other person is obliged to account under the Pay-As-You-Earn system and any amounts of employee’s national</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v</w:t>
      </w:r>
    </w:p>
    <w:p>
      <w:pPr>
        <w:sectPr>
          <w:pgSz w:w="11900" w:h="16838" w:orient="portrait"/>
          <w:cols w:equalWidth="0" w:num="1">
            <w:col w:w="11420"/>
          </w:cols>
          <w:pgMar w:left="240" w:top="631" w:right="239" w:bottom="1440" w:gutter="0" w:footer="0" w:header="0"/>
        </w:sectPr>
      </w:pPr>
    </w:p>
    <w:bookmarkStart w:id="143" w:name="page144"/>
    <w:bookmarkEnd w:id="143"/>
    <w:p>
      <w:pPr>
        <w:ind w:left="1960"/>
        <w:spacing w:after="0" w:line="263" w:lineRule="auto"/>
        <w:rPr>
          <w:sz w:val="20"/>
          <w:szCs w:val="20"/>
          <w:color w:val="auto"/>
        </w:rPr>
      </w:pPr>
      <w:r>
        <w:rPr>
          <w:rFonts w:ascii="Arial" w:cs="Arial" w:eastAsia="Arial" w:hAnsi="Arial"/>
          <w:sz w:val="22"/>
          <w:szCs w:val="22"/>
          <w:color w:val="auto"/>
        </w:rPr>
        <w:t>insurance contributions arising from the vesting of the Award (or which would not otherwise have arisen but for the grant of the Award to Grantee); and</w:t>
      </w:r>
    </w:p>
    <w:p>
      <w:pPr>
        <w:spacing w:after="0" w:line="215" w:lineRule="exact"/>
        <w:rPr>
          <w:sz w:val="20"/>
          <w:szCs w:val="20"/>
          <w:color w:val="auto"/>
        </w:rPr>
      </w:pPr>
    </w:p>
    <w:p>
      <w:pPr>
        <w:jc w:val="both"/>
        <w:ind w:left="1960" w:hanging="655"/>
        <w:spacing w:after="0" w:line="248" w:lineRule="auto"/>
        <w:tabs>
          <w:tab w:leader="none" w:pos="1960" w:val="left"/>
        </w:tabs>
        <w:numPr>
          <w:ilvl w:val="0"/>
          <w:numId w:val="159"/>
        </w:numPr>
        <w:rPr>
          <w:rFonts w:ascii="Arial" w:cs="Arial" w:eastAsia="Arial" w:hAnsi="Arial"/>
          <w:sz w:val="22"/>
          <w:szCs w:val="22"/>
          <w:color w:val="auto"/>
        </w:rPr>
      </w:pPr>
      <w:r>
        <w:rPr>
          <w:rFonts w:ascii="Arial" w:cs="Arial" w:eastAsia="Arial" w:hAnsi="Arial"/>
          <w:sz w:val="22"/>
          <w:szCs w:val="22"/>
          <w:color w:val="auto"/>
        </w:rPr>
        <w:t>any amount of income tax for which the Corporation, Grantee’s employer or any other person is obliged to account under the Pay-As-You-Earn system and any amounts of employee’s national insurance contributions arising in respect of, or in connection with the holding or disposal by Grantee of the shares of Stock acquired pursuant to the Award or the conversion of such shares of Stock into securities of another description whilst such shares of Stock are held by Grantee,</w:t>
      </w:r>
    </w:p>
    <w:p>
      <w:pPr>
        <w:spacing w:after="0" w:line="233" w:lineRule="exact"/>
        <w:rPr>
          <w:sz w:val="20"/>
          <w:szCs w:val="20"/>
          <w:color w:val="auto"/>
        </w:rPr>
      </w:pPr>
    </w:p>
    <w:p>
      <w:pPr>
        <w:jc w:val="both"/>
        <w:ind w:left="660" w:firstLine="648"/>
        <w:spacing w:after="0" w:line="287" w:lineRule="auto"/>
        <w:rPr>
          <w:sz w:val="20"/>
          <w:szCs w:val="20"/>
          <w:color w:val="auto"/>
        </w:rPr>
      </w:pPr>
      <w:r>
        <w:rPr>
          <w:rFonts w:ascii="Arial" w:cs="Arial" w:eastAsia="Arial" w:hAnsi="Arial"/>
          <w:sz w:val="19"/>
          <w:szCs w:val="19"/>
          <w:color w:val="auto"/>
        </w:rPr>
        <w:t>and in pursuance of such indemnity, Grantee hereby agrees that he or she shall pay to the Corporation (or to such other entity as directed by it) such amount as shall be notified to Grantee by the Corporation as being due on any occasion under such indemnity, within seven days after being so notified. To the extent that Grantee fails to pay any amount so notified to him or by the Corporation within seven days after such notification, Grantee hereby agrees that the Corporation may withhold, or procure the withholding, from any salary, wages, payment or payments due to Grantee from the Corporation or the Grantee’s employer an amount which is equal to the amount notified to Grantee, sell or procure the sale of sufficient of the shares of Stock acquired by Grantee pursuant to the Award on behalf of Grantee to produce a sum which after any costs of sale is sufficient to discharge the amount so notified to Grantee and retain such sum or make such other arrangements, by which Grantee hereby agrees to be bound, so as to ensure that the amount notified to Grantee is discharged in full. The Corporation will not be obliged to deliver any shares of Stock to Grantee pursuant to the Award if Grantee fails to comply with his or her obligations under the foregoing provisions of this Section II.B.2 and Grantee shall not be entitled to receive the delivery of such shares of Stock.”</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Clawback Policy</w:t>
      </w:r>
      <w:r>
        <w:rPr>
          <w:rFonts w:ascii="Arial" w:cs="Arial" w:eastAsia="Arial" w:hAnsi="Arial"/>
          <w:sz w:val="22"/>
          <w:szCs w:val="22"/>
          <w:color w:val="auto"/>
        </w:rPr>
        <w:t>. Section II.B.12 of the Agreement shall not apply.</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Data Privacy</w:t>
      </w:r>
      <w:r>
        <w:rPr>
          <w:rFonts w:ascii="Arial" w:cs="Arial" w:eastAsia="Arial" w:hAnsi="Arial"/>
          <w:sz w:val="22"/>
          <w:szCs w:val="22"/>
          <w:color w:val="auto"/>
        </w:rPr>
        <w:t>. A new Section II.B.13 is added to the Agreement to read as follows:</w:t>
      </w:r>
    </w:p>
    <w:p>
      <w:pPr>
        <w:spacing w:after="0" w:line="266" w:lineRule="exact"/>
        <w:rPr>
          <w:sz w:val="20"/>
          <w:szCs w:val="20"/>
          <w:color w:val="auto"/>
        </w:rPr>
      </w:pPr>
    </w:p>
    <w:p>
      <w:pPr>
        <w:jc w:val="both"/>
        <w:ind w:left="1300"/>
        <w:spacing w:after="0" w:line="250" w:lineRule="auto"/>
        <w:rPr>
          <w:sz w:val="20"/>
          <w:szCs w:val="20"/>
          <w:color w:val="auto"/>
        </w:rPr>
      </w:pPr>
      <w:r>
        <w:rPr>
          <w:rFonts w:ascii="Arial" w:cs="Arial" w:eastAsia="Arial" w:hAnsi="Arial"/>
          <w:sz w:val="22"/>
          <w:szCs w:val="22"/>
          <w:color w:val="auto"/>
        </w:rPr>
        <w:t>“The Corporation and Grantee’s employer (together the “Data Processors”) will process the Grantee’s personal data and each may transfer the Grantee’s personal data to their Subsidiaries, HM Revenue and Customs and third party service providers, for the purposes of managing and administering the Award and the operation of the Plan including but not limited to:</w:t>
      </w:r>
    </w:p>
    <w:p>
      <w:pPr>
        <w:spacing w:after="0" w:line="188" w:lineRule="exact"/>
        <w:rPr>
          <w:sz w:val="20"/>
          <w:szCs w:val="20"/>
          <w:color w:val="auto"/>
        </w:rPr>
      </w:pPr>
    </w:p>
    <w:p>
      <w:pPr>
        <w:ind w:left="1960" w:hanging="655"/>
        <w:spacing w:after="0"/>
        <w:tabs>
          <w:tab w:leader="none" w:pos="1960" w:val="left"/>
        </w:tabs>
        <w:numPr>
          <w:ilvl w:val="0"/>
          <w:numId w:val="160"/>
        </w:numPr>
        <w:rPr>
          <w:rFonts w:ascii="Arial" w:cs="Arial" w:eastAsia="Arial" w:hAnsi="Arial"/>
          <w:sz w:val="22"/>
          <w:szCs w:val="22"/>
          <w:color w:val="auto"/>
        </w:rPr>
      </w:pPr>
      <w:r>
        <w:rPr>
          <w:rFonts w:ascii="Arial" w:cs="Arial" w:eastAsia="Arial" w:hAnsi="Arial"/>
          <w:sz w:val="22"/>
          <w:szCs w:val="22"/>
          <w:color w:val="auto"/>
        </w:rPr>
        <w:t>administering and maintaining records relating to Grantee;</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59" w:lineRule="exact"/>
        <w:rPr>
          <w:rFonts w:ascii="Arial" w:cs="Arial" w:eastAsia="Arial" w:hAnsi="Arial"/>
          <w:sz w:val="22"/>
          <w:szCs w:val="22"/>
          <w:color w:val="auto"/>
        </w:rPr>
      </w:pPr>
    </w:p>
    <w:p>
      <w:pPr>
        <w:ind w:left="5640"/>
        <w:spacing w:after="0"/>
        <w:rPr>
          <w:rFonts w:ascii="Arial" w:cs="Arial" w:eastAsia="Arial" w:hAnsi="Arial"/>
          <w:sz w:val="22"/>
          <w:szCs w:val="22"/>
          <w:color w:val="auto"/>
        </w:rPr>
      </w:pPr>
      <w:r>
        <w:rPr>
          <w:rFonts w:ascii="Arial" w:cs="Arial" w:eastAsia="Arial" w:hAnsi="Arial"/>
          <w:sz w:val="22"/>
          <w:szCs w:val="22"/>
          <w:color w:val="auto"/>
        </w:rPr>
        <w:t>vi</w:t>
      </w:r>
    </w:p>
    <w:p>
      <w:pPr>
        <w:sectPr>
          <w:pgSz w:w="11900" w:h="16838" w:orient="portrait"/>
          <w:cols w:equalWidth="0" w:num="1">
            <w:col w:w="11420"/>
          </w:cols>
          <w:pgMar w:left="240" w:top="631" w:right="239" w:bottom="1440" w:gutter="0" w:footer="0" w:header="0"/>
        </w:sectPr>
      </w:pPr>
    </w:p>
    <w:bookmarkStart w:id="144" w:name="page145"/>
    <w:bookmarkEnd w:id="144"/>
    <w:p>
      <w:pPr>
        <w:ind w:left="1960" w:right="20" w:hanging="655"/>
        <w:spacing w:after="0" w:line="263" w:lineRule="auto"/>
        <w:tabs>
          <w:tab w:leader="none" w:pos="1960" w:val="left"/>
        </w:tabs>
        <w:numPr>
          <w:ilvl w:val="0"/>
          <w:numId w:val="161"/>
        </w:numPr>
        <w:rPr>
          <w:rFonts w:ascii="Arial" w:cs="Arial" w:eastAsia="Arial" w:hAnsi="Arial"/>
          <w:sz w:val="22"/>
          <w:szCs w:val="22"/>
          <w:color w:val="auto"/>
        </w:rPr>
      </w:pPr>
      <w:r>
        <w:rPr>
          <w:rFonts w:ascii="Arial" w:cs="Arial" w:eastAsia="Arial" w:hAnsi="Arial"/>
          <w:sz w:val="22"/>
          <w:szCs w:val="22"/>
          <w:color w:val="auto"/>
        </w:rPr>
        <w:t>providing information to (i) trustees of any employee benefit trust or (ii) other third party administrators involved directly or indirectly in the operation of the Plan;</w:t>
      </w:r>
    </w:p>
    <w:p>
      <w:pPr>
        <w:spacing w:after="0" w:line="215" w:lineRule="exact"/>
        <w:rPr>
          <w:rFonts w:ascii="Arial" w:cs="Arial" w:eastAsia="Arial" w:hAnsi="Arial"/>
          <w:sz w:val="22"/>
          <w:szCs w:val="22"/>
          <w:color w:val="auto"/>
        </w:rPr>
      </w:pPr>
    </w:p>
    <w:p>
      <w:pPr>
        <w:ind w:left="1960" w:hanging="655"/>
        <w:spacing w:after="0" w:line="263" w:lineRule="auto"/>
        <w:tabs>
          <w:tab w:leader="none" w:pos="1960" w:val="left"/>
        </w:tabs>
        <w:numPr>
          <w:ilvl w:val="0"/>
          <w:numId w:val="161"/>
        </w:numPr>
        <w:rPr>
          <w:rFonts w:ascii="Arial" w:cs="Arial" w:eastAsia="Arial" w:hAnsi="Arial"/>
          <w:sz w:val="22"/>
          <w:szCs w:val="22"/>
          <w:color w:val="auto"/>
        </w:rPr>
      </w:pPr>
      <w:r>
        <w:rPr>
          <w:rFonts w:ascii="Arial" w:cs="Arial" w:eastAsia="Arial" w:hAnsi="Arial"/>
          <w:sz w:val="22"/>
          <w:szCs w:val="22"/>
          <w:color w:val="auto"/>
        </w:rPr>
        <w:t>providing information relating to the Grantee in connection with the operation of the Plan to HM Revenue and Customs;</w:t>
      </w:r>
    </w:p>
    <w:p>
      <w:pPr>
        <w:spacing w:after="0" w:line="215" w:lineRule="exact"/>
        <w:rPr>
          <w:rFonts w:ascii="Arial" w:cs="Arial" w:eastAsia="Arial" w:hAnsi="Arial"/>
          <w:sz w:val="22"/>
          <w:szCs w:val="22"/>
          <w:color w:val="auto"/>
        </w:rPr>
      </w:pPr>
    </w:p>
    <w:p>
      <w:pPr>
        <w:ind w:left="1960" w:hanging="655"/>
        <w:spacing w:after="0"/>
        <w:tabs>
          <w:tab w:leader="none" w:pos="1960" w:val="left"/>
        </w:tabs>
        <w:numPr>
          <w:ilvl w:val="0"/>
          <w:numId w:val="161"/>
        </w:numPr>
        <w:rPr>
          <w:rFonts w:ascii="Arial" w:cs="Arial" w:eastAsia="Arial" w:hAnsi="Arial"/>
          <w:sz w:val="22"/>
          <w:szCs w:val="22"/>
          <w:color w:val="auto"/>
        </w:rPr>
      </w:pPr>
      <w:r>
        <w:rPr>
          <w:rFonts w:ascii="Arial" w:cs="Arial" w:eastAsia="Arial" w:hAnsi="Arial"/>
          <w:sz w:val="22"/>
          <w:szCs w:val="22"/>
          <w:color w:val="auto"/>
        </w:rPr>
        <w:t>providing information to potential purchasers of one or more of the Data Processors; and</w:t>
      </w:r>
    </w:p>
    <w:p>
      <w:pPr>
        <w:spacing w:after="0" w:line="260" w:lineRule="exact"/>
        <w:rPr>
          <w:rFonts w:ascii="Arial" w:cs="Arial" w:eastAsia="Arial" w:hAnsi="Arial"/>
          <w:sz w:val="22"/>
          <w:szCs w:val="22"/>
          <w:color w:val="auto"/>
        </w:rPr>
      </w:pPr>
    </w:p>
    <w:p>
      <w:pPr>
        <w:jc w:val="both"/>
        <w:ind w:left="1960" w:hanging="655"/>
        <w:spacing w:after="0" w:line="253" w:lineRule="auto"/>
        <w:tabs>
          <w:tab w:leader="none" w:pos="1960" w:val="left"/>
        </w:tabs>
        <w:numPr>
          <w:ilvl w:val="0"/>
          <w:numId w:val="161"/>
        </w:numPr>
        <w:rPr>
          <w:rFonts w:ascii="Arial" w:cs="Arial" w:eastAsia="Arial" w:hAnsi="Arial"/>
          <w:sz w:val="22"/>
          <w:szCs w:val="22"/>
          <w:color w:val="auto"/>
        </w:rPr>
      </w:pPr>
      <w:r>
        <w:rPr>
          <w:rFonts w:ascii="Arial" w:cs="Arial" w:eastAsia="Arial" w:hAnsi="Arial"/>
          <w:sz w:val="22"/>
          <w:szCs w:val="22"/>
          <w:color w:val="auto"/>
        </w:rPr>
        <w:t>allowing any personal data provided by Grantee to be sent to and kept and used by any third party engaged by the Corporation to administer the Plan, including but not limited to the maintenance by such a third party of a database of Participants in the Plan.</w:t>
      </w:r>
    </w:p>
    <w:p>
      <w:pPr>
        <w:spacing w:after="0" w:line="226" w:lineRule="exact"/>
        <w:rPr>
          <w:sz w:val="20"/>
          <w:szCs w:val="20"/>
          <w:color w:val="auto"/>
        </w:rPr>
      </w:pPr>
    </w:p>
    <w:p>
      <w:pPr>
        <w:jc w:val="both"/>
        <w:ind w:left="1300"/>
        <w:spacing w:after="0" w:line="294" w:lineRule="auto"/>
        <w:rPr>
          <w:sz w:val="20"/>
          <w:szCs w:val="20"/>
          <w:color w:val="auto"/>
        </w:rPr>
      </w:pPr>
      <w:r>
        <w:rPr>
          <w:rFonts w:ascii="Arial" w:cs="Arial" w:eastAsia="Arial" w:hAnsi="Arial"/>
          <w:sz w:val="19"/>
          <w:szCs w:val="19"/>
          <w:color w:val="auto"/>
        </w:rPr>
        <w:t>Such personal data includes (without limitation) Grantee’s name, home address and telephone number; date of birth; social insurance or national insurance number or other identification number; salary; nationality; job title; any Stock or directorships held in the any of the Data Processors; alleged, proven and convicted offences, felonies and/or wilful misconduct; wilful failure or refusal to follow directions from the board of the Corporation; breach of fiduciary duty to the Corporation or a Subsidiary; and details of all Awards or any other entitlement to Stock awarded, cancelled, exercised, vested, unvested or outstanding in Grantee’s favour.</w:t>
      </w:r>
    </w:p>
    <w:p>
      <w:pPr>
        <w:spacing w:after="0" w:line="150" w:lineRule="exact"/>
        <w:rPr>
          <w:sz w:val="20"/>
          <w:szCs w:val="20"/>
          <w:color w:val="auto"/>
        </w:rPr>
      </w:pPr>
    </w:p>
    <w:p>
      <w:pPr>
        <w:jc w:val="both"/>
        <w:ind w:left="1300"/>
        <w:spacing w:after="0" w:line="263" w:lineRule="auto"/>
        <w:rPr>
          <w:sz w:val="20"/>
          <w:szCs w:val="20"/>
          <w:color w:val="auto"/>
        </w:rPr>
      </w:pPr>
      <w:r>
        <w:rPr>
          <w:rFonts w:ascii="Arial" w:cs="Arial" w:eastAsia="Arial" w:hAnsi="Arial"/>
          <w:sz w:val="21"/>
          <w:szCs w:val="21"/>
          <w:color w:val="auto"/>
        </w:rPr>
        <w:t>Grantee’s personal data may be transferred to the Data Processors or to any third parties assisting in the implementation, administration and management of the Plan and/or the Award which are based outside of the UK. Grantee’s employer and the Corporation (as appropriate) will implement safeguards to ensure the appropriate levels of protection for all such personal data. Grantee may request a list with the names and addresses of any potential recipients of the data by contacting their local human resources representative.</w:t>
      </w:r>
    </w:p>
    <w:p>
      <w:pPr>
        <w:spacing w:after="0" w:line="176" w:lineRule="exact"/>
        <w:rPr>
          <w:sz w:val="20"/>
          <w:szCs w:val="20"/>
          <w:color w:val="auto"/>
        </w:rPr>
      </w:pPr>
    </w:p>
    <w:p>
      <w:pPr>
        <w:jc w:val="both"/>
        <w:ind w:left="1300"/>
        <w:spacing w:after="0" w:line="302" w:lineRule="auto"/>
        <w:rPr>
          <w:sz w:val="20"/>
          <w:szCs w:val="20"/>
          <w:color w:val="auto"/>
        </w:rPr>
      </w:pPr>
      <w:r>
        <w:rPr>
          <w:rFonts w:ascii="Arial" w:cs="Arial" w:eastAsia="Arial" w:hAnsi="Arial"/>
          <w:sz w:val="19"/>
          <w:szCs w:val="19"/>
          <w:color w:val="auto"/>
        </w:rPr>
        <w:t>Grantee’s personal data will be held only as long as is necessary for the purpose for which it was collected. Grantee may (without cost) by contacting in writing their local human resources representative (i) view or request additional information about the storage and processing of their personal data, and/or (ii) request that any personal data that the Data Processors hold about Grantee which is inaccurate or out of date is corrected where appropriate.”</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Loss of Office or Employment</w:t>
      </w:r>
      <w:r>
        <w:rPr>
          <w:rFonts w:ascii="Arial" w:cs="Arial" w:eastAsia="Arial" w:hAnsi="Arial"/>
          <w:sz w:val="22"/>
          <w:szCs w:val="22"/>
          <w:color w:val="auto"/>
        </w:rPr>
        <w:t>. A new Section II.B.14 is added to the Agreement to read as follows:</w:t>
      </w:r>
    </w:p>
    <w:p>
      <w:pPr>
        <w:spacing w:after="0" w:line="266" w:lineRule="exact"/>
        <w:rPr>
          <w:sz w:val="20"/>
          <w:szCs w:val="20"/>
          <w:color w:val="auto"/>
        </w:rPr>
      </w:pPr>
    </w:p>
    <w:p>
      <w:pPr>
        <w:jc w:val="both"/>
        <w:ind w:left="1300"/>
        <w:spacing w:after="0" w:line="253" w:lineRule="auto"/>
        <w:rPr>
          <w:sz w:val="20"/>
          <w:szCs w:val="20"/>
          <w:color w:val="auto"/>
        </w:rPr>
      </w:pPr>
      <w:r>
        <w:rPr>
          <w:rFonts w:ascii="Arial" w:cs="Arial" w:eastAsia="Arial" w:hAnsi="Arial"/>
          <w:sz w:val="22"/>
          <w:szCs w:val="22"/>
          <w:color w:val="auto"/>
        </w:rPr>
        <w:t>“In no circumstances shall Grantee, on ceasing to hold the office or employment by virtue of which he has been granted this Award, be entitled to any compensation for any loss of any right or benefit or prospective right or benefit under the Award or the Plan which he might otherwise have enjoyed</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vii</w:t>
      </w:r>
    </w:p>
    <w:p>
      <w:pPr>
        <w:sectPr>
          <w:pgSz w:w="11900" w:h="16838" w:orient="portrait"/>
          <w:cols w:equalWidth="0" w:num="1">
            <w:col w:w="11420"/>
          </w:cols>
          <w:pgMar w:left="240" w:top="631" w:right="239" w:bottom="1440" w:gutter="0" w:footer="0" w:header="0"/>
        </w:sectPr>
      </w:pPr>
    </w:p>
    <w:bookmarkStart w:id="145" w:name="page146"/>
    <w:bookmarkEnd w:id="145"/>
    <w:p>
      <w:pPr>
        <w:ind w:left="1300"/>
        <w:spacing w:after="0" w:line="263" w:lineRule="auto"/>
        <w:rPr>
          <w:sz w:val="20"/>
          <w:szCs w:val="20"/>
          <w:color w:val="auto"/>
        </w:rPr>
      </w:pPr>
      <w:r>
        <w:rPr>
          <w:rFonts w:ascii="Arial" w:cs="Arial" w:eastAsia="Arial" w:hAnsi="Arial"/>
          <w:sz w:val="22"/>
          <w:szCs w:val="22"/>
          <w:color w:val="auto"/>
        </w:rPr>
        <w:t>whether such compensation is claimed by way of damages for wrongful dismissal or other breach of contract or by way of compensation for loss of office or otherwise.”</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Notifications</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There are no country-specific notifications.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viii</w:t>
      </w:r>
    </w:p>
    <w:p>
      <w:pPr>
        <w:sectPr>
          <w:pgSz w:w="11900" w:h="16838" w:orient="portrait"/>
          <w:cols w:equalWidth="0" w:num="1">
            <w:col w:w="11420"/>
          </w:cols>
          <w:pgMar w:left="240" w:top="631" w:right="239" w:bottom="1440" w:gutter="0" w:footer="0" w:header="0"/>
        </w:sectPr>
      </w:pPr>
    </w:p>
    <w:bookmarkStart w:id="146" w:name="page147"/>
    <w:bookmarkEnd w:id="146"/>
    <w:p>
      <w:pPr>
        <w:jc w:val="right"/>
        <w:spacing w:after="0"/>
        <w:rPr>
          <w:sz w:val="20"/>
          <w:szCs w:val="20"/>
          <w:color w:val="auto"/>
        </w:rPr>
      </w:pPr>
      <w:r>
        <w:rPr>
          <w:rFonts w:ascii="Arial" w:cs="Arial" w:eastAsia="Arial" w:hAnsi="Arial"/>
          <w:sz w:val="22"/>
          <w:szCs w:val="22"/>
          <w:b w:val="1"/>
          <w:bCs w:val="1"/>
          <w:color w:val="auto"/>
        </w:rPr>
        <w:t>Exhibit 10.8</w:t>
      </w:r>
    </w:p>
    <w:p>
      <w:pPr>
        <w:spacing w:after="0" w:line="26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Restricted Stock Unit</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One-Year Vest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TRIMAS CORPORATION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2011 OMNIBUS INCENTIVE COMPENSATION PLAN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UNITS AGREEMENT</w:t>
      </w:r>
    </w:p>
    <w:p>
      <w:pPr>
        <w:spacing w:after="0" w:line="266"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TriMas Corporation (the “Corporation”), as permitted by the TriMas Corporation 2011 Omnibus Incentive Compensation Plan, as amended (“Plan”), and as approved by the Committee, grants to the individual listed below (“Grantee”), a Restricted Stock Units Award (“Award”) for the number of Restricted Stock Units set forth below (“Restricted Stock Units”), subject to the terms and conditions of the Plan and this Restricted Stock Units Agreement (“Agreement”).</w:t>
      </w:r>
    </w:p>
    <w:p>
      <w:pPr>
        <w:spacing w:after="0" w:line="17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Unless otherwise defined in this Agreement or in Appendix A to this Agreement, the terms used in this Agreement have the same meaning as defined in the Plan. The term “Service Provider” as used in this Agreement means an individual actively providing services to the Corporation or a Subsidiary or Affiliate of the Corporation.</w:t>
      </w:r>
    </w:p>
    <w:p>
      <w:pPr>
        <w:spacing w:after="0" w:line="180" w:lineRule="exact"/>
        <w:rPr>
          <w:sz w:val="20"/>
          <w:szCs w:val="20"/>
          <w:color w:val="auto"/>
        </w:rPr>
      </w:pPr>
    </w:p>
    <w:p>
      <w:pPr>
        <w:ind w:left="360" w:hanging="352"/>
        <w:spacing w:after="0"/>
        <w:tabs>
          <w:tab w:leader="none" w:pos="360" w:val="left"/>
        </w:tabs>
        <w:numPr>
          <w:ilvl w:val="0"/>
          <w:numId w:val="16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NOTICE OF RESTRICTED STOCK UNITS AWARD</w:t>
      </w:r>
    </w:p>
    <w:p>
      <w:pPr>
        <w:sectPr>
          <w:pgSz w:w="11900" w:h="16838" w:orient="portrait"/>
          <w:cols w:equalWidth="0" w:num="1">
            <w:col w:w="11420"/>
          </w:cols>
          <w:pgMar w:left="240" w:top="625" w:right="239" w:bottom="1440" w:gutter="0" w:footer="0" w:header="0"/>
        </w:sectPr>
      </w:pPr>
    </w:p>
    <w:p>
      <w:pPr>
        <w:spacing w:after="0" w:line="368" w:lineRule="exact"/>
        <w:rPr>
          <w:sz w:val="20"/>
          <w:szCs w:val="20"/>
          <w:color w:val="auto"/>
        </w:rPr>
      </w:pPr>
    </w:p>
    <w:p>
      <w:pPr>
        <w:ind w:left="420"/>
        <w:spacing w:after="0"/>
        <w:rPr>
          <w:sz w:val="20"/>
          <w:szCs w:val="20"/>
          <w:color w:val="auto"/>
        </w:rPr>
      </w:pPr>
      <w:r>
        <w:rPr>
          <w:rFonts w:ascii="Arial" w:cs="Arial" w:eastAsia="Arial" w:hAnsi="Arial"/>
          <w:sz w:val="22"/>
          <w:szCs w:val="22"/>
          <w:b w:val="1"/>
          <w:bCs w:val="1"/>
          <w:color w:val="auto"/>
        </w:rPr>
        <w:t>Grantee:</w:t>
      </w:r>
    </w:p>
    <w:p>
      <w:pPr>
        <w:spacing w:after="0" w:line="44" w:lineRule="exact"/>
        <w:rPr>
          <w:sz w:val="20"/>
          <w:szCs w:val="20"/>
          <w:color w:val="auto"/>
        </w:rPr>
      </w:pPr>
    </w:p>
    <w:p>
      <w:pPr>
        <w:ind w:left="420"/>
        <w:spacing w:after="0"/>
        <w:rPr>
          <w:sz w:val="20"/>
          <w:szCs w:val="20"/>
          <w:color w:val="auto"/>
        </w:rPr>
      </w:pPr>
      <w:r>
        <w:rPr>
          <w:rFonts w:ascii="Arial" w:cs="Arial" w:eastAsia="Arial" w:hAnsi="Arial"/>
          <w:sz w:val="22"/>
          <w:szCs w:val="22"/>
          <w:b w:val="1"/>
          <w:bCs w:val="1"/>
          <w:color w:val="auto"/>
        </w:rPr>
        <w:t>Date of Agreement:</w:t>
      </w:r>
    </w:p>
    <w:p>
      <w:pPr>
        <w:spacing w:after="0" w:line="44" w:lineRule="exact"/>
        <w:rPr>
          <w:sz w:val="20"/>
          <w:szCs w:val="20"/>
          <w:color w:val="auto"/>
        </w:rPr>
      </w:pPr>
    </w:p>
    <w:p>
      <w:pPr>
        <w:ind w:left="420"/>
        <w:spacing w:after="0"/>
        <w:rPr>
          <w:sz w:val="20"/>
          <w:szCs w:val="20"/>
          <w:color w:val="auto"/>
        </w:rPr>
      </w:pPr>
      <w:r>
        <w:rPr>
          <w:rFonts w:ascii="Arial" w:cs="Arial" w:eastAsia="Arial" w:hAnsi="Arial"/>
          <w:sz w:val="22"/>
          <w:szCs w:val="22"/>
          <w:b w:val="1"/>
          <w:bCs w:val="1"/>
          <w:color w:val="auto"/>
        </w:rPr>
        <w:t>Grant Date:</w:t>
      </w:r>
    </w:p>
    <w:p>
      <w:pPr>
        <w:spacing w:after="0" w:line="44" w:lineRule="exact"/>
        <w:rPr>
          <w:sz w:val="20"/>
          <w:szCs w:val="20"/>
          <w:color w:val="auto"/>
        </w:rPr>
      </w:pPr>
    </w:p>
    <w:p>
      <w:pPr>
        <w:ind w:left="420"/>
        <w:spacing w:after="0"/>
        <w:rPr>
          <w:sz w:val="20"/>
          <w:szCs w:val="20"/>
          <w:color w:val="auto"/>
        </w:rPr>
      </w:pPr>
      <w:r>
        <w:rPr>
          <w:rFonts w:ascii="Arial" w:cs="Arial" w:eastAsia="Arial" w:hAnsi="Arial"/>
          <w:sz w:val="19"/>
          <w:szCs w:val="19"/>
          <w:b w:val="1"/>
          <w:bCs w:val="1"/>
          <w:color w:val="auto"/>
        </w:rPr>
        <w:t>Number of Restricted Stock Units:</w:t>
      </w:r>
    </w:p>
    <w:p>
      <w:pPr>
        <w:spacing w:after="0" w:line="20" w:lineRule="exact"/>
        <w:rPr>
          <w:sz w:val="20"/>
          <w:szCs w:val="20"/>
          <w:color w:val="auto"/>
        </w:rPr>
      </w:pPr>
      <w:r>
        <w:rPr>
          <w:sz w:val="20"/>
          <w:szCs w:val="20"/>
          <w:color w:val="auto"/>
        </w:rPr>
        <w:br w:type="column"/>
      </w:r>
    </w:p>
    <w:p>
      <w:pPr>
        <w:spacing w:after="0" w:line="3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[specify Grantee’s name]</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[grant date]</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March 1, 2016</w:t>
      </w:r>
    </w:p>
    <w:p>
      <w:pPr>
        <w:spacing w:after="0" w:line="4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[number of Restricted Stock Units]</w:t>
      </w:r>
    </w:p>
    <w:p>
      <w:pPr>
        <w:spacing w:after="0" w:line="200" w:lineRule="exact"/>
        <w:rPr>
          <w:sz w:val="20"/>
          <w:szCs w:val="20"/>
          <w:color w:val="auto"/>
        </w:rPr>
      </w:pPr>
    </w:p>
    <w:p>
      <w:pPr>
        <w:sectPr>
          <w:pgSz w:w="11900" w:h="16838" w:orient="portrait"/>
          <w:cols w:equalWidth="0" w:num="2">
            <w:col w:w="6100" w:space="720"/>
            <w:col w:w="4600"/>
          </w:cols>
          <w:pgMar w:left="240" w:top="625" w:right="239" w:bottom="1440" w:gutter="0" w:footer="0" w:header="0"/>
          <w:type w:val="continuous"/>
        </w:sectPr>
      </w:pPr>
    </w:p>
    <w:p>
      <w:pPr>
        <w:spacing w:after="0" w:line="122" w:lineRule="exact"/>
        <w:rPr>
          <w:sz w:val="20"/>
          <w:szCs w:val="20"/>
          <w:color w:val="auto"/>
        </w:rPr>
      </w:pPr>
    </w:p>
    <w:p>
      <w:pPr>
        <w:ind w:left="420" w:hanging="412"/>
        <w:spacing w:after="0"/>
        <w:tabs>
          <w:tab w:leader="none" w:pos="420" w:val="left"/>
        </w:tabs>
        <w:numPr>
          <w:ilvl w:val="0"/>
          <w:numId w:val="163"/>
        </w:numPr>
        <w:rPr>
          <w:rFonts w:ascii="Arial" w:cs="Arial" w:eastAsia="Arial" w:hAnsi="Arial"/>
          <w:sz w:val="22"/>
          <w:szCs w:val="22"/>
          <w:color w:val="auto"/>
        </w:rPr>
      </w:pPr>
      <w:r>
        <w:rPr>
          <w:rFonts w:ascii="Arial" w:cs="Arial" w:eastAsia="Arial" w:hAnsi="Arial"/>
          <w:sz w:val="22"/>
          <w:szCs w:val="22"/>
          <w:b w:val="1"/>
          <w:bCs w:val="1"/>
          <w:u w:val="single" w:color="auto"/>
          <w:color w:val="auto"/>
        </w:rPr>
        <w:t>AGREEMENT</w:t>
      </w:r>
    </w:p>
    <w:p>
      <w:pPr>
        <w:spacing w:after="0" w:line="219" w:lineRule="exact"/>
        <w:rPr>
          <w:rFonts w:ascii="Arial" w:cs="Arial" w:eastAsia="Arial" w:hAnsi="Arial"/>
          <w:sz w:val="22"/>
          <w:szCs w:val="22"/>
          <w:color w:val="auto"/>
        </w:rPr>
      </w:pPr>
    </w:p>
    <w:p>
      <w:pPr>
        <w:jc w:val="both"/>
        <w:ind w:firstLine="648"/>
        <w:spacing w:after="0" w:line="298" w:lineRule="auto"/>
        <w:rPr>
          <w:rFonts w:ascii="Arial" w:cs="Arial" w:eastAsia="Arial" w:hAnsi="Arial"/>
          <w:sz w:val="22"/>
          <w:szCs w:val="22"/>
          <w:color w:val="auto"/>
        </w:rPr>
      </w:pPr>
      <w:r>
        <w:rPr>
          <w:rFonts w:ascii="Arial" w:cs="Arial" w:eastAsia="Arial" w:hAnsi="Arial"/>
          <w:sz w:val="19"/>
          <w:szCs w:val="19"/>
          <w:b w:val="1"/>
          <w:bCs w:val="1"/>
          <w:color w:val="auto"/>
        </w:rPr>
        <w:t xml:space="preserve">A. </w:t>
      </w:r>
      <w:r>
        <w:rPr>
          <w:rFonts w:ascii="Arial" w:cs="Arial" w:eastAsia="Arial" w:hAnsi="Arial"/>
          <w:sz w:val="19"/>
          <w:szCs w:val="19"/>
          <w:b w:val="1"/>
          <w:bCs w:val="1"/>
          <w:u w:val="single" w:color="auto"/>
          <w:color w:val="auto"/>
        </w:rPr>
        <w:t>Grant of Restricted Stock Units.</w:t>
      </w:r>
      <w:r>
        <w:rPr>
          <w:rFonts w:ascii="Arial" w:cs="Arial" w:eastAsia="Arial" w:hAnsi="Arial"/>
          <w:sz w:val="19"/>
          <w:szCs w:val="19"/>
          <w:b w:val="1"/>
          <w:bCs w:val="1"/>
          <w:color w:val="auto"/>
        </w:rPr>
        <w:t xml:space="preserve"> </w:t>
      </w:r>
      <w:r>
        <w:rPr>
          <w:rFonts w:ascii="Arial" w:cs="Arial" w:eastAsia="Arial" w:hAnsi="Arial"/>
          <w:sz w:val="19"/>
          <w:szCs w:val="19"/>
          <w:color w:val="auto"/>
        </w:rPr>
        <w:t>The Corporation grants to Grantee (who, pursuant to this Award is a Participant in</w:t>
      </w:r>
      <w:r>
        <w:rPr>
          <w:rFonts w:ascii="Arial" w:cs="Arial" w:eastAsia="Arial" w:hAnsi="Arial"/>
          <w:sz w:val="19"/>
          <w:szCs w:val="19"/>
          <w:b w:val="1"/>
          <w:bCs w:val="1"/>
          <w:color w:val="auto"/>
        </w:rPr>
        <w:t xml:space="preserve"> </w:t>
      </w:r>
      <w:r>
        <w:rPr>
          <w:rFonts w:ascii="Arial" w:cs="Arial" w:eastAsia="Arial" w:hAnsi="Arial"/>
          <w:sz w:val="19"/>
          <w:szCs w:val="19"/>
          <w:color w:val="auto"/>
        </w:rPr>
        <w:t>the Plan) the number of Restricted Stock Units set forth above, subject to adjustment as provided in this Agreement. The Restricted Stock Units granted under this Agreement are payable only in shares of Stock as described in Section II.A.2. Notwithstanding anything to the contrary anywhere else in this Agreement, the Restricted Stock Units subject to this Award are subject to the terms and provisions of the Plan, which are incorporated by reference into this Agreement.</w:t>
      </w:r>
    </w:p>
    <w:p>
      <w:pPr>
        <w:sectPr>
          <w:pgSz w:w="11900" w:h="16838" w:orient="portrait"/>
          <w:cols w:equalWidth="0" w:num="1">
            <w:col w:w="11420"/>
          </w:cols>
          <w:pgMar w:left="240" w:top="625" w:right="239" w:bottom="1440" w:gutter="0" w:footer="0" w:header="0"/>
          <w:type w:val="continuous"/>
        </w:sectPr>
      </w:pPr>
    </w:p>
    <w:bookmarkStart w:id="147" w:name="page148"/>
    <w:bookmarkEnd w:id="147"/>
    <w:p>
      <w:pPr>
        <w:ind w:left="1020" w:hanging="375"/>
        <w:spacing w:after="0"/>
        <w:tabs>
          <w:tab w:leader="none" w:pos="1020" w:val="left"/>
        </w:tabs>
        <w:numPr>
          <w:ilvl w:val="0"/>
          <w:numId w:val="16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Vesting</w:t>
      </w:r>
      <w:r>
        <w:rPr>
          <w:rFonts w:ascii="Arial" w:cs="Arial" w:eastAsia="Arial" w:hAnsi="Arial"/>
          <w:sz w:val="22"/>
          <w:szCs w:val="22"/>
          <w:color w:val="auto"/>
        </w:rPr>
        <w:t>.</w:t>
      </w:r>
    </w:p>
    <w:p>
      <w:pPr>
        <w:spacing w:after="0" w:line="220" w:lineRule="exact"/>
        <w:rPr>
          <w:sz w:val="20"/>
          <w:szCs w:val="20"/>
          <w:color w:val="auto"/>
        </w:rPr>
      </w:pPr>
    </w:p>
    <w:p>
      <w:pPr>
        <w:jc w:val="both"/>
        <w:ind w:right="180" w:firstLine="645"/>
        <w:spacing w:after="0" w:line="350" w:lineRule="auto"/>
        <w:tabs>
          <w:tab w:leader="none" w:pos="1536" w:val="left"/>
        </w:tabs>
        <w:numPr>
          <w:ilvl w:val="0"/>
          <w:numId w:val="165"/>
        </w:numPr>
        <w:rPr>
          <w:rFonts w:ascii="Arial" w:cs="Arial" w:eastAsia="Arial" w:hAnsi="Arial"/>
          <w:sz w:val="19"/>
          <w:szCs w:val="19"/>
          <w:color w:val="auto"/>
        </w:rPr>
      </w:pPr>
      <w:r>
        <w:rPr>
          <w:rFonts w:ascii="Arial" w:cs="Arial" w:eastAsia="Arial" w:hAnsi="Arial"/>
          <w:sz w:val="19"/>
          <w:szCs w:val="19"/>
          <w:b w:val="1"/>
          <w:bCs w:val="1"/>
          <w:color w:val="auto"/>
        </w:rPr>
        <w:t>General</w:t>
      </w:r>
      <w:r>
        <w:rPr>
          <w:rFonts w:ascii="Arial" w:cs="Arial" w:eastAsia="Arial" w:hAnsi="Arial"/>
          <w:sz w:val="19"/>
          <w:szCs w:val="19"/>
          <w:color w:val="auto"/>
        </w:rPr>
        <w:t>. Subject to Section II.A.1(b), the Restricted Stock Units will vest in full on the first anniversary</w:t>
      </w:r>
      <w:r>
        <w:rPr>
          <w:rFonts w:ascii="Arial" w:cs="Arial" w:eastAsia="Arial" w:hAnsi="Arial"/>
          <w:sz w:val="19"/>
          <w:szCs w:val="19"/>
          <w:b w:val="1"/>
          <w:bCs w:val="1"/>
          <w:color w:val="auto"/>
        </w:rPr>
        <w:t xml:space="preserve"> </w:t>
      </w:r>
      <w:r>
        <w:rPr>
          <w:rFonts w:ascii="Arial" w:cs="Arial" w:eastAsia="Arial" w:hAnsi="Arial"/>
          <w:sz w:val="19"/>
          <w:szCs w:val="19"/>
          <w:color w:val="auto"/>
        </w:rPr>
        <w:t>of the Grant Date (“Vesting Date”), subject to Grantee’s continued status as a Service Provider through such Vesting Date.</w:t>
      </w:r>
    </w:p>
    <w:p>
      <w:pPr>
        <w:spacing w:after="0" w:line="132" w:lineRule="exact"/>
        <w:rPr>
          <w:rFonts w:ascii="Arial" w:cs="Arial" w:eastAsia="Arial" w:hAnsi="Arial"/>
          <w:sz w:val="19"/>
          <w:szCs w:val="19"/>
          <w:color w:val="auto"/>
        </w:rPr>
      </w:pPr>
    </w:p>
    <w:p>
      <w:pPr>
        <w:ind w:left="1540" w:hanging="895"/>
        <w:spacing w:after="0"/>
        <w:tabs>
          <w:tab w:leader="none" w:pos="1540" w:val="left"/>
        </w:tabs>
        <w:numPr>
          <w:ilvl w:val="0"/>
          <w:numId w:val="165"/>
        </w:numPr>
        <w:rPr>
          <w:rFonts w:ascii="Arial" w:cs="Arial" w:eastAsia="Arial" w:hAnsi="Arial"/>
          <w:sz w:val="22"/>
          <w:szCs w:val="22"/>
          <w:color w:val="auto"/>
        </w:rPr>
      </w:pPr>
      <w:r>
        <w:rPr>
          <w:rFonts w:ascii="Arial" w:cs="Arial" w:eastAsia="Arial" w:hAnsi="Arial"/>
          <w:sz w:val="22"/>
          <w:szCs w:val="22"/>
          <w:b w:val="1"/>
          <w:bCs w:val="1"/>
          <w:color w:val="auto"/>
        </w:rPr>
        <w:t>Termination of Service; Forfeiture</w:t>
      </w:r>
      <w:r>
        <w:rPr>
          <w:rFonts w:ascii="Arial" w:cs="Arial" w:eastAsia="Arial" w:hAnsi="Arial"/>
          <w:sz w:val="22"/>
          <w:szCs w:val="22"/>
          <w:color w:val="auto"/>
        </w:rPr>
        <w:t>. Notwithstanding any other provision of this Agreement:</w:t>
      </w:r>
    </w:p>
    <w:p>
      <w:pPr>
        <w:spacing w:after="0" w:line="260" w:lineRule="exact"/>
        <w:rPr>
          <w:rFonts w:ascii="Arial" w:cs="Arial" w:eastAsia="Arial" w:hAnsi="Arial"/>
          <w:sz w:val="22"/>
          <w:szCs w:val="22"/>
          <w:color w:val="auto"/>
        </w:rPr>
      </w:pPr>
    </w:p>
    <w:p>
      <w:pPr>
        <w:ind w:left="640" w:right="20" w:firstLine="653"/>
        <w:spacing w:after="0" w:line="290" w:lineRule="auto"/>
        <w:tabs>
          <w:tab w:leader="none" w:pos="1708" w:val="left"/>
        </w:tabs>
        <w:numPr>
          <w:ilvl w:val="1"/>
          <w:numId w:val="165"/>
        </w:numPr>
        <w:rPr>
          <w:rFonts w:ascii="Arial" w:cs="Arial" w:eastAsia="Arial" w:hAnsi="Arial"/>
          <w:sz w:val="19"/>
          <w:szCs w:val="19"/>
          <w:color w:val="auto"/>
        </w:rPr>
      </w:pPr>
      <w:r>
        <w:rPr>
          <w:rFonts w:ascii="Arial" w:cs="Arial" w:eastAsia="Arial" w:hAnsi="Arial"/>
          <w:sz w:val="19"/>
          <w:szCs w:val="19"/>
          <w:b w:val="1"/>
          <w:bCs w:val="1"/>
          <w:color w:val="auto"/>
        </w:rPr>
        <w:t>Voluntary Termination; Termination for Cause</w:t>
      </w:r>
      <w:r>
        <w:rPr>
          <w:rFonts w:ascii="Arial" w:cs="Arial" w:eastAsia="Arial" w:hAnsi="Arial"/>
          <w:sz w:val="19"/>
          <w:szCs w:val="19"/>
          <w:color w:val="auto"/>
        </w:rPr>
        <w:t>. Any unvested Restricted Stock Units subject to the</w:t>
      </w:r>
      <w:r>
        <w:rPr>
          <w:rFonts w:ascii="Arial" w:cs="Arial" w:eastAsia="Arial" w:hAnsi="Arial"/>
          <w:sz w:val="19"/>
          <w:szCs w:val="19"/>
          <w:b w:val="1"/>
          <w:bCs w:val="1"/>
          <w:color w:val="auto"/>
        </w:rPr>
        <w:t xml:space="preserve"> </w:t>
      </w:r>
      <w:r>
        <w:rPr>
          <w:rFonts w:ascii="Arial" w:cs="Arial" w:eastAsia="Arial" w:hAnsi="Arial"/>
          <w:sz w:val="19"/>
          <w:szCs w:val="19"/>
          <w:color w:val="auto"/>
        </w:rPr>
        <w:t>Award will be canceled and forfeited if Grantee voluntarily terminates as a Service Provider (other than for Good Reason as provided below), or if Grantee’s status as a Service Provider is involuntarily terminated by the Corporation or a Subsidiary or Affiliate of the Corporation for Cause. Notwithstanding the foregoing, no termination of Grantee’s employment shall qualify as a termination for Cause unless (x) the Corporation notifies Grantee in writing of the Corporation’s intention to terminate Grantee’s employment for Cause within 90 days following the initial existence of the occurrence or event giving rise to Cause, (y) Grantee fails to cure such occurrence or event within 30 days after receipt of such notice from the Corporation and (z) the Corporation terminates Grantee’s employment within 45 days after the expiration of Grantee’s cure period in subsection (y).</w:t>
      </w:r>
    </w:p>
    <w:p>
      <w:pPr>
        <w:spacing w:after="0" w:line="149" w:lineRule="exact"/>
        <w:rPr>
          <w:rFonts w:ascii="Arial" w:cs="Arial" w:eastAsia="Arial" w:hAnsi="Arial"/>
          <w:sz w:val="19"/>
          <w:szCs w:val="19"/>
          <w:color w:val="auto"/>
        </w:rPr>
      </w:pPr>
    </w:p>
    <w:p>
      <w:pPr>
        <w:jc w:val="both"/>
        <w:ind w:left="640" w:right="360" w:firstLine="653"/>
        <w:spacing w:after="0" w:line="315" w:lineRule="auto"/>
        <w:tabs>
          <w:tab w:leader="none" w:pos="1768" w:val="left"/>
        </w:tabs>
        <w:numPr>
          <w:ilvl w:val="1"/>
          <w:numId w:val="165"/>
        </w:numPr>
        <w:rPr>
          <w:rFonts w:ascii="Arial" w:cs="Arial" w:eastAsia="Arial" w:hAnsi="Arial"/>
          <w:sz w:val="19"/>
          <w:szCs w:val="19"/>
          <w:color w:val="auto"/>
        </w:rPr>
      </w:pPr>
      <w:r>
        <w:rPr>
          <w:rFonts w:ascii="Arial" w:cs="Arial" w:eastAsia="Arial" w:hAnsi="Arial"/>
          <w:sz w:val="19"/>
          <w:szCs w:val="19"/>
          <w:b w:val="1"/>
          <w:bCs w:val="1"/>
          <w:color w:val="auto"/>
        </w:rPr>
        <w:t>Death; Disability</w:t>
      </w:r>
      <w:r>
        <w:rPr>
          <w:rFonts w:ascii="Arial" w:cs="Arial" w:eastAsia="Arial" w:hAnsi="Arial"/>
          <w:sz w:val="19"/>
          <w:szCs w:val="19"/>
          <w:color w:val="auto"/>
        </w:rPr>
        <w:t>. If Grantee ceases to be a Service Provider prior to the Vesting Date as a result of</w:t>
      </w:r>
      <w:r>
        <w:rPr>
          <w:rFonts w:ascii="Arial" w:cs="Arial" w:eastAsia="Arial" w:hAnsi="Arial"/>
          <w:sz w:val="19"/>
          <w:szCs w:val="19"/>
          <w:b w:val="1"/>
          <w:bCs w:val="1"/>
          <w:color w:val="auto"/>
        </w:rPr>
        <w:t xml:space="preserve"> </w:t>
      </w:r>
      <w:r>
        <w:rPr>
          <w:rFonts w:ascii="Arial" w:cs="Arial" w:eastAsia="Arial" w:hAnsi="Arial"/>
          <w:sz w:val="19"/>
          <w:szCs w:val="19"/>
          <w:color w:val="auto"/>
        </w:rPr>
        <w:t>Grantee’s death or Disability, Grantee shall fully vest in the Restricted Stock Units subject to the Award as of the date on which Grantee ceases to be a Service Provider due to Grantee’s death or Disability.</w:t>
      </w:r>
    </w:p>
    <w:p>
      <w:pPr>
        <w:spacing w:after="0" w:line="125" w:lineRule="exact"/>
        <w:rPr>
          <w:rFonts w:ascii="Arial" w:cs="Arial" w:eastAsia="Arial" w:hAnsi="Arial"/>
          <w:sz w:val="19"/>
          <w:szCs w:val="19"/>
          <w:color w:val="auto"/>
        </w:rPr>
      </w:pPr>
    </w:p>
    <w:p>
      <w:pPr>
        <w:ind w:left="640" w:right="260" w:firstLine="653"/>
        <w:spacing w:after="0" w:line="264" w:lineRule="auto"/>
        <w:tabs>
          <w:tab w:leader="none" w:pos="1828" w:val="left"/>
        </w:tabs>
        <w:numPr>
          <w:ilvl w:val="1"/>
          <w:numId w:val="165"/>
        </w:numPr>
        <w:rPr>
          <w:rFonts w:ascii="Arial" w:cs="Arial" w:eastAsia="Arial" w:hAnsi="Arial"/>
          <w:sz w:val="21"/>
          <w:szCs w:val="21"/>
          <w:color w:val="auto"/>
        </w:rPr>
      </w:pPr>
      <w:r>
        <w:rPr>
          <w:rFonts w:ascii="Arial" w:cs="Arial" w:eastAsia="Arial" w:hAnsi="Arial"/>
          <w:sz w:val="21"/>
          <w:szCs w:val="21"/>
          <w:b w:val="1"/>
          <w:bCs w:val="1"/>
          <w:color w:val="auto"/>
        </w:rPr>
        <w:t>Qualifying Termination Prior to a Change of Control</w:t>
      </w:r>
      <w:r>
        <w:rPr>
          <w:rFonts w:ascii="Arial" w:cs="Arial" w:eastAsia="Arial" w:hAnsi="Arial"/>
          <w:sz w:val="21"/>
          <w:szCs w:val="21"/>
          <w:color w:val="auto"/>
        </w:rPr>
        <w:t>. If Grantee has a “Qualifying Termination”</w:t>
      </w:r>
      <w:r>
        <w:rPr>
          <w:rFonts w:ascii="Arial" w:cs="Arial" w:eastAsia="Arial" w:hAnsi="Arial"/>
          <w:sz w:val="21"/>
          <w:szCs w:val="21"/>
          <w:b w:val="1"/>
          <w:bCs w:val="1"/>
          <w:color w:val="auto"/>
        </w:rPr>
        <w:t xml:space="preserve"> </w:t>
      </w:r>
      <w:r>
        <w:rPr>
          <w:rFonts w:ascii="Arial" w:cs="Arial" w:eastAsia="Arial" w:hAnsi="Arial"/>
          <w:sz w:val="21"/>
          <w:szCs w:val="21"/>
          <w:color w:val="auto"/>
        </w:rPr>
        <w:t>(as defined in Appendix A) that occurs prior to a “Change of Control” (as defined in Appendix A) and before the Vesting Date, Grantee shall vest in a number of Restricted Stock Units in an amount equal to the number of Restricted Stock Units that would have lapsed as of the Vesting Date, adjusted pro-rata on a full calendar month basis in accordance with the date on which Grantee terminates service.</w:t>
      </w:r>
    </w:p>
    <w:p>
      <w:pPr>
        <w:spacing w:after="0" w:line="170" w:lineRule="exact"/>
        <w:rPr>
          <w:rFonts w:ascii="Arial" w:cs="Arial" w:eastAsia="Arial" w:hAnsi="Arial"/>
          <w:sz w:val="21"/>
          <w:szCs w:val="21"/>
          <w:color w:val="auto"/>
        </w:rPr>
      </w:pPr>
    </w:p>
    <w:p>
      <w:pPr>
        <w:ind w:left="640" w:right="100" w:firstLine="653"/>
        <w:spacing w:after="0" w:line="256" w:lineRule="auto"/>
        <w:tabs>
          <w:tab w:leader="none" w:pos="1816" w:val="left"/>
        </w:tabs>
        <w:numPr>
          <w:ilvl w:val="1"/>
          <w:numId w:val="165"/>
        </w:numPr>
        <w:rPr>
          <w:rFonts w:ascii="Arial" w:cs="Arial" w:eastAsia="Arial" w:hAnsi="Arial"/>
          <w:sz w:val="22"/>
          <w:szCs w:val="22"/>
          <w:color w:val="auto"/>
        </w:rPr>
      </w:pPr>
      <w:r>
        <w:rPr>
          <w:rFonts w:ascii="Arial" w:cs="Arial" w:eastAsia="Arial" w:hAnsi="Arial"/>
          <w:sz w:val="22"/>
          <w:szCs w:val="22"/>
          <w:b w:val="1"/>
          <w:bCs w:val="1"/>
          <w:color w:val="auto"/>
        </w:rPr>
        <w:t>Qualifying Termination Following a Change of Control</w:t>
      </w:r>
      <w:r>
        <w:rPr>
          <w:rFonts w:ascii="Arial" w:cs="Arial" w:eastAsia="Arial" w:hAnsi="Arial"/>
          <w:sz w:val="22"/>
          <w:szCs w:val="22"/>
          <w:color w:val="auto"/>
        </w:rPr>
        <w:t>. If Grantee has a Qualifying Termination</w:t>
      </w:r>
      <w:r>
        <w:rPr>
          <w:rFonts w:ascii="Arial" w:cs="Arial" w:eastAsia="Arial" w:hAnsi="Arial"/>
          <w:sz w:val="22"/>
          <w:szCs w:val="22"/>
          <w:b w:val="1"/>
          <w:bCs w:val="1"/>
          <w:color w:val="auto"/>
        </w:rPr>
        <w:t xml:space="preserve"> </w:t>
      </w:r>
      <w:r>
        <w:rPr>
          <w:rFonts w:ascii="Arial" w:cs="Arial" w:eastAsia="Arial" w:hAnsi="Arial"/>
          <w:sz w:val="22"/>
          <w:szCs w:val="22"/>
          <w:color w:val="auto"/>
        </w:rPr>
        <w:t>within two years following a Change of Control, Grantee shall fully vest in the Restricted Stock Units subject to the Award.</w:t>
      </w:r>
    </w:p>
    <w:p>
      <w:pPr>
        <w:spacing w:after="0" w:line="182"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Any Restricted Stock Units that do not vest in accordance with Section II.A.1(a) or this Section II.A.1(b) shall be canceled and forfeited as of the date of Grantee’s termination of services. Further, subject to Code Section 409A, the Corporation retains the right to accelerate the vesting of all or a portion of the Restricted Stock Units subject to this Award.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0760"/>
          </w:cols>
          <w:pgMar w:left="900" w:top="625" w:right="239" w:bottom="1440" w:gutter="0" w:footer="0" w:header="0"/>
        </w:sectPr>
      </w:pPr>
    </w:p>
    <w:bookmarkStart w:id="148" w:name="page149"/>
    <w:bookmarkEnd w:id="148"/>
    <w:p>
      <w:pPr>
        <w:ind w:left="1680" w:hanging="375"/>
        <w:spacing w:after="0"/>
        <w:tabs>
          <w:tab w:leader="none" w:pos="1680" w:val="left"/>
        </w:tabs>
        <w:numPr>
          <w:ilvl w:val="0"/>
          <w:numId w:val="16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Settlement</w:t>
      </w:r>
      <w:r>
        <w:rPr>
          <w:rFonts w:ascii="Arial" w:cs="Arial" w:eastAsia="Arial" w:hAnsi="Arial"/>
          <w:sz w:val="22"/>
          <w:szCs w:val="22"/>
          <w:color w:val="auto"/>
        </w:rPr>
        <w:t>.</w:t>
      </w:r>
    </w:p>
    <w:p>
      <w:pPr>
        <w:spacing w:after="0" w:line="220" w:lineRule="exact"/>
        <w:rPr>
          <w:sz w:val="20"/>
          <w:szCs w:val="20"/>
          <w:color w:val="auto"/>
        </w:rPr>
      </w:pPr>
    </w:p>
    <w:p>
      <w:pPr>
        <w:jc w:val="both"/>
        <w:ind w:left="660" w:firstLine="645"/>
        <w:spacing w:after="0" w:line="256" w:lineRule="auto"/>
        <w:tabs>
          <w:tab w:leader="none" w:pos="1764" w:val="left"/>
        </w:tabs>
        <w:numPr>
          <w:ilvl w:val="0"/>
          <w:numId w:val="167"/>
        </w:numPr>
        <w:rPr>
          <w:rFonts w:ascii="Arial" w:cs="Arial" w:eastAsia="Arial" w:hAnsi="Arial"/>
          <w:sz w:val="22"/>
          <w:szCs w:val="22"/>
          <w:color w:val="auto"/>
        </w:rPr>
      </w:pPr>
      <w:r>
        <w:rPr>
          <w:rFonts w:ascii="Arial" w:cs="Arial" w:eastAsia="Arial" w:hAnsi="Arial"/>
          <w:sz w:val="22"/>
          <w:szCs w:val="22"/>
          <w:b w:val="1"/>
          <w:bCs w:val="1"/>
          <w:color w:val="auto"/>
        </w:rPr>
        <w:t>General</w:t>
      </w:r>
      <w:r>
        <w:rPr>
          <w:rFonts w:ascii="Arial" w:cs="Arial" w:eastAsia="Arial" w:hAnsi="Arial"/>
          <w:sz w:val="22"/>
          <w:szCs w:val="22"/>
          <w:color w:val="auto"/>
        </w:rPr>
        <w:t>. Subject to Section II.A.2(b) below, and as soon as administratively practicable following (but no later</w:t>
      </w:r>
      <w:r>
        <w:rPr>
          <w:rFonts w:ascii="Arial" w:cs="Arial" w:eastAsia="Arial" w:hAnsi="Arial"/>
          <w:sz w:val="22"/>
          <w:szCs w:val="22"/>
          <w:b w:val="1"/>
          <w:bCs w:val="1"/>
          <w:color w:val="auto"/>
        </w:rPr>
        <w:t xml:space="preserve"> </w:t>
      </w:r>
      <w:r>
        <w:rPr>
          <w:rFonts w:ascii="Arial" w:cs="Arial" w:eastAsia="Arial" w:hAnsi="Arial"/>
          <w:sz w:val="22"/>
          <w:szCs w:val="22"/>
          <w:color w:val="auto"/>
        </w:rPr>
        <w:t>than thirty (30) days following) the Vesting Date, the Corporation shall issue Grantee one share of Stock for each vested Restricted Stock Unit.</w:t>
      </w:r>
    </w:p>
    <w:p>
      <w:pPr>
        <w:spacing w:after="0" w:line="176" w:lineRule="exact"/>
        <w:rPr>
          <w:rFonts w:ascii="Arial" w:cs="Arial" w:eastAsia="Arial" w:hAnsi="Arial"/>
          <w:sz w:val="22"/>
          <w:szCs w:val="22"/>
          <w:color w:val="auto"/>
        </w:rPr>
      </w:pPr>
    </w:p>
    <w:p>
      <w:pPr>
        <w:jc w:val="both"/>
        <w:ind w:left="660" w:firstLine="645"/>
        <w:spacing w:after="0" w:line="248" w:lineRule="auto"/>
        <w:tabs>
          <w:tab w:leader="none" w:pos="1817" w:val="left"/>
        </w:tabs>
        <w:numPr>
          <w:ilvl w:val="0"/>
          <w:numId w:val="167"/>
        </w:numPr>
        <w:rPr>
          <w:rFonts w:ascii="Arial" w:cs="Arial" w:eastAsia="Arial" w:hAnsi="Arial"/>
          <w:sz w:val="22"/>
          <w:szCs w:val="22"/>
          <w:color w:val="auto"/>
        </w:rPr>
      </w:pPr>
      <w:r>
        <w:rPr>
          <w:rFonts w:ascii="Arial" w:cs="Arial" w:eastAsia="Arial" w:hAnsi="Arial"/>
          <w:sz w:val="22"/>
          <w:szCs w:val="22"/>
          <w:b w:val="1"/>
          <w:bCs w:val="1"/>
          <w:color w:val="auto"/>
        </w:rPr>
        <w:t>Other Payment Events</w:t>
      </w:r>
      <w:r>
        <w:rPr>
          <w:rFonts w:ascii="Arial" w:cs="Arial" w:eastAsia="Arial" w:hAnsi="Arial"/>
          <w:sz w:val="22"/>
          <w:szCs w:val="22"/>
          <w:color w:val="auto"/>
        </w:rPr>
        <w:t>. Notwithstanding Section II.A.2(a), to the extent the Restricted Stock Units have not</w:t>
      </w:r>
      <w:r>
        <w:rPr>
          <w:rFonts w:ascii="Arial" w:cs="Arial" w:eastAsia="Arial" w:hAnsi="Arial"/>
          <w:sz w:val="22"/>
          <w:szCs w:val="22"/>
          <w:b w:val="1"/>
          <w:bCs w:val="1"/>
          <w:color w:val="auto"/>
        </w:rPr>
        <w:t xml:space="preserve"> </w:t>
      </w:r>
      <w:r>
        <w:rPr>
          <w:rFonts w:ascii="Arial" w:cs="Arial" w:eastAsia="Arial" w:hAnsi="Arial"/>
          <w:sz w:val="22"/>
          <w:szCs w:val="22"/>
          <w:color w:val="auto"/>
        </w:rPr>
        <w:t>previously been settled, if Grantee ceases to be a Service Provider prior to the Vesting Date as a result of Grantee’s death, Disability, or Qualifying Termination, and such cessation to be a Service Provider constitutes a separation from service (within the meaning of Treasury Regulation Section 1.409A-1(h)), the Corporation shall issue Grantee one share of Stock for each vested Restricted Stock Unit as soon as practicable following (but no later than thirty (30) days following) the date of such cessation.</w:t>
      </w:r>
    </w:p>
    <w:p>
      <w:pPr>
        <w:spacing w:after="0" w:line="187" w:lineRule="exact"/>
        <w:rPr>
          <w:sz w:val="20"/>
          <w:szCs w:val="20"/>
          <w:color w:val="auto"/>
        </w:rPr>
      </w:pPr>
    </w:p>
    <w:p>
      <w:pPr>
        <w:jc w:val="both"/>
        <w:ind w:firstLine="1305"/>
        <w:spacing w:after="0" w:line="289" w:lineRule="auto"/>
        <w:tabs>
          <w:tab w:leader="none" w:pos="1783" w:val="left"/>
        </w:tabs>
        <w:numPr>
          <w:ilvl w:val="1"/>
          <w:numId w:val="168"/>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Dividend Equivalent Rights</w:t>
      </w:r>
      <w:r>
        <w:rPr>
          <w:rFonts w:ascii="Arial" w:cs="Arial" w:eastAsia="Arial" w:hAnsi="Arial"/>
          <w:sz w:val="19"/>
          <w:szCs w:val="19"/>
          <w:color w:val="auto"/>
        </w:rPr>
        <w:t>. From and after the Grant Date and until the earlier of (a) the time when the</w:t>
      </w:r>
      <w:r>
        <w:rPr>
          <w:rFonts w:ascii="Arial" w:cs="Arial" w:eastAsia="Arial" w:hAnsi="Arial"/>
          <w:sz w:val="19"/>
          <w:szCs w:val="19"/>
          <w:b w:val="1"/>
          <w:bCs w:val="1"/>
          <w:color w:val="auto"/>
        </w:rPr>
        <w:t xml:space="preserve"> </w:t>
      </w:r>
      <w:r>
        <w:rPr>
          <w:rFonts w:ascii="Arial" w:cs="Arial" w:eastAsia="Arial" w:hAnsi="Arial"/>
          <w:sz w:val="19"/>
          <w:szCs w:val="19"/>
          <w:color w:val="auto"/>
        </w:rPr>
        <w:t>Restricted Stock Units vest and are settled in accordance with Section II.A.2 hereof or (b) the time when Grantee’s rights to the Restricted Stock Units are forfeited in accordance with Section II.A.1(b) hereof, on the date that the Corporation pays a cash dividend (if any) to holders of Stock generally, Grantee shall be credited with cash per Restricted Stock Unit equal to the amount of such dividend. Any amounts credited pursuant to the immediately preceding sentence shall be subject to the same applicable terms and conditions (including vesting, payment or forfeitability) as apply to the Restricted Stock Units based on which the dividend equivalents were credited, and such amounts shall be paid in either cash or Stock, as determined by the Committee in its sole discretion, at the same time as the Restricted Stock Units to which they relate. If such amounts are paid in Stock, the number of shares so paid shall be rounded down to the nearest whole number and shall be determined by dividing such credited amounts by the Fair Market Value per share of Stock on the payment date.</w:t>
      </w:r>
    </w:p>
    <w:p>
      <w:pPr>
        <w:spacing w:after="0" w:line="151" w:lineRule="exact"/>
        <w:rPr>
          <w:rFonts w:ascii="Arial" w:cs="Arial" w:eastAsia="Arial" w:hAnsi="Arial"/>
          <w:sz w:val="19"/>
          <w:szCs w:val="19"/>
          <w:b w:val="1"/>
          <w:bCs w:val="1"/>
          <w:color w:val="auto"/>
        </w:rPr>
      </w:pPr>
    </w:p>
    <w:p>
      <w:pPr>
        <w:ind w:firstLine="1305"/>
        <w:spacing w:after="0" w:line="350" w:lineRule="auto"/>
        <w:tabs>
          <w:tab w:leader="none" w:pos="1769" w:val="left"/>
        </w:tabs>
        <w:numPr>
          <w:ilvl w:val="1"/>
          <w:numId w:val="168"/>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Rights as a Shareholder</w:t>
      </w:r>
      <w:r>
        <w:rPr>
          <w:rFonts w:ascii="Arial" w:cs="Arial" w:eastAsia="Arial" w:hAnsi="Arial"/>
          <w:sz w:val="19"/>
          <w:szCs w:val="19"/>
          <w:b w:val="1"/>
          <w:bCs w:val="1"/>
          <w:color w:val="auto"/>
        </w:rPr>
        <w:t xml:space="preserve">. </w:t>
      </w:r>
      <w:r>
        <w:rPr>
          <w:rFonts w:ascii="Arial" w:cs="Arial" w:eastAsia="Arial" w:hAnsi="Arial"/>
          <w:sz w:val="19"/>
          <w:szCs w:val="19"/>
          <w:color w:val="auto"/>
        </w:rPr>
        <w:t>Grantee will not have any rights of a stockholder (including voting and dividend</w:t>
      </w:r>
      <w:r>
        <w:rPr>
          <w:rFonts w:ascii="Arial" w:cs="Arial" w:eastAsia="Arial" w:hAnsi="Arial"/>
          <w:sz w:val="19"/>
          <w:szCs w:val="19"/>
          <w:b w:val="1"/>
          <w:bCs w:val="1"/>
          <w:color w:val="auto"/>
        </w:rPr>
        <w:t xml:space="preserve"> </w:t>
      </w:r>
      <w:r>
        <w:rPr>
          <w:rFonts w:ascii="Arial" w:cs="Arial" w:eastAsia="Arial" w:hAnsi="Arial"/>
          <w:sz w:val="19"/>
          <w:szCs w:val="19"/>
          <w:color w:val="auto"/>
        </w:rPr>
        <w:t>rights) with respect to the Restricted Stock Units covered by this Award (except as otherwise provided in Section II.A.3).</w:t>
      </w:r>
    </w:p>
    <w:p>
      <w:pPr>
        <w:spacing w:after="0" w:line="92" w:lineRule="exact"/>
        <w:rPr>
          <w:rFonts w:ascii="Arial" w:cs="Arial" w:eastAsia="Arial" w:hAnsi="Arial"/>
          <w:sz w:val="19"/>
          <w:szCs w:val="19"/>
          <w:b w:val="1"/>
          <w:bCs w:val="1"/>
          <w:color w:val="auto"/>
        </w:rPr>
      </w:pPr>
    </w:p>
    <w:p>
      <w:pPr>
        <w:ind w:firstLine="1305"/>
        <w:spacing w:after="0" w:line="269" w:lineRule="auto"/>
        <w:tabs>
          <w:tab w:leader="none" w:pos="1729" w:val="left"/>
        </w:tabs>
        <w:numPr>
          <w:ilvl w:val="1"/>
          <w:numId w:val="16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Adjustments</w:t>
      </w:r>
      <w:r>
        <w:rPr>
          <w:rFonts w:ascii="Arial" w:cs="Arial" w:eastAsia="Arial" w:hAnsi="Arial"/>
          <w:sz w:val="22"/>
          <w:szCs w:val="22"/>
          <w:color w:val="auto"/>
        </w:rPr>
        <w:t>. The Restricted Stock Units covered by this Award will be subject to adjustment as provided in</w:t>
      </w:r>
      <w:r>
        <w:rPr>
          <w:rFonts w:ascii="Arial" w:cs="Arial" w:eastAsia="Arial" w:hAnsi="Arial"/>
          <w:sz w:val="22"/>
          <w:szCs w:val="22"/>
          <w:b w:val="1"/>
          <w:bCs w:val="1"/>
          <w:color w:val="auto"/>
        </w:rPr>
        <w:t xml:space="preserve"> </w:t>
      </w:r>
      <w:r>
        <w:rPr>
          <w:rFonts w:ascii="Arial" w:cs="Arial" w:eastAsia="Arial" w:hAnsi="Arial"/>
          <w:sz w:val="22"/>
          <w:szCs w:val="22"/>
          <w:color w:val="auto"/>
        </w:rPr>
        <w:t>Section 17 of the Plan.</w:t>
      </w:r>
    </w:p>
    <w:p>
      <w:pPr>
        <w:spacing w:after="0" w:line="162" w:lineRule="exact"/>
        <w:rPr>
          <w:rFonts w:ascii="Arial" w:cs="Arial" w:eastAsia="Arial" w:hAnsi="Arial"/>
          <w:sz w:val="22"/>
          <w:szCs w:val="22"/>
          <w:b w:val="1"/>
          <w:bCs w:val="1"/>
          <w:color w:val="auto"/>
        </w:rPr>
      </w:pPr>
    </w:p>
    <w:p>
      <w:pPr>
        <w:ind w:left="1080" w:hanging="424"/>
        <w:spacing w:after="0"/>
        <w:tabs>
          <w:tab w:leader="none" w:pos="1080" w:val="left"/>
        </w:tabs>
        <w:numPr>
          <w:ilvl w:val="0"/>
          <w:numId w:val="16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Other Terms and Conditions</w:t>
      </w:r>
      <w:r>
        <w:rPr>
          <w:rFonts w:ascii="Arial" w:cs="Arial" w:eastAsia="Arial" w:hAnsi="Arial"/>
          <w:sz w:val="22"/>
          <w:szCs w:val="22"/>
          <w:b w:val="1"/>
          <w:bCs w:val="1"/>
          <w:color w:val="auto"/>
        </w:rPr>
        <w:t>.</w:t>
      </w:r>
    </w:p>
    <w:p>
      <w:pPr>
        <w:spacing w:after="0" w:line="219" w:lineRule="exact"/>
        <w:rPr>
          <w:rFonts w:ascii="Arial" w:cs="Arial" w:eastAsia="Arial" w:hAnsi="Arial"/>
          <w:sz w:val="22"/>
          <w:szCs w:val="22"/>
          <w:b w:val="1"/>
          <w:bCs w:val="1"/>
          <w:color w:val="auto"/>
        </w:rPr>
      </w:pPr>
    </w:p>
    <w:p>
      <w:pPr>
        <w:jc w:val="both"/>
        <w:ind w:firstLine="1305"/>
        <w:spacing w:after="0" w:line="252" w:lineRule="auto"/>
        <w:tabs>
          <w:tab w:leader="none" w:pos="1715" w:val="left"/>
        </w:tabs>
        <w:numPr>
          <w:ilvl w:val="1"/>
          <w:numId w:val="16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Non-Transferability of Award</w:t>
      </w:r>
      <w:r>
        <w:rPr>
          <w:rFonts w:ascii="Arial" w:cs="Arial" w:eastAsia="Arial" w:hAnsi="Arial"/>
          <w:sz w:val="22"/>
          <w:szCs w:val="22"/>
          <w:color w:val="auto"/>
        </w:rPr>
        <w:t>. Except as described below, this Award and the Restricted Stock Units subject</w:t>
      </w:r>
      <w:r>
        <w:rPr>
          <w:rFonts w:ascii="Arial" w:cs="Arial" w:eastAsia="Arial" w:hAnsi="Arial"/>
          <w:sz w:val="22"/>
          <w:szCs w:val="22"/>
          <w:b w:val="1"/>
          <w:bCs w:val="1"/>
          <w:color w:val="auto"/>
        </w:rPr>
        <w:t xml:space="preserve"> </w:t>
      </w:r>
      <w:r>
        <w:rPr>
          <w:rFonts w:ascii="Arial" w:cs="Arial" w:eastAsia="Arial" w:hAnsi="Arial"/>
          <w:sz w:val="22"/>
          <w:szCs w:val="22"/>
          <w:color w:val="auto"/>
        </w:rPr>
        <w:t>to this Award may not be sold, pledged, assigned, hypothecated, transferred, or disposed of in any manner other than by will or by the laws of descent or distribution. The terms of this Award are binding on the executors, administrators, heirs, successors and assigns of Grantee.</w:t>
      </w:r>
    </w:p>
    <w:p>
      <w:pPr>
        <w:spacing w:after="0" w:line="180" w:lineRule="exact"/>
        <w:rPr>
          <w:rFonts w:ascii="Arial" w:cs="Arial" w:eastAsia="Arial" w:hAnsi="Arial"/>
          <w:sz w:val="22"/>
          <w:szCs w:val="22"/>
          <w:b w:val="1"/>
          <w:bCs w:val="1"/>
          <w:color w:val="auto"/>
        </w:rPr>
      </w:pPr>
    </w:p>
    <w:p>
      <w:pPr>
        <w:jc w:val="both"/>
        <w:ind w:firstLine="1305"/>
        <w:spacing w:after="0" w:line="256" w:lineRule="auto"/>
        <w:tabs>
          <w:tab w:leader="none" w:pos="1675" w:val="left"/>
        </w:tabs>
        <w:numPr>
          <w:ilvl w:val="1"/>
          <w:numId w:val="16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Withholding</w:t>
      </w:r>
      <w:r>
        <w:rPr>
          <w:rFonts w:ascii="Arial" w:cs="Arial" w:eastAsia="Arial" w:hAnsi="Arial"/>
          <w:sz w:val="22"/>
          <w:szCs w:val="22"/>
          <w:b w:val="1"/>
          <w:bCs w:val="1"/>
          <w:color w:val="auto"/>
        </w:rPr>
        <w:t xml:space="preserve">. </w:t>
      </w:r>
      <w:r>
        <w:rPr>
          <w:rFonts w:ascii="Arial" w:cs="Arial" w:eastAsia="Arial" w:hAnsi="Arial"/>
          <w:sz w:val="22"/>
          <w:szCs w:val="22"/>
          <w:color w:val="auto"/>
        </w:rPr>
        <w:t>Grantee authorizes the Corporation or Grantee’s employer to withhold from the shares of Stock to</w:t>
      </w:r>
      <w:r>
        <w:rPr>
          <w:rFonts w:ascii="Arial" w:cs="Arial" w:eastAsia="Arial" w:hAnsi="Arial"/>
          <w:sz w:val="22"/>
          <w:szCs w:val="22"/>
          <w:b w:val="1"/>
          <w:bCs w:val="1"/>
          <w:color w:val="auto"/>
        </w:rPr>
        <w:t xml:space="preserve"> </w:t>
      </w:r>
      <w:r>
        <w:rPr>
          <w:rFonts w:ascii="Arial" w:cs="Arial" w:eastAsia="Arial" w:hAnsi="Arial"/>
          <w:sz w:val="22"/>
          <w:szCs w:val="22"/>
          <w:color w:val="auto"/>
        </w:rPr>
        <w:t>be delivered as payment the number of shares of Stock needed to satisfy any applicable minimum income and employment tax withholding obligations, or Grantee</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625" w:right="239" w:bottom="1440" w:gutter="0" w:footer="0" w:header="0"/>
        </w:sectPr>
      </w:pPr>
    </w:p>
    <w:bookmarkStart w:id="149" w:name="page150"/>
    <w:bookmarkEnd w:id="149"/>
    <w:p>
      <w:pPr>
        <w:jc w:val="both"/>
        <w:spacing w:after="0" w:line="302" w:lineRule="auto"/>
        <w:rPr>
          <w:sz w:val="20"/>
          <w:szCs w:val="20"/>
          <w:color w:val="auto"/>
        </w:rPr>
      </w:pPr>
      <w:r>
        <w:rPr>
          <w:rFonts w:ascii="Arial" w:cs="Arial" w:eastAsia="Arial" w:hAnsi="Arial"/>
          <w:sz w:val="19"/>
          <w:szCs w:val="19"/>
          <w:color w:val="auto"/>
        </w:rPr>
        <w:t>agrees to tender sufficient funds to satisfy any applicable income and employment tax withholding obligations in connection with the vesting of the Restricted Stock Units under this Award. Notwithstanding any other provision of this Agreement or the Plan, the Corporation shall not be obligated to guarantee any particular tax result for Grantee with respect to any payment provided to Grantee hereunder, and Grantee shall be responsible for any taxes imposed on Grantee with respect to any such payment.</w:t>
      </w:r>
    </w:p>
    <w:p>
      <w:pPr>
        <w:spacing w:after="0" w:line="137" w:lineRule="exact"/>
        <w:rPr>
          <w:sz w:val="20"/>
          <w:szCs w:val="20"/>
          <w:color w:val="auto"/>
        </w:rPr>
      </w:pPr>
    </w:p>
    <w:p>
      <w:pPr>
        <w:jc w:val="both"/>
        <w:ind w:firstLine="1305"/>
        <w:spacing w:after="0" w:line="267" w:lineRule="auto"/>
        <w:tabs>
          <w:tab w:leader="none" w:pos="1729" w:val="left"/>
        </w:tabs>
        <w:numPr>
          <w:ilvl w:val="0"/>
          <w:numId w:val="170"/>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Dispute Resolution</w:t>
      </w:r>
      <w:r>
        <w:rPr>
          <w:rFonts w:ascii="Arial" w:cs="Arial" w:eastAsia="Arial" w:hAnsi="Arial"/>
          <w:sz w:val="21"/>
          <w:szCs w:val="21"/>
          <w:color w:val="auto"/>
        </w:rPr>
        <w:t>. Grantee and the Corporation agree that any disagreement, dispute, controversy, or claim</w:t>
      </w:r>
      <w:r>
        <w:rPr>
          <w:rFonts w:ascii="Arial" w:cs="Arial" w:eastAsia="Arial" w:hAnsi="Arial"/>
          <w:sz w:val="21"/>
          <w:szCs w:val="21"/>
          <w:b w:val="1"/>
          <w:bCs w:val="1"/>
          <w:color w:val="auto"/>
        </w:rPr>
        <w:t xml:space="preserve"> </w:t>
      </w:r>
      <w:r>
        <w:rPr>
          <w:rFonts w:ascii="Arial" w:cs="Arial" w:eastAsia="Arial" w:hAnsi="Arial"/>
          <w:sz w:val="21"/>
          <w:szCs w:val="21"/>
          <w:color w:val="auto"/>
        </w:rPr>
        <w:t>arising out of or relating to this Agreement, its interpretation, validity, or the alleged breach of this Agreement, will be settled exclusively and, consistent with the procedures specified in this Section II.B.3., irrespective of its magnitude, the amount in controversy, or the nature of the relief sought, in accordance with the following:</w:t>
      </w:r>
    </w:p>
    <w:p>
      <w:pPr>
        <w:spacing w:after="0" w:line="168" w:lineRule="exact"/>
        <w:rPr>
          <w:sz w:val="20"/>
          <w:szCs w:val="20"/>
          <w:color w:val="auto"/>
        </w:rPr>
      </w:pPr>
    </w:p>
    <w:p>
      <w:pPr>
        <w:jc w:val="both"/>
        <w:ind w:left="660" w:firstLine="645"/>
        <w:spacing w:after="0" w:line="256" w:lineRule="auto"/>
        <w:tabs>
          <w:tab w:leader="none" w:pos="1845" w:val="left"/>
        </w:tabs>
        <w:numPr>
          <w:ilvl w:val="0"/>
          <w:numId w:val="171"/>
        </w:numPr>
        <w:rPr>
          <w:rFonts w:ascii="Arial" w:cs="Arial" w:eastAsia="Arial" w:hAnsi="Arial"/>
          <w:sz w:val="22"/>
          <w:szCs w:val="22"/>
          <w:color w:val="auto"/>
        </w:rPr>
      </w:pPr>
      <w:r>
        <w:rPr>
          <w:rFonts w:ascii="Arial" w:cs="Arial" w:eastAsia="Arial" w:hAnsi="Arial"/>
          <w:sz w:val="22"/>
          <w:szCs w:val="22"/>
          <w:b w:val="1"/>
          <w:bCs w:val="1"/>
          <w:color w:val="auto"/>
        </w:rPr>
        <w:t>Negotiation</w:t>
      </w:r>
      <w:r>
        <w:rPr>
          <w:rFonts w:ascii="Arial" w:cs="Arial" w:eastAsia="Arial" w:hAnsi="Arial"/>
          <w:sz w:val="22"/>
          <w:szCs w:val="22"/>
          <w:color w:val="auto"/>
        </w:rPr>
        <w:t>. Grantee and the Corporation will use their best efforts to settle the dispute, claim, question or</w:t>
      </w:r>
      <w:r>
        <w:rPr>
          <w:rFonts w:ascii="Arial" w:cs="Arial" w:eastAsia="Arial" w:hAnsi="Arial"/>
          <w:sz w:val="22"/>
          <w:szCs w:val="22"/>
          <w:b w:val="1"/>
          <w:bCs w:val="1"/>
          <w:color w:val="auto"/>
        </w:rPr>
        <w:t xml:space="preserve"> </w:t>
      </w:r>
      <w:r>
        <w:rPr>
          <w:rFonts w:ascii="Arial" w:cs="Arial" w:eastAsia="Arial" w:hAnsi="Arial"/>
          <w:sz w:val="22"/>
          <w:szCs w:val="22"/>
          <w:color w:val="auto"/>
        </w:rPr>
        <w:t>disagreement. To this effect, they will consult and negotiate with each other in good faith and, recognizing their mutual interests, attempt to reach a just and equitable solution satisfactory to both parties.</w:t>
      </w:r>
    </w:p>
    <w:p>
      <w:pPr>
        <w:spacing w:after="0" w:line="176" w:lineRule="exact"/>
        <w:rPr>
          <w:rFonts w:ascii="Arial" w:cs="Arial" w:eastAsia="Arial" w:hAnsi="Arial"/>
          <w:sz w:val="22"/>
          <w:szCs w:val="22"/>
          <w:color w:val="auto"/>
        </w:rPr>
      </w:pPr>
    </w:p>
    <w:p>
      <w:pPr>
        <w:jc w:val="both"/>
        <w:ind w:left="660" w:firstLine="645"/>
        <w:spacing w:after="0" w:line="249" w:lineRule="auto"/>
        <w:tabs>
          <w:tab w:leader="none" w:pos="1817" w:val="left"/>
        </w:tabs>
        <w:numPr>
          <w:ilvl w:val="0"/>
          <w:numId w:val="171"/>
        </w:numPr>
        <w:rPr>
          <w:rFonts w:ascii="Arial" w:cs="Arial" w:eastAsia="Arial" w:hAnsi="Arial"/>
          <w:sz w:val="22"/>
          <w:szCs w:val="22"/>
          <w:color w:val="auto"/>
        </w:rPr>
      </w:pPr>
      <w:r>
        <w:rPr>
          <w:rFonts w:ascii="Arial" w:cs="Arial" w:eastAsia="Arial" w:hAnsi="Arial"/>
          <w:sz w:val="22"/>
          <w:szCs w:val="22"/>
          <w:b w:val="1"/>
          <w:bCs w:val="1"/>
          <w:color w:val="auto"/>
        </w:rPr>
        <w:t>Arbitration</w:t>
      </w:r>
      <w:r>
        <w:rPr>
          <w:rFonts w:ascii="Arial" w:cs="Arial" w:eastAsia="Arial" w:hAnsi="Arial"/>
          <w:sz w:val="22"/>
          <w:szCs w:val="22"/>
          <w:color w:val="auto"/>
        </w:rPr>
        <w:t>. If Grantee and the Corporation do not reach a solution within a period of 30 days from the date</w:t>
      </w:r>
      <w:r>
        <w:rPr>
          <w:rFonts w:ascii="Arial" w:cs="Arial" w:eastAsia="Arial" w:hAnsi="Arial"/>
          <w:sz w:val="22"/>
          <w:szCs w:val="22"/>
          <w:b w:val="1"/>
          <w:bCs w:val="1"/>
          <w:color w:val="auto"/>
        </w:rPr>
        <w:t xml:space="preserve"> </w:t>
      </w:r>
      <w:r>
        <w:rPr>
          <w:rFonts w:ascii="Arial" w:cs="Arial" w:eastAsia="Arial" w:hAnsi="Arial"/>
          <w:sz w:val="22"/>
          <w:szCs w:val="22"/>
          <w:color w:val="auto"/>
        </w:rPr>
        <w:t>on which the dispute, claim, disagreement, or controversy arises, then, upon written notice by Grantee to the Corporation or the Corporation to Grantee, all disputes, claims, questions, controversies, or differences will be submitted to arbitration administered by the American Arbitration Association (the “AAA”) in accordance with the provisions of its Employment Arbitration Rules (the “Arbitration Rules”).</w:t>
      </w:r>
    </w:p>
    <w:p>
      <w:pPr>
        <w:spacing w:after="0" w:line="186" w:lineRule="exact"/>
        <w:rPr>
          <w:rFonts w:ascii="Arial" w:cs="Arial" w:eastAsia="Arial" w:hAnsi="Arial"/>
          <w:sz w:val="22"/>
          <w:szCs w:val="22"/>
          <w:color w:val="auto"/>
        </w:rPr>
      </w:pPr>
    </w:p>
    <w:p>
      <w:pPr>
        <w:jc w:val="both"/>
        <w:ind w:left="1300" w:firstLine="653"/>
        <w:spacing w:after="0" w:line="247" w:lineRule="auto"/>
        <w:tabs>
          <w:tab w:leader="none" w:pos="2470" w:val="left"/>
        </w:tabs>
        <w:numPr>
          <w:ilvl w:val="1"/>
          <w:numId w:val="171"/>
        </w:numPr>
        <w:rPr>
          <w:rFonts w:ascii="Arial" w:cs="Arial" w:eastAsia="Arial" w:hAnsi="Arial"/>
          <w:sz w:val="22"/>
          <w:szCs w:val="22"/>
          <w:color w:val="auto"/>
        </w:rPr>
      </w:pPr>
      <w:r>
        <w:rPr>
          <w:rFonts w:ascii="Arial" w:cs="Arial" w:eastAsia="Arial" w:hAnsi="Arial"/>
          <w:sz w:val="22"/>
          <w:szCs w:val="22"/>
          <w:b w:val="1"/>
          <w:bCs w:val="1"/>
          <w:color w:val="auto"/>
        </w:rPr>
        <w:t>Arbitrator</w:t>
      </w:r>
      <w:r>
        <w:rPr>
          <w:rFonts w:ascii="Arial" w:cs="Arial" w:eastAsia="Arial" w:hAnsi="Arial"/>
          <w:sz w:val="22"/>
          <w:szCs w:val="22"/>
          <w:color w:val="auto"/>
        </w:rPr>
        <w:t>. The arbitration will be conducted by one arbitrator skilled in the arbitration of executive</w:t>
      </w:r>
      <w:r>
        <w:rPr>
          <w:rFonts w:ascii="Arial" w:cs="Arial" w:eastAsia="Arial" w:hAnsi="Arial"/>
          <w:sz w:val="22"/>
          <w:szCs w:val="22"/>
          <w:b w:val="1"/>
          <w:bCs w:val="1"/>
          <w:color w:val="auto"/>
        </w:rPr>
        <w:t xml:space="preserve"> </w:t>
      </w:r>
      <w:r>
        <w:rPr>
          <w:rFonts w:ascii="Arial" w:cs="Arial" w:eastAsia="Arial" w:hAnsi="Arial"/>
          <w:sz w:val="22"/>
          <w:szCs w:val="22"/>
          <w:color w:val="auto"/>
        </w:rPr>
        <w:t>employment matters. The parties to the arbitration will jointly appoint the arbitrator within 30 days after initiation of the arbitration. If the parties fail to appoint an arbitrator as provided above, an arbitrator with substantial experience in executive employment matters will be appointed by the AAA as provided in the Arbitration Rules. The Corporation will pay all of the fees, if any, and expenses of the arbitrator and the arbitration, unless otherwise determined by the arbitrator. Each party to the arbitration will be responsible for his/its respective attorneys fees or other costs of representation.</w:t>
      </w:r>
    </w:p>
    <w:p>
      <w:pPr>
        <w:spacing w:after="0" w:line="189" w:lineRule="exact"/>
        <w:rPr>
          <w:rFonts w:ascii="Arial" w:cs="Arial" w:eastAsia="Arial" w:hAnsi="Arial"/>
          <w:sz w:val="22"/>
          <w:szCs w:val="22"/>
          <w:color w:val="auto"/>
        </w:rPr>
      </w:pPr>
    </w:p>
    <w:p>
      <w:pPr>
        <w:ind w:left="2420" w:hanging="467"/>
        <w:spacing w:after="0"/>
        <w:tabs>
          <w:tab w:leader="none" w:pos="2420" w:val="left"/>
        </w:tabs>
        <w:numPr>
          <w:ilvl w:val="1"/>
          <w:numId w:val="171"/>
        </w:numPr>
        <w:rPr>
          <w:rFonts w:ascii="Arial" w:cs="Arial" w:eastAsia="Arial" w:hAnsi="Arial"/>
          <w:sz w:val="22"/>
          <w:szCs w:val="22"/>
          <w:color w:val="auto"/>
        </w:rPr>
      </w:pPr>
      <w:r>
        <w:rPr>
          <w:rFonts w:ascii="Arial" w:cs="Arial" w:eastAsia="Arial" w:hAnsi="Arial"/>
          <w:sz w:val="22"/>
          <w:szCs w:val="22"/>
          <w:b w:val="1"/>
          <w:bCs w:val="1"/>
          <w:color w:val="auto"/>
        </w:rPr>
        <w:t>Location</w:t>
      </w:r>
      <w:r>
        <w:rPr>
          <w:rFonts w:ascii="Arial" w:cs="Arial" w:eastAsia="Arial" w:hAnsi="Arial"/>
          <w:sz w:val="22"/>
          <w:szCs w:val="22"/>
          <w:color w:val="auto"/>
        </w:rPr>
        <w:t>. The arbitration will be conducted in Oakland County, Michigan.</w:t>
      </w:r>
    </w:p>
    <w:p>
      <w:pPr>
        <w:spacing w:after="0" w:line="219" w:lineRule="exact"/>
        <w:rPr>
          <w:rFonts w:ascii="Arial" w:cs="Arial" w:eastAsia="Arial" w:hAnsi="Arial"/>
          <w:sz w:val="22"/>
          <w:szCs w:val="22"/>
          <w:color w:val="auto"/>
        </w:rPr>
      </w:pPr>
    </w:p>
    <w:p>
      <w:pPr>
        <w:jc w:val="both"/>
        <w:ind w:left="1300" w:firstLine="653"/>
        <w:spacing w:after="0" w:line="249" w:lineRule="auto"/>
        <w:tabs>
          <w:tab w:leader="none" w:pos="2470" w:val="left"/>
        </w:tabs>
        <w:numPr>
          <w:ilvl w:val="1"/>
          <w:numId w:val="171"/>
        </w:numPr>
        <w:rPr>
          <w:rFonts w:ascii="Arial" w:cs="Arial" w:eastAsia="Arial" w:hAnsi="Arial"/>
          <w:sz w:val="22"/>
          <w:szCs w:val="22"/>
          <w:color w:val="auto"/>
        </w:rPr>
      </w:pPr>
      <w:r>
        <w:rPr>
          <w:rFonts w:ascii="Arial" w:cs="Arial" w:eastAsia="Arial" w:hAnsi="Arial"/>
          <w:sz w:val="22"/>
          <w:szCs w:val="22"/>
          <w:b w:val="1"/>
          <w:bCs w:val="1"/>
          <w:color w:val="auto"/>
        </w:rPr>
        <w:t>Procedure</w:t>
      </w:r>
      <w:r>
        <w:rPr>
          <w:rFonts w:ascii="Arial" w:cs="Arial" w:eastAsia="Arial" w:hAnsi="Arial"/>
          <w:sz w:val="22"/>
          <w:szCs w:val="22"/>
          <w:color w:val="auto"/>
        </w:rPr>
        <w:t>. At any oral hearing of evidence in connection with the arbitration, each party or its legal</w:t>
      </w:r>
      <w:r>
        <w:rPr>
          <w:rFonts w:ascii="Arial" w:cs="Arial" w:eastAsia="Arial" w:hAnsi="Arial"/>
          <w:sz w:val="22"/>
          <w:szCs w:val="22"/>
          <w:b w:val="1"/>
          <w:bCs w:val="1"/>
          <w:color w:val="auto"/>
        </w:rPr>
        <w:t xml:space="preserve"> </w:t>
      </w:r>
      <w:r>
        <w:rPr>
          <w:rFonts w:ascii="Arial" w:cs="Arial" w:eastAsia="Arial" w:hAnsi="Arial"/>
          <w:sz w:val="22"/>
          <w:szCs w:val="22"/>
          <w:color w:val="auto"/>
        </w:rPr>
        <w:t>counsel will have the right to examine its witnesses and cross-examine the witnesses of any opposing party. No evidence of any witness may be presented in any form unless the opposing party or parties has the opportunity to cross-examine the witness, except under extraordinary circumstances in which the arbitrator determines that the interests of justice require a different procedure.</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631" w:right="239" w:bottom="1440" w:gutter="0" w:footer="0" w:header="0"/>
        </w:sectPr>
      </w:pPr>
    </w:p>
    <w:bookmarkStart w:id="150" w:name="page151"/>
    <w:bookmarkEnd w:id="150"/>
    <w:p>
      <w:pPr>
        <w:jc w:val="both"/>
        <w:ind w:left="1300" w:firstLine="653"/>
        <w:spacing w:after="0" w:line="252" w:lineRule="auto"/>
        <w:tabs>
          <w:tab w:leader="none" w:pos="2470" w:val="left"/>
        </w:tabs>
        <w:numPr>
          <w:ilvl w:val="0"/>
          <w:numId w:val="172"/>
        </w:numPr>
        <w:rPr>
          <w:rFonts w:ascii="Arial" w:cs="Arial" w:eastAsia="Arial" w:hAnsi="Arial"/>
          <w:sz w:val="22"/>
          <w:szCs w:val="22"/>
          <w:color w:val="auto"/>
        </w:rPr>
      </w:pPr>
      <w:r>
        <w:rPr>
          <w:rFonts w:ascii="Arial" w:cs="Arial" w:eastAsia="Arial" w:hAnsi="Arial"/>
          <w:sz w:val="22"/>
          <w:szCs w:val="22"/>
          <w:b w:val="1"/>
          <w:bCs w:val="1"/>
          <w:color w:val="auto"/>
        </w:rPr>
        <w:t>Decision</w:t>
      </w:r>
      <w:r>
        <w:rPr>
          <w:rFonts w:ascii="Arial" w:cs="Arial" w:eastAsia="Arial" w:hAnsi="Arial"/>
          <w:sz w:val="22"/>
          <w:szCs w:val="22"/>
          <w:color w:val="auto"/>
        </w:rPr>
        <w:t>. Any decision or award of the arbitrator is final and binding on the parties to the arbitration</w:t>
      </w:r>
      <w:r>
        <w:rPr>
          <w:rFonts w:ascii="Arial" w:cs="Arial" w:eastAsia="Arial" w:hAnsi="Arial"/>
          <w:sz w:val="22"/>
          <w:szCs w:val="22"/>
          <w:b w:val="1"/>
          <w:bCs w:val="1"/>
          <w:color w:val="auto"/>
        </w:rPr>
        <w:t xml:space="preserve"> </w:t>
      </w:r>
      <w:r>
        <w:rPr>
          <w:rFonts w:ascii="Arial" w:cs="Arial" w:eastAsia="Arial" w:hAnsi="Arial"/>
          <w:sz w:val="22"/>
          <w:szCs w:val="22"/>
          <w:color w:val="auto"/>
        </w:rPr>
        <w:t>proceeding. The parties agree that the arbitration award may be enforced against the parties to the arbitration proceeding or their assets wherever they may be found and that a judgment upon the arbitration award may be entered in any court having jurisdiction.</w:t>
      </w:r>
    </w:p>
    <w:p>
      <w:pPr>
        <w:spacing w:after="0" w:line="180" w:lineRule="exact"/>
        <w:rPr>
          <w:rFonts w:ascii="Arial" w:cs="Arial" w:eastAsia="Arial" w:hAnsi="Arial"/>
          <w:sz w:val="22"/>
          <w:szCs w:val="22"/>
          <w:color w:val="auto"/>
        </w:rPr>
      </w:pPr>
    </w:p>
    <w:p>
      <w:pPr>
        <w:ind w:left="1300" w:firstLine="653"/>
        <w:spacing w:after="0" w:line="350" w:lineRule="auto"/>
        <w:tabs>
          <w:tab w:leader="none" w:pos="2551" w:val="left"/>
        </w:tabs>
        <w:numPr>
          <w:ilvl w:val="0"/>
          <w:numId w:val="172"/>
        </w:numPr>
        <w:rPr>
          <w:rFonts w:ascii="Arial" w:cs="Arial" w:eastAsia="Arial" w:hAnsi="Arial"/>
          <w:sz w:val="19"/>
          <w:szCs w:val="19"/>
          <w:color w:val="auto"/>
        </w:rPr>
      </w:pPr>
      <w:r>
        <w:rPr>
          <w:rFonts w:ascii="Arial" w:cs="Arial" w:eastAsia="Arial" w:hAnsi="Arial"/>
          <w:sz w:val="19"/>
          <w:szCs w:val="19"/>
          <w:b w:val="1"/>
          <w:bCs w:val="1"/>
          <w:color w:val="auto"/>
        </w:rPr>
        <w:t>Power</w:t>
      </w:r>
      <w:r>
        <w:rPr>
          <w:rFonts w:ascii="Arial" w:cs="Arial" w:eastAsia="Arial" w:hAnsi="Arial"/>
          <w:sz w:val="19"/>
          <w:szCs w:val="19"/>
          <w:color w:val="auto"/>
        </w:rPr>
        <w:t>. Nothing contained in this Agreement may be deemed to give the arbitrator any authority,</w:t>
      </w:r>
      <w:r>
        <w:rPr>
          <w:rFonts w:ascii="Arial" w:cs="Arial" w:eastAsia="Arial" w:hAnsi="Arial"/>
          <w:sz w:val="19"/>
          <w:szCs w:val="19"/>
          <w:b w:val="1"/>
          <w:bCs w:val="1"/>
          <w:color w:val="auto"/>
        </w:rPr>
        <w:t xml:space="preserve"> </w:t>
      </w:r>
      <w:r>
        <w:rPr>
          <w:rFonts w:ascii="Arial" w:cs="Arial" w:eastAsia="Arial" w:hAnsi="Arial"/>
          <w:sz w:val="19"/>
          <w:szCs w:val="19"/>
          <w:color w:val="auto"/>
        </w:rPr>
        <w:t>power, or right to alter, change, amend, modify, add to, or subtract from any of the provisions of this Agreement.</w:t>
      </w:r>
    </w:p>
    <w:p>
      <w:pPr>
        <w:spacing w:after="0" w:line="98"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The provisions of this Section II.B.3 survive the termination or expiration of this Agreement, are binding on the Corporation’s and Grantee’s respective successors, heirs, personal representatives, designated beneficiaries and any other person asserting a claim described above, and may not be modified without the consent of the Corporation. To the extent arbitration is required, no person asserting a claim has the right to resort to any federal, state or local court or administrative agency concerning the claim unless expressly provided by federal statute, and the decision of the arbitrator is a complete defense to any action or proceeding instituted in any tribunal or agency with respect to any dispute, unless precluded by federal statute.</w:t>
      </w:r>
    </w:p>
    <w:p>
      <w:pPr>
        <w:spacing w:after="0" w:line="144" w:lineRule="exact"/>
        <w:rPr>
          <w:sz w:val="20"/>
          <w:szCs w:val="20"/>
          <w:color w:val="auto"/>
        </w:rPr>
      </w:pPr>
    </w:p>
    <w:p>
      <w:pPr>
        <w:ind w:firstLine="1305"/>
        <w:spacing w:after="0" w:line="350" w:lineRule="auto"/>
        <w:tabs>
          <w:tab w:leader="none" w:pos="1702" w:val="left"/>
        </w:tabs>
        <w:numPr>
          <w:ilvl w:val="0"/>
          <w:numId w:val="173"/>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Code Section 409A</w:t>
      </w:r>
      <w:r>
        <w:rPr>
          <w:rFonts w:ascii="Arial" w:cs="Arial" w:eastAsia="Arial" w:hAnsi="Arial"/>
          <w:sz w:val="19"/>
          <w:szCs w:val="19"/>
          <w:u w:val="single" w:color="auto"/>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Without limiting the generality of any other provision of this Agreement and to the extent</w:t>
      </w:r>
      <w:r>
        <w:rPr>
          <w:rFonts w:ascii="Arial" w:cs="Arial" w:eastAsia="Arial" w:hAnsi="Arial"/>
          <w:sz w:val="19"/>
          <w:szCs w:val="19"/>
          <w:b w:val="1"/>
          <w:bCs w:val="1"/>
          <w:color w:val="auto"/>
        </w:rPr>
        <w:t xml:space="preserve"> </w:t>
      </w:r>
      <w:r>
        <w:rPr>
          <w:rFonts w:ascii="Arial" w:cs="Arial" w:eastAsia="Arial" w:hAnsi="Arial"/>
          <w:sz w:val="19"/>
          <w:szCs w:val="19"/>
          <w:color w:val="auto"/>
        </w:rPr>
        <w:t>applicable, Sections 18.9 and 18.10 of the Plan pertaining to Code Section 409A are explicitly incorporated into this Agreement.</w:t>
      </w:r>
    </w:p>
    <w:p>
      <w:pPr>
        <w:spacing w:after="0" w:line="92" w:lineRule="exact"/>
        <w:rPr>
          <w:rFonts w:ascii="Arial" w:cs="Arial" w:eastAsia="Arial" w:hAnsi="Arial"/>
          <w:sz w:val="19"/>
          <w:szCs w:val="19"/>
          <w:b w:val="1"/>
          <w:bCs w:val="1"/>
          <w:color w:val="auto"/>
        </w:rPr>
      </w:pPr>
    </w:p>
    <w:p>
      <w:pPr>
        <w:jc w:val="both"/>
        <w:ind w:firstLine="1305"/>
        <w:spacing w:after="0" w:line="264" w:lineRule="auto"/>
        <w:tabs>
          <w:tab w:leader="none" w:pos="1742" w:val="left"/>
        </w:tabs>
        <w:numPr>
          <w:ilvl w:val="0"/>
          <w:numId w:val="173"/>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No Continued Right as Service Provider.</w:t>
      </w:r>
      <w:r>
        <w:rPr>
          <w:rFonts w:ascii="Arial" w:cs="Arial" w:eastAsia="Arial" w:hAnsi="Arial"/>
          <w:sz w:val="21"/>
          <w:szCs w:val="21"/>
          <w:b w:val="1"/>
          <w:bCs w:val="1"/>
          <w:color w:val="auto"/>
        </w:rPr>
        <w:t xml:space="preserve"> </w:t>
      </w:r>
      <w:r>
        <w:rPr>
          <w:rFonts w:ascii="Arial" w:cs="Arial" w:eastAsia="Arial" w:hAnsi="Arial"/>
          <w:sz w:val="21"/>
          <w:szCs w:val="21"/>
          <w:color w:val="auto"/>
        </w:rPr>
        <w:t>Nothing in the Plan or in this Agreement confers on Grantee any</w:t>
      </w:r>
      <w:r>
        <w:rPr>
          <w:rFonts w:ascii="Arial" w:cs="Arial" w:eastAsia="Arial" w:hAnsi="Arial"/>
          <w:sz w:val="21"/>
          <w:szCs w:val="21"/>
          <w:b w:val="1"/>
          <w:bCs w:val="1"/>
          <w:color w:val="auto"/>
        </w:rPr>
        <w:t xml:space="preserve"> </w:t>
      </w:r>
      <w:r>
        <w:rPr>
          <w:rFonts w:ascii="Arial" w:cs="Arial" w:eastAsia="Arial" w:hAnsi="Arial"/>
          <w:sz w:val="21"/>
          <w:szCs w:val="21"/>
          <w:color w:val="auto"/>
        </w:rPr>
        <w:t>right to continue as a Service Provider, or interferes with or restricts in any way the rights of the Corporation or any Subsidiary or Affiliate of the Corporation, which are hereby expressly reserved, to discharge Grantee at any time for any reason whatsoever, with or without Cause, except to the extent expressly provided otherwise in a written employment agreement between Grantee and the Corporation or any Subsidiary or Affiliate of the Corporation.</w:t>
      </w:r>
    </w:p>
    <w:p>
      <w:pPr>
        <w:spacing w:after="0" w:line="170" w:lineRule="exact"/>
        <w:rPr>
          <w:rFonts w:ascii="Arial" w:cs="Arial" w:eastAsia="Arial" w:hAnsi="Arial"/>
          <w:sz w:val="21"/>
          <w:szCs w:val="21"/>
          <w:b w:val="1"/>
          <w:bCs w:val="1"/>
          <w:color w:val="auto"/>
        </w:rPr>
      </w:pPr>
    </w:p>
    <w:p>
      <w:pPr>
        <w:jc w:val="both"/>
        <w:ind w:firstLine="1305"/>
        <w:spacing w:after="0" w:line="252" w:lineRule="auto"/>
        <w:tabs>
          <w:tab w:leader="none" w:pos="1742" w:val="left"/>
        </w:tabs>
        <w:numPr>
          <w:ilvl w:val="0"/>
          <w:numId w:val="17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Effect on Other Benefits</w:t>
      </w:r>
      <w:r>
        <w:rPr>
          <w:rFonts w:ascii="Arial" w:cs="Arial" w:eastAsia="Arial" w:hAnsi="Arial"/>
          <w:sz w:val="22"/>
          <w:szCs w:val="22"/>
          <w:u w:val="single" w:color="auto"/>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In no event will the value, at any time, of the Restricted Stock Units or any other</w:t>
      </w:r>
      <w:r>
        <w:rPr>
          <w:rFonts w:ascii="Arial" w:cs="Arial" w:eastAsia="Arial" w:hAnsi="Arial"/>
          <w:sz w:val="22"/>
          <w:szCs w:val="22"/>
          <w:b w:val="1"/>
          <w:bCs w:val="1"/>
          <w:color w:val="auto"/>
        </w:rPr>
        <w:t xml:space="preserve"> </w:t>
      </w:r>
      <w:r>
        <w:rPr>
          <w:rFonts w:ascii="Arial" w:cs="Arial" w:eastAsia="Arial" w:hAnsi="Arial"/>
          <w:sz w:val="22"/>
          <w:szCs w:val="22"/>
          <w:color w:val="auto"/>
        </w:rPr>
        <w:t>payment or right to payment under this Agreement be included as compensation or earnings for purposes of any other compensation, retirement, or benefit plan offered to employees of, or other Service Providers to, the Corporation or any Subsidiary or Affiliate of the Corporation unless otherwise specifically provided for in such plan.</w:t>
      </w:r>
    </w:p>
    <w:p>
      <w:pPr>
        <w:spacing w:after="0" w:line="180" w:lineRule="exact"/>
        <w:rPr>
          <w:rFonts w:ascii="Arial" w:cs="Arial" w:eastAsia="Arial" w:hAnsi="Arial"/>
          <w:sz w:val="22"/>
          <w:szCs w:val="22"/>
          <w:b w:val="1"/>
          <w:bCs w:val="1"/>
          <w:color w:val="auto"/>
        </w:rPr>
      </w:pPr>
    </w:p>
    <w:p>
      <w:pPr>
        <w:jc w:val="both"/>
        <w:ind w:firstLine="1305"/>
        <w:spacing w:after="0" w:line="252" w:lineRule="auto"/>
        <w:tabs>
          <w:tab w:leader="none" w:pos="1756" w:val="left"/>
        </w:tabs>
        <w:numPr>
          <w:ilvl w:val="0"/>
          <w:numId w:val="17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Severability</w:t>
      </w:r>
      <w:r>
        <w:rPr>
          <w:rFonts w:ascii="Arial" w:cs="Arial" w:eastAsia="Arial" w:hAnsi="Arial"/>
          <w:sz w:val="22"/>
          <w:szCs w:val="22"/>
          <w:color w:val="auto"/>
        </w:rPr>
        <w:t>. If any provision of this Agreement or the application of any provision hereof to any person or</w:t>
      </w:r>
      <w:r>
        <w:rPr>
          <w:rFonts w:ascii="Arial" w:cs="Arial" w:eastAsia="Arial" w:hAnsi="Arial"/>
          <w:sz w:val="22"/>
          <w:szCs w:val="22"/>
          <w:b w:val="1"/>
          <w:bCs w:val="1"/>
          <w:color w:val="auto"/>
        </w:rPr>
        <w:t xml:space="preserve"> </w:t>
      </w:r>
      <w:r>
        <w:rPr>
          <w:rFonts w:ascii="Arial" w:cs="Arial" w:eastAsia="Arial" w:hAnsi="Arial"/>
          <w:sz w:val="22"/>
          <w:szCs w:val="22"/>
          <w:color w:val="auto"/>
        </w:rPr>
        <w:t>circumstances is held invalid or unenforceable, the remainder of this Agreement and the application of such provision to any other person or circumstances shall not be affected, and the provisions so held to be invalid or unenforceable shall be reformed to the extent (and only to the extent) necessary to make it enforceable and valid.</w:t>
      </w:r>
    </w:p>
    <w:p>
      <w:pPr>
        <w:spacing w:after="0" w:line="180" w:lineRule="exact"/>
        <w:rPr>
          <w:rFonts w:ascii="Arial" w:cs="Arial" w:eastAsia="Arial" w:hAnsi="Arial"/>
          <w:sz w:val="22"/>
          <w:szCs w:val="22"/>
          <w:b w:val="1"/>
          <w:bCs w:val="1"/>
          <w:color w:val="auto"/>
        </w:rPr>
      </w:pPr>
    </w:p>
    <w:p>
      <w:pPr>
        <w:jc w:val="both"/>
        <w:ind w:firstLine="1305"/>
        <w:spacing w:after="0" w:line="252" w:lineRule="auto"/>
        <w:tabs>
          <w:tab w:leader="none" w:pos="1877" w:val="left"/>
        </w:tabs>
        <w:numPr>
          <w:ilvl w:val="0"/>
          <w:numId w:val="17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Electronic Delivery</w:t>
      </w:r>
      <w:r>
        <w:rPr>
          <w:rFonts w:ascii="Arial" w:cs="Arial" w:eastAsia="Arial" w:hAnsi="Arial"/>
          <w:sz w:val="22"/>
          <w:szCs w:val="22"/>
          <w:color w:val="auto"/>
        </w:rPr>
        <w:t>. The Corporation may, in its sole discretion, deliver any documents related to the</w:t>
      </w:r>
      <w:r>
        <w:rPr>
          <w:rFonts w:ascii="Arial" w:cs="Arial" w:eastAsia="Arial" w:hAnsi="Arial"/>
          <w:sz w:val="22"/>
          <w:szCs w:val="22"/>
          <w:b w:val="1"/>
          <w:bCs w:val="1"/>
          <w:color w:val="auto"/>
        </w:rPr>
        <w:t xml:space="preserve"> </w:t>
      </w:r>
      <w:r>
        <w:rPr>
          <w:rFonts w:ascii="Arial" w:cs="Arial" w:eastAsia="Arial" w:hAnsi="Arial"/>
          <w:sz w:val="22"/>
          <w:szCs w:val="22"/>
          <w:color w:val="auto"/>
        </w:rPr>
        <w:t>Restricted Stock Units and Grantee’s participation in the Plan, or future awards that may be granted under the Plan, by electronic means or request Grantee’s consent to participate in the Plan by electronic means. Grantee hereby consents to receive such documents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625" w:right="239" w:bottom="1440" w:gutter="0" w:footer="0" w:header="0"/>
        </w:sectPr>
      </w:pPr>
    </w:p>
    <w:bookmarkStart w:id="151" w:name="page152"/>
    <w:bookmarkEnd w:id="151"/>
    <w:p>
      <w:pPr>
        <w:ind w:right="20"/>
        <w:spacing w:after="0" w:line="263" w:lineRule="auto"/>
        <w:rPr>
          <w:sz w:val="20"/>
          <w:szCs w:val="20"/>
          <w:color w:val="auto"/>
        </w:rPr>
      </w:pPr>
      <w:r>
        <w:rPr>
          <w:rFonts w:ascii="Arial" w:cs="Arial" w:eastAsia="Arial" w:hAnsi="Arial"/>
          <w:sz w:val="22"/>
          <w:szCs w:val="22"/>
          <w:color w:val="auto"/>
        </w:rPr>
        <w:t>by electronic delivery and, if requested, agrees to participate in the Plan through an on-line or electronic system established and maintained by the Corporation or another third party designated by the Corporation.</w:t>
      </w:r>
    </w:p>
    <w:p>
      <w:pPr>
        <w:spacing w:after="0" w:line="169" w:lineRule="exact"/>
        <w:rPr>
          <w:sz w:val="20"/>
          <w:szCs w:val="20"/>
          <w:color w:val="auto"/>
        </w:rPr>
      </w:pPr>
    </w:p>
    <w:p>
      <w:pPr>
        <w:ind w:left="1680" w:hanging="375"/>
        <w:spacing w:after="0"/>
        <w:tabs>
          <w:tab w:leader="none" w:pos="1680" w:val="left"/>
        </w:tabs>
        <w:numPr>
          <w:ilvl w:val="0"/>
          <w:numId w:val="17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Nature of Grant</w:t>
      </w:r>
      <w:r>
        <w:rPr>
          <w:rFonts w:ascii="Arial" w:cs="Arial" w:eastAsia="Arial" w:hAnsi="Arial"/>
          <w:sz w:val="22"/>
          <w:szCs w:val="22"/>
          <w:b w:val="1"/>
          <w:bCs w:val="1"/>
          <w:color w:val="auto"/>
        </w:rPr>
        <w:t xml:space="preserve">. </w:t>
      </w:r>
      <w:r>
        <w:rPr>
          <w:rFonts w:ascii="Arial" w:cs="Arial" w:eastAsia="Arial" w:hAnsi="Arial"/>
          <w:sz w:val="22"/>
          <w:szCs w:val="22"/>
          <w:color w:val="auto"/>
        </w:rPr>
        <w:t>In accepting the Award, Grantee acknowledges that:</w:t>
      </w:r>
    </w:p>
    <w:p>
      <w:pPr>
        <w:spacing w:after="0" w:line="226" w:lineRule="exact"/>
        <w:rPr>
          <w:sz w:val="20"/>
          <w:szCs w:val="20"/>
          <w:color w:val="auto"/>
        </w:rPr>
      </w:pPr>
    </w:p>
    <w:p>
      <w:pPr>
        <w:ind w:left="660" w:firstLine="645"/>
        <w:spacing w:after="0" w:line="343" w:lineRule="auto"/>
        <w:tabs>
          <w:tab w:leader="none" w:pos="1859" w:val="left"/>
        </w:tabs>
        <w:numPr>
          <w:ilvl w:val="0"/>
          <w:numId w:val="175"/>
        </w:numPr>
        <w:rPr>
          <w:rFonts w:ascii="Arial" w:cs="Arial" w:eastAsia="Arial" w:hAnsi="Arial"/>
          <w:sz w:val="19"/>
          <w:szCs w:val="19"/>
          <w:color w:val="auto"/>
        </w:rPr>
      </w:pPr>
      <w:r>
        <w:rPr>
          <w:rFonts w:ascii="Arial" w:cs="Arial" w:eastAsia="Arial" w:hAnsi="Arial"/>
          <w:sz w:val="19"/>
          <w:szCs w:val="19"/>
          <w:color w:val="auto"/>
        </w:rPr>
        <w:t>the Plan is established voluntarily by the Corporation, it is discretionary in nature and it may be modified, amended, suspended or terminated by the Corporation at any time unless otherwise provided in the Plan or this Agreement;</w:t>
      </w:r>
    </w:p>
    <w:p>
      <w:pPr>
        <w:spacing w:after="0" w:line="104" w:lineRule="exact"/>
        <w:rPr>
          <w:rFonts w:ascii="Arial" w:cs="Arial" w:eastAsia="Arial" w:hAnsi="Arial"/>
          <w:sz w:val="19"/>
          <w:szCs w:val="19"/>
          <w:color w:val="auto"/>
        </w:rPr>
      </w:pPr>
    </w:p>
    <w:p>
      <w:pPr>
        <w:jc w:val="both"/>
        <w:ind w:left="660" w:firstLine="645"/>
        <w:spacing w:after="0" w:line="253" w:lineRule="auto"/>
        <w:tabs>
          <w:tab w:leader="none" w:pos="1790" w:val="left"/>
        </w:tabs>
        <w:numPr>
          <w:ilvl w:val="0"/>
          <w:numId w:val="175"/>
        </w:numPr>
        <w:rPr>
          <w:rFonts w:ascii="Arial" w:cs="Arial" w:eastAsia="Arial" w:hAnsi="Arial"/>
          <w:sz w:val="22"/>
          <w:szCs w:val="22"/>
          <w:color w:val="auto"/>
        </w:rPr>
      </w:pPr>
      <w:r>
        <w:rPr>
          <w:rFonts w:ascii="Arial" w:cs="Arial" w:eastAsia="Arial" w:hAnsi="Arial"/>
          <w:sz w:val="22"/>
          <w:szCs w:val="22"/>
          <w:color w:val="auto"/>
        </w:rPr>
        <w:t>the grant of the Restricted Stock Units is voluntary and occasional and does not create any contractual or other right to receive future grants of restricted stock units, or benefits in lieu of restricted stock units, even if restricted stock units have been granted repeatedly in the past;</w:t>
      </w:r>
    </w:p>
    <w:p>
      <w:pPr>
        <w:spacing w:after="0" w:line="185" w:lineRule="exact"/>
        <w:rPr>
          <w:rFonts w:ascii="Arial" w:cs="Arial" w:eastAsia="Arial" w:hAnsi="Arial"/>
          <w:sz w:val="22"/>
          <w:szCs w:val="22"/>
          <w:color w:val="auto"/>
        </w:rPr>
      </w:pPr>
    </w:p>
    <w:p>
      <w:pPr>
        <w:ind w:left="1860" w:hanging="555"/>
        <w:spacing w:after="0"/>
        <w:tabs>
          <w:tab w:leader="none" w:pos="1860" w:val="left"/>
        </w:tabs>
        <w:numPr>
          <w:ilvl w:val="0"/>
          <w:numId w:val="175"/>
        </w:numPr>
        <w:rPr>
          <w:rFonts w:ascii="Arial" w:cs="Arial" w:eastAsia="Arial" w:hAnsi="Arial"/>
          <w:sz w:val="21"/>
          <w:szCs w:val="21"/>
          <w:color w:val="auto"/>
        </w:rPr>
      </w:pPr>
      <w:r>
        <w:rPr>
          <w:rFonts w:ascii="Arial" w:cs="Arial" w:eastAsia="Arial" w:hAnsi="Arial"/>
          <w:sz w:val="21"/>
          <w:szCs w:val="21"/>
          <w:color w:val="auto"/>
        </w:rPr>
        <w:t>all decisions with respect to future restricted stock unit grants, if any, will be at the sole discretion of the</w:t>
      </w:r>
    </w:p>
    <w:p>
      <w:pPr>
        <w:spacing w:after="0" w:line="33" w:lineRule="exact"/>
        <w:rPr>
          <w:rFonts w:ascii="Arial" w:cs="Arial" w:eastAsia="Arial" w:hAnsi="Arial"/>
          <w:sz w:val="21"/>
          <w:szCs w:val="21"/>
          <w:color w:val="auto"/>
        </w:rPr>
      </w:pPr>
    </w:p>
    <w:p>
      <w:pPr>
        <w:ind w:left="660"/>
        <w:spacing w:after="0"/>
        <w:rPr>
          <w:rFonts w:ascii="Arial" w:cs="Arial" w:eastAsia="Arial" w:hAnsi="Arial"/>
          <w:sz w:val="21"/>
          <w:szCs w:val="21"/>
          <w:color w:val="auto"/>
        </w:rPr>
      </w:pPr>
      <w:r>
        <w:rPr>
          <w:rFonts w:ascii="Arial" w:cs="Arial" w:eastAsia="Arial" w:hAnsi="Arial"/>
          <w:sz w:val="22"/>
          <w:szCs w:val="22"/>
          <w:color w:val="auto"/>
        </w:rPr>
        <w:t>Corporation;</w:t>
      </w:r>
    </w:p>
    <w:p>
      <w:pPr>
        <w:spacing w:after="0" w:line="201" w:lineRule="exact"/>
        <w:rPr>
          <w:rFonts w:ascii="Arial" w:cs="Arial" w:eastAsia="Arial" w:hAnsi="Arial"/>
          <w:sz w:val="21"/>
          <w:szCs w:val="21"/>
          <w:color w:val="auto"/>
        </w:rPr>
      </w:pPr>
    </w:p>
    <w:p>
      <w:pPr>
        <w:ind w:left="1780" w:hanging="475"/>
        <w:spacing w:after="0"/>
        <w:tabs>
          <w:tab w:leader="none" w:pos="1780" w:val="left"/>
        </w:tabs>
        <w:numPr>
          <w:ilvl w:val="0"/>
          <w:numId w:val="175"/>
        </w:numPr>
        <w:rPr>
          <w:rFonts w:ascii="Arial" w:cs="Arial" w:eastAsia="Arial" w:hAnsi="Arial"/>
          <w:sz w:val="22"/>
          <w:szCs w:val="22"/>
          <w:color w:val="auto"/>
        </w:rPr>
      </w:pPr>
      <w:r>
        <w:rPr>
          <w:rFonts w:ascii="Arial" w:cs="Arial" w:eastAsia="Arial" w:hAnsi="Arial"/>
          <w:sz w:val="22"/>
          <w:szCs w:val="22"/>
          <w:color w:val="auto"/>
        </w:rPr>
        <w:t>Grantee is voluntarily participating in the Plan;</w:t>
      </w:r>
    </w:p>
    <w:p>
      <w:pPr>
        <w:spacing w:after="0" w:line="219" w:lineRule="exact"/>
        <w:rPr>
          <w:rFonts w:ascii="Arial" w:cs="Arial" w:eastAsia="Arial" w:hAnsi="Arial"/>
          <w:sz w:val="22"/>
          <w:szCs w:val="22"/>
          <w:color w:val="auto"/>
        </w:rPr>
      </w:pPr>
    </w:p>
    <w:p>
      <w:pPr>
        <w:jc w:val="both"/>
        <w:ind w:left="660" w:firstLine="645"/>
        <w:spacing w:after="0" w:line="253" w:lineRule="auto"/>
        <w:tabs>
          <w:tab w:leader="none" w:pos="1818" w:val="left"/>
        </w:tabs>
        <w:numPr>
          <w:ilvl w:val="0"/>
          <w:numId w:val="175"/>
        </w:numPr>
        <w:rPr>
          <w:rFonts w:ascii="Arial" w:cs="Arial" w:eastAsia="Arial" w:hAnsi="Arial"/>
          <w:sz w:val="22"/>
          <w:szCs w:val="22"/>
          <w:color w:val="auto"/>
        </w:rPr>
      </w:pPr>
      <w:r>
        <w:rPr>
          <w:rFonts w:ascii="Arial" w:cs="Arial" w:eastAsia="Arial" w:hAnsi="Arial"/>
          <w:sz w:val="22"/>
          <w:szCs w:val="22"/>
          <w:color w:val="auto"/>
        </w:rPr>
        <w:t>the Restricted Stock Units and the Stock subject to the Restricted Stock Units are an extraordinary item that does not constitute compensation of any kind for services of any kind rendered to the Corporation or Grantee’s employer, and which is outside the scope of Grantee’s employment contract, if any;</w:t>
      </w:r>
    </w:p>
    <w:p>
      <w:pPr>
        <w:spacing w:after="0" w:line="185" w:lineRule="exact"/>
        <w:rPr>
          <w:rFonts w:ascii="Arial" w:cs="Arial" w:eastAsia="Arial" w:hAnsi="Arial"/>
          <w:sz w:val="22"/>
          <w:szCs w:val="22"/>
          <w:color w:val="auto"/>
        </w:rPr>
      </w:pPr>
    </w:p>
    <w:p>
      <w:pPr>
        <w:ind w:left="660" w:firstLine="645"/>
        <w:spacing w:after="0" w:line="263" w:lineRule="auto"/>
        <w:tabs>
          <w:tab w:leader="none" w:pos="1781" w:val="left"/>
        </w:tabs>
        <w:numPr>
          <w:ilvl w:val="0"/>
          <w:numId w:val="175"/>
        </w:numPr>
        <w:rPr>
          <w:rFonts w:ascii="Arial" w:cs="Arial" w:eastAsia="Arial" w:hAnsi="Arial"/>
          <w:sz w:val="22"/>
          <w:szCs w:val="22"/>
          <w:color w:val="auto"/>
        </w:rPr>
      </w:pPr>
      <w:r>
        <w:rPr>
          <w:rFonts w:ascii="Arial" w:cs="Arial" w:eastAsia="Arial" w:hAnsi="Arial"/>
          <w:sz w:val="22"/>
          <w:szCs w:val="22"/>
          <w:color w:val="auto"/>
        </w:rPr>
        <w:t>the Restricted Stock Units and the Stock subject to the Restricted Stock Units are not intended to replace any pension rights or compensation;</w:t>
      </w:r>
    </w:p>
    <w:p>
      <w:pPr>
        <w:spacing w:after="0" w:line="174" w:lineRule="exact"/>
        <w:rPr>
          <w:rFonts w:ascii="Arial" w:cs="Arial" w:eastAsia="Arial" w:hAnsi="Arial"/>
          <w:sz w:val="22"/>
          <w:szCs w:val="22"/>
          <w:color w:val="auto"/>
        </w:rPr>
      </w:pPr>
    </w:p>
    <w:p>
      <w:pPr>
        <w:ind w:left="1780" w:hanging="475"/>
        <w:spacing w:after="0"/>
        <w:tabs>
          <w:tab w:leader="none" w:pos="1780" w:val="left"/>
        </w:tabs>
        <w:numPr>
          <w:ilvl w:val="0"/>
          <w:numId w:val="175"/>
        </w:numPr>
        <w:rPr>
          <w:rFonts w:ascii="Arial" w:cs="Arial" w:eastAsia="Arial" w:hAnsi="Arial"/>
          <w:sz w:val="22"/>
          <w:szCs w:val="22"/>
          <w:color w:val="auto"/>
        </w:rPr>
      </w:pPr>
      <w:r>
        <w:rPr>
          <w:rFonts w:ascii="Arial" w:cs="Arial" w:eastAsia="Arial" w:hAnsi="Arial"/>
          <w:sz w:val="22"/>
          <w:szCs w:val="22"/>
          <w:color w:val="auto"/>
        </w:rPr>
        <w:t>the future value of the underlying Stock is unknown and cannot be predicted with certainty;</w:t>
      </w:r>
    </w:p>
    <w:p>
      <w:pPr>
        <w:spacing w:after="0" w:line="219" w:lineRule="exact"/>
        <w:rPr>
          <w:rFonts w:ascii="Arial" w:cs="Arial" w:eastAsia="Arial" w:hAnsi="Arial"/>
          <w:sz w:val="22"/>
          <w:szCs w:val="22"/>
          <w:color w:val="auto"/>
        </w:rPr>
      </w:pPr>
    </w:p>
    <w:p>
      <w:pPr>
        <w:jc w:val="both"/>
        <w:ind w:left="660" w:firstLine="645"/>
        <w:spacing w:after="0" w:line="312" w:lineRule="auto"/>
        <w:tabs>
          <w:tab w:leader="none" w:pos="1871" w:val="left"/>
        </w:tabs>
        <w:numPr>
          <w:ilvl w:val="0"/>
          <w:numId w:val="175"/>
        </w:numPr>
        <w:rPr>
          <w:rFonts w:ascii="Arial" w:cs="Arial" w:eastAsia="Arial" w:hAnsi="Arial"/>
          <w:sz w:val="19"/>
          <w:szCs w:val="19"/>
          <w:color w:val="auto"/>
        </w:rPr>
      </w:pPr>
      <w:r>
        <w:rPr>
          <w:rFonts w:ascii="Arial" w:cs="Arial" w:eastAsia="Arial" w:hAnsi="Arial"/>
          <w:sz w:val="19"/>
          <w:szCs w:val="19"/>
          <w:color w:val="auto"/>
        </w:rPr>
        <w:t>Awards and resulting benefits are not part of normal or expected compensation or salary for any purposes, including, but not limited to, calculating any severance, resignation, termination, redundancy, end of service payments, bonuses, long-service awards, pension or retirement benefits or similar payments insofar as permitted by law;</w:t>
      </w:r>
    </w:p>
    <w:p>
      <w:pPr>
        <w:spacing w:after="0" w:line="133" w:lineRule="exact"/>
        <w:rPr>
          <w:rFonts w:ascii="Arial" w:cs="Arial" w:eastAsia="Arial" w:hAnsi="Arial"/>
          <w:sz w:val="19"/>
          <w:szCs w:val="19"/>
          <w:color w:val="auto"/>
        </w:rPr>
      </w:pPr>
    </w:p>
    <w:p>
      <w:pPr>
        <w:jc w:val="both"/>
        <w:ind w:left="660" w:firstLine="645"/>
        <w:spacing w:after="0" w:line="261" w:lineRule="auto"/>
        <w:tabs>
          <w:tab w:leader="none" w:pos="1728" w:val="left"/>
        </w:tabs>
        <w:numPr>
          <w:ilvl w:val="0"/>
          <w:numId w:val="175"/>
        </w:numPr>
        <w:rPr>
          <w:rFonts w:ascii="Arial" w:cs="Arial" w:eastAsia="Arial" w:hAnsi="Arial"/>
          <w:sz w:val="21"/>
          <w:szCs w:val="21"/>
          <w:color w:val="auto"/>
        </w:rPr>
      </w:pPr>
      <w:r>
        <w:rPr>
          <w:rFonts w:ascii="Arial" w:cs="Arial" w:eastAsia="Arial" w:hAnsi="Arial"/>
          <w:sz w:val="21"/>
          <w:szCs w:val="21"/>
          <w:color w:val="auto"/>
        </w:rPr>
        <w:t>in consideration of the grant of the Restricted Stock Units, no claim or entitlement to compensation or damages shall arise from forfeiture of the Restricted Stock Units resulting from termination of Grantee’s employment with the Corporation or Grantee’s employer (for any reason whatsoever and whether or not in breach of local labor laws) and Grantee irrevocably releases the Corporation and Grantee’s employer from any such claim that may arise; if, notwithstanding the foregoing, any such claim is found by a court of competent jurisdiction to have arisen, Grantee shall be deemed irrevocably to have waive any entitlement to pursue such claim; and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631" w:right="239" w:bottom="1440" w:gutter="0" w:footer="0" w:header="0"/>
        </w:sectPr>
      </w:pPr>
    </w:p>
    <w:bookmarkStart w:id="152" w:name="page153"/>
    <w:bookmarkEnd w:id="152"/>
    <w:p>
      <w:pPr>
        <w:jc w:val="both"/>
        <w:ind w:left="660" w:firstLine="645"/>
        <w:spacing w:after="0" w:line="297" w:lineRule="auto"/>
        <w:tabs>
          <w:tab w:leader="none" w:pos="1782" w:val="left"/>
        </w:tabs>
        <w:numPr>
          <w:ilvl w:val="0"/>
          <w:numId w:val="176"/>
        </w:numPr>
        <w:rPr>
          <w:rFonts w:ascii="Arial" w:cs="Arial" w:eastAsia="Arial" w:hAnsi="Arial"/>
          <w:sz w:val="19"/>
          <w:szCs w:val="19"/>
          <w:color w:val="auto"/>
        </w:rPr>
      </w:pPr>
      <w:r>
        <w:rPr>
          <w:rFonts w:ascii="Arial" w:cs="Arial" w:eastAsia="Arial" w:hAnsi="Arial"/>
          <w:sz w:val="19"/>
          <w:szCs w:val="19"/>
          <w:color w:val="auto"/>
        </w:rPr>
        <w:t>in the event Grantee ceases to be a Service Provider (whether or not in breach of local labor laws), Grantee’s right to vest in the Restricted Stock Units under the Plan, if any, will terminate effective as of the date that Grantee is no longer a Service Provider and will not be extended by any notice period mandated under local law (e.g., active service would not include a period of “garden leave” or similar period pursuant to local law); the Committee shall have the exclusive discretion to determine when Grantee is no longer a Service Provider for purposes of the Restricted Stock Units.</w:t>
      </w:r>
    </w:p>
    <w:p>
      <w:pPr>
        <w:spacing w:after="0" w:line="141" w:lineRule="exact"/>
        <w:rPr>
          <w:rFonts w:ascii="Arial" w:cs="Arial" w:eastAsia="Arial" w:hAnsi="Arial"/>
          <w:sz w:val="19"/>
          <w:szCs w:val="19"/>
          <w:color w:val="auto"/>
        </w:rPr>
      </w:pPr>
    </w:p>
    <w:p>
      <w:pPr>
        <w:jc w:val="both"/>
        <w:ind w:left="80" w:firstLine="1292"/>
        <w:spacing w:after="0" w:line="295" w:lineRule="auto"/>
        <w:tabs>
          <w:tab w:leader="none" w:pos="1944" w:val="left"/>
        </w:tabs>
        <w:numPr>
          <w:ilvl w:val="1"/>
          <w:numId w:val="176"/>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Non-U.S. Addendum</w:t>
      </w:r>
      <w:r>
        <w:rPr>
          <w:rFonts w:ascii="Arial" w:cs="Arial" w:eastAsia="Arial" w:hAnsi="Arial"/>
          <w:sz w:val="19"/>
          <w:szCs w:val="19"/>
          <w:b w:val="1"/>
          <w:bCs w:val="1"/>
          <w:color w:val="auto"/>
        </w:rPr>
        <w:t xml:space="preserve">. </w:t>
      </w:r>
      <w:r>
        <w:rPr>
          <w:rFonts w:ascii="Arial" w:cs="Arial" w:eastAsia="Arial" w:hAnsi="Arial"/>
          <w:sz w:val="19"/>
          <w:szCs w:val="19"/>
          <w:color w:val="auto"/>
        </w:rPr>
        <w:t>Notwithstanding any provisions in this Agreement, the Restricted Stock Units shall</w:t>
      </w:r>
      <w:r>
        <w:rPr>
          <w:rFonts w:ascii="Arial" w:cs="Arial" w:eastAsia="Arial" w:hAnsi="Arial"/>
          <w:sz w:val="19"/>
          <w:szCs w:val="19"/>
          <w:b w:val="1"/>
          <w:bCs w:val="1"/>
          <w:color w:val="auto"/>
        </w:rPr>
        <w:t xml:space="preserve"> </w:t>
      </w:r>
      <w:r>
        <w:rPr>
          <w:rFonts w:ascii="Arial" w:cs="Arial" w:eastAsia="Arial" w:hAnsi="Arial"/>
          <w:sz w:val="19"/>
          <w:szCs w:val="19"/>
          <w:color w:val="auto"/>
        </w:rPr>
        <w:t>also be subject to the special terms and conditions set forth in the Non-U.S. Addendum attached as Appendix B to this Agreement for Grantee’s country. Moreover, if Grantee relocates to one of the countries included in the Non-U.S. Addendum, the special terms and conditions for such country will apply to Grantee to the extent the Corporation determines that the application of such terms and conditions are necessary or advisable in order to comply with local law or facilitate the administration of the Plan. The Non-U.S. Addendum attached hereto as Appendix B constitutes part of this Agreement.</w:t>
      </w:r>
    </w:p>
    <w:p>
      <w:pPr>
        <w:spacing w:after="0" w:line="144" w:lineRule="exact"/>
        <w:rPr>
          <w:sz w:val="20"/>
          <w:szCs w:val="20"/>
          <w:color w:val="auto"/>
        </w:rPr>
      </w:pPr>
    </w:p>
    <w:p>
      <w:pPr>
        <w:ind w:right="20" w:firstLine="1305"/>
        <w:spacing w:after="0" w:line="269" w:lineRule="auto"/>
        <w:tabs>
          <w:tab w:leader="none" w:pos="1838" w:val="left"/>
        </w:tabs>
        <w:numPr>
          <w:ilvl w:val="0"/>
          <w:numId w:val="17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Governing Law</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is governed by and construed in accordance with the laws of the State of</w:t>
      </w:r>
      <w:r>
        <w:rPr>
          <w:rFonts w:ascii="Arial" w:cs="Arial" w:eastAsia="Arial" w:hAnsi="Arial"/>
          <w:sz w:val="22"/>
          <w:szCs w:val="22"/>
          <w:b w:val="1"/>
          <w:bCs w:val="1"/>
          <w:color w:val="auto"/>
        </w:rPr>
        <w:t xml:space="preserve"> </w:t>
      </w:r>
      <w:r>
        <w:rPr>
          <w:rFonts w:ascii="Arial" w:cs="Arial" w:eastAsia="Arial" w:hAnsi="Arial"/>
          <w:sz w:val="22"/>
          <w:szCs w:val="22"/>
          <w:color w:val="auto"/>
        </w:rPr>
        <w:t>Michigan, notwithstanding conflict of law provisions.</w:t>
      </w:r>
    </w:p>
    <w:p>
      <w:pPr>
        <w:spacing w:after="0" w:line="162" w:lineRule="exact"/>
        <w:rPr>
          <w:rFonts w:ascii="Arial" w:cs="Arial" w:eastAsia="Arial" w:hAnsi="Arial"/>
          <w:sz w:val="22"/>
          <w:szCs w:val="22"/>
          <w:b w:val="1"/>
          <w:bCs w:val="1"/>
          <w:color w:val="auto"/>
        </w:rPr>
      </w:pPr>
    </w:p>
    <w:p>
      <w:pPr>
        <w:ind w:firstLine="1305"/>
        <w:spacing w:after="0" w:line="269" w:lineRule="auto"/>
        <w:tabs>
          <w:tab w:leader="none" w:pos="1999" w:val="left"/>
        </w:tabs>
        <w:numPr>
          <w:ilvl w:val="0"/>
          <w:numId w:val="17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Clawback Policy</w:t>
      </w:r>
      <w:r>
        <w:rPr>
          <w:rFonts w:ascii="Arial" w:cs="Arial" w:eastAsia="Arial" w:hAnsi="Arial"/>
          <w:sz w:val="22"/>
          <w:szCs w:val="22"/>
          <w:b w:val="1"/>
          <w:bCs w:val="1"/>
          <w:color w:val="auto"/>
        </w:rPr>
        <w:t xml:space="preserve">. </w:t>
      </w:r>
      <w:r>
        <w:rPr>
          <w:rFonts w:ascii="Arial" w:cs="Arial" w:eastAsia="Arial" w:hAnsi="Arial"/>
          <w:sz w:val="22"/>
          <w:szCs w:val="22"/>
          <w:color w:val="auto"/>
        </w:rPr>
        <w:t>Any Restricted Stock Units that have vested shall be subject to the Corporation’s</w:t>
      </w:r>
      <w:r>
        <w:rPr>
          <w:rFonts w:ascii="Arial" w:cs="Arial" w:eastAsia="Arial" w:hAnsi="Arial"/>
          <w:sz w:val="22"/>
          <w:szCs w:val="22"/>
          <w:b w:val="1"/>
          <w:bCs w:val="1"/>
          <w:color w:val="auto"/>
        </w:rPr>
        <w:t xml:space="preserve"> </w:t>
      </w:r>
      <w:r>
        <w:rPr>
          <w:rFonts w:ascii="Arial" w:cs="Arial" w:eastAsia="Arial" w:hAnsi="Arial"/>
          <w:sz w:val="22"/>
          <w:szCs w:val="22"/>
          <w:color w:val="auto"/>
        </w:rPr>
        <w:t>recoupment policy, as in effect from time to time.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20"/>
          </w:cols>
          <w:pgMar w:left="240" w:top="631" w:right="239" w:bottom="1440" w:gutter="0" w:footer="0" w:header="0"/>
        </w:sectPr>
      </w:pPr>
    </w:p>
    <w:bookmarkStart w:id="153" w:name="page154"/>
    <w:bookmarkEnd w:id="153"/>
    <w:p>
      <w:pPr>
        <w:ind w:firstLine="648"/>
        <w:spacing w:after="0" w:line="263" w:lineRule="auto"/>
        <w:rPr>
          <w:sz w:val="20"/>
          <w:szCs w:val="20"/>
          <w:color w:val="auto"/>
        </w:rPr>
      </w:pPr>
      <w:r>
        <w:rPr>
          <w:rFonts w:ascii="Arial" w:cs="Arial" w:eastAsia="Arial" w:hAnsi="Arial"/>
          <w:sz w:val="22"/>
          <w:szCs w:val="22"/>
          <w:color w:val="auto"/>
        </w:rPr>
        <w:t>This Agreement may be executed in two or more counterparts, each of which is deemed an original and all of which constitute one document.</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40" w:type="dxa"/>
        <w:tblCellMar>
          <w:top w:w="0" w:type="dxa"/>
          <w:left w:w="0" w:type="dxa"/>
          <w:bottom w:w="0" w:type="dxa"/>
          <w:right w:w="0" w:type="dxa"/>
        </w:tblCellMar>
      </w:tblPr>
      <w:tr>
        <w:trPr>
          <w:trHeight w:val="281"/>
        </w:trPr>
        <w:tc>
          <w:tcPr>
            <w:tcW w:w="2820" w:type="dxa"/>
            <w:vAlign w:val="bottom"/>
          </w:tcPr>
          <w:p>
            <w:pPr>
              <w:spacing w:after="0"/>
              <w:rPr>
                <w:sz w:val="24"/>
                <w:szCs w:val="24"/>
                <w:color w:val="auto"/>
              </w:rPr>
            </w:pPr>
          </w:p>
        </w:tc>
        <w:tc>
          <w:tcPr>
            <w:tcW w:w="8240" w:type="dxa"/>
            <w:vAlign w:val="bottom"/>
            <w:gridSpan w:val="3"/>
          </w:tcPr>
          <w:p>
            <w:pPr>
              <w:ind w:left="880"/>
              <w:spacing w:after="0"/>
              <w:rPr>
                <w:sz w:val="20"/>
                <w:szCs w:val="20"/>
                <w:color w:val="auto"/>
              </w:rPr>
            </w:pPr>
            <w:r>
              <w:rPr>
                <w:rFonts w:ascii="Arial" w:cs="Arial" w:eastAsia="Arial" w:hAnsi="Arial"/>
                <w:sz w:val="22"/>
                <w:szCs w:val="22"/>
                <w:b w:val="1"/>
                <w:bCs w:val="1"/>
                <w:color w:val="auto"/>
              </w:rPr>
              <w:t>TRIMAS CORPORATION</w:t>
            </w:r>
          </w:p>
        </w:tc>
      </w:tr>
      <w:tr>
        <w:trPr>
          <w:trHeight w:val="571"/>
        </w:trPr>
        <w:tc>
          <w:tcPr>
            <w:tcW w:w="2820" w:type="dxa"/>
            <w:vAlign w:val="bottom"/>
          </w:tcPr>
          <w:p>
            <w:pPr>
              <w:spacing w:after="0"/>
              <w:rPr>
                <w:sz w:val="20"/>
                <w:szCs w:val="20"/>
                <w:color w:val="auto"/>
              </w:rPr>
            </w:pPr>
            <w:r>
              <w:rPr>
                <w:rFonts w:ascii="Arial" w:cs="Arial" w:eastAsia="Arial" w:hAnsi="Arial"/>
                <w:sz w:val="22"/>
                <w:szCs w:val="22"/>
                <w:color w:val="auto"/>
              </w:rPr>
              <w:t xml:space="preserve">Dated: </w:t>
            </w:r>
            <w:r>
              <w:rPr>
                <w:rFonts w:ascii="Arial" w:cs="Arial" w:eastAsia="Arial" w:hAnsi="Arial"/>
                <w:sz w:val="22"/>
                <w:szCs w:val="22"/>
                <w:b w:val="1"/>
                <w:bCs w:val="1"/>
                <w:color w:val="auto"/>
              </w:rPr>
              <w:t>March 1, 2016</w:t>
            </w:r>
          </w:p>
        </w:tc>
        <w:tc>
          <w:tcPr>
            <w:tcW w:w="8240" w:type="dxa"/>
            <w:vAlign w:val="bottom"/>
            <w:gridSpan w:val="3"/>
          </w:tcPr>
          <w:p>
            <w:pPr>
              <w:ind w:left="2200"/>
              <w:spacing w:after="0"/>
              <w:rPr>
                <w:sz w:val="20"/>
                <w:szCs w:val="20"/>
                <w:color w:val="auto"/>
              </w:rPr>
            </w:pPr>
            <w:r>
              <w:rPr>
                <w:rFonts w:ascii="Arial" w:cs="Arial" w:eastAsia="Arial" w:hAnsi="Arial"/>
                <w:sz w:val="22"/>
                <w:szCs w:val="22"/>
                <w:color w:val="auto"/>
              </w:rPr>
              <w:t>By: /s/ Joshua A. Sherbin</w:t>
            </w:r>
          </w:p>
        </w:tc>
      </w:tr>
      <w:tr>
        <w:trPr>
          <w:trHeight w:val="20"/>
        </w:trPr>
        <w:tc>
          <w:tcPr>
            <w:tcW w:w="28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r>
      <w:tr>
        <w:trPr>
          <w:trHeight w:val="242"/>
        </w:trPr>
        <w:tc>
          <w:tcPr>
            <w:tcW w:w="2820" w:type="dxa"/>
            <w:vAlign w:val="bottom"/>
          </w:tcPr>
          <w:p>
            <w:pPr>
              <w:spacing w:after="0"/>
              <w:rPr>
                <w:sz w:val="21"/>
                <w:szCs w:val="21"/>
                <w:color w:val="auto"/>
              </w:rPr>
            </w:pPr>
          </w:p>
        </w:tc>
        <w:tc>
          <w:tcPr>
            <w:tcW w:w="8240" w:type="dxa"/>
            <w:vAlign w:val="bottom"/>
            <w:gridSpan w:val="3"/>
          </w:tcPr>
          <w:p>
            <w:pPr>
              <w:ind w:left="2200"/>
              <w:spacing w:after="0" w:line="242" w:lineRule="exact"/>
              <w:rPr>
                <w:sz w:val="20"/>
                <w:szCs w:val="20"/>
                <w:color w:val="auto"/>
              </w:rPr>
            </w:pPr>
            <w:r>
              <w:rPr>
                <w:rFonts w:ascii="Arial" w:cs="Arial" w:eastAsia="Arial" w:hAnsi="Arial"/>
                <w:sz w:val="22"/>
                <w:szCs w:val="22"/>
                <w:color w:val="auto"/>
              </w:rPr>
              <w:t>Name: Joshua A. Sherbin</w:t>
            </w:r>
          </w:p>
        </w:tc>
      </w:tr>
      <w:tr>
        <w:trPr>
          <w:trHeight w:val="243"/>
        </w:trPr>
        <w:tc>
          <w:tcPr>
            <w:tcW w:w="2820" w:type="dxa"/>
            <w:vAlign w:val="bottom"/>
          </w:tcPr>
          <w:p>
            <w:pPr>
              <w:spacing w:after="0"/>
              <w:rPr>
                <w:sz w:val="21"/>
                <w:szCs w:val="21"/>
                <w:color w:val="auto"/>
              </w:rPr>
            </w:pPr>
          </w:p>
        </w:tc>
        <w:tc>
          <w:tcPr>
            <w:tcW w:w="8240" w:type="dxa"/>
            <w:vAlign w:val="bottom"/>
            <w:gridSpan w:val="3"/>
          </w:tcPr>
          <w:p>
            <w:pPr>
              <w:ind w:left="2200"/>
              <w:spacing w:after="0" w:line="243" w:lineRule="exact"/>
              <w:rPr>
                <w:sz w:val="20"/>
                <w:szCs w:val="20"/>
                <w:color w:val="auto"/>
              </w:rPr>
            </w:pPr>
            <w:r>
              <w:rPr>
                <w:rFonts w:ascii="Arial" w:cs="Arial" w:eastAsia="Arial" w:hAnsi="Arial"/>
                <w:sz w:val="22"/>
                <w:szCs w:val="22"/>
                <w:color w:val="auto"/>
                <w:w w:val="89"/>
              </w:rPr>
              <w:t>Title: Vice President, General Counsel, Chief Compliance Officer and</w:t>
            </w:r>
          </w:p>
        </w:tc>
      </w:tr>
      <w:tr>
        <w:trPr>
          <w:trHeight w:val="275"/>
        </w:trPr>
        <w:tc>
          <w:tcPr>
            <w:tcW w:w="2820" w:type="dxa"/>
            <w:vAlign w:val="bottom"/>
          </w:tcPr>
          <w:p>
            <w:pPr>
              <w:spacing w:after="0"/>
              <w:rPr>
                <w:sz w:val="23"/>
                <w:szCs w:val="23"/>
                <w:color w:val="auto"/>
              </w:rPr>
            </w:pPr>
          </w:p>
        </w:tc>
        <w:tc>
          <w:tcPr>
            <w:tcW w:w="8240" w:type="dxa"/>
            <w:vAlign w:val="bottom"/>
            <w:gridSpan w:val="3"/>
          </w:tcPr>
          <w:p>
            <w:pPr>
              <w:ind w:left="2200"/>
              <w:spacing w:after="0"/>
              <w:rPr>
                <w:sz w:val="20"/>
                <w:szCs w:val="20"/>
                <w:color w:val="auto"/>
              </w:rPr>
            </w:pPr>
            <w:r>
              <w:rPr>
                <w:rFonts w:ascii="Arial" w:cs="Arial" w:eastAsia="Arial" w:hAnsi="Arial"/>
                <w:sz w:val="22"/>
                <w:szCs w:val="22"/>
                <w:color w:val="auto"/>
              </w:rPr>
              <w:t>Corporate Secretary</w:t>
            </w:r>
          </w:p>
        </w:tc>
      </w:tr>
    </w:tbl>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ind w:left="660"/>
        <w:spacing w:after="0" w:line="247" w:lineRule="auto"/>
        <w:rPr>
          <w:sz w:val="20"/>
          <w:szCs w:val="20"/>
          <w:color w:val="auto"/>
        </w:rPr>
      </w:pPr>
      <w:r>
        <w:rPr>
          <w:rFonts w:ascii="Arial" w:cs="Arial" w:eastAsia="Arial" w:hAnsi="Arial"/>
          <w:sz w:val="22"/>
          <w:szCs w:val="22"/>
          <w:b w:val="1"/>
          <w:bCs w:val="1"/>
          <w:color w:val="auto"/>
        </w:rPr>
        <w:t>GRANTEE ACKNOWLEDGES AND AGREES THAT NOTHING IN THIS RESTRICTED STOCK UNITS AGREEMENT, NOR IN THE CORPORATION’S 2011 OMNIBUS INCENTIVE COMPENSATION PLAN, AS AMENDED, WHICH IS INCORPORATED INTO THIS AGREEMENT BY REFERENCE, CONFERS ON GRANTEE ANY RIGHT WITH RESPECT TO CONTINUATION AS A SERVICE PROVIDER OF THE CORPORATION OR ANY PARENT OR SUBSIDIARY OR AFFILIATE OF THE CORPORATION, NOR INTERFERES IN ANY WAY WITH GRANTEE’S RIGHT OR THE CORPORATION’S RIGHT TO TERMINATE GRANTEE’S SERVICE PROVIDER RELATIONSHIP AT ANY TIME, WITH OR WITHOUT CAUSE AND WITH OR WITHOUT PRIOR NOTICE.</w:t>
      </w:r>
    </w:p>
    <w:p>
      <w:pPr>
        <w:spacing w:after="0" w:line="186" w:lineRule="exact"/>
        <w:rPr>
          <w:sz w:val="20"/>
          <w:szCs w:val="20"/>
          <w:color w:val="auto"/>
        </w:rPr>
      </w:pPr>
    </w:p>
    <w:p>
      <w:pPr>
        <w:jc w:val="both"/>
        <w:ind w:left="660"/>
        <w:spacing w:after="0" w:line="247" w:lineRule="auto"/>
        <w:rPr>
          <w:sz w:val="20"/>
          <w:szCs w:val="20"/>
          <w:color w:val="auto"/>
        </w:rPr>
      </w:pPr>
      <w:r>
        <w:rPr>
          <w:rFonts w:ascii="Arial" w:cs="Arial" w:eastAsia="Arial" w:hAnsi="Arial"/>
          <w:sz w:val="22"/>
          <w:szCs w:val="22"/>
          <w:b w:val="1"/>
          <w:bCs w:val="1"/>
          <w:color w:val="auto"/>
        </w:rPr>
        <w:t>BY CLICKING THE “ACCEPT” BUTTON BELOW, GRANTEE ACKNOWLEDGES RECEIPT OF A COPY OF THE PLAN AND REPRESENTS THAT GRANTEE IS FAMILIAR WITH THE TERMS AND PROVISIONS OF THE PLAN. GRANTEE ACCEPTS THIS RESTRICTED STOCK UNIT AWARD SUBJECT TO ALL OF THE TERMS AND PROVISIONS OF THIS AGREEMENT AND THE PLAN. GRANTEE HAS REVIEWED THE PLAN AND THIS AGREEMENT IN THEIR ENTIRETY. GRANTEE AGREES TO ACCEPT AS BINDING, CONCLUSIVE AND FINAL ALL DECISIONS OR INTERPRETATIONS OF THE COMMITTEE UPON ANY QUESTIONS ARISING UNDER THE PLAN OR THIS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632" w:right="239" w:bottom="1440" w:gutter="0" w:footer="0" w:header="0"/>
        </w:sectPr>
      </w:pPr>
    </w:p>
    <w:bookmarkStart w:id="154" w:name="page155"/>
    <w:bookmarkEnd w:id="154"/>
    <w:p>
      <w:pPr>
        <w:jc w:val="center"/>
        <w:spacing w:after="0"/>
        <w:rPr>
          <w:sz w:val="20"/>
          <w:szCs w:val="20"/>
          <w:color w:val="auto"/>
        </w:rPr>
      </w:pPr>
      <w:r>
        <w:rPr>
          <w:rFonts w:ascii="Arial" w:cs="Arial" w:eastAsia="Arial" w:hAnsi="Arial"/>
          <w:sz w:val="22"/>
          <w:szCs w:val="22"/>
          <w:b w:val="1"/>
          <w:bCs w:val="1"/>
          <w:color w:val="auto"/>
        </w:rPr>
        <w:t>APPENDIX A</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UNITS AGREEMENT</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GLOSSARY</w:t>
      </w:r>
    </w:p>
    <w:p>
      <w:pPr>
        <w:spacing w:after="0" w:line="226" w:lineRule="exact"/>
        <w:rPr>
          <w:sz w:val="20"/>
          <w:szCs w:val="20"/>
          <w:color w:val="auto"/>
        </w:rPr>
      </w:pPr>
    </w:p>
    <w:p>
      <w:pPr>
        <w:ind w:left="120"/>
        <w:spacing w:after="0"/>
        <w:rPr>
          <w:sz w:val="20"/>
          <w:szCs w:val="20"/>
          <w:color w:val="auto"/>
        </w:rPr>
      </w:pPr>
      <w:r>
        <w:rPr>
          <w:rFonts w:ascii="Arial" w:cs="Arial" w:eastAsia="Arial" w:hAnsi="Arial"/>
          <w:sz w:val="22"/>
          <w:szCs w:val="22"/>
          <w:color w:val="auto"/>
        </w:rPr>
        <w:t>For purposes of this Agreement:</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Beneficial Owner</w:t>
      </w:r>
      <w:r>
        <w:rPr>
          <w:rFonts w:ascii="Arial" w:cs="Arial" w:eastAsia="Arial" w:hAnsi="Arial"/>
          <w:sz w:val="22"/>
          <w:szCs w:val="22"/>
          <w:color w:val="auto"/>
        </w:rPr>
        <w:t>” shall have the meaning set forth in Rule 13d-3 under the Exchange Act.</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A “</w:t>
      </w:r>
      <w:r>
        <w:rPr>
          <w:rFonts w:ascii="Arial" w:cs="Arial" w:eastAsia="Arial" w:hAnsi="Arial"/>
          <w:sz w:val="22"/>
          <w:szCs w:val="22"/>
          <w:b w:val="1"/>
          <w:bCs w:val="1"/>
          <w:color w:val="auto"/>
        </w:rPr>
        <w:t>Change of Control</w:t>
      </w:r>
      <w:r>
        <w:rPr>
          <w:rFonts w:ascii="Arial" w:cs="Arial" w:eastAsia="Arial" w:hAnsi="Arial"/>
          <w:sz w:val="22"/>
          <w:szCs w:val="22"/>
          <w:color w:val="auto"/>
        </w:rPr>
        <w:t>” shall be deemed to have occurred upon the first of the following events to occur:</w:t>
      </w:r>
    </w:p>
    <w:p>
      <w:pPr>
        <w:spacing w:after="0" w:line="266" w:lineRule="exact"/>
        <w:rPr>
          <w:sz w:val="20"/>
          <w:szCs w:val="20"/>
          <w:color w:val="auto"/>
        </w:rPr>
      </w:pPr>
    </w:p>
    <w:p>
      <w:pPr>
        <w:jc w:val="both"/>
        <w:ind w:left="1300" w:hanging="644"/>
        <w:spacing w:after="0" w:line="286" w:lineRule="auto"/>
        <w:tabs>
          <w:tab w:leader="none" w:pos="1300" w:val="left"/>
        </w:tabs>
        <w:numPr>
          <w:ilvl w:val="0"/>
          <w:numId w:val="178"/>
        </w:numPr>
        <w:rPr>
          <w:rFonts w:ascii="Arial" w:cs="Arial" w:eastAsia="Arial" w:hAnsi="Arial"/>
          <w:sz w:val="19"/>
          <w:szCs w:val="19"/>
          <w:color w:val="auto"/>
        </w:rPr>
      </w:pPr>
      <w:r>
        <w:rPr>
          <w:rFonts w:ascii="Arial" w:cs="Arial" w:eastAsia="Arial" w:hAnsi="Arial"/>
          <w:sz w:val="19"/>
          <w:szCs w:val="19"/>
          <w:color w:val="auto"/>
        </w:rPr>
        <w:t>any Person is or becomes the Beneficial Owner, directly or indirectly, of securities of the Corporation (not including in the securities beneficially owned by such Person any securities acquired directly from the Corporation or its Affiliates) representing 35% or more of the combined voting power of the Corporation’s then outstanding securities, excluding any Person who becomes such a Beneficial Owner in connection with a transaction described in clause</w:t>
      </w:r>
    </w:p>
    <w:p>
      <w:pPr>
        <w:spacing w:after="0" w:line="2" w:lineRule="exact"/>
        <w:rPr>
          <w:rFonts w:ascii="Arial" w:cs="Arial" w:eastAsia="Arial" w:hAnsi="Arial"/>
          <w:sz w:val="19"/>
          <w:szCs w:val="19"/>
          <w:color w:val="auto"/>
        </w:rPr>
      </w:pPr>
    </w:p>
    <w:p>
      <w:pPr>
        <w:ind w:left="1300"/>
        <w:spacing w:after="0"/>
        <w:rPr>
          <w:rFonts w:ascii="Arial" w:cs="Arial" w:eastAsia="Arial" w:hAnsi="Arial"/>
          <w:sz w:val="19"/>
          <w:szCs w:val="19"/>
          <w:color w:val="auto"/>
        </w:rPr>
      </w:pPr>
      <w:r>
        <w:rPr>
          <w:rFonts w:ascii="Arial" w:cs="Arial" w:eastAsia="Arial" w:hAnsi="Arial"/>
          <w:sz w:val="22"/>
          <w:szCs w:val="22"/>
          <w:color w:val="auto"/>
        </w:rPr>
        <w:t>(A) of paragraph (iii) below;</w:t>
      </w:r>
    </w:p>
    <w:p>
      <w:pPr>
        <w:spacing w:after="0" w:line="242" w:lineRule="exact"/>
        <w:rPr>
          <w:rFonts w:ascii="Arial" w:cs="Arial" w:eastAsia="Arial" w:hAnsi="Arial"/>
          <w:sz w:val="19"/>
          <w:szCs w:val="19"/>
          <w:color w:val="auto"/>
        </w:rPr>
      </w:pPr>
    </w:p>
    <w:p>
      <w:pPr>
        <w:jc w:val="both"/>
        <w:ind w:left="1300" w:hanging="644"/>
        <w:spacing w:after="0" w:line="258" w:lineRule="auto"/>
        <w:tabs>
          <w:tab w:leader="none" w:pos="1300" w:val="left"/>
        </w:tabs>
        <w:numPr>
          <w:ilvl w:val="0"/>
          <w:numId w:val="178"/>
        </w:numPr>
        <w:rPr>
          <w:rFonts w:ascii="Arial" w:cs="Arial" w:eastAsia="Arial" w:hAnsi="Arial"/>
          <w:sz w:val="21"/>
          <w:szCs w:val="21"/>
          <w:color w:val="auto"/>
        </w:rPr>
      </w:pPr>
      <w:r>
        <w:rPr>
          <w:rFonts w:ascii="Arial" w:cs="Arial" w:eastAsia="Arial" w:hAnsi="Arial"/>
          <w:sz w:val="21"/>
          <w:szCs w:val="21"/>
          <w:color w:val="auto"/>
        </w:rPr>
        <w:t>the following individuals cease for any reason to constitute a majority of the number of directors then serving on the Board: individuals who, on the date hereof, constitute the Board and any new director (other than a director whose initial assumption of office is in connection with an actual or threatened election contest, including but not limited to a consent solicitation, relating to the election of directors of the Corporation) whose appointment or election by the Board or nomination for election by the Corporation’s stockholders was approved or recommended by a vote of at least two-thirds (2/3) of the directors then still in office who either were directors on the date hereof or whose appointment, election or nomination for election was previously so approved or recommended (the “Incumbent Board”); provided, however, that no individual shall be considered a member of the Incumbent Board if such individual initially assumed office as a result of either an actual or threatened election contest (an “Election Contest”) or other actual or threatened solicitation of proxies or consents by or on behalf of a Person other than the Board (a “Proxy Contest”), including by reason of any agreement intended to avoid or settle any Election Contest or Proxy Contest;</w:t>
      </w:r>
    </w:p>
    <w:p>
      <w:pPr>
        <w:spacing w:after="0" w:line="220" w:lineRule="exact"/>
        <w:rPr>
          <w:rFonts w:ascii="Arial" w:cs="Arial" w:eastAsia="Arial" w:hAnsi="Arial"/>
          <w:sz w:val="21"/>
          <w:szCs w:val="21"/>
          <w:color w:val="auto"/>
        </w:rPr>
      </w:pPr>
    </w:p>
    <w:p>
      <w:pPr>
        <w:jc w:val="both"/>
        <w:ind w:left="1300" w:hanging="644"/>
        <w:spacing w:after="0" w:line="294" w:lineRule="auto"/>
        <w:tabs>
          <w:tab w:leader="none" w:pos="1300" w:val="left"/>
        </w:tabs>
        <w:numPr>
          <w:ilvl w:val="0"/>
          <w:numId w:val="178"/>
        </w:numPr>
        <w:rPr>
          <w:rFonts w:ascii="Arial" w:cs="Arial" w:eastAsia="Arial" w:hAnsi="Arial"/>
          <w:sz w:val="19"/>
          <w:szCs w:val="19"/>
          <w:color w:val="auto"/>
        </w:rPr>
      </w:pPr>
      <w:r>
        <w:rPr>
          <w:rFonts w:ascii="Arial" w:cs="Arial" w:eastAsia="Arial" w:hAnsi="Arial"/>
          <w:sz w:val="19"/>
          <w:szCs w:val="19"/>
          <w:color w:val="auto"/>
        </w:rPr>
        <w:t>there is consummated a merger, consolidation, wind-up, reorganization or restructuring of the Corporation with or into any other entity, or a similar event or series of such events, other than (A) any such event or series of events which results in (1) the voting securities of the Corporation outstanding immediately prior to such event or series of events continuing to represent (either by remaining outstanding or by being converted into voting securities of the surviving entity or any parent thereof), in combination with the ownership of any trustee or other fiduciary holding securities under an employee benefit plan of the Corporation or any subsidiary of the</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1420"/>
          </w:cols>
          <w:pgMar w:left="240" w:top="625" w:right="239" w:bottom="1440" w:gutter="0" w:footer="0" w:header="0"/>
        </w:sectPr>
      </w:pPr>
    </w:p>
    <w:bookmarkStart w:id="155" w:name="page156"/>
    <w:bookmarkEnd w:id="155"/>
    <w:p>
      <w:pPr>
        <w:jc w:val="both"/>
        <w:ind w:left="1300"/>
        <w:spacing w:after="0" w:line="289" w:lineRule="auto"/>
        <w:rPr>
          <w:sz w:val="20"/>
          <w:szCs w:val="20"/>
          <w:color w:val="auto"/>
        </w:rPr>
      </w:pPr>
      <w:r>
        <w:rPr>
          <w:rFonts w:ascii="Arial" w:cs="Arial" w:eastAsia="Arial" w:hAnsi="Arial"/>
          <w:sz w:val="19"/>
          <w:szCs w:val="19"/>
          <w:color w:val="auto"/>
        </w:rPr>
        <w:t>Corporation, at least 51% of the combined voting power of the securities of the Corporation or such surviving entity or any parent thereof outstanding immediately after such merger or consolidation and (2) the individuals who comprise the Board immediately prior thereto constituting immediately thereafter at least a majority of the board of directors of the Corporation, the entity surviving such merger or consolidation or, if the Corporation or the entity surviving such merger is then a subsidiary, the ultimate parent thereof, or (B) any such event or series of events effected to implement a recapitalization of the Corporation (or similar transaction) in which no Person is or becomes the Beneficial Owner, directly or indirectly, of securities of the Corporation (not including in the securities Beneficially Owned by such Person any securities acquired directly from the Corporation or its Affiliates) representing 35% or more of the combined voting power of the Corporation’s then outstanding securities; or</w:t>
      </w:r>
    </w:p>
    <w:p>
      <w:pPr>
        <w:spacing w:after="0" w:line="198" w:lineRule="exact"/>
        <w:rPr>
          <w:sz w:val="20"/>
          <w:szCs w:val="20"/>
          <w:color w:val="auto"/>
        </w:rPr>
      </w:pPr>
    </w:p>
    <w:p>
      <w:pPr>
        <w:jc w:val="both"/>
        <w:ind w:left="1300" w:hanging="644"/>
        <w:spacing w:after="0" w:line="258" w:lineRule="auto"/>
        <w:tabs>
          <w:tab w:leader="none" w:pos="1300" w:val="left"/>
        </w:tabs>
        <w:numPr>
          <w:ilvl w:val="0"/>
          <w:numId w:val="179"/>
        </w:numPr>
        <w:rPr>
          <w:rFonts w:ascii="Arial" w:cs="Arial" w:eastAsia="Arial" w:hAnsi="Arial"/>
          <w:sz w:val="21"/>
          <w:szCs w:val="21"/>
          <w:color w:val="auto"/>
        </w:rPr>
      </w:pPr>
      <w:r>
        <w:rPr>
          <w:rFonts w:ascii="Arial" w:cs="Arial" w:eastAsia="Arial" w:hAnsi="Arial"/>
          <w:sz w:val="21"/>
          <w:szCs w:val="21"/>
          <w:color w:val="auto"/>
        </w:rPr>
        <w:t>the stockholders of the Corporation approve a plan of complete liquidation or dissolution of the Corporation or there is consummated an agreement for the sale or disposition by the Corporation of all or substantially all of the Corporation’s assets (it being conclusively presumed that any sale or disposition is a sale or disposition by the Corporation of all or substantially all of its assets if the consummation of the sale or disposition is contingent upon approval by the Corporation’s stockholders unless the Board expressly determines in writing that such approval is required solely by reason of any relationship between the Corporation and any other Person or an Affiliate of the Corporation and any other Person), other than a sale or disposition by the Corporation of all or substantially all of the Corporation’s assets to an entity (A) at least 51% of the combined voting power of the voting securities of which are owned by stockholders of the Corporation in substantially the same proportions as their ownership of the Corporation immediately prior to such sale or disposition and (B) the majority of whose board of directors immediately following such sale or disposition consists of individuals who comprise the Board immediately prior thereto.</w:t>
      </w:r>
    </w:p>
    <w:p>
      <w:pPr>
        <w:spacing w:after="0" w:line="221"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Notwithstanding the foregoing, (A) a “Change of Control” shall not be deemed to have occurred by virtue of the consummation of any transaction or series of integrated transactions immediately following which the record holders of the common stock of the Corporation immediately prior to such transaction or series of transactions continue to have substantially the same proportionate ownership in an entity which owns all or substantially all of the assets of the Corporation immediately following such transaction or series of transactions and (B) if required to avoid accelerated taxation and/or tax penalties under Section 409A of the Code, a “Change of Control” shall be deemed to have occurred only if a “change in the ownership of the corporation,” a “change in effective control of the corporation” or a “change in the ownership of a substantial portion of the assets of the corporation,” within the meaning of Section 409A(a)(2)(A)(v) of the Code shall also be deemed to have occurred under Section 409A of the Code.</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Good Reason</w:t>
      </w:r>
      <w:r>
        <w:rPr>
          <w:rFonts w:ascii="Arial" w:cs="Arial" w:eastAsia="Arial" w:hAnsi="Arial"/>
          <w:sz w:val="22"/>
          <w:szCs w:val="22"/>
          <w:color w:val="auto"/>
        </w:rPr>
        <w:t>” means: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11420"/>
          </w:cols>
          <w:pgMar w:left="240" w:top="631" w:right="239" w:bottom="1440" w:gutter="0" w:footer="0" w:header="0"/>
        </w:sectPr>
      </w:pPr>
    </w:p>
    <w:bookmarkStart w:id="156" w:name="page157"/>
    <w:bookmarkEnd w:id="156"/>
    <w:p>
      <w:pPr>
        <w:ind w:left="1300" w:hanging="644"/>
        <w:spacing w:after="0"/>
        <w:tabs>
          <w:tab w:leader="none" w:pos="1300" w:val="left"/>
        </w:tabs>
        <w:numPr>
          <w:ilvl w:val="0"/>
          <w:numId w:val="180"/>
        </w:numPr>
        <w:rPr>
          <w:rFonts w:ascii="Arial" w:cs="Arial" w:eastAsia="Arial" w:hAnsi="Arial"/>
          <w:sz w:val="22"/>
          <w:szCs w:val="22"/>
          <w:color w:val="auto"/>
        </w:rPr>
      </w:pPr>
      <w:r>
        <w:rPr>
          <w:rFonts w:ascii="Arial" w:cs="Arial" w:eastAsia="Arial" w:hAnsi="Arial"/>
          <w:sz w:val="22"/>
          <w:szCs w:val="22"/>
          <w:color w:val="auto"/>
        </w:rPr>
        <w:t>A material and permanent diminution in Grantee’s duties or responsibilities;</w:t>
      </w:r>
    </w:p>
    <w:p>
      <w:pPr>
        <w:spacing w:after="0" w:line="219" w:lineRule="exact"/>
        <w:rPr>
          <w:rFonts w:ascii="Arial" w:cs="Arial" w:eastAsia="Arial" w:hAnsi="Arial"/>
          <w:sz w:val="22"/>
          <w:szCs w:val="22"/>
          <w:color w:val="auto"/>
        </w:rPr>
      </w:pPr>
    </w:p>
    <w:p>
      <w:pPr>
        <w:ind w:left="1300" w:hanging="644"/>
        <w:spacing w:after="0" w:line="263" w:lineRule="auto"/>
        <w:tabs>
          <w:tab w:leader="none" w:pos="1300" w:val="left"/>
        </w:tabs>
        <w:numPr>
          <w:ilvl w:val="0"/>
          <w:numId w:val="180"/>
        </w:numPr>
        <w:rPr>
          <w:rFonts w:ascii="Arial" w:cs="Arial" w:eastAsia="Arial" w:hAnsi="Arial"/>
          <w:sz w:val="22"/>
          <w:szCs w:val="22"/>
          <w:color w:val="auto"/>
        </w:rPr>
      </w:pPr>
      <w:r>
        <w:rPr>
          <w:rFonts w:ascii="Arial" w:cs="Arial" w:eastAsia="Arial" w:hAnsi="Arial"/>
          <w:sz w:val="22"/>
          <w:szCs w:val="22"/>
          <w:color w:val="auto"/>
        </w:rPr>
        <w:t>A material reduction in the aggregate value of base salary and bonus opportunity provided to Grantee by the Corporation; or</w:t>
      </w:r>
    </w:p>
    <w:p>
      <w:pPr>
        <w:spacing w:after="0" w:line="174" w:lineRule="exact"/>
        <w:rPr>
          <w:rFonts w:ascii="Arial" w:cs="Arial" w:eastAsia="Arial" w:hAnsi="Arial"/>
          <w:sz w:val="22"/>
          <w:szCs w:val="22"/>
          <w:color w:val="auto"/>
        </w:rPr>
      </w:pPr>
    </w:p>
    <w:p>
      <w:pPr>
        <w:ind w:left="1300" w:hanging="644"/>
        <w:spacing w:after="0"/>
        <w:tabs>
          <w:tab w:leader="none" w:pos="1300" w:val="left"/>
        </w:tabs>
        <w:numPr>
          <w:ilvl w:val="0"/>
          <w:numId w:val="180"/>
        </w:numPr>
        <w:rPr>
          <w:rFonts w:ascii="Arial" w:cs="Arial" w:eastAsia="Arial" w:hAnsi="Arial"/>
          <w:sz w:val="19"/>
          <w:szCs w:val="19"/>
          <w:color w:val="auto"/>
        </w:rPr>
      </w:pPr>
      <w:r>
        <w:rPr>
          <w:rFonts w:ascii="Arial" w:cs="Arial" w:eastAsia="Arial" w:hAnsi="Arial"/>
          <w:sz w:val="19"/>
          <w:szCs w:val="19"/>
          <w:color w:val="auto"/>
        </w:rPr>
        <w:t>A permanent reassignment of Grantee to another primary office more than 50 miles from the current office location.</w:t>
      </w:r>
    </w:p>
    <w:p>
      <w:pPr>
        <w:spacing w:after="0" w:line="254" w:lineRule="exact"/>
        <w:rPr>
          <w:sz w:val="20"/>
          <w:szCs w:val="20"/>
          <w:color w:val="auto"/>
        </w:rPr>
      </w:pPr>
    </w:p>
    <w:p>
      <w:pPr>
        <w:jc w:val="both"/>
        <w:ind w:left="720"/>
        <w:spacing w:after="0" w:line="250" w:lineRule="auto"/>
        <w:rPr>
          <w:sz w:val="20"/>
          <w:szCs w:val="20"/>
          <w:color w:val="auto"/>
        </w:rPr>
      </w:pPr>
      <w:r>
        <w:rPr>
          <w:rFonts w:ascii="Arial" w:cs="Arial" w:eastAsia="Arial" w:hAnsi="Arial"/>
          <w:sz w:val="22"/>
          <w:szCs w:val="22"/>
          <w:color w:val="auto"/>
        </w:rPr>
        <w:t>Grantee must notify the Corporation of Grantee’s intention to invoke termination for Good Reason within 90 days after Grantee has knowledge of such event and provide the Corporation 30 days’ opportunity for cure, or such event shall not constitute Good Reason. Grantee may not invoke termination for Good Reason if Cause exists at the time of such termination.</w:t>
      </w:r>
    </w:p>
    <w:p>
      <w:pPr>
        <w:spacing w:after="0" w:line="182" w:lineRule="exact"/>
        <w:rPr>
          <w:sz w:val="20"/>
          <w:szCs w:val="20"/>
          <w:color w:val="auto"/>
        </w:rPr>
      </w:pPr>
    </w:p>
    <w:p>
      <w:pPr>
        <w:jc w:val="both"/>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Person</w:t>
      </w:r>
      <w:r>
        <w:rPr>
          <w:rFonts w:ascii="Arial" w:cs="Arial" w:eastAsia="Arial" w:hAnsi="Arial"/>
          <w:sz w:val="21"/>
          <w:szCs w:val="21"/>
          <w:color w:val="auto"/>
        </w:rPr>
        <w:t>” shall have the meaning given in Section 3(a)(9) of the Exchange Act, as modified and used in Sections 13(d) and 14(d) thereof, except that such term shall not include (i) the Corporation or any of its subsidiaries, (ii) a trustee or other fiduciary holding securities under an employee benefit plan of the Corporation or any of its Affiliates, (iii) an underwriter temporarily holding securities pursuant to an offering of such securities, or (iv) a corporation owned, directly or indirectly, by the stockholders of the Corporation in substantially the same proportions as their ownership of stock of the Corporation.</w:t>
      </w:r>
    </w:p>
    <w:p>
      <w:pPr>
        <w:spacing w:after="0" w:line="21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“Qualifying Termination” </w:t>
      </w:r>
      <w:r>
        <w:rPr>
          <w:rFonts w:ascii="Arial" w:cs="Arial" w:eastAsia="Arial" w:hAnsi="Arial"/>
          <w:sz w:val="19"/>
          <w:szCs w:val="19"/>
          <w:color w:val="auto"/>
        </w:rPr>
        <w:t>means a termination of Grantee’s Service with the Corporation or a Subsidiary or an Affiliate of the</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color w:val="auto"/>
        </w:rPr>
        <w:t>Corporation for any reason other than:</w:t>
      </w:r>
    </w:p>
    <w:p>
      <w:pPr>
        <w:spacing w:after="0" w:line="202" w:lineRule="exact"/>
        <w:rPr>
          <w:sz w:val="20"/>
          <w:szCs w:val="20"/>
          <w:color w:val="auto"/>
        </w:rPr>
      </w:pPr>
    </w:p>
    <w:p>
      <w:pPr>
        <w:ind w:left="1080" w:hanging="424"/>
        <w:spacing w:after="0"/>
        <w:tabs>
          <w:tab w:leader="none" w:pos="1080" w:val="left"/>
        </w:tabs>
        <w:numPr>
          <w:ilvl w:val="0"/>
          <w:numId w:val="181"/>
        </w:numPr>
        <w:rPr>
          <w:rFonts w:ascii="Arial" w:cs="Arial" w:eastAsia="Arial" w:hAnsi="Arial"/>
          <w:sz w:val="22"/>
          <w:szCs w:val="22"/>
          <w:color w:val="auto"/>
        </w:rPr>
      </w:pPr>
      <w:r>
        <w:rPr>
          <w:rFonts w:ascii="Arial" w:cs="Arial" w:eastAsia="Arial" w:hAnsi="Arial"/>
          <w:sz w:val="22"/>
          <w:szCs w:val="22"/>
          <w:color w:val="auto"/>
        </w:rPr>
        <w:t>death;</w:t>
      </w:r>
    </w:p>
    <w:p>
      <w:pPr>
        <w:spacing w:after="0" w:line="219" w:lineRule="exact"/>
        <w:rPr>
          <w:rFonts w:ascii="Arial" w:cs="Arial" w:eastAsia="Arial" w:hAnsi="Arial"/>
          <w:sz w:val="22"/>
          <w:szCs w:val="22"/>
          <w:color w:val="auto"/>
        </w:rPr>
      </w:pPr>
    </w:p>
    <w:p>
      <w:pPr>
        <w:ind w:left="1140" w:hanging="484"/>
        <w:spacing w:after="0"/>
        <w:tabs>
          <w:tab w:leader="none" w:pos="1140" w:val="left"/>
        </w:tabs>
        <w:numPr>
          <w:ilvl w:val="0"/>
          <w:numId w:val="181"/>
        </w:numPr>
        <w:rPr>
          <w:rFonts w:ascii="Arial" w:cs="Arial" w:eastAsia="Arial" w:hAnsi="Arial"/>
          <w:sz w:val="22"/>
          <w:szCs w:val="22"/>
          <w:color w:val="auto"/>
        </w:rPr>
      </w:pPr>
      <w:r>
        <w:rPr>
          <w:rFonts w:ascii="Arial" w:cs="Arial" w:eastAsia="Arial" w:hAnsi="Arial"/>
          <w:sz w:val="22"/>
          <w:szCs w:val="22"/>
          <w:color w:val="auto"/>
        </w:rPr>
        <w:t>Disability;</w:t>
      </w:r>
    </w:p>
    <w:p>
      <w:pPr>
        <w:spacing w:after="0" w:line="219" w:lineRule="exact"/>
        <w:rPr>
          <w:rFonts w:ascii="Arial" w:cs="Arial" w:eastAsia="Arial" w:hAnsi="Arial"/>
          <w:sz w:val="22"/>
          <w:szCs w:val="22"/>
          <w:color w:val="auto"/>
        </w:rPr>
      </w:pPr>
    </w:p>
    <w:p>
      <w:pPr>
        <w:ind w:left="1200" w:hanging="544"/>
        <w:spacing w:after="0"/>
        <w:tabs>
          <w:tab w:leader="none" w:pos="1200" w:val="left"/>
        </w:tabs>
        <w:numPr>
          <w:ilvl w:val="0"/>
          <w:numId w:val="181"/>
        </w:numPr>
        <w:rPr>
          <w:rFonts w:ascii="Arial" w:cs="Arial" w:eastAsia="Arial" w:hAnsi="Arial"/>
          <w:sz w:val="22"/>
          <w:szCs w:val="22"/>
          <w:color w:val="auto"/>
        </w:rPr>
      </w:pPr>
      <w:r>
        <w:rPr>
          <w:rFonts w:ascii="Arial" w:cs="Arial" w:eastAsia="Arial" w:hAnsi="Arial"/>
          <w:sz w:val="22"/>
          <w:szCs w:val="22"/>
          <w:color w:val="auto"/>
        </w:rPr>
        <w:t>Cause; or</w:t>
      </w:r>
    </w:p>
    <w:p>
      <w:pPr>
        <w:spacing w:after="0" w:line="219" w:lineRule="exact"/>
        <w:rPr>
          <w:rFonts w:ascii="Arial" w:cs="Arial" w:eastAsia="Arial" w:hAnsi="Arial"/>
          <w:sz w:val="22"/>
          <w:szCs w:val="22"/>
          <w:color w:val="auto"/>
        </w:rPr>
      </w:pPr>
    </w:p>
    <w:p>
      <w:pPr>
        <w:ind w:left="1300" w:hanging="644"/>
        <w:spacing w:after="0"/>
        <w:tabs>
          <w:tab w:leader="none" w:pos="1300" w:val="left"/>
        </w:tabs>
        <w:numPr>
          <w:ilvl w:val="0"/>
          <w:numId w:val="181"/>
        </w:numPr>
        <w:rPr>
          <w:rFonts w:ascii="Arial" w:cs="Arial" w:eastAsia="Arial" w:hAnsi="Arial"/>
          <w:sz w:val="22"/>
          <w:szCs w:val="22"/>
          <w:color w:val="auto"/>
        </w:rPr>
      </w:pPr>
      <w:r>
        <w:rPr>
          <w:rFonts w:ascii="Arial" w:cs="Arial" w:eastAsia="Arial" w:hAnsi="Arial"/>
          <w:sz w:val="22"/>
          <w:szCs w:val="22"/>
          <w:color w:val="auto"/>
        </w:rPr>
        <w:t>a termination of Service by Grantee without Good Reason (as defined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iii</w:t>
      </w:r>
    </w:p>
    <w:p>
      <w:pPr>
        <w:sectPr>
          <w:pgSz w:w="11900" w:h="16838" w:orient="portrait"/>
          <w:cols w:equalWidth="0" w:num="1">
            <w:col w:w="11420"/>
          </w:cols>
          <w:pgMar w:left="240" w:top="631" w:right="239" w:bottom="1440" w:gutter="0" w:footer="0" w:header="0"/>
        </w:sectPr>
      </w:pPr>
    </w:p>
    <w:bookmarkStart w:id="157" w:name="page158"/>
    <w:bookmarkEnd w:id="157"/>
    <w:p>
      <w:pPr>
        <w:jc w:val="center"/>
        <w:spacing w:after="0"/>
        <w:rPr>
          <w:sz w:val="20"/>
          <w:szCs w:val="20"/>
          <w:color w:val="auto"/>
        </w:rPr>
      </w:pPr>
      <w:r>
        <w:rPr>
          <w:rFonts w:ascii="Arial" w:cs="Arial" w:eastAsia="Arial" w:hAnsi="Arial"/>
          <w:sz w:val="22"/>
          <w:szCs w:val="22"/>
          <w:b w:val="1"/>
          <w:bCs w:val="1"/>
          <w:color w:val="auto"/>
        </w:rPr>
        <w:t>APPENDIX B</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UNITS AGREEMENT</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NON-U.S. ADDENDUM</w:t>
      </w:r>
    </w:p>
    <w:p>
      <w:pPr>
        <w:spacing w:after="0" w:line="260" w:lineRule="exact"/>
        <w:rPr>
          <w:sz w:val="20"/>
          <w:szCs w:val="20"/>
          <w:color w:val="auto"/>
        </w:rPr>
      </w:pPr>
    </w:p>
    <w:p>
      <w:pPr>
        <w:jc w:val="center"/>
        <w:ind w:left="260"/>
        <w:spacing w:after="0" w:line="269" w:lineRule="auto"/>
        <w:rPr>
          <w:sz w:val="20"/>
          <w:szCs w:val="20"/>
          <w:color w:val="auto"/>
        </w:rPr>
      </w:pPr>
      <w:r>
        <w:rPr>
          <w:rFonts w:ascii="Arial" w:cs="Arial" w:eastAsia="Arial" w:hAnsi="Arial"/>
          <w:sz w:val="22"/>
          <w:szCs w:val="22"/>
          <w:b w:val="1"/>
          <w:bCs w:val="1"/>
          <w:color w:val="auto"/>
        </w:rPr>
        <w:t>Additional Terms and Conditions for Equity Grants Under the TriMas Corporation 2011 Omnibus Incentive Compensation Plan, as amended</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January 2016</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Terms and Conditions</w:t>
      </w:r>
    </w:p>
    <w:p>
      <w:pPr>
        <w:spacing w:after="0" w:line="266"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This Addendum includes additional terms and conditions that govern the restricted stock units (“</w:t>
      </w:r>
      <w:r>
        <w:rPr>
          <w:rFonts w:ascii="Arial" w:cs="Arial" w:eastAsia="Arial" w:hAnsi="Arial"/>
          <w:sz w:val="21"/>
          <w:szCs w:val="21"/>
          <w:u w:val="single" w:color="auto"/>
          <w:color w:val="auto"/>
        </w:rPr>
        <w:t>RSUs</w:t>
      </w:r>
      <w:r>
        <w:rPr>
          <w:rFonts w:ascii="Arial" w:cs="Arial" w:eastAsia="Arial" w:hAnsi="Arial"/>
          <w:sz w:val="21"/>
          <w:szCs w:val="21"/>
          <w:color w:val="auto"/>
        </w:rPr>
        <w:t>”) granted to you under the TriMas Corporation 2011 Omnibus Incentive Compensation Plan, as amended (referred to as the “</w:t>
      </w:r>
      <w:r>
        <w:rPr>
          <w:rFonts w:ascii="Arial" w:cs="Arial" w:eastAsia="Arial" w:hAnsi="Arial"/>
          <w:sz w:val="21"/>
          <w:szCs w:val="21"/>
          <w:u w:val="single" w:color="auto"/>
          <w:color w:val="auto"/>
        </w:rPr>
        <w:t>Plan</w:t>
      </w:r>
      <w:r>
        <w:rPr>
          <w:rFonts w:ascii="Arial" w:cs="Arial" w:eastAsia="Arial" w:hAnsi="Arial"/>
          <w:sz w:val="21"/>
          <w:szCs w:val="21"/>
          <w:color w:val="auto"/>
        </w:rPr>
        <w:t>”) if you reside in one of the countries listed below. Certain capitalized terms used but not defined in this Addendum have the meanings set forth in the Plan and/or your award agreement (the “</w:t>
      </w:r>
      <w:r>
        <w:rPr>
          <w:rFonts w:ascii="Arial" w:cs="Arial" w:eastAsia="Arial" w:hAnsi="Arial"/>
          <w:sz w:val="21"/>
          <w:szCs w:val="21"/>
          <w:u w:val="single" w:color="auto"/>
          <w:color w:val="auto"/>
        </w:rPr>
        <w:t>Agreement</w:t>
      </w:r>
      <w:r>
        <w:rPr>
          <w:rFonts w:ascii="Arial" w:cs="Arial" w:eastAsia="Arial" w:hAnsi="Arial"/>
          <w:sz w:val="21"/>
          <w:szCs w:val="21"/>
          <w:color w:val="auto"/>
        </w:rPr>
        <w:t>”) that relates to your award. By accepting your award, you agree to be bound by the terms and conditions contained in the paragraphs below in addition to the terms of the Plan, the Agreement, and the terms of any other document that may apply to you and your award.</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Notifications</w:t>
      </w:r>
    </w:p>
    <w:p>
      <w:pPr>
        <w:spacing w:after="0" w:line="266"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This Addendum also includes information regarding exchange controls and certain other issues of which you should be aware with respect to participation in the Plan. The information is based on the securities, exchange control, and other laws in effect in the respective countries as of January 2016. Such laws are often complex and change frequently. As a result, it is strongly recommended that you not rely on the information in this Addendum as the only source of information relating to the consequences of your participation in the Plan because the information may be out of date at the time you vest in your RSUs or sell shares acquired under the Plan.</w:t>
      </w:r>
    </w:p>
    <w:p>
      <w:pPr>
        <w:spacing w:after="0" w:line="234"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In addition, the information contained herein is general in nature and may not apply to your particular situation, and TriMas Corporation (the “</w:t>
      </w:r>
      <w:r>
        <w:rPr>
          <w:rFonts w:ascii="Arial" w:cs="Arial" w:eastAsia="Arial" w:hAnsi="Arial"/>
          <w:sz w:val="21"/>
          <w:szCs w:val="21"/>
          <w:u w:val="single" w:color="auto"/>
          <w:color w:val="auto"/>
        </w:rPr>
        <w:t>Corporation</w:t>
      </w:r>
      <w:r>
        <w:rPr>
          <w:rFonts w:ascii="Arial" w:cs="Arial" w:eastAsia="Arial" w:hAnsi="Arial"/>
          <w:sz w:val="21"/>
          <w:szCs w:val="21"/>
          <w:color w:val="auto"/>
        </w:rPr>
        <w:t>”) is not in a position to assure you of a particular result. Accordingly, you are advised to seek appropriate professional advice as to how the relevant laws in your country may apply to your situation.</w:t>
      </w:r>
    </w:p>
    <w:p>
      <w:pPr>
        <w:spacing w:after="0" w:line="208"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Finally, if you are a citizen or resident of a country other than the one in which you are currently working, transferred employment after the RSUs were granted to you, or are considered a resident of another country for local law purposes, the information contained herein may not apply.</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COUNTRY-SPECIFIC LANGUAGE</w:t>
      </w:r>
    </w:p>
    <w:p>
      <w:pPr>
        <w:spacing w:after="0" w:line="28" w:lineRule="exact"/>
        <w:rPr>
          <w:sz w:val="20"/>
          <w:szCs w:val="20"/>
          <w:color w:val="auto"/>
        </w:rPr>
      </w:pPr>
    </w:p>
    <w:p>
      <w:pPr>
        <w:spacing w:after="0"/>
        <w:rPr>
          <w:sz w:val="20"/>
          <w:szCs w:val="20"/>
          <w:color w:val="auto"/>
        </w:rPr>
      </w:pPr>
      <w:r>
        <w:rPr>
          <w:rFonts w:ascii="Arial" w:cs="Arial" w:eastAsia="Arial" w:hAnsi="Arial"/>
          <w:sz w:val="21"/>
          <w:szCs w:val="21"/>
          <w:color w:val="auto"/>
        </w:rPr>
        <w:t>Below please find country specific language that applies to Participants in the following countries: the United Kingdom.</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iv</w:t>
      </w:r>
    </w:p>
    <w:p>
      <w:pPr>
        <w:sectPr>
          <w:pgSz w:w="11900" w:h="16838" w:orient="portrait"/>
          <w:cols w:equalWidth="0" w:num="1">
            <w:col w:w="11420"/>
          </w:cols>
          <w:pgMar w:left="240" w:top="625" w:right="239" w:bottom="1440" w:gutter="0" w:footer="0" w:header="0"/>
        </w:sectPr>
      </w:pPr>
    </w:p>
    <w:bookmarkStart w:id="158" w:name="page159"/>
    <w:bookmarkEnd w:id="158"/>
    <w:p>
      <w:pPr>
        <w:jc w:val="center"/>
        <w:spacing w:after="0"/>
        <w:rPr>
          <w:sz w:val="20"/>
          <w:szCs w:val="20"/>
          <w:color w:val="auto"/>
        </w:rPr>
      </w:pPr>
      <w:r>
        <w:rPr>
          <w:rFonts w:ascii="Arial" w:cs="Arial" w:eastAsia="Arial" w:hAnsi="Arial"/>
          <w:sz w:val="22"/>
          <w:szCs w:val="22"/>
          <w:b w:val="1"/>
          <w:bCs w:val="1"/>
          <w:i w:val="1"/>
          <w:iCs w:val="1"/>
          <w:u w:val="single" w:color="auto"/>
          <w:color w:val="auto"/>
        </w:rPr>
        <w:t>UNITED KINGDOM</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Terms and Conditions</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Dividend Equivalent Rights</w:t>
      </w:r>
      <w:r>
        <w:rPr>
          <w:rFonts w:ascii="Arial" w:cs="Arial" w:eastAsia="Arial" w:hAnsi="Arial"/>
          <w:sz w:val="22"/>
          <w:szCs w:val="22"/>
          <w:color w:val="auto"/>
        </w:rPr>
        <w:t>. Section II.A.3 of the Agreement is hereby amended in its entirety to read as follows:</w:t>
      </w:r>
    </w:p>
    <w:p>
      <w:pPr>
        <w:spacing w:after="0" w:line="266"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From and after the Grant Date and until the earlier of (a) the time when the Restricted Stock Units vest and are settled in accordance with Section II.A.2 hereof or (b) the time when Grantee’s rights to the Restricted Stock Units are forfeited in accordance with Section II.A.1(b) hereof, on the date that the Corporation pays a cash dividend (if any) to holders of Stock generally, Grantee shall be notionally credited with cash per Restricted Stock Unit equal to the amount of such dividend. Any amounts notionally credited pursuant to the immediately preceding sentence shall be subject to the same applicable terms and conditions (including vesting, payment or forfeitability) as apply to the Restricted Stock Units based on which the dividend equivalents were notionally credited, and such amounts shall be paid in either cash or Stock, as determined by the Committee in its sole discretion, at the same time as the Restricted Stock Units to which they relate. If such amounts are paid in Stock, the number of shares so paid shall be rounded down to the nearest whole number and shall be determined by dividing such credited amounts by the Fair Market Value per share of Stock on the payment date. Notwithstanding the foregoing provisions of this Section II.A.3, Grantee shall not be entitled to the cash notionally credited at any time to the Restricted Stock Units (or the Stock representing the same, as the case may be) either legally or beneficially unless and until Grantee becomes entitled to receive the actual Stock in respect of the Award pursuant to Section II.A.2 of this Agreement.</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Non-Transferability of Award</w:t>
      </w:r>
      <w:r>
        <w:rPr>
          <w:rFonts w:ascii="Arial" w:cs="Arial" w:eastAsia="Arial" w:hAnsi="Arial"/>
          <w:sz w:val="22"/>
          <w:szCs w:val="22"/>
          <w:color w:val="auto"/>
        </w:rPr>
        <w:t>. Section II.B.1 of the Agreement is hereby amended in its entirety to read as follows:</w:t>
      </w:r>
    </w:p>
    <w:p>
      <w:pPr>
        <w:spacing w:after="0" w:line="266" w:lineRule="exact"/>
        <w:rPr>
          <w:sz w:val="20"/>
          <w:szCs w:val="20"/>
          <w:color w:val="auto"/>
        </w:rPr>
      </w:pPr>
    </w:p>
    <w:p>
      <w:pPr>
        <w:jc w:val="both"/>
        <w:ind w:left="660" w:firstLine="648"/>
        <w:spacing w:after="0" w:line="247" w:lineRule="auto"/>
        <w:rPr>
          <w:sz w:val="20"/>
          <w:szCs w:val="20"/>
          <w:color w:val="auto"/>
        </w:rPr>
      </w:pPr>
      <w:r>
        <w:rPr>
          <w:rFonts w:ascii="Arial" w:cs="Arial" w:eastAsia="Arial" w:hAnsi="Arial"/>
          <w:sz w:val="22"/>
          <w:szCs w:val="22"/>
          <w:color w:val="auto"/>
        </w:rPr>
        <w:t>“Except as described below, this Award and the Restricted Stock Units subject to this Award may not be sold, pledged, assigned, hypothecated, transferred, or disposed of in any manner other than by will or by the laws of descent or distribution and the Award shall lapse and any unvested Restricted Stock Units subject to this Award shall be forfeited if a bankruptcy order is made in respect of Grantee. For the avoidance of doubt, the provisions contained in Section 10.2 of the Plan which allow each Participant to designate a beneficiary for the Restricted Stock Units awarded to him or her under the Plan shall not apply to this Award.”</w:t>
      </w: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Withholding</w:t>
      </w:r>
      <w:r>
        <w:rPr>
          <w:rFonts w:ascii="Arial" w:cs="Arial" w:eastAsia="Arial" w:hAnsi="Arial"/>
          <w:sz w:val="22"/>
          <w:szCs w:val="22"/>
          <w:color w:val="auto"/>
        </w:rPr>
        <w:t>. Section II.B.2 of the Agreement is hereby amended in its entirety to read as follows:</w:t>
      </w:r>
    </w:p>
    <w:p>
      <w:pPr>
        <w:spacing w:after="0" w:line="2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“Grantee hereby indemnifies the Corporation, Grantee’s employer or any other person in respect of:</w:t>
      </w:r>
    </w:p>
    <w:p>
      <w:pPr>
        <w:spacing w:after="0" w:line="260" w:lineRule="exact"/>
        <w:rPr>
          <w:sz w:val="20"/>
          <w:szCs w:val="20"/>
          <w:color w:val="auto"/>
        </w:rPr>
      </w:pPr>
    </w:p>
    <w:p>
      <w:pPr>
        <w:ind w:left="1960" w:hanging="655"/>
        <w:spacing w:after="0" w:line="263" w:lineRule="auto"/>
        <w:tabs>
          <w:tab w:leader="none" w:pos="1960" w:val="left"/>
        </w:tabs>
        <w:numPr>
          <w:ilvl w:val="0"/>
          <w:numId w:val="182"/>
        </w:numPr>
        <w:rPr>
          <w:rFonts w:ascii="Arial" w:cs="Arial" w:eastAsia="Arial" w:hAnsi="Arial"/>
          <w:sz w:val="22"/>
          <w:szCs w:val="22"/>
          <w:color w:val="auto"/>
        </w:rPr>
      </w:pPr>
      <w:r>
        <w:rPr>
          <w:rFonts w:ascii="Arial" w:cs="Arial" w:eastAsia="Arial" w:hAnsi="Arial"/>
          <w:sz w:val="22"/>
          <w:szCs w:val="22"/>
          <w:color w:val="auto"/>
        </w:rPr>
        <w:t>any amount of income tax for which the Corporation, Grantee’s employer or any other person is obliged to account under the Pay-As-You-Earn system and any amounts of employee’s national</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v</w:t>
      </w:r>
    </w:p>
    <w:p>
      <w:pPr>
        <w:sectPr>
          <w:pgSz w:w="11900" w:h="16838" w:orient="portrait"/>
          <w:cols w:equalWidth="0" w:num="1">
            <w:col w:w="11420"/>
          </w:cols>
          <w:pgMar w:left="240" w:top="632" w:right="239" w:bottom="1440" w:gutter="0" w:footer="0" w:header="0"/>
        </w:sectPr>
      </w:pPr>
    </w:p>
    <w:bookmarkStart w:id="159" w:name="page160"/>
    <w:bookmarkEnd w:id="159"/>
    <w:p>
      <w:pPr>
        <w:ind w:left="1960"/>
        <w:spacing w:after="0" w:line="263" w:lineRule="auto"/>
        <w:rPr>
          <w:sz w:val="20"/>
          <w:szCs w:val="20"/>
          <w:color w:val="auto"/>
        </w:rPr>
      </w:pPr>
      <w:r>
        <w:rPr>
          <w:rFonts w:ascii="Arial" w:cs="Arial" w:eastAsia="Arial" w:hAnsi="Arial"/>
          <w:sz w:val="22"/>
          <w:szCs w:val="22"/>
          <w:color w:val="auto"/>
        </w:rPr>
        <w:t>insurance contributions arising from the vesting of the Award (or which would not otherwise have arisen but for the grant of the Award to Grantee); and</w:t>
      </w:r>
    </w:p>
    <w:p>
      <w:pPr>
        <w:spacing w:after="0" w:line="215" w:lineRule="exact"/>
        <w:rPr>
          <w:sz w:val="20"/>
          <w:szCs w:val="20"/>
          <w:color w:val="auto"/>
        </w:rPr>
      </w:pPr>
    </w:p>
    <w:p>
      <w:pPr>
        <w:jc w:val="both"/>
        <w:ind w:left="1960" w:hanging="655"/>
        <w:spacing w:after="0" w:line="248" w:lineRule="auto"/>
        <w:tabs>
          <w:tab w:leader="none" w:pos="1960" w:val="left"/>
        </w:tabs>
        <w:numPr>
          <w:ilvl w:val="0"/>
          <w:numId w:val="183"/>
        </w:numPr>
        <w:rPr>
          <w:rFonts w:ascii="Arial" w:cs="Arial" w:eastAsia="Arial" w:hAnsi="Arial"/>
          <w:sz w:val="22"/>
          <w:szCs w:val="22"/>
          <w:color w:val="auto"/>
        </w:rPr>
      </w:pPr>
      <w:r>
        <w:rPr>
          <w:rFonts w:ascii="Arial" w:cs="Arial" w:eastAsia="Arial" w:hAnsi="Arial"/>
          <w:sz w:val="22"/>
          <w:szCs w:val="22"/>
          <w:color w:val="auto"/>
        </w:rPr>
        <w:t>any amount of income tax for which the Corporation, Grantee’s employer or any other person is obliged to account under the Pay-As-You-Earn system and any amounts of employee’s national insurance contributions arising in respect of, or in connection with the holding or disposal by Grantee of the shares of Stock acquired pursuant to the Award or the conversion of such shares of Stock into securities of another description whilst such shares of Stock are held by Grantee,</w:t>
      </w:r>
    </w:p>
    <w:p>
      <w:pPr>
        <w:spacing w:after="0" w:line="233" w:lineRule="exact"/>
        <w:rPr>
          <w:sz w:val="20"/>
          <w:szCs w:val="20"/>
          <w:color w:val="auto"/>
        </w:rPr>
      </w:pPr>
    </w:p>
    <w:p>
      <w:pPr>
        <w:jc w:val="both"/>
        <w:ind w:left="660" w:firstLine="648"/>
        <w:spacing w:after="0" w:line="287" w:lineRule="auto"/>
        <w:rPr>
          <w:sz w:val="20"/>
          <w:szCs w:val="20"/>
          <w:color w:val="auto"/>
        </w:rPr>
      </w:pPr>
      <w:r>
        <w:rPr>
          <w:rFonts w:ascii="Arial" w:cs="Arial" w:eastAsia="Arial" w:hAnsi="Arial"/>
          <w:sz w:val="19"/>
          <w:szCs w:val="19"/>
          <w:color w:val="auto"/>
        </w:rPr>
        <w:t>and in pursuance of such indemnity, Grantee hereby agrees that he or she shall pay to the Corporation (or to such other entity as directed by it) such amount as shall be notified to Grantee by the Corporation as being due on any occasion under such indemnity, within seven days after being so notified. To the extent that Grantee fails to pay any amount so notified to him or by the Corporation within seven days after such notification, Grantee hereby agrees that the Corporation may withhold, or procure the withholding, from any salary, wages, payment or payments due to Grantee from the Corporation or the Grantee’s employer an amount which is equal to the amount notified to Grantee, sell or procure the sale of sufficient of the shares of Stock acquired by Grantee pursuant to the Award on behalf of Grantee to produce a sum which after any costs of sale is sufficient to discharge the amount so notified to Grantee and retain such sum or make such other arrangements, by which Grantee hereby agrees to be bound, so as to ensure that the amount notified to Grantee is discharged in full. The Corporation will not be obliged to deliver any shares of Stock to Grantee pursuant to the Award if Grantee fails to comply with his or her obligations under the foregoing provisions of this Section II.B.2 and Grantee shall not be entitled to receive the delivery of such shares of Stock.”</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Clawback Policy</w:t>
      </w:r>
      <w:r>
        <w:rPr>
          <w:rFonts w:ascii="Arial" w:cs="Arial" w:eastAsia="Arial" w:hAnsi="Arial"/>
          <w:sz w:val="22"/>
          <w:szCs w:val="22"/>
          <w:color w:val="auto"/>
        </w:rPr>
        <w:t>. Section II.B.12 of the Agreement shall not apply.</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Data Privacy</w:t>
      </w:r>
      <w:r>
        <w:rPr>
          <w:rFonts w:ascii="Arial" w:cs="Arial" w:eastAsia="Arial" w:hAnsi="Arial"/>
          <w:sz w:val="22"/>
          <w:szCs w:val="22"/>
          <w:color w:val="auto"/>
        </w:rPr>
        <w:t>. A new Section II.B.13 is added to the Agreement to read as follows:</w:t>
      </w:r>
    </w:p>
    <w:p>
      <w:pPr>
        <w:spacing w:after="0" w:line="266" w:lineRule="exact"/>
        <w:rPr>
          <w:sz w:val="20"/>
          <w:szCs w:val="20"/>
          <w:color w:val="auto"/>
        </w:rPr>
      </w:pPr>
    </w:p>
    <w:p>
      <w:pPr>
        <w:jc w:val="both"/>
        <w:ind w:left="1300"/>
        <w:spacing w:after="0" w:line="250" w:lineRule="auto"/>
        <w:rPr>
          <w:sz w:val="20"/>
          <w:szCs w:val="20"/>
          <w:color w:val="auto"/>
        </w:rPr>
      </w:pPr>
      <w:r>
        <w:rPr>
          <w:rFonts w:ascii="Arial" w:cs="Arial" w:eastAsia="Arial" w:hAnsi="Arial"/>
          <w:sz w:val="22"/>
          <w:szCs w:val="22"/>
          <w:color w:val="auto"/>
        </w:rPr>
        <w:t>“The Corporation and Grantee’s employer (together the “Data Processors”) will process the Grantee’s personal data and each may transfer the Grantee’s personal data to their Subsidiaries, HM Revenue and Customs and third party service providers, for the purposes of managing and administering the Award and the operation of the Plan including but not limited to:</w:t>
      </w:r>
    </w:p>
    <w:p>
      <w:pPr>
        <w:spacing w:after="0" w:line="188" w:lineRule="exact"/>
        <w:rPr>
          <w:sz w:val="20"/>
          <w:szCs w:val="20"/>
          <w:color w:val="auto"/>
        </w:rPr>
      </w:pPr>
    </w:p>
    <w:p>
      <w:pPr>
        <w:ind w:left="1960" w:hanging="655"/>
        <w:spacing w:after="0"/>
        <w:tabs>
          <w:tab w:leader="none" w:pos="1960" w:val="left"/>
        </w:tabs>
        <w:numPr>
          <w:ilvl w:val="0"/>
          <w:numId w:val="184"/>
        </w:numPr>
        <w:rPr>
          <w:rFonts w:ascii="Arial" w:cs="Arial" w:eastAsia="Arial" w:hAnsi="Arial"/>
          <w:sz w:val="22"/>
          <w:szCs w:val="22"/>
          <w:color w:val="auto"/>
        </w:rPr>
      </w:pPr>
      <w:r>
        <w:rPr>
          <w:rFonts w:ascii="Arial" w:cs="Arial" w:eastAsia="Arial" w:hAnsi="Arial"/>
          <w:sz w:val="22"/>
          <w:szCs w:val="22"/>
          <w:color w:val="auto"/>
        </w:rPr>
        <w:t>administering and maintaining records relating to Grantee;</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359" w:lineRule="exact"/>
        <w:rPr>
          <w:rFonts w:ascii="Arial" w:cs="Arial" w:eastAsia="Arial" w:hAnsi="Arial"/>
          <w:sz w:val="22"/>
          <w:szCs w:val="22"/>
          <w:color w:val="auto"/>
        </w:rPr>
      </w:pPr>
    </w:p>
    <w:p>
      <w:pPr>
        <w:ind w:left="5640"/>
        <w:spacing w:after="0"/>
        <w:rPr>
          <w:rFonts w:ascii="Arial" w:cs="Arial" w:eastAsia="Arial" w:hAnsi="Arial"/>
          <w:sz w:val="22"/>
          <w:szCs w:val="22"/>
          <w:color w:val="auto"/>
        </w:rPr>
      </w:pPr>
      <w:r>
        <w:rPr>
          <w:rFonts w:ascii="Arial" w:cs="Arial" w:eastAsia="Arial" w:hAnsi="Arial"/>
          <w:sz w:val="22"/>
          <w:szCs w:val="22"/>
          <w:color w:val="auto"/>
        </w:rPr>
        <w:t>vi</w:t>
      </w:r>
    </w:p>
    <w:p>
      <w:pPr>
        <w:sectPr>
          <w:pgSz w:w="11900" w:h="16838" w:orient="portrait"/>
          <w:cols w:equalWidth="0" w:num="1">
            <w:col w:w="11420"/>
          </w:cols>
          <w:pgMar w:left="240" w:top="631" w:right="239" w:bottom="1440" w:gutter="0" w:footer="0" w:header="0"/>
        </w:sectPr>
      </w:pPr>
    </w:p>
    <w:bookmarkStart w:id="160" w:name="page161"/>
    <w:bookmarkEnd w:id="160"/>
    <w:p>
      <w:pPr>
        <w:ind w:left="1960" w:right="20" w:hanging="655"/>
        <w:spacing w:after="0" w:line="263" w:lineRule="auto"/>
        <w:tabs>
          <w:tab w:leader="none" w:pos="1960" w:val="left"/>
        </w:tabs>
        <w:numPr>
          <w:ilvl w:val="0"/>
          <w:numId w:val="185"/>
        </w:numPr>
        <w:rPr>
          <w:rFonts w:ascii="Arial" w:cs="Arial" w:eastAsia="Arial" w:hAnsi="Arial"/>
          <w:sz w:val="22"/>
          <w:szCs w:val="22"/>
          <w:color w:val="auto"/>
        </w:rPr>
      </w:pPr>
      <w:r>
        <w:rPr>
          <w:rFonts w:ascii="Arial" w:cs="Arial" w:eastAsia="Arial" w:hAnsi="Arial"/>
          <w:sz w:val="22"/>
          <w:szCs w:val="22"/>
          <w:color w:val="auto"/>
        </w:rPr>
        <w:t>providing information to (i) trustees of any employee benefit trust or (ii) other third party administrators involved directly or indirectly in the operation of the Plan;</w:t>
      </w:r>
    </w:p>
    <w:p>
      <w:pPr>
        <w:spacing w:after="0" w:line="215" w:lineRule="exact"/>
        <w:rPr>
          <w:rFonts w:ascii="Arial" w:cs="Arial" w:eastAsia="Arial" w:hAnsi="Arial"/>
          <w:sz w:val="22"/>
          <w:szCs w:val="22"/>
          <w:color w:val="auto"/>
        </w:rPr>
      </w:pPr>
    </w:p>
    <w:p>
      <w:pPr>
        <w:ind w:left="1960" w:hanging="655"/>
        <w:spacing w:after="0" w:line="263" w:lineRule="auto"/>
        <w:tabs>
          <w:tab w:leader="none" w:pos="1960" w:val="left"/>
        </w:tabs>
        <w:numPr>
          <w:ilvl w:val="0"/>
          <w:numId w:val="185"/>
        </w:numPr>
        <w:rPr>
          <w:rFonts w:ascii="Arial" w:cs="Arial" w:eastAsia="Arial" w:hAnsi="Arial"/>
          <w:sz w:val="22"/>
          <w:szCs w:val="22"/>
          <w:color w:val="auto"/>
        </w:rPr>
      </w:pPr>
      <w:r>
        <w:rPr>
          <w:rFonts w:ascii="Arial" w:cs="Arial" w:eastAsia="Arial" w:hAnsi="Arial"/>
          <w:sz w:val="22"/>
          <w:szCs w:val="22"/>
          <w:color w:val="auto"/>
        </w:rPr>
        <w:t>providing information relating to the Grantee in connection with the operation of the Plan to HM Revenue and Customs;</w:t>
      </w:r>
    </w:p>
    <w:p>
      <w:pPr>
        <w:spacing w:after="0" w:line="215" w:lineRule="exact"/>
        <w:rPr>
          <w:rFonts w:ascii="Arial" w:cs="Arial" w:eastAsia="Arial" w:hAnsi="Arial"/>
          <w:sz w:val="22"/>
          <w:szCs w:val="22"/>
          <w:color w:val="auto"/>
        </w:rPr>
      </w:pPr>
    </w:p>
    <w:p>
      <w:pPr>
        <w:ind w:left="1960" w:hanging="655"/>
        <w:spacing w:after="0"/>
        <w:tabs>
          <w:tab w:leader="none" w:pos="1960" w:val="left"/>
        </w:tabs>
        <w:numPr>
          <w:ilvl w:val="0"/>
          <w:numId w:val="185"/>
        </w:numPr>
        <w:rPr>
          <w:rFonts w:ascii="Arial" w:cs="Arial" w:eastAsia="Arial" w:hAnsi="Arial"/>
          <w:sz w:val="22"/>
          <w:szCs w:val="22"/>
          <w:color w:val="auto"/>
        </w:rPr>
      </w:pPr>
      <w:r>
        <w:rPr>
          <w:rFonts w:ascii="Arial" w:cs="Arial" w:eastAsia="Arial" w:hAnsi="Arial"/>
          <w:sz w:val="22"/>
          <w:szCs w:val="22"/>
          <w:color w:val="auto"/>
        </w:rPr>
        <w:t>providing information to potential purchasers of one or more of the Data Processors; and</w:t>
      </w:r>
    </w:p>
    <w:p>
      <w:pPr>
        <w:spacing w:after="0" w:line="260" w:lineRule="exact"/>
        <w:rPr>
          <w:rFonts w:ascii="Arial" w:cs="Arial" w:eastAsia="Arial" w:hAnsi="Arial"/>
          <w:sz w:val="22"/>
          <w:szCs w:val="22"/>
          <w:color w:val="auto"/>
        </w:rPr>
      </w:pPr>
    </w:p>
    <w:p>
      <w:pPr>
        <w:jc w:val="both"/>
        <w:ind w:left="1960" w:hanging="655"/>
        <w:spacing w:after="0" w:line="253" w:lineRule="auto"/>
        <w:tabs>
          <w:tab w:leader="none" w:pos="1960" w:val="left"/>
        </w:tabs>
        <w:numPr>
          <w:ilvl w:val="0"/>
          <w:numId w:val="185"/>
        </w:numPr>
        <w:rPr>
          <w:rFonts w:ascii="Arial" w:cs="Arial" w:eastAsia="Arial" w:hAnsi="Arial"/>
          <w:sz w:val="22"/>
          <w:szCs w:val="22"/>
          <w:color w:val="auto"/>
        </w:rPr>
      </w:pPr>
      <w:r>
        <w:rPr>
          <w:rFonts w:ascii="Arial" w:cs="Arial" w:eastAsia="Arial" w:hAnsi="Arial"/>
          <w:sz w:val="22"/>
          <w:szCs w:val="22"/>
          <w:color w:val="auto"/>
        </w:rPr>
        <w:t>allowing any personal data provided by Grantee to be sent to and kept and used by any third party engaged by the Corporation to administer the Plan, including but not limited to the maintenance by such a third party of a database of Participants in the Plan.</w:t>
      </w:r>
    </w:p>
    <w:p>
      <w:pPr>
        <w:spacing w:after="0" w:line="226" w:lineRule="exact"/>
        <w:rPr>
          <w:sz w:val="20"/>
          <w:szCs w:val="20"/>
          <w:color w:val="auto"/>
        </w:rPr>
      </w:pPr>
    </w:p>
    <w:p>
      <w:pPr>
        <w:jc w:val="both"/>
        <w:ind w:left="1300"/>
        <w:spacing w:after="0" w:line="294" w:lineRule="auto"/>
        <w:rPr>
          <w:sz w:val="20"/>
          <w:szCs w:val="20"/>
          <w:color w:val="auto"/>
        </w:rPr>
      </w:pPr>
      <w:r>
        <w:rPr>
          <w:rFonts w:ascii="Arial" w:cs="Arial" w:eastAsia="Arial" w:hAnsi="Arial"/>
          <w:sz w:val="19"/>
          <w:szCs w:val="19"/>
          <w:color w:val="auto"/>
        </w:rPr>
        <w:t>Such personal data includes (without limitation) Grantee’s name, home address and telephone number; date of birth; social insurance or national insurance number or other identification number; salary; nationality; job title; any Stock or directorships held in the any of the Data Processors; alleged, proven and convicted offences, felonies and/or wilful misconduct; wilful failure or refusal to follow directions from the board of the Corporation; breach of fiduciary duty to the Corporation or a Subsidiary; and details of all Awards or any other entitlement to Stock awarded, cancelled, exercised, vested, unvested or outstanding in Grantee’s favour.</w:t>
      </w:r>
    </w:p>
    <w:p>
      <w:pPr>
        <w:spacing w:after="0" w:line="150" w:lineRule="exact"/>
        <w:rPr>
          <w:sz w:val="20"/>
          <w:szCs w:val="20"/>
          <w:color w:val="auto"/>
        </w:rPr>
      </w:pPr>
    </w:p>
    <w:p>
      <w:pPr>
        <w:jc w:val="both"/>
        <w:ind w:left="1300"/>
        <w:spacing w:after="0" w:line="263" w:lineRule="auto"/>
        <w:rPr>
          <w:sz w:val="20"/>
          <w:szCs w:val="20"/>
          <w:color w:val="auto"/>
        </w:rPr>
      </w:pPr>
      <w:r>
        <w:rPr>
          <w:rFonts w:ascii="Arial" w:cs="Arial" w:eastAsia="Arial" w:hAnsi="Arial"/>
          <w:sz w:val="21"/>
          <w:szCs w:val="21"/>
          <w:color w:val="auto"/>
        </w:rPr>
        <w:t>Grantees' personal data may be transferred to the Data Processors or to any third parties assisting in the implementation, administration and management of the Plan and/or the Award which are based outside of the UK. Grantee’s employer and the Corporation (as appropriate) will implement safeguards to ensure the appropriate levels of protection for all such personal data. Grantee may request a list with the names and addresses of any potential recipients of the data by contacting their local human resources representative.</w:t>
      </w:r>
    </w:p>
    <w:p>
      <w:pPr>
        <w:spacing w:after="0" w:line="176" w:lineRule="exact"/>
        <w:rPr>
          <w:sz w:val="20"/>
          <w:szCs w:val="20"/>
          <w:color w:val="auto"/>
        </w:rPr>
      </w:pPr>
    </w:p>
    <w:p>
      <w:pPr>
        <w:jc w:val="both"/>
        <w:ind w:left="1300"/>
        <w:spacing w:after="0" w:line="302" w:lineRule="auto"/>
        <w:rPr>
          <w:sz w:val="20"/>
          <w:szCs w:val="20"/>
          <w:color w:val="auto"/>
        </w:rPr>
      </w:pPr>
      <w:r>
        <w:rPr>
          <w:rFonts w:ascii="Arial" w:cs="Arial" w:eastAsia="Arial" w:hAnsi="Arial"/>
          <w:sz w:val="19"/>
          <w:szCs w:val="19"/>
          <w:color w:val="auto"/>
        </w:rPr>
        <w:t>Grantee's personal data will be held only as long as is necessary for the purpose for which it was collected. Grantee may (without cost) by contacting in writing their local human resources representative (i) view or request additional information about the storage and processing of their personal data, and/or (ii) request that any personal data that the Data Processors hold about Grantee which is inaccurate or out of date is corrected where appropriate.”</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Loss of Office or Employment</w:t>
      </w:r>
      <w:r>
        <w:rPr>
          <w:rFonts w:ascii="Arial" w:cs="Arial" w:eastAsia="Arial" w:hAnsi="Arial"/>
          <w:sz w:val="22"/>
          <w:szCs w:val="22"/>
          <w:color w:val="auto"/>
        </w:rPr>
        <w:t>. A new Section II.B.14 is added to the Agreement to read as follows:</w:t>
      </w:r>
    </w:p>
    <w:p>
      <w:pPr>
        <w:spacing w:after="0" w:line="266" w:lineRule="exact"/>
        <w:rPr>
          <w:sz w:val="20"/>
          <w:szCs w:val="20"/>
          <w:color w:val="auto"/>
        </w:rPr>
      </w:pPr>
    </w:p>
    <w:p>
      <w:pPr>
        <w:jc w:val="both"/>
        <w:ind w:left="1300"/>
        <w:spacing w:after="0" w:line="253" w:lineRule="auto"/>
        <w:rPr>
          <w:sz w:val="20"/>
          <w:szCs w:val="20"/>
          <w:color w:val="auto"/>
        </w:rPr>
      </w:pPr>
      <w:r>
        <w:rPr>
          <w:rFonts w:ascii="Arial" w:cs="Arial" w:eastAsia="Arial" w:hAnsi="Arial"/>
          <w:sz w:val="22"/>
          <w:szCs w:val="22"/>
          <w:color w:val="auto"/>
        </w:rPr>
        <w:t>“In no circumstances shall Grantee, on ceasing to hold the office or employment by virtue of which he has been granted this Award, be entitled to any compensation for any loss of any right or benefit or prospective right or benefit under the Award or the Plan which he might otherwise have enjoyed</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vii</w:t>
      </w:r>
    </w:p>
    <w:p>
      <w:pPr>
        <w:sectPr>
          <w:pgSz w:w="11900" w:h="16838" w:orient="portrait"/>
          <w:cols w:equalWidth="0" w:num="1">
            <w:col w:w="11420"/>
          </w:cols>
          <w:pgMar w:left="240" w:top="631" w:right="239" w:bottom="1440" w:gutter="0" w:footer="0" w:header="0"/>
        </w:sectPr>
      </w:pPr>
    </w:p>
    <w:bookmarkStart w:id="161" w:name="page162"/>
    <w:bookmarkEnd w:id="161"/>
    <w:p>
      <w:pPr>
        <w:ind w:left="1300"/>
        <w:spacing w:after="0" w:line="263" w:lineRule="auto"/>
        <w:rPr>
          <w:sz w:val="20"/>
          <w:szCs w:val="20"/>
          <w:color w:val="auto"/>
        </w:rPr>
      </w:pPr>
      <w:r>
        <w:rPr>
          <w:rFonts w:ascii="Arial" w:cs="Arial" w:eastAsia="Arial" w:hAnsi="Arial"/>
          <w:sz w:val="22"/>
          <w:szCs w:val="22"/>
          <w:color w:val="auto"/>
        </w:rPr>
        <w:t>whether such compensation is claimed by way of damages for wrongful dismissal or other breach of contract or by way of compensation for loss of office or otherwise.”</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Notifications</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color w:val="auto"/>
        </w:rPr>
        <w:t>There are no country-specific notifications.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viii</w:t>
      </w:r>
    </w:p>
    <w:p>
      <w:pPr>
        <w:sectPr>
          <w:pgSz w:w="11900" w:h="16838" w:orient="portrait"/>
          <w:cols w:equalWidth="0" w:num="1">
            <w:col w:w="11420"/>
          </w:cols>
          <w:pgMar w:left="240" w:top="631" w:right="239" w:bottom="1440" w:gutter="0" w:footer="0" w:header="0"/>
        </w:sectPr>
      </w:pPr>
    </w:p>
    <w:bookmarkStart w:id="162" w:name="page163"/>
    <w:bookmarkEnd w:id="162"/>
    <w:p>
      <w:pPr>
        <w:jc w:val="right"/>
        <w:spacing w:after="0"/>
        <w:rPr>
          <w:sz w:val="20"/>
          <w:szCs w:val="20"/>
          <w:color w:val="auto"/>
        </w:rPr>
      </w:pPr>
      <w:r>
        <w:rPr>
          <w:rFonts w:ascii="Arial" w:cs="Arial" w:eastAsia="Arial" w:hAnsi="Arial"/>
          <w:sz w:val="22"/>
          <w:szCs w:val="22"/>
          <w:b w:val="1"/>
          <w:bCs w:val="1"/>
          <w:color w:val="auto"/>
        </w:rPr>
        <w:t>Exhibit 10.9</w:t>
      </w:r>
    </w:p>
    <w:p>
      <w:pPr>
        <w:spacing w:after="0" w:line="260"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Restricted Stock Unit</w:t>
      </w:r>
    </w:p>
    <w:p>
      <w:pPr>
        <w:spacing w:after="0" w:line="2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One-Year Vest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TRIMAS CORPORATION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2006 LONG TERM EQUITY INCENTIVE PLAN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UNITS AGREEMENT</w:t>
      </w:r>
    </w:p>
    <w:p>
      <w:pPr>
        <w:spacing w:after="0" w:line="266"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TriMas Corporation (the “Corporation”), as permitted by the TriMas Corporation 2006 Long Term Equity Incentive Plan (“Plan”), and as approved by the Administrator, hereby grants to the individual listed below (“Grantee”), a Restricted Stock Units Award (“Award”) for the number of Restricted Stock Units set forth below (“Restricted Stock Units”), subject to the terms and conditions of the Plan and this Restricted Stock Units Agreement (“Agreement”).</w:t>
      </w:r>
    </w:p>
    <w:p>
      <w:pPr>
        <w:spacing w:after="0" w:line="17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Unless otherwise defined in this Agreement or in Appendix A to this Agreement, the terms used in this Agreement have the same meaning as defined in the Plan. The term “Service Provider” as used in this Agreement means an individual actively providing services to the Corporation or a Subsidiary or “Affiliate” (as defined in Appendix A).</w:t>
      </w:r>
    </w:p>
    <w:p>
      <w:pPr>
        <w:spacing w:after="0" w:line="162" w:lineRule="exact"/>
        <w:rPr>
          <w:sz w:val="20"/>
          <w:szCs w:val="20"/>
          <w:color w:val="auto"/>
        </w:rPr>
      </w:pPr>
    </w:p>
    <w:p>
      <w:pPr>
        <w:ind w:left="360" w:hanging="352"/>
        <w:spacing w:after="0"/>
        <w:tabs>
          <w:tab w:leader="none" w:pos="360" w:val="left"/>
        </w:tabs>
        <w:numPr>
          <w:ilvl w:val="0"/>
          <w:numId w:val="18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NOTICE OF RESTRICTED STOCK UNITS AWARD</w:t>
      </w:r>
    </w:p>
    <w:p>
      <w:pPr>
        <w:spacing w:after="0" w:line="368" w:lineRule="exact"/>
        <w:rPr>
          <w:sz w:val="20"/>
          <w:szCs w:val="20"/>
          <w:color w:val="auto"/>
        </w:rPr>
      </w:pPr>
    </w:p>
    <w:tbl>
      <w:tblPr>
        <w:tblLayout w:type="fixed"/>
        <w:tblInd w:w="420" w:type="dxa"/>
        <w:tblCellMar>
          <w:top w:w="0" w:type="dxa"/>
          <w:left w:w="0" w:type="dxa"/>
          <w:bottom w:w="0" w:type="dxa"/>
          <w:right w:w="0" w:type="dxa"/>
        </w:tblCellMar>
      </w:tblPr>
      <w:tr>
        <w:trPr>
          <w:trHeight w:val="335"/>
        </w:trPr>
        <w:tc>
          <w:tcPr>
            <w:tcW w:w="4800" w:type="dxa"/>
            <w:vAlign w:val="bottom"/>
          </w:tcPr>
          <w:p>
            <w:pPr>
              <w:spacing w:after="0"/>
              <w:rPr>
                <w:sz w:val="20"/>
                <w:szCs w:val="20"/>
                <w:color w:val="auto"/>
              </w:rPr>
            </w:pPr>
            <w:r>
              <w:rPr>
                <w:rFonts w:ascii="Arial" w:cs="Arial" w:eastAsia="Arial" w:hAnsi="Arial"/>
                <w:sz w:val="22"/>
                <w:szCs w:val="22"/>
                <w:b w:val="1"/>
                <w:bCs w:val="1"/>
                <w:color w:val="auto"/>
              </w:rPr>
              <w:t>Grantee:</w:t>
            </w:r>
          </w:p>
        </w:tc>
        <w:tc>
          <w:tcPr>
            <w:tcW w:w="4700" w:type="dxa"/>
            <w:vAlign w:val="bottom"/>
          </w:tcPr>
          <w:p>
            <w:pPr>
              <w:ind w:left="1600"/>
              <w:spacing w:after="0"/>
              <w:rPr>
                <w:sz w:val="20"/>
                <w:szCs w:val="20"/>
                <w:color w:val="auto"/>
              </w:rPr>
            </w:pPr>
            <w:r>
              <w:rPr>
                <w:rFonts w:ascii="Arial" w:cs="Arial" w:eastAsia="Arial" w:hAnsi="Arial"/>
                <w:sz w:val="22"/>
                <w:szCs w:val="22"/>
                <w:b w:val="1"/>
                <w:bCs w:val="1"/>
                <w:i w:val="1"/>
                <w:iCs w:val="1"/>
                <w:color w:val="auto"/>
              </w:rPr>
              <w:t>[specify Grantee’s name]</w:t>
            </w:r>
          </w:p>
        </w:tc>
      </w:tr>
      <w:tr>
        <w:trPr>
          <w:trHeight w:val="405"/>
        </w:trPr>
        <w:tc>
          <w:tcPr>
            <w:tcW w:w="4800" w:type="dxa"/>
            <w:vAlign w:val="bottom"/>
          </w:tcPr>
          <w:p>
            <w:pPr>
              <w:spacing w:after="0"/>
              <w:rPr>
                <w:sz w:val="20"/>
                <w:szCs w:val="20"/>
                <w:color w:val="auto"/>
              </w:rPr>
            </w:pPr>
            <w:r>
              <w:rPr>
                <w:rFonts w:ascii="Arial" w:cs="Arial" w:eastAsia="Arial" w:hAnsi="Arial"/>
                <w:sz w:val="22"/>
                <w:szCs w:val="22"/>
                <w:b w:val="1"/>
                <w:bCs w:val="1"/>
                <w:color w:val="auto"/>
              </w:rPr>
              <w:t>Date of Agreement:</w:t>
            </w:r>
          </w:p>
        </w:tc>
        <w:tc>
          <w:tcPr>
            <w:tcW w:w="4700" w:type="dxa"/>
            <w:vAlign w:val="bottom"/>
          </w:tcPr>
          <w:p>
            <w:pPr>
              <w:ind w:left="1600"/>
              <w:spacing w:after="0"/>
              <w:rPr>
                <w:sz w:val="20"/>
                <w:szCs w:val="20"/>
                <w:color w:val="auto"/>
              </w:rPr>
            </w:pPr>
            <w:r>
              <w:rPr>
                <w:rFonts w:ascii="Arial" w:cs="Arial" w:eastAsia="Arial" w:hAnsi="Arial"/>
                <w:sz w:val="22"/>
                <w:szCs w:val="22"/>
                <w:b w:val="1"/>
                <w:bCs w:val="1"/>
                <w:i w:val="1"/>
                <w:iCs w:val="1"/>
                <w:color w:val="auto"/>
              </w:rPr>
              <w:t>[grant date]</w:t>
            </w:r>
          </w:p>
        </w:tc>
      </w:tr>
      <w:tr>
        <w:trPr>
          <w:trHeight w:val="351"/>
        </w:trPr>
        <w:tc>
          <w:tcPr>
            <w:tcW w:w="4800" w:type="dxa"/>
            <w:vAlign w:val="bottom"/>
          </w:tcPr>
          <w:p>
            <w:pPr>
              <w:spacing w:after="0"/>
              <w:rPr>
                <w:sz w:val="20"/>
                <w:szCs w:val="20"/>
                <w:color w:val="auto"/>
              </w:rPr>
            </w:pPr>
            <w:r>
              <w:rPr>
                <w:rFonts w:ascii="Arial" w:cs="Arial" w:eastAsia="Arial" w:hAnsi="Arial"/>
                <w:sz w:val="22"/>
                <w:szCs w:val="22"/>
                <w:b w:val="1"/>
                <w:bCs w:val="1"/>
                <w:color w:val="auto"/>
              </w:rPr>
              <w:t>Grant Date:</w:t>
            </w:r>
          </w:p>
        </w:tc>
        <w:tc>
          <w:tcPr>
            <w:tcW w:w="4700" w:type="dxa"/>
            <w:vAlign w:val="bottom"/>
          </w:tcPr>
          <w:p>
            <w:pPr>
              <w:ind w:left="1600"/>
              <w:spacing w:after="0"/>
              <w:rPr>
                <w:sz w:val="20"/>
                <w:szCs w:val="20"/>
                <w:color w:val="auto"/>
              </w:rPr>
            </w:pPr>
            <w:r>
              <w:rPr>
                <w:rFonts w:ascii="Arial" w:cs="Arial" w:eastAsia="Arial" w:hAnsi="Arial"/>
                <w:sz w:val="22"/>
                <w:szCs w:val="22"/>
                <w:b w:val="1"/>
                <w:bCs w:val="1"/>
                <w:color w:val="auto"/>
              </w:rPr>
              <w:t>March 1, 2016</w:t>
            </w:r>
          </w:p>
        </w:tc>
      </w:tr>
      <w:tr>
        <w:trPr>
          <w:trHeight w:val="351"/>
        </w:trPr>
        <w:tc>
          <w:tcPr>
            <w:tcW w:w="4800" w:type="dxa"/>
            <w:vAlign w:val="bottom"/>
          </w:tcPr>
          <w:p>
            <w:pPr>
              <w:spacing w:after="0"/>
              <w:rPr>
                <w:sz w:val="20"/>
                <w:szCs w:val="20"/>
                <w:color w:val="auto"/>
              </w:rPr>
            </w:pPr>
            <w:r>
              <w:rPr>
                <w:rFonts w:ascii="Arial" w:cs="Arial" w:eastAsia="Arial" w:hAnsi="Arial"/>
                <w:sz w:val="22"/>
                <w:szCs w:val="22"/>
                <w:b w:val="1"/>
                <w:bCs w:val="1"/>
                <w:color w:val="auto"/>
              </w:rPr>
              <w:t>Number of Restricted Stock Units:</w:t>
            </w:r>
          </w:p>
        </w:tc>
        <w:tc>
          <w:tcPr>
            <w:tcW w:w="4700" w:type="dxa"/>
            <w:vAlign w:val="bottom"/>
          </w:tcPr>
          <w:p>
            <w:pPr>
              <w:ind w:left="1600"/>
              <w:spacing w:after="0"/>
              <w:rPr>
                <w:sz w:val="20"/>
                <w:szCs w:val="20"/>
                <w:color w:val="auto"/>
              </w:rPr>
            </w:pPr>
            <w:r>
              <w:rPr>
                <w:rFonts w:ascii="Arial" w:cs="Arial" w:eastAsia="Arial" w:hAnsi="Arial"/>
                <w:sz w:val="22"/>
                <w:szCs w:val="22"/>
                <w:b w:val="1"/>
                <w:bCs w:val="1"/>
                <w:i w:val="1"/>
                <w:iCs w:val="1"/>
                <w:color w:val="auto"/>
                <w:w w:val="84"/>
              </w:rPr>
              <w:t>[number of Restricted Stock Units]</w:t>
            </w:r>
          </w:p>
        </w:tc>
      </w:tr>
    </w:tbl>
    <w:p>
      <w:pPr>
        <w:spacing w:after="0" w:line="314" w:lineRule="exact"/>
        <w:rPr>
          <w:sz w:val="20"/>
          <w:szCs w:val="20"/>
          <w:color w:val="auto"/>
        </w:rPr>
      </w:pPr>
    </w:p>
    <w:p>
      <w:pPr>
        <w:ind w:left="420" w:hanging="412"/>
        <w:spacing w:after="0"/>
        <w:tabs>
          <w:tab w:leader="none" w:pos="420" w:val="left"/>
        </w:tabs>
        <w:numPr>
          <w:ilvl w:val="0"/>
          <w:numId w:val="187"/>
        </w:numPr>
        <w:rPr>
          <w:rFonts w:ascii="Arial" w:cs="Arial" w:eastAsia="Arial" w:hAnsi="Arial"/>
          <w:sz w:val="22"/>
          <w:szCs w:val="22"/>
          <w:color w:val="auto"/>
        </w:rPr>
      </w:pPr>
      <w:r>
        <w:rPr>
          <w:rFonts w:ascii="Arial" w:cs="Arial" w:eastAsia="Arial" w:hAnsi="Arial"/>
          <w:sz w:val="22"/>
          <w:szCs w:val="22"/>
          <w:b w:val="1"/>
          <w:bCs w:val="1"/>
          <w:u w:val="single" w:color="auto"/>
          <w:color w:val="auto"/>
        </w:rPr>
        <w:t>AGREEMENT</w:t>
      </w:r>
    </w:p>
    <w:p>
      <w:pPr>
        <w:spacing w:after="0" w:line="219" w:lineRule="exact"/>
        <w:rPr>
          <w:rFonts w:ascii="Arial" w:cs="Arial" w:eastAsia="Arial" w:hAnsi="Arial"/>
          <w:sz w:val="22"/>
          <w:szCs w:val="22"/>
          <w:color w:val="auto"/>
        </w:rPr>
      </w:pPr>
    </w:p>
    <w:p>
      <w:pPr>
        <w:jc w:val="both"/>
        <w:ind w:firstLine="648"/>
        <w:spacing w:after="0" w:line="298" w:lineRule="auto"/>
        <w:rPr>
          <w:rFonts w:ascii="Arial" w:cs="Arial" w:eastAsia="Arial" w:hAnsi="Arial"/>
          <w:sz w:val="22"/>
          <w:szCs w:val="22"/>
          <w:color w:val="auto"/>
        </w:rPr>
      </w:pPr>
      <w:r>
        <w:rPr>
          <w:rFonts w:ascii="Arial" w:cs="Arial" w:eastAsia="Arial" w:hAnsi="Arial"/>
          <w:sz w:val="19"/>
          <w:szCs w:val="19"/>
          <w:b w:val="1"/>
          <w:bCs w:val="1"/>
          <w:color w:val="auto"/>
        </w:rPr>
        <w:t xml:space="preserve">A. </w:t>
      </w:r>
      <w:r>
        <w:rPr>
          <w:rFonts w:ascii="Arial" w:cs="Arial" w:eastAsia="Arial" w:hAnsi="Arial"/>
          <w:sz w:val="19"/>
          <w:szCs w:val="19"/>
          <w:b w:val="1"/>
          <w:bCs w:val="1"/>
          <w:u w:val="single" w:color="auto"/>
          <w:color w:val="auto"/>
        </w:rPr>
        <w:t>Grant of Restricted Stock Units.</w:t>
      </w:r>
      <w:r>
        <w:rPr>
          <w:rFonts w:ascii="Arial" w:cs="Arial" w:eastAsia="Arial" w:hAnsi="Arial"/>
          <w:sz w:val="19"/>
          <w:szCs w:val="19"/>
          <w:b w:val="1"/>
          <w:bCs w:val="1"/>
          <w:color w:val="auto"/>
        </w:rPr>
        <w:t xml:space="preserve"> </w:t>
      </w:r>
      <w:r>
        <w:rPr>
          <w:rFonts w:ascii="Arial" w:cs="Arial" w:eastAsia="Arial" w:hAnsi="Arial"/>
          <w:sz w:val="19"/>
          <w:szCs w:val="19"/>
          <w:color w:val="auto"/>
        </w:rPr>
        <w:t>The Corporation hereby grants to Grantee (who, pursuant to this Award is a</w:t>
      </w:r>
      <w:r>
        <w:rPr>
          <w:rFonts w:ascii="Arial" w:cs="Arial" w:eastAsia="Arial" w:hAnsi="Arial"/>
          <w:sz w:val="19"/>
          <w:szCs w:val="19"/>
          <w:b w:val="1"/>
          <w:bCs w:val="1"/>
          <w:color w:val="auto"/>
        </w:rPr>
        <w:t xml:space="preserve"> </w:t>
      </w:r>
      <w:r>
        <w:rPr>
          <w:rFonts w:ascii="Arial" w:cs="Arial" w:eastAsia="Arial" w:hAnsi="Arial"/>
          <w:sz w:val="19"/>
          <w:szCs w:val="19"/>
          <w:color w:val="auto"/>
        </w:rPr>
        <w:t>Participant in the Plan) the number of Restricted Stock Units set forth above, subject to adjustment as provided in this Agreement. The Restricted Stock Units granted under this Agreement are payable only in shares of Common Stock as described in Section II.A.2. Notwithstanding anything to the contrary anywhere else in this Agreement, the Restricted Stock Units subject to this Award are subject to the terms and provisions of the Plan, which are incorporated by reference into this Agreement.</w:t>
      </w:r>
    </w:p>
    <w:p>
      <w:pPr>
        <w:spacing w:after="0" w:line="142" w:lineRule="exact"/>
        <w:rPr>
          <w:rFonts w:ascii="Arial" w:cs="Arial" w:eastAsia="Arial" w:hAnsi="Arial"/>
          <w:sz w:val="22"/>
          <w:szCs w:val="22"/>
          <w:color w:val="auto"/>
        </w:rPr>
      </w:pPr>
    </w:p>
    <w:p>
      <w:pPr>
        <w:ind w:left="1680" w:hanging="375"/>
        <w:spacing w:after="0"/>
        <w:tabs>
          <w:tab w:leader="none" w:pos="1680" w:val="left"/>
        </w:tabs>
        <w:numPr>
          <w:ilvl w:val="2"/>
          <w:numId w:val="18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Vesting</w:t>
      </w:r>
      <w:r>
        <w:rPr>
          <w:rFonts w:ascii="Arial" w:cs="Arial" w:eastAsia="Arial" w:hAnsi="Arial"/>
          <w:sz w:val="22"/>
          <w:szCs w:val="22"/>
          <w:color w:val="auto"/>
        </w:rPr>
        <w:t>.</w:t>
      </w:r>
    </w:p>
    <w:p>
      <w:pPr>
        <w:sectPr>
          <w:pgSz w:w="11900" w:h="16838" w:orient="portrait"/>
          <w:cols w:equalWidth="0" w:num="1">
            <w:col w:w="11420"/>
          </w:cols>
          <w:pgMar w:left="240" w:top="625" w:right="239" w:bottom="1440" w:gutter="0" w:footer="0" w:header="0"/>
        </w:sectPr>
      </w:pPr>
    </w:p>
    <w:bookmarkStart w:id="163" w:name="page164"/>
    <w:bookmarkEnd w:id="163"/>
    <w:p>
      <w:pPr>
        <w:ind w:firstLine="645"/>
        <w:spacing w:after="0" w:line="350" w:lineRule="auto"/>
        <w:tabs>
          <w:tab w:leader="none" w:pos="1536" w:val="left"/>
        </w:tabs>
        <w:numPr>
          <w:ilvl w:val="0"/>
          <w:numId w:val="188"/>
        </w:numPr>
        <w:rPr>
          <w:rFonts w:ascii="Arial" w:cs="Arial" w:eastAsia="Arial" w:hAnsi="Arial"/>
          <w:sz w:val="19"/>
          <w:szCs w:val="19"/>
          <w:color w:val="auto"/>
        </w:rPr>
      </w:pPr>
      <w:r>
        <w:rPr>
          <w:rFonts w:ascii="Arial" w:cs="Arial" w:eastAsia="Arial" w:hAnsi="Arial"/>
          <w:sz w:val="19"/>
          <w:szCs w:val="19"/>
          <w:b w:val="1"/>
          <w:bCs w:val="1"/>
          <w:color w:val="auto"/>
        </w:rPr>
        <w:t>General</w:t>
      </w:r>
      <w:r>
        <w:rPr>
          <w:rFonts w:ascii="Arial" w:cs="Arial" w:eastAsia="Arial" w:hAnsi="Arial"/>
          <w:sz w:val="19"/>
          <w:szCs w:val="19"/>
          <w:color w:val="auto"/>
        </w:rPr>
        <w:t>. Subject to Section II.A.1(b), the Restricted Stock Units will vest in full on the first anniversary</w:t>
      </w:r>
      <w:r>
        <w:rPr>
          <w:rFonts w:ascii="Arial" w:cs="Arial" w:eastAsia="Arial" w:hAnsi="Arial"/>
          <w:sz w:val="19"/>
          <w:szCs w:val="19"/>
          <w:b w:val="1"/>
          <w:bCs w:val="1"/>
          <w:color w:val="auto"/>
        </w:rPr>
        <w:t xml:space="preserve"> </w:t>
      </w:r>
      <w:r>
        <w:rPr>
          <w:rFonts w:ascii="Arial" w:cs="Arial" w:eastAsia="Arial" w:hAnsi="Arial"/>
          <w:sz w:val="19"/>
          <w:szCs w:val="19"/>
          <w:color w:val="auto"/>
        </w:rPr>
        <w:t>of the Grant Date (“Vesting Date”), subject to Grantee’s continued status as a Service Provider through such Vesting Date.</w:t>
      </w:r>
    </w:p>
    <w:p>
      <w:pPr>
        <w:spacing w:after="0" w:line="132" w:lineRule="exact"/>
        <w:rPr>
          <w:rFonts w:ascii="Arial" w:cs="Arial" w:eastAsia="Arial" w:hAnsi="Arial"/>
          <w:sz w:val="19"/>
          <w:szCs w:val="19"/>
          <w:color w:val="auto"/>
        </w:rPr>
      </w:pPr>
    </w:p>
    <w:p>
      <w:pPr>
        <w:ind w:left="1540" w:hanging="895"/>
        <w:spacing w:after="0"/>
        <w:tabs>
          <w:tab w:leader="none" w:pos="1540" w:val="left"/>
        </w:tabs>
        <w:numPr>
          <w:ilvl w:val="0"/>
          <w:numId w:val="188"/>
        </w:numPr>
        <w:rPr>
          <w:rFonts w:ascii="Arial" w:cs="Arial" w:eastAsia="Arial" w:hAnsi="Arial"/>
          <w:sz w:val="22"/>
          <w:szCs w:val="22"/>
          <w:color w:val="auto"/>
        </w:rPr>
      </w:pPr>
      <w:r>
        <w:rPr>
          <w:rFonts w:ascii="Arial" w:cs="Arial" w:eastAsia="Arial" w:hAnsi="Arial"/>
          <w:sz w:val="22"/>
          <w:szCs w:val="22"/>
          <w:b w:val="1"/>
          <w:bCs w:val="1"/>
          <w:color w:val="auto"/>
        </w:rPr>
        <w:t>Termination of Service; Forfeiture</w:t>
      </w:r>
      <w:r>
        <w:rPr>
          <w:rFonts w:ascii="Arial" w:cs="Arial" w:eastAsia="Arial" w:hAnsi="Arial"/>
          <w:sz w:val="22"/>
          <w:szCs w:val="22"/>
          <w:color w:val="auto"/>
        </w:rPr>
        <w:t>. Notwithstanding any other provision of this Agreement:</w:t>
      </w:r>
    </w:p>
    <w:p>
      <w:pPr>
        <w:spacing w:after="0" w:line="260" w:lineRule="exact"/>
        <w:rPr>
          <w:rFonts w:ascii="Arial" w:cs="Arial" w:eastAsia="Arial" w:hAnsi="Arial"/>
          <w:sz w:val="22"/>
          <w:szCs w:val="22"/>
          <w:color w:val="auto"/>
        </w:rPr>
      </w:pPr>
    </w:p>
    <w:p>
      <w:pPr>
        <w:jc w:val="both"/>
        <w:ind w:left="640" w:firstLine="653"/>
        <w:spacing w:after="0" w:line="290" w:lineRule="auto"/>
        <w:tabs>
          <w:tab w:leader="none" w:pos="2140" w:val="left"/>
        </w:tabs>
        <w:numPr>
          <w:ilvl w:val="1"/>
          <w:numId w:val="188"/>
        </w:numPr>
        <w:rPr>
          <w:rFonts w:ascii="Arial" w:cs="Arial" w:eastAsia="Arial" w:hAnsi="Arial"/>
          <w:sz w:val="19"/>
          <w:szCs w:val="19"/>
          <w:color w:val="auto"/>
        </w:rPr>
      </w:pPr>
      <w:r>
        <w:rPr>
          <w:rFonts w:ascii="Arial" w:cs="Arial" w:eastAsia="Arial" w:hAnsi="Arial"/>
          <w:sz w:val="19"/>
          <w:szCs w:val="19"/>
          <w:b w:val="1"/>
          <w:bCs w:val="1"/>
          <w:color w:val="auto"/>
        </w:rPr>
        <w:t>Voluntary Termination; Termination for Cause</w:t>
      </w:r>
      <w:r>
        <w:rPr>
          <w:rFonts w:ascii="Arial" w:cs="Arial" w:eastAsia="Arial" w:hAnsi="Arial"/>
          <w:sz w:val="19"/>
          <w:szCs w:val="19"/>
          <w:color w:val="auto"/>
        </w:rPr>
        <w:t>. Any unvested Restricted Stock Units subject to</w:t>
      </w:r>
      <w:r>
        <w:rPr>
          <w:rFonts w:ascii="Arial" w:cs="Arial" w:eastAsia="Arial" w:hAnsi="Arial"/>
          <w:sz w:val="19"/>
          <w:szCs w:val="19"/>
          <w:b w:val="1"/>
          <w:bCs w:val="1"/>
          <w:color w:val="auto"/>
        </w:rPr>
        <w:t xml:space="preserve"> </w:t>
      </w:r>
      <w:r>
        <w:rPr>
          <w:rFonts w:ascii="Arial" w:cs="Arial" w:eastAsia="Arial" w:hAnsi="Arial"/>
          <w:sz w:val="19"/>
          <w:szCs w:val="19"/>
          <w:color w:val="auto"/>
        </w:rPr>
        <w:t>the Award will be canceled and forfeited if Grantee voluntarily terminates as a Service Provider (other than for Good Reason as provided below), or if Grantee’s status as a Service Provider is involuntarily terminated by the Corporation or a Subsidiary or Affiliate for Cause. Notwithstanding the foregoing, no termination of Grantee’s employment shall qualify as a termination for Cause unless (x) the Corporation notifies Grantee in writing of the Corporation’s intention to terminate Grantee’s employment for Cause within 90 days following the initial existence of the occurrence or event giving rise to Cause, (y) Grantee fails to cure such occurrence or event within 30 days after receipt of such notice from the Corporation and (z) the Corporation terminates Grantee’s employment within 45 days after the expiration of Grantee’s cure period in subsection (y).</w:t>
      </w:r>
    </w:p>
    <w:p>
      <w:pPr>
        <w:spacing w:after="0" w:line="189" w:lineRule="exact"/>
        <w:rPr>
          <w:rFonts w:ascii="Arial" w:cs="Arial" w:eastAsia="Arial" w:hAnsi="Arial"/>
          <w:sz w:val="19"/>
          <w:szCs w:val="19"/>
          <w:color w:val="auto"/>
        </w:rPr>
      </w:pPr>
    </w:p>
    <w:p>
      <w:pPr>
        <w:jc w:val="both"/>
        <w:ind w:left="640" w:firstLine="653"/>
        <w:spacing w:after="0" w:line="274" w:lineRule="auto"/>
        <w:tabs>
          <w:tab w:leader="none" w:pos="2200" w:val="left"/>
        </w:tabs>
        <w:numPr>
          <w:ilvl w:val="1"/>
          <w:numId w:val="188"/>
        </w:numPr>
        <w:rPr>
          <w:rFonts w:ascii="Arial" w:cs="Arial" w:eastAsia="Arial" w:hAnsi="Arial"/>
          <w:sz w:val="21"/>
          <w:szCs w:val="21"/>
          <w:color w:val="auto"/>
        </w:rPr>
      </w:pPr>
      <w:r>
        <w:rPr>
          <w:rFonts w:ascii="Arial" w:cs="Arial" w:eastAsia="Arial" w:hAnsi="Arial"/>
          <w:sz w:val="21"/>
          <w:szCs w:val="21"/>
          <w:b w:val="1"/>
          <w:bCs w:val="1"/>
          <w:color w:val="auto"/>
        </w:rPr>
        <w:t>Death; Disability</w:t>
      </w:r>
      <w:r>
        <w:rPr>
          <w:rFonts w:ascii="Arial" w:cs="Arial" w:eastAsia="Arial" w:hAnsi="Arial"/>
          <w:sz w:val="21"/>
          <w:szCs w:val="21"/>
          <w:color w:val="auto"/>
        </w:rPr>
        <w:t>. If Grantee ceases to be a Service Provider prior to the Vesting Date as a result</w:t>
      </w:r>
      <w:r>
        <w:rPr>
          <w:rFonts w:ascii="Arial" w:cs="Arial" w:eastAsia="Arial" w:hAnsi="Arial"/>
          <w:sz w:val="21"/>
          <w:szCs w:val="21"/>
          <w:b w:val="1"/>
          <w:bCs w:val="1"/>
          <w:color w:val="auto"/>
        </w:rPr>
        <w:t xml:space="preserve"> </w:t>
      </w:r>
      <w:r>
        <w:rPr>
          <w:rFonts w:ascii="Arial" w:cs="Arial" w:eastAsia="Arial" w:hAnsi="Arial"/>
          <w:sz w:val="21"/>
          <w:szCs w:val="21"/>
          <w:color w:val="auto"/>
        </w:rPr>
        <w:t>of Grantee’s death or Disability, Grantee shall fully vest in the Restricted Stock Units subject to the Award as of the date on which Grantee ceases to be a Service Provider due to Grantee’s death or Disability.</w:t>
      </w:r>
    </w:p>
    <w:p>
      <w:pPr>
        <w:spacing w:after="0" w:line="199" w:lineRule="exact"/>
        <w:rPr>
          <w:rFonts w:ascii="Arial" w:cs="Arial" w:eastAsia="Arial" w:hAnsi="Arial"/>
          <w:sz w:val="21"/>
          <w:szCs w:val="21"/>
          <w:color w:val="auto"/>
        </w:rPr>
      </w:pPr>
    </w:p>
    <w:p>
      <w:pPr>
        <w:jc w:val="both"/>
        <w:ind w:left="640" w:firstLine="653"/>
        <w:spacing w:after="0" w:line="264" w:lineRule="auto"/>
        <w:tabs>
          <w:tab w:leader="none" w:pos="2260" w:val="left"/>
        </w:tabs>
        <w:numPr>
          <w:ilvl w:val="1"/>
          <w:numId w:val="188"/>
        </w:numPr>
        <w:rPr>
          <w:rFonts w:ascii="Arial" w:cs="Arial" w:eastAsia="Arial" w:hAnsi="Arial"/>
          <w:sz w:val="21"/>
          <w:szCs w:val="21"/>
          <w:color w:val="auto"/>
        </w:rPr>
      </w:pPr>
      <w:r>
        <w:rPr>
          <w:rFonts w:ascii="Arial" w:cs="Arial" w:eastAsia="Arial" w:hAnsi="Arial"/>
          <w:sz w:val="21"/>
          <w:szCs w:val="21"/>
          <w:b w:val="1"/>
          <w:bCs w:val="1"/>
          <w:color w:val="auto"/>
        </w:rPr>
        <w:t>Qualifying Termination Prior to a Change of Control</w:t>
      </w:r>
      <w:r>
        <w:rPr>
          <w:rFonts w:ascii="Arial" w:cs="Arial" w:eastAsia="Arial" w:hAnsi="Arial"/>
          <w:sz w:val="21"/>
          <w:szCs w:val="21"/>
          <w:color w:val="auto"/>
        </w:rPr>
        <w:t>. If Grantee has a “Qualifying</w:t>
      </w:r>
      <w:r>
        <w:rPr>
          <w:rFonts w:ascii="Arial" w:cs="Arial" w:eastAsia="Arial" w:hAnsi="Arial"/>
          <w:sz w:val="21"/>
          <w:szCs w:val="21"/>
          <w:b w:val="1"/>
          <w:bCs w:val="1"/>
          <w:color w:val="auto"/>
        </w:rPr>
        <w:t xml:space="preserve"> </w:t>
      </w:r>
      <w:r>
        <w:rPr>
          <w:rFonts w:ascii="Arial" w:cs="Arial" w:eastAsia="Arial" w:hAnsi="Arial"/>
          <w:sz w:val="21"/>
          <w:szCs w:val="21"/>
          <w:color w:val="auto"/>
        </w:rPr>
        <w:t>Termination” (as defined in Appendix A) that occurs prior to a “Change of Control” (as defined in Appendix A) and before the Vesting Date, Grantee shall vest in a number of Restricted Stock Units in an amount equal to the number of Restricted Stock Units that would have lapsed as of the Vesting Date, adjusted pro-rata on a full calendar month basis in accordance with the date on which Grantee terminates service.</w:t>
      </w:r>
    </w:p>
    <w:p>
      <w:pPr>
        <w:spacing w:after="0" w:line="211" w:lineRule="exact"/>
        <w:rPr>
          <w:rFonts w:ascii="Arial" w:cs="Arial" w:eastAsia="Arial" w:hAnsi="Arial"/>
          <w:sz w:val="21"/>
          <w:szCs w:val="21"/>
          <w:color w:val="auto"/>
        </w:rPr>
      </w:pPr>
    </w:p>
    <w:p>
      <w:pPr>
        <w:jc w:val="both"/>
        <w:ind w:left="640" w:firstLine="653"/>
        <w:spacing w:after="0" w:line="256" w:lineRule="auto"/>
        <w:tabs>
          <w:tab w:leader="none" w:pos="2248" w:val="left"/>
        </w:tabs>
        <w:numPr>
          <w:ilvl w:val="1"/>
          <w:numId w:val="188"/>
        </w:numPr>
        <w:rPr>
          <w:rFonts w:ascii="Arial" w:cs="Arial" w:eastAsia="Arial" w:hAnsi="Arial"/>
          <w:sz w:val="22"/>
          <w:szCs w:val="22"/>
          <w:color w:val="auto"/>
        </w:rPr>
      </w:pPr>
      <w:r>
        <w:rPr>
          <w:rFonts w:ascii="Arial" w:cs="Arial" w:eastAsia="Arial" w:hAnsi="Arial"/>
          <w:sz w:val="22"/>
          <w:szCs w:val="22"/>
          <w:b w:val="1"/>
          <w:bCs w:val="1"/>
          <w:color w:val="auto"/>
        </w:rPr>
        <w:t>Qualifying Termination Following a Change of Control</w:t>
      </w:r>
      <w:r>
        <w:rPr>
          <w:rFonts w:ascii="Arial" w:cs="Arial" w:eastAsia="Arial" w:hAnsi="Arial"/>
          <w:sz w:val="22"/>
          <w:szCs w:val="22"/>
          <w:color w:val="auto"/>
        </w:rPr>
        <w:t>. If Grantee has a Qualifying</w:t>
      </w:r>
      <w:r>
        <w:rPr>
          <w:rFonts w:ascii="Arial" w:cs="Arial" w:eastAsia="Arial" w:hAnsi="Arial"/>
          <w:sz w:val="22"/>
          <w:szCs w:val="22"/>
          <w:b w:val="1"/>
          <w:bCs w:val="1"/>
          <w:color w:val="auto"/>
        </w:rPr>
        <w:t xml:space="preserve"> </w:t>
      </w:r>
      <w:r>
        <w:rPr>
          <w:rFonts w:ascii="Arial" w:cs="Arial" w:eastAsia="Arial" w:hAnsi="Arial"/>
          <w:sz w:val="22"/>
          <w:szCs w:val="22"/>
          <w:color w:val="auto"/>
        </w:rPr>
        <w:t>Termination within two years following a Change of Control, Grantee shall fully vest in the Restricted Stock Units subject to this Award.</w:t>
      </w:r>
    </w:p>
    <w:p>
      <w:pPr>
        <w:spacing w:after="0" w:line="223"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Any Restricted Stock Units that do not vest in accordance with Section II.A.1(a) or this Section II.A.1(b) shall be canceled and forfeited as of the date of Grantee’s termination of services. Further, subject to Code Section 409A, the Corporation retains the right to accelerate the vesting of all or a portion of the Restricted Stock Units subject to this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00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0760"/>
          </w:cols>
          <w:pgMar w:left="900" w:top="626" w:right="239" w:bottom="1440" w:gutter="0" w:footer="0" w:header="0"/>
        </w:sectPr>
      </w:pPr>
    </w:p>
    <w:bookmarkStart w:id="164" w:name="page165"/>
    <w:bookmarkEnd w:id="164"/>
    <w:p>
      <w:pPr>
        <w:ind w:left="1660" w:hanging="375"/>
        <w:spacing w:after="0"/>
        <w:tabs>
          <w:tab w:leader="none" w:pos="1660" w:val="left"/>
        </w:tabs>
        <w:numPr>
          <w:ilvl w:val="0"/>
          <w:numId w:val="18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Settlement</w:t>
      </w:r>
      <w:r>
        <w:rPr>
          <w:rFonts w:ascii="Arial" w:cs="Arial" w:eastAsia="Arial" w:hAnsi="Arial"/>
          <w:sz w:val="22"/>
          <w:szCs w:val="22"/>
          <w:color w:val="auto"/>
        </w:rPr>
        <w:t>.</w:t>
      </w:r>
    </w:p>
    <w:p>
      <w:pPr>
        <w:spacing w:after="0" w:line="220" w:lineRule="exact"/>
        <w:rPr>
          <w:sz w:val="20"/>
          <w:szCs w:val="20"/>
          <w:color w:val="auto"/>
        </w:rPr>
      </w:pPr>
    </w:p>
    <w:p>
      <w:pPr>
        <w:jc w:val="both"/>
        <w:ind w:left="640" w:firstLine="645"/>
        <w:spacing w:after="0" w:line="256" w:lineRule="auto"/>
        <w:tabs>
          <w:tab w:leader="none" w:pos="1744" w:val="left"/>
        </w:tabs>
        <w:numPr>
          <w:ilvl w:val="0"/>
          <w:numId w:val="190"/>
        </w:numPr>
        <w:rPr>
          <w:rFonts w:ascii="Arial" w:cs="Arial" w:eastAsia="Arial" w:hAnsi="Arial"/>
          <w:sz w:val="22"/>
          <w:szCs w:val="22"/>
          <w:color w:val="auto"/>
        </w:rPr>
      </w:pPr>
      <w:r>
        <w:rPr>
          <w:rFonts w:ascii="Arial" w:cs="Arial" w:eastAsia="Arial" w:hAnsi="Arial"/>
          <w:sz w:val="22"/>
          <w:szCs w:val="22"/>
          <w:b w:val="1"/>
          <w:bCs w:val="1"/>
          <w:color w:val="auto"/>
        </w:rPr>
        <w:t>General</w:t>
      </w:r>
      <w:r>
        <w:rPr>
          <w:rFonts w:ascii="Arial" w:cs="Arial" w:eastAsia="Arial" w:hAnsi="Arial"/>
          <w:sz w:val="22"/>
          <w:szCs w:val="22"/>
          <w:color w:val="auto"/>
        </w:rPr>
        <w:t>. Subject to Section II.A.2(b) below, and as soon as administratively practicable following (but no later</w:t>
      </w:r>
      <w:r>
        <w:rPr>
          <w:rFonts w:ascii="Arial" w:cs="Arial" w:eastAsia="Arial" w:hAnsi="Arial"/>
          <w:sz w:val="22"/>
          <w:szCs w:val="22"/>
          <w:b w:val="1"/>
          <w:bCs w:val="1"/>
          <w:color w:val="auto"/>
        </w:rPr>
        <w:t xml:space="preserve"> </w:t>
      </w:r>
      <w:r>
        <w:rPr>
          <w:rFonts w:ascii="Arial" w:cs="Arial" w:eastAsia="Arial" w:hAnsi="Arial"/>
          <w:sz w:val="22"/>
          <w:szCs w:val="22"/>
          <w:color w:val="auto"/>
        </w:rPr>
        <w:t>than thirty (30) days following) the Vesting Date, the Corporation shall issue Grantee one share of Common Stock for each vested Restricted Stock Unit.</w:t>
      </w:r>
    </w:p>
    <w:p>
      <w:pPr>
        <w:spacing w:after="0" w:line="176" w:lineRule="exact"/>
        <w:rPr>
          <w:rFonts w:ascii="Arial" w:cs="Arial" w:eastAsia="Arial" w:hAnsi="Arial"/>
          <w:sz w:val="22"/>
          <w:szCs w:val="22"/>
          <w:color w:val="auto"/>
        </w:rPr>
      </w:pPr>
    </w:p>
    <w:p>
      <w:pPr>
        <w:jc w:val="both"/>
        <w:ind w:left="640" w:firstLine="645"/>
        <w:spacing w:after="0" w:line="248" w:lineRule="auto"/>
        <w:tabs>
          <w:tab w:leader="none" w:pos="1797" w:val="left"/>
        </w:tabs>
        <w:numPr>
          <w:ilvl w:val="0"/>
          <w:numId w:val="190"/>
        </w:numPr>
        <w:rPr>
          <w:rFonts w:ascii="Arial" w:cs="Arial" w:eastAsia="Arial" w:hAnsi="Arial"/>
          <w:sz w:val="22"/>
          <w:szCs w:val="22"/>
          <w:color w:val="auto"/>
        </w:rPr>
      </w:pPr>
      <w:r>
        <w:rPr>
          <w:rFonts w:ascii="Arial" w:cs="Arial" w:eastAsia="Arial" w:hAnsi="Arial"/>
          <w:sz w:val="22"/>
          <w:szCs w:val="22"/>
          <w:b w:val="1"/>
          <w:bCs w:val="1"/>
          <w:color w:val="auto"/>
        </w:rPr>
        <w:t>Other Payment Events</w:t>
      </w:r>
      <w:r>
        <w:rPr>
          <w:rFonts w:ascii="Arial" w:cs="Arial" w:eastAsia="Arial" w:hAnsi="Arial"/>
          <w:sz w:val="22"/>
          <w:szCs w:val="22"/>
          <w:color w:val="auto"/>
        </w:rPr>
        <w:t>. Notwithstanding Section II.A.2(a), to the extent the Restricted Stock Units have not</w:t>
      </w:r>
      <w:r>
        <w:rPr>
          <w:rFonts w:ascii="Arial" w:cs="Arial" w:eastAsia="Arial" w:hAnsi="Arial"/>
          <w:sz w:val="22"/>
          <w:szCs w:val="22"/>
          <w:b w:val="1"/>
          <w:bCs w:val="1"/>
          <w:color w:val="auto"/>
        </w:rPr>
        <w:t xml:space="preserve"> </w:t>
      </w:r>
      <w:r>
        <w:rPr>
          <w:rFonts w:ascii="Arial" w:cs="Arial" w:eastAsia="Arial" w:hAnsi="Arial"/>
          <w:sz w:val="22"/>
          <w:szCs w:val="22"/>
          <w:color w:val="auto"/>
        </w:rPr>
        <w:t>previously been settled, if Grantee ceases to be a Service Provider prior to the Vesting Date as a result of Grantee’s death, Disability, or Qualifying Termination, and such cessation to be a Service Provider constitutes a separation from service (within the meaning of Treasury Regulation Section 1.409A-1(h)), the Corporation shall issue Grantee one share of Common Stock for each vested Restricted Stock Unit as soon as practicable following (but no later than thirty (30) days following) the date of such cessation.</w:t>
      </w:r>
    </w:p>
    <w:p>
      <w:pPr>
        <w:spacing w:after="0" w:line="187" w:lineRule="exact"/>
        <w:rPr>
          <w:sz w:val="20"/>
          <w:szCs w:val="20"/>
          <w:color w:val="auto"/>
        </w:rPr>
      </w:pPr>
    </w:p>
    <w:p>
      <w:pPr>
        <w:jc w:val="both"/>
        <w:ind w:left="-20" w:firstLine="1305"/>
        <w:spacing w:after="0" w:line="290" w:lineRule="auto"/>
        <w:tabs>
          <w:tab w:leader="none" w:pos="1763" w:val="left"/>
        </w:tabs>
        <w:numPr>
          <w:ilvl w:val="1"/>
          <w:numId w:val="191"/>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Dividend Equivalent Rights</w:t>
      </w:r>
      <w:r>
        <w:rPr>
          <w:rFonts w:ascii="Arial" w:cs="Arial" w:eastAsia="Arial" w:hAnsi="Arial"/>
          <w:sz w:val="19"/>
          <w:szCs w:val="19"/>
          <w:color w:val="auto"/>
        </w:rPr>
        <w:t>. From and after the Grant Date and until the earlier of (a) the time when the</w:t>
      </w:r>
      <w:r>
        <w:rPr>
          <w:rFonts w:ascii="Arial" w:cs="Arial" w:eastAsia="Arial" w:hAnsi="Arial"/>
          <w:sz w:val="19"/>
          <w:szCs w:val="19"/>
          <w:b w:val="1"/>
          <w:bCs w:val="1"/>
          <w:color w:val="auto"/>
        </w:rPr>
        <w:t xml:space="preserve"> </w:t>
      </w:r>
      <w:r>
        <w:rPr>
          <w:rFonts w:ascii="Arial" w:cs="Arial" w:eastAsia="Arial" w:hAnsi="Arial"/>
          <w:sz w:val="19"/>
          <w:szCs w:val="19"/>
          <w:color w:val="auto"/>
        </w:rPr>
        <w:t>Restricted Stock Units vest and are settled in accordance with Section II.A.2 hereof or (b) the time when Grantee’s rights to the Restricted Stock Units are forfeited in accordance with Section II.A.1(b) hereof, on the date that the Corporation pays a cash dividend (if any) to holders of Common Stock generally, Grantee shall be credited with an additional number of whole Restricted Stock Units, determined (rounding down to the nearest whole number) by dividing (x) the product of (I) the full number of Restricted Stock Units covered by this Award, multiplied by (II) the amount of cash dividend paid on such date with respect to each share of Common Stock, by (y) the Fair Market Value per share of Common Stock on that date. Such additional Restricted Stock Units shall be subject to the same applicable terms and conditions (including vesting, payment or forfeitability) as apply to the Restricted Stock Units based on which the dividend equivalents were credited.</w:t>
      </w:r>
    </w:p>
    <w:p>
      <w:pPr>
        <w:spacing w:after="0" w:line="149" w:lineRule="exact"/>
        <w:rPr>
          <w:rFonts w:ascii="Arial" w:cs="Arial" w:eastAsia="Arial" w:hAnsi="Arial"/>
          <w:sz w:val="19"/>
          <w:szCs w:val="19"/>
          <w:b w:val="1"/>
          <w:bCs w:val="1"/>
          <w:color w:val="auto"/>
        </w:rPr>
      </w:pPr>
    </w:p>
    <w:p>
      <w:pPr>
        <w:ind w:left="-20" w:firstLine="1305"/>
        <w:spacing w:after="0" w:line="350" w:lineRule="auto"/>
        <w:tabs>
          <w:tab w:leader="none" w:pos="1749" w:val="left"/>
        </w:tabs>
        <w:numPr>
          <w:ilvl w:val="1"/>
          <w:numId w:val="191"/>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Rights as a Shareholder</w:t>
      </w:r>
      <w:r>
        <w:rPr>
          <w:rFonts w:ascii="Arial" w:cs="Arial" w:eastAsia="Arial" w:hAnsi="Arial"/>
          <w:sz w:val="19"/>
          <w:szCs w:val="19"/>
          <w:b w:val="1"/>
          <w:bCs w:val="1"/>
          <w:color w:val="auto"/>
        </w:rPr>
        <w:t xml:space="preserve">. </w:t>
      </w:r>
      <w:r>
        <w:rPr>
          <w:rFonts w:ascii="Arial" w:cs="Arial" w:eastAsia="Arial" w:hAnsi="Arial"/>
          <w:sz w:val="19"/>
          <w:szCs w:val="19"/>
          <w:color w:val="auto"/>
        </w:rPr>
        <w:t>Grantee will not have any rights of a stockholder (including voting and dividend</w:t>
      </w:r>
      <w:r>
        <w:rPr>
          <w:rFonts w:ascii="Arial" w:cs="Arial" w:eastAsia="Arial" w:hAnsi="Arial"/>
          <w:sz w:val="19"/>
          <w:szCs w:val="19"/>
          <w:b w:val="1"/>
          <w:bCs w:val="1"/>
          <w:color w:val="auto"/>
        </w:rPr>
        <w:t xml:space="preserve"> </w:t>
      </w:r>
      <w:r>
        <w:rPr>
          <w:rFonts w:ascii="Arial" w:cs="Arial" w:eastAsia="Arial" w:hAnsi="Arial"/>
          <w:sz w:val="19"/>
          <w:szCs w:val="19"/>
          <w:color w:val="auto"/>
        </w:rPr>
        <w:t>rights) with respect to the Restricted Stock Units covered by this Award (except as otherwise provided in Section II.A.3).</w:t>
      </w:r>
    </w:p>
    <w:p>
      <w:pPr>
        <w:spacing w:after="0" w:line="92" w:lineRule="exact"/>
        <w:rPr>
          <w:rFonts w:ascii="Arial" w:cs="Arial" w:eastAsia="Arial" w:hAnsi="Arial"/>
          <w:sz w:val="19"/>
          <w:szCs w:val="19"/>
          <w:b w:val="1"/>
          <w:bCs w:val="1"/>
          <w:color w:val="auto"/>
        </w:rPr>
      </w:pPr>
    </w:p>
    <w:p>
      <w:pPr>
        <w:ind w:left="-20" w:firstLine="1305"/>
        <w:spacing w:after="0" w:line="269" w:lineRule="auto"/>
        <w:tabs>
          <w:tab w:leader="none" w:pos="1709" w:val="left"/>
        </w:tabs>
        <w:numPr>
          <w:ilvl w:val="1"/>
          <w:numId w:val="19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Adjustments</w:t>
      </w:r>
      <w:r>
        <w:rPr>
          <w:rFonts w:ascii="Arial" w:cs="Arial" w:eastAsia="Arial" w:hAnsi="Arial"/>
          <w:sz w:val="22"/>
          <w:szCs w:val="22"/>
          <w:b w:val="1"/>
          <w:bCs w:val="1"/>
          <w:color w:val="auto"/>
        </w:rPr>
        <w:t xml:space="preserve">. </w:t>
      </w:r>
      <w:r>
        <w:rPr>
          <w:rFonts w:ascii="Arial" w:cs="Arial" w:eastAsia="Arial" w:hAnsi="Arial"/>
          <w:sz w:val="22"/>
          <w:szCs w:val="22"/>
          <w:color w:val="auto"/>
        </w:rPr>
        <w:t>The Restricted Stock Units covered by this Award will be subject to adjustment as provided in</w:t>
      </w:r>
      <w:r>
        <w:rPr>
          <w:rFonts w:ascii="Arial" w:cs="Arial" w:eastAsia="Arial" w:hAnsi="Arial"/>
          <w:sz w:val="22"/>
          <w:szCs w:val="22"/>
          <w:b w:val="1"/>
          <w:bCs w:val="1"/>
          <w:color w:val="auto"/>
        </w:rPr>
        <w:t xml:space="preserve"> </w:t>
      </w:r>
      <w:r>
        <w:rPr>
          <w:rFonts w:ascii="Arial" w:cs="Arial" w:eastAsia="Arial" w:hAnsi="Arial"/>
          <w:sz w:val="22"/>
          <w:szCs w:val="22"/>
          <w:color w:val="auto"/>
        </w:rPr>
        <w:t>Article X of the Plan.</w:t>
      </w:r>
    </w:p>
    <w:p>
      <w:pPr>
        <w:spacing w:after="0" w:line="162" w:lineRule="exact"/>
        <w:rPr>
          <w:rFonts w:ascii="Arial" w:cs="Arial" w:eastAsia="Arial" w:hAnsi="Arial"/>
          <w:sz w:val="22"/>
          <w:szCs w:val="22"/>
          <w:b w:val="1"/>
          <w:bCs w:val="1"/>
          <w:color w:val="auto"/>
        </w:rPr>
      </w:pPr>
    </w:p>
    <w:p>
      <w:pPr>
        <w:ind w:left="1060" w:hanging="424"/>
        <w:spacing w:after="0"/>
        <w:tabs>
          <w:tab w:leader="none" w:pos="1060" w:val="left"/>
        </w:tabs>
        <w:numPr>
          <w:ilvl w:val="0"/>
          <w:numId w:val="19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Other Terms and Conditions</w:t>
      </w:r>
      <w:r>
        <w:rPr>
          <w:rFonts w:ascii="Arial" w:cs="Arial" w:eastAsia="Arial" w:hAnsi="Arial"/>
          <w:sz w:val="22"/>
          <w:szCs w:val="22"/>
          <w:b w:val="1"/>
          <w:bCs w:val="1"/>
          <w:color w:val="auto"/>
        </w:rPr>
        <w:t>.</w:t>
      </w:r>
    </w:p>
    <w:p>
      <w:pPr>
        <w:spacing w:after="0" w:line="219" w:lineRule="exact"/>
        <w:rPr>
          <w:rFonts w:ascii="Arial" w:cs="Arial" w:eastAsia="Arial" w:hAnsi="Arial"/>
          <w:sz w:val="22"/>
          <w:szCs w:val="22"/>
          <w:b w:val="1"/>
          <w:bCs w:val="1"/>
          <w:color w:val="auto"/>
        </w:rPr>
      </w:pPr>
    </w:p>
    <w:p>
      <w:pPr>
        <w:jc w:val="both"/>
        <w:ind w:left="-20" w:firstLine="1305"/>
        <w:spacing w:after="0" w:line="252" w:lineRule="auto"/>
        <w:tabs>
          <w:tab w:leader="none" w:pos="1695" w:val="left"/>
        </w:tabs>
        <w:numPr>
          <w:ilvl w:val="1"/>
          <w:numId w:val="19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Non-Transferability of Award</w:t>
      </w:r>
      <w:r>
        <w:rPr>
          <w:rFonts w:ascii="Arial" w:cs="Arial" w:eastAsia="Arial" w:hAnsi="Arial"/>
          <w:sz w:val="22"/>
          <w:szCs w:val="22"/>
          <w:color w:val="auto"/>
        </w:rPr>
        <w:t>. Except as described below, this Award and the Restricted Stock Units subject</w:t>
      </w:r>
      <w:r>
        <w:rPr>
          <w:rFonts w:ascii="Arial" w:cs="Arial" w:eastAsia="Arial" w:hAnsi="Arial"/>
          <w:sz w:val="22"/>
          <w:szCs w:val="22"/>
          <w:b w:val="1"/>
          <w:bCs w:val="1"/>
          <w:color w:val="auto"/>
        </w:rPr>
        <w:t xml:space="preserve"> </w:t>
      </w:r>
      <w:r>
        <w:rPr>
          <w:rFonts w:ascii="Arial" w:cs="Arial" w:eastAsia="Arial" w:hAnsi="Arial"/>
          <w:sz w:val="22"/>
          <w:szCs w:val="22"/>
          <w:color w:val="auto"/>
        </w:rPr>
        <w:t>to this Award may not be sold, pledged, assigned, hypothecated, transferred, or disposed of in any manner other than by will or by the laws of descent or distribution. The terms of this Award are binding on the executors, administrators, heirs, successors and assigns of Grantee.</w:t>
      </w:r>
    </w:p>
    <w:p>
      <w:pPr>
        <w:spacing w:after="0" w:line="180" w:lineRule="exact"/>
        <w:rPr>
          <w:rFonts w:ascii="Arial" w:cs="Arial" w:eastAsia="Arial" w:hAnsi="Arial"/>
          <w:sz w:val="22"/>
          <w:szCs w:val="22"/>
          <w:b w:val="1"/>
          <w:bCs w:val="1"/>
          <w:color w:val="auto"/>
        </w:rPr>
      </w:pPr>
    </w:p>
    <w:p>
      <w:pPr>
        <w:jc w:val="both"/>
        <w:ind w:left="-20" w:firstLine="1305"/>
        <w:spacing w:after="0" w:line="256" w:lineRule="auto"/>
        <w:tabs>
          <w:tab w:leader="none" w:pos="1830" w:val="left"/>
        </w:tabs>
        <w:numPr>
          <w:ilvl w:val="1"/>
          <w:numId w:val="19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Withholding</w:t>
      </w:r>
      <w:r>
        <w:rPr>
          <w:rFonts w:ascii="Arial" w:cs="Arial" w:eastAsia="Arial" w:hAnsi="Arial"/>
          <w:sz w:val="22"/>
          <w:szCs w:val="22"/>
          <w:b w:val="1"/>
          <w:bCs w:val="1"/>
          <w:color w:val="auto"/>
        </w:rPr>
        <w:t xml:space="preserve">. </w:t>
      </w:r>
      <w:r>
        <w:rPr>
          <w:rFonts w:ascii="Arial" w:cs="Arial" w:eastAsia="Arial" w:hAnsi="Arial"/>
          <w:sz w:val="22"/>
          <w:szCs w:val="22"/>
          <w:color w:val="auto"/>
        </w:rPr>
        <w:t>Grantee authorizes the Corporation or Grantee’s employer to withhold from the shares of</w:t>
      </w:r>
      <w:r>
        <w:rPr>
          <w:rFonts w:ascii="Arial" w:cs="Arial" w:eastAsia="Arial" w:hAnsi="Arial"/>
          <w:sz w:val="22"/>
          <w:szCs w:val="22"/>
          <w:b w:val="1"/>
          <w:bCs w:val="1"/>
          <w:color w:val="auto"/>
        </w:rPr>
        <w:t xml:space="preserve"> </w:t>
      </w:r>
      <w:r>
        <w:rPr>
          <w:rFonts w:ascii="Arial" w:cs="Arial" w:eastAsia="Arial" w:hAnsi="Arial"/>
          <w:sz w:val="22"/>
          <w:szCs w:val="22"/>
          <w:color w:val="auto"/>
        </w:rPr>
        <w:t>Common Stock to be delivered as payment the number of shares of Common Stock needed to satisfy any applicable minimum income and employment tax withholding</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00"/>
          </w:cols>
          <w:pgMar w:left="260" w:top="625" w:right="239" w:bottom="1440" w:gutter="0" w:footer="0" w:header="0"/>
        </w:sectPr>
      </w:pPr>
    </w:p>
    <w:bookmarkStart w:id="165" w:name="page166"/>
    <w:bookmarkEnd w:id="165"/>
    <w:p>
      <w:pPr>
        <w:jc w:val="both"/>
        <w:spacing w:after="0" w:line="248" w:lineRule="auto"/>
        <w:rPr>
          <w:sz w:val="20"/>
          <w:szCs w:val="20"/>
          <w:color w:val="auto"/>
        </w:rPr>
      </w:pPr>
      <w:r>
        <w:rPr>
          <w:rFonts w:ascii="Arial" w:cs="Arial" w:eastAsia="Arial" w:hAnsi="Arial"/>
          <w:sz w:val="22"/>
          <w:szCs w:val="22"/>
          <w:color w:val="auto"/>
        </w:rPr>
        <w:t>obligations, or Grantee agrees to tender sufficient funds to satisfy any applicable income and employment tax withholding obligations in connection with the vesting of the Restricted Stock Units under this Award. Notwithstanding any other provision of this Agreement or the Plan, the Corporation shall not be obligated to guarantee any particular tax result for Grantee with respect to any payment provided to Grantee hereunder, and Grantee shall be responsible for any taxes imposed on Grantee with respect to any such payment.</w:t>
      </w:r>
    </w:p>
    <w:p>
      <w:pPr>
        <w:spacing w:after="0" w:line="186" w:lineRule="exact"/>
        <w:rPr>
          <w:sz w:val="20"/>
          <w:szCs w:val="20"/>
          <w:color w:val="auto"/>
        </w:rPr>
      </w:pPr>
    </w:p>
    <w:p>
      <w:pPr>
        <w:jc w:val="both"/>
        <w:ind w:firstLine="1305"/>
        <w:spacing w:after="0" w:line="267" w:lineRule="auto"/>
        <w:tabs>
          <w:tab w:leader="none" w:pos="1729" w:val="left"/>
        </w:tabs>
        <w:numPr>
          <w:ilvl w:val="0"/>
          <w:numId w:val="193"/>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Dispute Resolution</w:t>
      </w:r>
      <w:r>
        <w:rPr>
          <w:rFonts w:ascii="Arial" w:cs="Arial" w:eastAsia="Arial" w:hAnsi="Arial"/>
          <w:sz w:val="21"/>
          <w:szCs w:val="21"/>
          <w:color w:val="auto"/>
        </w:rPr>
        <w:t>. Grantee and the Corporation agree that any disagreement, dispute, controversy, or claim</w:t>
      </w:r>
      <w:r>
        <w:rPr>
          <w:rFonts w:ascii="Arial" w:cs="Arial" w:eastAsia="Arial" w:hAnsi="Arial"/>
          <w:sz w:val="21"/>
          <w:szCs w:val="21"/>
          <w:b w:val="1"/>
          <w:bCs w:val="1"/>
          <w:color w:val="auto"/>
        </w:rPr>
        <w:t xml:space="preserve"> </w:t>
      </w:r>
      <w:r>
        <w:rPr>
          <w:rFonts w:ascii="Arial" w:cs="Arial" w:eastAsia="Arial" w:hAnsi="Arial"/>
          <w:sz w:val="21"/>
          <w:szCs w:val="21"/>
          <w:color w:val="auto"/>
        </w:rPr>
        <w:t>arising out of or relating to this Agreement, its interpretation, validity, or the alleged breach of this Agreement, will be settled exclusively and, consistent with the procedures specified in this Section II.B.3, irrespective of its magnitude, the amount in controversy, or the nature of the relief sought, in accordance with the following:</w:t>
      </w:r>
    </w:p>
    <w:p>
      <w:pPr>
        <w:spacing w:after="0" w:line="168" w:lineRule="exact"/>
        <w:rPr>
          <w:sz w:val="20"/>
          <w:szCs w:val="20"/>
          <w:color w:val="auto"/>
        </w:rPr>
      </w:pPr>
    </w:p>
    <w:p>
      <w:pPr>
        <w:jc w:val="both"/>
        <w:ind w:left="660" w:firstLine="645"/>
        <w:spacing w:after="0" w:line="256" w:lineRule="auto"/>
        <w:tabs>
          <w:tab w:leader="none" w:pos="1845" w:val="left"/>
        </w:tabs>
        <w:numPr>
          <w:ilvl w:val="0"/>
          <w:numId w:val="194"/>
        </w:numPr>
        <w:rPr>
          <w:rFonts w:ascii="Arial" w:cs="Arial" w:eastAsia="Arial" w:hAnsi="Arial"/>
          <w:sz w:val="22"/>
          <w:szCs w:val="22"/>
          <w:color w:val="auto"/>
        </w:rPr>
      </w:pPr>
      <w:r>
        <w:rPr>
          <w:rFonts w:ascii="Arial" w:cs="Arial" w:eastAsia="Arial" w:hAnsi="Arial"/>
          <w:sz w:val="22"/>
          <w:szCs w:val="22"/>
          <w:b w:val="1"/>
          <w:bCs w:val="1"/>
          <w:color w:val="auto"/>
        </w:rPr>
        <w:t>Negotiation</w:t>
      </w:r>
      <w:r>
        <w:rPr>
          <w:rFonts w:ascii="Arial" w:cs="Arial" w:eastAsia="Arial" w:hAnsi="Arial"/>
          <w:sz w:val="22"/>
          <w:szCs w:val="22"/>
          <w:color w:val="auto"/>
        </w:rPr>
        <w:t>. Grantee and the Corporation will use their best efforts to settle the dispute, claim, question or</w:t>
      </w:r>
      <w:r>
        <w:rPr>
          <w:rFonts w:ascii="Arial" w:cs="Arial" w:eastAsia="Arial" w:hAnsi="Arial"/>
          <w:sz w:val="22"/>
          <w:szCs w:val="22"/>
          <w:b w:val="1"/>
          <w:bCs w:val="1"/>
          <w:color w:val="auto"/>
        </w:rPr>
        <w:t xml:space="preserve"> </w:t>
      </w:r>
      <w:r>
        <w:rPr>
          <w:rFonts w:ascii="Arial" w:cs="Arial" w:eastAsia="Arial" w:hAnsi="Arial"/>
          <w:sz w:val="22"/>
          <w:szCs w:val="22"/>
          <w:color w:val="auto"/>
        </w:rPr>
        <w:t>disagreement. To this effect, they will consult and negotiate with each other in good faith and, recognizing their mutual interests, attempt to reach a just and equitable solution satisfactory to both parties.</w:t>
      </w:r>
    </w:p>
    <w:p>
      <w:pPr>
        <w:spacing w:after="0" w:line="176" w:lineRule="exact"/>
        <w:rPr>
          <w:rFonts w:ascii="Arial" w:cs="Arial" w:eastAsia="Arial" w:hAnsi="Arial"/>
          <w:sz w:val="22"/>
          <w:szCs w:val="22"/>
          <w:color w:val="auto"/>
        </w:rPr>
      </w:pPr>
    </w:p>
    <w:p>
      <w:pPr>
        <w:jc w:val="both"/>
        <w:ind w:left="660" w:firstLine="645"/>
        <w:spacing w:after="0" w:line="249" w:lineRule="auto"/>
        <w:tabs>
          <w:tab w:leader="none" w:pos="1817" w:val="left"/>
        </w:tabs>
        <w:numPr>
          <w:ilvl w:val="0"/>
          <w:numId w:val="194"/>
        </w:numPr>
        <w:rPr>
          <w:rFonts w:ascii="Arial" w:cs="Arial" w:eastAsia="Arial" w:hAnsi="Arial"/>
          <w:sz w:val="22"/>
          <w:szCs w:val="22"/>
          <w:color w:val="auto"/>
        </w:rPr>
      </w:pPr>
      <w:r>
        <w:rPr>
          <w:rFonts w:ascii="Arial" w:cs="Arial" w:eastAsia="Arial" w:hAnsi="Arial"/>
          <w:sz w:val="22"/>
          <w:szCs w:val="22"/>
          <w:b w:val="1"/>
          <w:bCs w:val="1"/>
          <w:color w:val="auto"/>
        </w:rPr>
        <w:t>Arbitration</w:t>
      </w:r>
      <w:r>
        <w:rPr>
          <w:rFonts w:ascii="Arial" w:cs="Arial" w:eastAsia="Arial" w:hAnsi="Arial"/>
          <w:sz w:val="22"/>
          <w:szCs w:val="22"/>
          <w:color w:val="auto"/>
        </w:rPr>
        <w:t>. If Grantee and the Corporation do not reach a solution within a period of 30 days from the date</w:t>
      </w:r>
      <w:r>
        <w:rPr>
          <w:rFonts w:ascii="Arial" w:cs="Arial" w:eastAsia="Arial" w:hAnsi="Arial"/>
          <w:sz w:val="22"/>
          <w:szCs w:val="22"/>
          <w:b w:val="1"/>
          <w:bCs w:val="1"/>
          <w:color w:val="auto"/>
        </w:rPr>
        <w:t xml:space="preserve"> </w:t>
      </w:r>
      <w:r>
        <w:rPr>
          <w:rFonts w:ascii="Arial" w:cs="Arial" w:eastAsia="Arial" w:hAnsi="Arial"/>
          <w:sz w:val="22"/>
          <w:szCs w:val="22"/>
          <w:color w:val="auto"/>
        </w:rPr>
        <w:t>on which the dispute, claim, disagreement, or controversy arises, then, upon written notice by Grantee to the Corporation or the Corporation to Grantee, all disputes, claims, questions, controversies, or differences will be submitted to arbitration administered by the American Arbitration Association (the “AAA”) in accordance with the provisions of its Employment Arbitration Rules (the “Arbitration Rules”).</w:t>
      </w:r>
    </w:p>
    <w:p>
      <w:pPr>
        <w:spacing w:after="0" w:line="186" w:lineRule="exact"/>
        <w:rPr>
          <w:rFonts w:ascii="Arial" w:cs="Arial" w:eastAsia="Arial" w:hAnsi="Arial"/>
          <w:sz w:val="22"/>
          <w:szCs w:val="22"/>
          <w:color w:val="auto"/>
        </w:rPr>
      </w:pPr>
    </w:p>
    <w:p>
      <w:pPr>
        <w:jc w:val="both"/>
        <w:ind w:left="1300" w:firstLine="653"/>
        <w:spacing w:after="0" w:line="247" w:lineRule="auto"/>
        <w:tabs>
          <w:tab w:leader="none" w:pos="2470" w:val="left"/>
        </w:tabs>
        <w:numPr>
          <w:ilvl w:val="1"/>
          <w:numId w:val="194"/>
        </w:numPr>
        <w:rPr>
          <w:rFonts w:ascii="Arial" w:cs="Arial" w:eastAsia="Arial" w:hAnsi="Arial"/>
          <w:sz w:val="22"/>
          <w:szCs w:val="22"/>
          <w:color w:val="auto"/>
        </w:rPr>
      </w:pPr>
      <w:r>
        <w:rPr>
          <w:rFonts w:ascii="Arial" w:cs="Arial" w:eastAsia="Arial" w:hAnsi="Arial"/>
          <w:sz w:val="22"/>
          <w:szCs w:val="22"/>
          <w:b w:val="1"/>
          <w:bCs w:val="1"/>
          <w:color w:val="auto"/>
        </w:rPr>
        <w:t>Arbitrator</w:t>
      </w:r>
      <w:r>
        <w:rPr>
          <w:rFonts w:ascii="Arial" w:cs="Arial" w:eastAsia="Arial" w:hAnsi="Arial"/>
          <w:sz w:val="22"/>
          <w:szCs w:val="22"/>
          <w:color w:val="auto"/>
        </w:rPr>
        <w:t>. The arbitration will be conducted by one arbitrator skilled in the arbitration of executive</w:t>
      </w:r>
      <w:r>
        <w:rPr>
          <w:rFonts w:ascii="Arial" w:cs="Arial" w:eastAsia="Arial" w:hAnsi="Arial"/>
          <w:sz w:val="22"/>
          <w:szCs w:val="22"/>
          <w:b w:val="1"/>
          <w:bCs w:val="1"/>
          <w:color w:val="auto"/>
        </w:rPr>
        <w:t xml:space="preserve"> </w:t>
      </w:r>
      <w:r>
        <w:rPr>
          <w:rFonts w:ascii="Arial" w:cs="Arial" w:eastAsia="Arial" w:hAnsi="Arial"/>
          <w:sz w:val="22"/>
          <w:szCs w:val="22"/>
          <w:color w:val="auto"/>
        </w:rPr>
        <w:t>employment matters. The parties to the arbitration will jointly appoint the arbitrator within 30 days after initiation of the arbitration. If the parties fail to appoint an arbitrator as provided above, an arbitrator with substantial experience in executive employment matters will be appointed by the AAA as provided in the Arbitration Rules. The Corporation will pay all of the fees, if any, and expenses of the arbitrator and the arbitration, unless otherwise determined by the arbitrator. Each party to the arbitration will be responsible for his/its respective attorneys fees or other costs of representation.</w:t>
      </w:r>
    </w:p>
    <w:p>
      <w:pPr>
        <w:spacing w:after="0" w:line="189" w:lineRule="exact"/>
        <w:rPr>
          <w:rFonts w:ascii="Arial" w:cs="Arial" w:eastAsia="Arial" w:hAnsi="Arial"/>
          <w:sz w:val="22"/>
          <w:szCs w:val="22"/>
          <w:color w:val="auto"/>
        </w:rPr>
      </w:pPr>
    </w:p>
    <w:p>
      <w:pPr>
        <w:ind w:left="2420" w:hanging="467"/>
        <w:spacing w:after="0"/>
        <w:tabs>
          <w:tab w:leader="none" w:pos="2420" w:val="left"/>
        </w:tabs>
        <w:numPr>
          <w:ilvl w:val="1"/>
          <w:numId w:val="194"/>
        </w:numPr>
        <w:rPr>
          <w:rFonts w:ascii="Arial" w:cs="Arial" w:eastAsia="Arial" w:hAnsi="Arial"/>
          <w:sz w:val="22"/>
          <w:szCs w:val="22"/>
          <w:color w:val="auto"/>
        </w:rPr>
      </w:pPr>
      <w:r>
        <w:rPr>
          <w:rFonts w:ascii="Arial" w:cs="Arial" w:eastAsia="Arial" w:hAnsi="Arial"/>
          <w:sz w:val="22"/>
          <w:szCs w:val="22"/>
          <w:b w:val="1"/>
          <w:bCs w:val="1"/>
          <w:color w:val="auto"/>
        </w:rPr>
        <w:t>Location</w:t>
      </w:r>
      <w:r>
        <w:rPr>
          <w:rFonts w:ascii="Arial" w:cs="Arial" w:eastAsia="Arial" w:hAnsi="Arial"/>
          <w:sz w:val="22"/>
          <w:szCs w:val="22"/>
          <w:color w:val="auto"/>
        </w:rPr>
        <w:t>. The arbitration will be conducted in Oakland County, Michigan.</w:t>
      </w:r>
    </w:p>
    <w:p>
      <w:pPr>
        <w:spacing w:after="0" w:line="219" w:lineRule="exact"/>
        <w:rPr>
          <w:rFonts w:ascii="Arial" w:cs="Arial" w:eastAsia="Arial" w:hAnsi="Arial"/>
          <w:sz w:val="22"/>
          <w:szCs w:val="22"/>
          <w:color w:val="auto"/>
        </w:rPr>
      </w:pPr>
    </w:p>
    <w:p>
      <w:pPr>
        <w:jc w:val="both"/>
        <w:ind w:left="1300" w:firstLine="653"/>
        <w:spacing w:after="0" w:line="249" w:lineRule="auto"/>
        <w:tabs>
          <w:tab w:leader="none" w:pos="2470" w:val="left"/>
        </w:tabs>
        <w:numPr>
          <w:ilvl w:val="1"/>
          <w:numId w:val="194"/>
        </w:numPr>
        <w:rPr>
          <w:rFonts w:ascii="Arial" w:cs="Arial" w:eastAsia="Arial" w:hAnsi="Arial"/>
          <w:sz w:val="22"/>
          <w:szCs w:val="22"/>
          <w:color w:val="auto"/>
        </w:rPr>
      </w:pPr>
      <w:r>
        <w:rPr>
          <w:rFonts w:ascii="Arial" w:cs="Arial" w:eastAsia="Arial" w:hAnsi="Arial"/>
          <w:sz w:val="22"/>
          <w:szCs w:val="22"/>
          <w:b w:val="1"/>
          <w:bCs w:val="1"/>
          <w:color w:val="auto"/>
        </w:rPr>
        <w:t>Procedure</w:t>
      </w:r>
      <w:r>
        <w:rPr>
          <w:rFonts w:ascii="Arial" w:cs="Arial" w:eastAsia="Arial" w:hAnsi="Arial"/>
          <w:sz w:val="22"/>
          <w:szCs w:val="22"/>
          <w:color w:val="auto"/>
        </w:rPr>
        <w:t>. At any oral hearing of evidence in connection with the arbitration, each party or its legal</w:t>
      </w:r>
      <w:r>
        <w:rPr>
          <w:rFonts w:ascii="Arial" w:cs="Arial" w:eastAsia="Arial" w:hAnsi="Arial"/>
          <w:sz w:val="22"/>
          <w:szCs w:val="22"/>
          <w:b w:val="1"/>
          <w:bCs w:val="1"/>
          <w:color w:val="auto"/>
        </w:rPr>
        <w:t xml:space="preserve"> </w:t>
      </w:r>
      <w:r>
        <w:rPr>
          <w:rFonts w:ascii="Arial" w:cs="Arial" w:eastAsia="Arial" w:hAnsi="Arial"/>
          <w:sz w:val="22"/>
          <w:szCs w:val="22"/>
          <w:color w:val="auto"/>
        </w:rPr>
        <w:t>counsel will have the right to examine its witnesses and cross-examine the witnesses of any opposing party. No evidence of any witness may be presented in any form unless the opposing party or parties has the opportunity to cross-examine the witness, except under extraordinary circumstances in which the arbitrator determines that the interests of justice require a different procedure.</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631" w:right="239" w:bottom="1440" w:gutter="0" w:footer="0" w:header="0"/>
        </w:sectPr>
      </w:pPr>
    </w:p>
    <w:bookmarkStart w:id="166" w:name="page167"/>
    <w:bookmarkEnd w:id="166"/>
    <w:p>
      <w:pPr>
        <w:jc w:val="both"/>
        <w:ind w:left="1300" w:firstLine="653"/>
        <w:spacing w:after="0" w:line="252" w:lineRule="auto"/>
        <w:tabs>
          <w:tab w:leader="none" w:pos="2470" w:val="left"/>
        </w:tabs>
        <w:numPr>
          <w:ilvl w:val="0"/>
          <w:numId w:val="195"/>
        </w:numPr>
        <w:rPr>
          <w:rFonts w:ascii="Arial" w:cs="Arial" w:eastAsia="Arial" w:hAnsi="Arial"/>
          <w:sz w:val="22"/>
          <w:szCs w:val="22"/>
          <w:color w:val="auto"/>
        </w:rPr>
      </w:pPr>
      <w:r>
        <w:rPr>
          <w:rFonts w:ascii="Arial" w:cs="Arial" w:eastAsia="Arial" w:hAnsi="Arial"/>
          <w:sz w:val="22"/>
          <w:szCs w:val="22"/>
          <w:b w:val="1"/>
          <w:bCs w:val="1"/>
          <w:color w:val="auto"/>
        </w:rPr>
        <w:t>Decision</w:t>
      </w:r>
      <w:r>
        <w:rPr>
          <w:rFonts w:ascii="Arial" w:cs="Arial" w:eastAsia="Arial" w:hAnsi="Arial"/>
          <w:sz w:val="22"/>
          <w:szCs w:val="22"/>
          <w:color w:val="auto"/>
        </w:rPr>
        <w:t>. Any decision or award of the arbitrator is final and binding on the parties to the arbitration</w:t>
      </w:r>
      <w:r>
        <w:rPr>
          <w:rFonts w:ascii="Arial" w:cs="Arial" w:eastAsia="Arial" w:hAnsi="Arial"/>
          <w:sz w:val="22"/>
          <w:szCs w:val="22"/>
          <w:b w:val="1"/>
          <w:bCs w:val="1"/>
          <w:color w:val="auto"/>
        </w:rPr>
        <w:t xml:space="preserve"> </w:t>
      </w:r>
      <w:r>
        <w:rPr>
          <w:rFonts w:ascii="Arial" w:cs="Arial" w:eastAsia="Arial" w:hAnsi="Arial"/>
          <w:sz w:val="22"/>
          <w:szCs w:val="22"/>
          <w:color w:val="auto"/>
        </w:rPr>
        <w:t>proceeding. The parties agree that the arbitration award may be enforced against the parties to the arbitration proceeding or their assets wherever they may be found and that a judgment upon the arbitration award may be entered in any court having jurisdiction.</w:t>
      </w:r>
    </w:p>
    <w:p>
      <w:pPr>
        <w:spacing w:after="0" w:line="180" w:lineRule="exact"/>
        <w:rPr>
          <w:rFonts w:ascii="Arial" w:cs="Arial" w:eastAsia="Arial" w:hAnsi="Arial"/>
          <w:sz w:val="22"/>
          <w:szCs w:val="22"/>
          <w:color w:val="auto"/>
        </w:rPr>
      </w:pPr>
    </w:p>
    <w:p>
      <w:pPr>
        <w:ind w:left="1300" w:firstLine="653"/>
        <w:spacing w:after="0" w:line="350" w:lineRule="auto"/>
        <w:tabs>
          <w:tab w:leader="none" w:pos="2551" w:val="left"/>
        </w:tabs>
        <w:numPr>
          <w:ilvl w:val="0"/>
          <w:numId w:val="195"/>
        </w:numPr>
        <w:rPr>
          <w:rFonts w:ascii="Arial" w:cs="Arial" w:eastAsia="Arial" w:hAnsi="Arial"/>
          <w:sz w:val="19"/>
          <w:szCs w:val="19"/>
          <w:color w:val="auto"/>
        </w:rPr>
      </w:pPr>
      <w:r>
        <w:rPr>
          <w:rFonts w:ascii="Arial" w:cs="Arial" w:eastAsia="Arial" w:hAnsi="Arial"/>
          <w:sz w:val="19"/>
          <w:szCs w:val="19"/>
          <w:b w:val="1"/>
          <w:bCs w:val="1"/>
          <w:color w:val="auto"/>
        </w:rPr>
        <w:t>Power</w:t>
      </w:r>
      <w:r>
        <w:rPr>
          <w:rFonts w:ascii="Arial" w:cs="Arial" w:eastAsia="Arial" w:hAnsi="Arial"/>
          <w:sz w:val="19"/>
          <w:szCs w:val="19"/>
          <w:color w:val="auto"/>
        </w:rPr>
        <w:t>. Nothing contained in this Agreement may be deemed to give the arbitrator any authority,</w:t>
      </w:r>
      <w:r>
        <w:rPr>
          <w:rFonts w:ascii="Arial" w:cs="Arial" w:eastAsia="Arial" w:hAnsi="Arial"/>
          <w:sz w:val="19"/>
          <w:szCs w:val="19"/>
          <w:b w:val="1"/>
          <w:bCs w:val="1"/>
          <w:color w:val="auto"/>
        </w:rPr>
        <w:t xml:space="preserve"> </w:t>
      </w:r>
      <w:r>
        <w:rPr>
          <w:rFonts w:ascii="Arial" w:cs="Arial" w:eastAsia="Arial" w:hAnsi="Arial"/>
          <w:sz w:val="19"/>
          <w:szCs w:val="19"/>
          <w:color w:val="auto"/>
        </w:rPr>
        <w:t>power, or right to alter, change, amend, modify, add to, or subtract from any of the provisions of this Agreement.</w:t>
      </w:r>
    </w:p>
    <w:p>
      <w:pPr>
        <w:spacing w:after="0" w:line="98"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The provisions of this Section II.B.3 survive the termination or expiration of this Agreement, are binding on the Corporation’s and Grantee’s respective successors, heirs, personal representatives, designated beneficiaries and any other person asserting a claim described above, and may not be modified without the consent of the Corporation. To the extent arbitration is required, no person asserting a claim has the right to resort to any federal, state or local court or administrative agency concerning the claim unless expressly provided by federal statute, and the decision of the arbitrator is a complete defense to any action or proceeding instituted in any tribunal or agency with respect to any dispute, unless precluded by federal statute.</w:t>
      </w:r>
    </w:p>
    <w:p>
      <w:pPr>
        <w:spacing w:after="0" w:line="144" w:lineRule="exact"/>
        <w:rPr>
          <w:sz w:val="20"/>
          <w:szCs w:val="20"/>
          <w:color w:val="auto"/>
        </w:rPr>
      </w:pPr>
    </w:p>
    <w:p>
      <w:pPr>
        <w:ind w:firstLine="1305"/>
        <w:spacing w:after="0" w:line="350" w:lineRule="auto"/>
        <w:tabs>
          <w:tab w:leader="none" w:pos="1688" w:val="left"/>
        </w:tabs>
        <w:numPr>
          <w:ilvl w:val="0"/>
          <w:numId w:val="196"/>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Code Section 409A</w:t>
      </w:r>
      <w:r>
        <w:rPr>
          <w:rFonts w:ascii="Arial" w:cs="Arial" w:eastAsia="Arial" w:hAnsi="Arial"/>
          <w:sz w:val="19"/>
          <w:szCs w:val="19"/>
          <w:u w:val="single" w:color="auto"/>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Without limiting the generality of any other provision of this Agreement, and to the extent</w:t>
      </w:r>
      <w:r>
        <w:rPr>
          <w:rFonts w:ascii="Arial" w:cs="Arial" w:eastAsia="Arial" w:hAnsi="Arial"/>
          <w:sz w:val="19"/>
          <w:szCs w:val="19"/>
          <w:b w:val="1"/>
          <w:bCs w:val="1"/>
          <w:color w:val="auto"/>
        </w:rPr>
        <w:t xml:space="preserve"> </w:t>
      </w:r>
      <w:r>
        <w:rPr>
          <w:rFonts w:ascii="Arial" w:cs="Arial" w:eastAsia="Arial" w:hAnsi="Arial"/>
          <w:sz w:val="19"/>
          <w:szCs w:val="19"/>
          <w:color w:val="auto"/>
        </w:rPr>
        <w:t>applicable, Section 11.9 of the Plan pertaining to Code Section 409A is hereby explicitly incorporated into this Agreement.</w:t>
      </w:r>
    </w:p>
    <w:p>
      <w:pPr>
        <w:spacing w:after="0" w:line="92" w:lineRule="exact"/>
        <w:rPr>
          <w:rFonts w:ascii="Arial" w:cs="Arial" w:eastAsia="Arial" w:hAnsi="Arial"/>
          <w:sz w:val="19"/>
          <w:szCs w:val="19"/>
          <w:b w:val="1"/>
          <w:bCs w:val="1"/>
          <w:color w:val="auto"/>
        </w:rPr>
      </w:pPr>
    </w:p>
    <w:p>
      <w:pPr>
        <w:jc w:val="both"/>
        <w:ind w:firstLine="1305"/>
        <w:spacing w:after="0" w:line="249" w:lineRule="auto"/>
        <w:tabs>
          <w:tab w:leader="none" w:pos="1742" w:val="left"/>
        </w:tabs>
        <w:numPr>
          <w:ilvl w:val="0"/>
          <w:numId w:val="19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 Continued Right as Service Provider.</w:t>
      </w:r>
      <w:r>
        <w:rPr>
          <w:rFonts w:ascii="Arial" w:cs="Arial" w:eastAsia="Arial" w:hAnsi="Arial"/>
          <w:sz w:val="22"/>
          <w:szCs w:val="22"/>
          <w:b w:val="1"/>
          <w:bCs w:val="1"/>
          <w:color w:val="auto"/>
        </w:rPr>
        <w:t xml:space="preserve"> </w:t>
      </w:r>
      <w:r>
        <w:rPr>
          <w:rFonts w:ascii="Arial" w:cs="Arial" w:eastAsia="Arial" w:hAnsi="Arial"/>
          <w:sz w:val="22"/>
          <w:szCs w:val="22"/>
          <w:color w:val="auto"/>
        </w:rPr>
        <w:t>Nothing in the Plan or in this Agreement confers on Grantee any</w:t>
      </w:r>
      <w:r>
        <w:rPr>
          <w:rFonts w:ascii="Arial" w:cs="Arial" w:eastAsia="Arial" w:hAnsi="Arial"/>
          <w:sz w:val="22"/>
          <w:szCs w:val="22"/>
          <w:b w:val="1"/>
          <w:bCs w:val="1"/>
          <w:color w:val="auto"/>
        </w:rPr>
        <w:t xml:space="preserve"> </w:t>
      </w:r>
      <w:r>
        <w:rPr>
          <w:rFonts w:ascii="Arial" w:cs="Arial" w:eastAsia="Arial" w:hAnsi="Arial"/>
          <w:sz w:val="22"/>
          <w:szCs w:val="22"/>
          <w:color w:val="auto"/>
        </w:rPr>
        <w:t>right to continue as a Service Provider, or interferes with or restricts in any way the rights of the Corporation or any Subsidiary or Affiliate, which are hereby expressly reserved, to discharge Grantee at any time for any reason whatsoever, with or without Cause, except to the extent expressly provided otherwise in a written employment agreement between Grantee and the Corporation or any Subsidiary or Affiliate.</w:t>
      </w:r>
    </w:p>
    <w:p>
      <w:pPr>
        <w:spacing w:after="0" w:line="186" w:lineRule="exact"/>
        <w:rPr>
          <w:rFonts w:ascii="Arial" w:cs="Arial" w:eastAsia="Arial" w:hAnsi="Arial"/>
          <w:sz w:val="22"/>
          <w:szCs w:val="22"/>
          <w:b w:val="1"/>
          <w:bCs w:val="1"/>
          <w:color w:val="auto"/>
        </w:rPr>
      </w:pPr>
    </w:p>
    <w:p>
      <w:pPr>
        <w:jc w:val="both"/>
        <w:ind w:firstLine="1305"/>
        <w:spacing w:after="0" w:line="252" w:lineRule="auto"/>
        <w:tabs>
          <w:tab w:leader="none" w:pos="1742" w:val="left"/>
        </w:tabs>
        <w:numPr>
          <w:ilvl w:val="0"/>
          <w:numId w:val="19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Effect on Other Benefits</w:t>
      </w:r>
      <w:r>
        <w:rPr>
          <w:rFonts w:ascii="Arial" w:cs="Arial" w:eastAsia="Arial" w:hAnsi="Arial"/>
          <w:sz w:val="22"/>
          <w:szCs w:val="22"/>
          <w:u w:val="single" w:color="auto"/>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In no event will the value, at any time, of the Restricted Stock Units or any other</w:t>
      </w:r>
      <w:r>
        <w:rPr>
          <w:rFonts w:ascii="Arial" w:cs="Arial" w:eastAsia="Arial" w:hAnsi="Arial"/>
          <w:sz w:val="22"/>
          <w:szCs w:val="22"/>
          <w:b w:val="1"/>
          <w:bCs w:val="1"/>
          <w:color w:val="auto"/>
        </w:rPr>
        <w:t xml:space="preserve"> </w:t>
      </w:r>
      <w:r>
        <w:rPr>
          <w:rFonts w:ascii="Arial" w:cs="Arial" w:eastAsia="Arial" w:hAnsi="Arial"/>
          <w:sz w:val="22"/>
          <w:szCs w:val="22"/>
          <w:color w:val="auto"/>
        </w:rPr>
        <w:t>payment or right to payment under this Agreement be included as compensation or earnings for purposes of any other compensation, retirement, or benefit plan offered to employees of, or other Service Providers to, the Corporation or any Subsidiary or Affiliate unless otherwise specifically provided for in such plan.</w:t>
      </w:r>
    </w:p>
    <w:p>
      <w:pPr>
        <w:spacing w:after="0" w:line="180" w:lineRule="exact"/>
        <w:rPr>
          <w:rFonts w:ascii="Arial" w:cs="Arial" w:eastAsia="Arial" w:hAnsi="Arial"/>
          <w:sz w:val="22"/>
          <w:szCs w:val="22"/>
          <w:b w:val="1"/>
          <w:bCs w:val="1"/>
          <w:color w:val="auto"/>
        </w:rPr>
      </w:pPr>
    </w:p>
    <w:p>
      <w:pPr>
        <w:jc w:val="both"/>
        <w:ind w:firstLine="1305"/>
        <w:spacing w:after="0" w:line="252" w:lineRule="auto"/>
        <w:tabs>
          <w:tab w:leader="none" w:pos="1756" w:val="left"/>
        </w:tabs>
        <w:numPr>
          <w:ilvl w:val="0"/>
          <w:numId w:val="19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Severability</w:t>
      </w:r>
      <w:r>
        <w:rPr>
          <w:rFonts w:ascii="Arial" w:cs="Arial" w:eastAsia="Arial" w:hAnsi="Arial"/>
          <w:sz w:val="22"/>
          <w:szCs w:val="22"/>
          <w:color w:val="auto"/>
        </w:rPr>
        <w:t>. If any provision of this Agreement or the application of any provision hereof to any person or</w:t>
      </w:r>
      <w:r>
        <w:rPr>
          <w:rFonts w:ascii="Arial" w:cs="Arial" w:eastAsia="Arial" w:hAnsi="Arial"/>
          <w:sz w:val="22"/>
          <w:szCs w:val="22"/>
          <w:b w:val="1"/>
          <w:bCs w:val="1"/>
          <w:color w:val="auto"/>
        </w:rPr>
        <w:t xml:space="preserve"> </w:t>
      </w:r>
      <w:r>
        <w:rPr>
          <w:rFonts w:ascii="Arial" w:cs="Arial" w:eastAsia="Arial" w:hAnsi="Arial"/>
          <w:sz w:val="22"/>
          <w:szCs w:val="22"/>
          <w:color w:val="auto"/>
        </w:rPr>
        <w:t>circumstances is held invalid or unenforceable, the remainder of this Agreement and the application of such provision to any other person or circumstances shall not be affected, and the provisions so held to be invalid or unenforceable shall be reformed to the extent (and only to the extent) necessary to make it enforceable and valid.</w:t>
      </w:r>
    </w:p>
    <w:p>
      <w:pPr>
        <w:spacing w:after="0" w:line="180" w:lineRule="exact"/>
        <w:rPr>
          <w:rFonts w:ascii="Arial" w:cs="Arial" w:eastAsia="Arial" w:hAnsi="Arial"/>
          <w:sz w:val="22"/>
          <w:szCs w:val="22"/>
          <w:b w:val="1"/>
          <w:bCs w:val="1"/>
          <w:color w:val="auto"/>
        </w:rPr>
      </w:pPr>
    </w:p>
    <w:p>
      <w:pPr>
        <w:jc w:val="both"/>
        <w:ind w:firstLine="1305"/>
        <w:spacing w:after="0" w:line="252" w:lineRule="auto"/>
        <w:tabs>
          <w:tab w:leader="none" w:pos="1877" w:val="left"/>
        </w:tabs>
        <w:numPr>
          <w:ilvl w:val="0"/>
          <w:numId w:val="19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Electronic Delivery</w:t>
      </w:r>
      <w:r>
        <w:rPr>
          <w:rFonts w:ascii="Arial" w:cs="Arial" w:eastAsia="Arial" w:hAnsi="Arial"/>
          <w:sz w:val="22"/>
          <w:szCs w:val="22"/>
          <w:color w:val="auto"/>
        </w:rPr>
        <w:t>. The Corporation may, in its sole discretion, deliver any documents related to the</w:t>
      </w:r>
      <w:r>
        <w:rPr>
          <w:rFonts w:ascii="Arial" w:cs="Arial" w:eastAsia="Arial" w:hAnsi="Arial"/>
          <w:sz w:val="22"/>
          <w:szCs w:val="22"/>
          <w:b w:val="1"/>
          <w:bCs w:val="1"/>
          <w:color w:val="auto"/>
        </w:rPr>
        <w:t xml:space="preserve"> </w:t>
      </w:r>
      <w:r>
        <w:rPr>
          <w:rFonts w:ascii="Arial" w:cs="Arial" w:eastAsia="Arial" w:hAnsi="Arial"/>
          <w:sz w:val="22"/>
          <w:szCs w:val="22"/>
          <w:color w:val="auto"/>
        </w:rPr>
        <w:t>Restricted Stock Units and Grantee’s participation in the Plan, or future awards that may be granted under the Plan, by electronic means or request Grantee’s consent to participate in the Plan by electronic means. Grantee hereby consents to receive such documents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20"/>
          </w:cols>
          <w:pgMar w:left="240" w:top="625" w:right="239" w:bottom="1440" w:gutter="0" w:footer="0" w:header="0"/>
        </w:sectPr>
      </w:pPr>
    </w:p>
    <w:bookmarkStart w:id="167" w:name="page168"/>
    <w:bookmarkEnd w:id="167"/>
    <w:p>
      <w:pPr>
        <w:ind w:right="20"/>
        <w:spacing w:after="0" w:line="263" w:lineRule="auto"/>
        <w:rPr>
          <w:sz w:val="20"/>
          <w:szCs w:val="20"/>
          <w:color w:val="auto"/>
        </w:rPr>
      </w:pPr>
      <w:r>
        <w:rPr>
          <w:rFonts w:ascii="Arial" w:cs="Arial" w:eastAsia="Arial" w:hAnsi="Arial"/>
          <w:sz w:val="22"/>
          <w:szCs w:val="22"/>
          <w:color w:val="auto"/>
        </w:rPr>
        <w:t>by electronic delivery and, if requested, agrees to participate in the Plan through an on-line or electronic system established and maintained by the Corporation or another third party designated by the Corporation.</w:t>
      </w:r>
    </w:p>
    <w:p>
      <w:pPr>
        <w:spacing w:after="0" w:line="169" w:lineRule="exact"/>
        <w:rPr>
          <w:sz w:val="20"/>
          <w:szCs w:val="20"/>
          <w:color w:val="auto"/>
        </w:rPr>
      </w:pPr>
    </w:p>
    <w:p>
      <w:pPr>
        <w:ind w:left="1680" w:hanging="375"/>
        <w:spacing w:after="0"/>
        <w:tabs>
          <w:tab w:leader="none" w:pos="1680" w:val="left"/>
        </w:tabs>
        <w:numPr>
          <w:ilvl w:val="0"/>
          <w:numId w:val="19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Nature of Grant</w:t>
      </w:r>
      <w:r>
        <w:rPr>
          <w:rFonts w:ascii="Arial" w:cs="Arial" w:eastAsia="Arial" w:hAnsi="Arial"/>
          <w:sz w:val="22"/>
          <w:szCs w:val="22"/>
          <w:b w:val="1"/>
          <w:bCs w:val="1"/>
          <w:color w:val="auto"/>
        </w:rPr>
        <w:t xml:space="preserve">. </w:t>
      </w:r>
      <w:r>
        <w:rPr>
          <w:rFonts w:ascii="Arial" w:cs="Arial" w:eastAsia="Arial" w:hAnsi="Arial"/>
          <w:sz w:val="22"/>
          <w:szCs w:val="22"/>
          <w:color w:val="auto"/>
        </w:rPr>
        <w:t>In accepting the Award, Grantee acknowledges that:</w:t>
      </w:r>
    </w:p>
    <w:p>
      <w:pPr>
        <w:spacing w:after="0" w:line="226" w:lineRule="exact"/>
        <w:rPr>
          <w:sz w:val="20"/>
          <w:szCs w:val="20"/>
          <w:color w:val="auto"/>
        </w:rPr>
      </w:pPr>
    </w:p>
    <w:p>
      <w:pPr>
        <w:ind w:left="660" w:firstLine="645"/>
        <w:spacing w:after="0" w:line="343" w:lineRule="auto"/>
        <w:tabs>
          <w:tab w:leader="none" w:pos="1862" w:val="left"/>
        </w:tabs>
        <w:numPr>
          <w:ilvl w:val="0"/>
          <w:numId w:val="198"/>
        </w:numPr>
        <w:rPr>
          <w:rFonts w:ascii="Arial" w:cs="Arial" w:eastAsia="Arial" w:hAnsi="Arial"/>
          <w:sz w:val="19"/>
          <w:szCs w:val="19"/>
          <w:color w:val="auto"/>
        </w:rPr>
      </w:pPr>
      <w:r>
        <w:rPr>
          <w:rFonts w:ascii="Arial" w:cs="Arial" w:eastAsia="Arial" w:hAnsi="Arial"/>
          <w:sz w:val="19"/>
          <w:szCs w:val="19"/>
          <w:color w:val="auto"/>
        </w:rPr>
        <w:t>the Plan is established voluntarily by the Corporation, it is discretionary in nature and it may be modified, amended, suspended or terminated by the Corporation at any time unless otherwise provided in the Plan or this Agreement;</w:t>
      </w:r>
    </w:p>
    <w:p>
      <w:pPr>
        <w:spacing w:after="0" w:line="104" w:lineRule="exact"/>
        <w:rPr>
          <w:rFonts w:ascii="Arial" w:cs="Arial" w:eastAsia="Arial" w:hAnsi="Arial"/>
          <w:sz w:val="19"/>
          <w:szCs w:val="19"/>
          <w:color w:val="auto"/>
        </w:rPr>
      </w:pPr>
    </w:p>
    <w:p>
      <w:pPr>
        <w:jc w:val="both"/>
        <w:ind w:left="660" w:firstLine="645"/>
        <w:spacing w:after="0" w:line="253" w:lineRule="auto"/>
        <w:tabs>
          <w:tab w:leader="none" w:pos="1794" w:val="left"/>
        </w:tabs>
        <w:numPr>
          <w:ilvl w:val="0"/>
          <w:numId w:val="198"/>
        </w:numPr>
        <w:rPr>
          <w:rFonts w:ascii="Arial" w:cs="Arial" w:eastAsia="Arial" w:hAnsi="Arial"/>
          <w:sz w:val="22"/>
          <w:szCs w:val="22"/>
          <w:color w:val="auto"/>
        </w:rPr>
      </w:pPr>
      <w:r>
        <w:rPr>
          <w:rFonts w:ascii="Arial" w:cs="Arial" w:eastAsia="Arial" w:hAnsi="Arial"/>
          <w:sz w:val="22"/>
          <w:szCs w:val="22"/>
          <w:color w:val="auto"/>
        </w:rPr>
        <w:t>the grant of the Restricted Stock Units is voluntary and occasional and does not create any contractual or other right to receive future grants of restricted stock units, or benefits in lieu of restricted stock units, even if restricted stock units have been granted repeatedly in the past;</w:t>
      </w:r>
    </w:p>
    <w:p>
      <w:pPr>
        <w:spacing w:after="0" w:line="185" w:lineRule="exact"/>
        <w:rPr>
          <w:rFonts w:ascii="Arial" w:cs="Arial" w:eastAsia="Arial" w:hAnsi="Arial"/>
          <w:sz w:val="22"/>
          <w:szCs w:val="22"/>
          <w:color w:val="auto"/>
        </w:rPr>
      </w:pPr>
    </w:p>
    <w:p>
      <w:pPr>
        <w:ind w:left="1880" w:hanging="575"/>
        <w:spacing w:after="0"/>
        <w:tabs>
          <w:tab w:leader="none" w:pos="1880" w:val="left"/>
        </w:tabs>
        <w:numPr>
          <w:ilvl w:val="0"/>
          <w:numId w:val="198"/>
        </w:numPr>
        <w:rPr>
          <w:rFonts w:ascii="Arial" w:cs="Arial" w:eastAsia="Arial" w:hAnsi="Arial"/>
          <w:sz w:val="19"/>
          <w:szCs w:val="19"/>
          <w:color w:val="auto"/>
        </w:rPr>
      </w:pPr>
      <w:r>
        <w:rPr>
          <w:rFonts w:ascii="Arial" w:cs="Arial" w:eastAsia="Arial" w:hAnsi="Arial"/>
          <w:sz w:val="19"/>
          <w:szCs w:val="19"/>
          <w:color w:val="auto"/>
        </w:rPr>
        <w:t>all decisions with respect to future restricted stock unit grants, if any, will be at the sole discretion of the</w:t>
      </w:r>
    </w:p>
    <w:p>
      <w:pPr>
        <w:spacing w:after="0" w:line="56"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Corporation;</w:t>
      </w:r>
    </w:p>
    <w:p>
      <w:pPr>
        <w:spacing w:after="0" w:line="201" w:lineRule="exact"/>
        <w:rPr>
          <w:rFonts w:ascii="Arial" w:cs="Arial" w:eastAsia="Arial" w:hAnsi="Arial"/>
          <w:sz w:val="19"/>
          <w:szCs w:val="19"/>
          <w:color w:val="auto"/>
        </w:rPr>
      </w:pPr>
    </w:p>
    <w:p>
      <w:pPr>
        <w:ind w:left="1780" w:hanging="475"/>
        <w:spacing w:after="0"/>
        <w:tabs>
          <w:tab w:leader="none" w:pos="1780" w:val="left"/>
        </w:tabs>
        <w:numPr>
          <w:ilvl w:val="0"/>
          <w:numId w:val="198"/>
        </w:numPr>
        <w:rPr>
          <w:rFonts w:ascii="Arial" w:cs="Arial" w:eastAsia="Arial" w:hAnsi="Arial"/>
          <w:sz w:val="22"/>
          <w:szCs w:val="22"/>
          <w:color w:val="auto"/>
        </w:rPr>
      </w:pPr>
      <w:r>
        <w:rPr>
          <w:rFonts w:ascii="Arial" w:cs="Arial" w:eastAsia="Arial" w:hAnsi="Arial"/>
          <w:sz w:val="22"/>
          <w:szCs w:val="22"/>
          <w:color w:val="auto"/>
        </w:rPr>
        <w:t>Grantee is voluntarily participating in the Plan;</w:t>
      </w:r>
    </w:p>
    <w:p>
      <w:pPr>
        <w:spacing w:after="0" w:line="219" w:lineRule="exact"/>
        <w:rPr>
          <w:rFonts w:ascii="Arial" w:cs="Arial" w:eastAsia="Arial" w:hAnsi="Arial"/>
          <w:sz w:val="22"/>
          <w:szCs w:val="22"/>
          <w:color w:val="auto"/>
        </w:rPr>
      </w:pPr>
    </w:p>
    <w:p>
      <w:pPr>
        <w:jc w:val="both"/>
        <w:ind w:left="660" w:right="20" w:firstLine="645"/>
        <w:spacing w:after="0" w:line="253" w:lineRule="auto"/>
        <w:tabs>
          <w:tab w:leader="none" w:pos="1824" w:val="left"/>
        </w:tabs>
        <w:numPr>
          <w:ilvl w:val="0"/>
          <w:numId w:val="198"/>
        </w:numPr>
        <w:rPr>
          <w:rFonts w:ascii="Arial" w:cs="Arial" w:eastAsia="Arial" w:hAnsi="Arial"/>
          <w:sz w:val="22"/>
          <w:szCs w:val="22"/>
          <w:color w:val="auto"/>
        </w:rPr>
      </w:pPr>
      <w:r>
        <w:rPr>
          <w:rFonts w:ascii="Arial" w:cs="Arial" w:eastAsia="Arial" w:hAnsi="Arial"/>
          <w:sz w:val="22"/>
          <w:szCs w:val="22"/>
          <w:color w:val="auto"/>
        </w:rPr>
        <w:t>the Restricted Stock Units and the Common Stock subject to the Restricted Stock Units are an extraordinary item that does not constitute compensation of any kind for services of any kind rendered to the Corporation or Grantee’s employer, and which is outside the scope of Grantee’s employment contract, if any;</w:t>
      </w:r>
    </w:p>
    <w:p>
      <w:pPr>
        <w:spacing w:after="0" w:line="185" w:lineRule="exact"/>
        <w:rPr>
          <w:rFonts w:ascii="Arial" w:cs="Arial" w:eastAsia="Arial" w:hAnsi="Arial"/>
          <w:sz w:val="22"/>
          <w:szCs w:val="22"/>
          <w:color w:val="auto"/>
        </w:rPr>
      </w:pPr>
    </w:p>
    <w:p>
      <w:pPr>
        <w:ind w:left="660" w:firstLine="645"/>
        <w:spacing w:after="0" w:line="263" w:lineRule="auto"/>
        <w:tabs>
          <w:tab w:leader="none" w:pos="1828" w:val="left"/>
        </w:tabs>
        <w:numPr>
          <w:ilvl w:val="0"/>
          <w:numId w:val="198"/>
        </w:numPr>
        <w:rPr>
          <w:rFonts w:ascii="Arial" w:cs="Arial" w:eastAsia="Arial" w:hAnsi="Arial"/>
          <w:sz w:val="22"/>
          <w:szCs w:val="22"/>
          <w:color w:val="auto"/>
        </w:rPr>
      </w:pPr>
      <w:r>
        <w:rPr>
          <w:rFonts w:ascii="Arial" w:cs="Arial" w:eastAsia="Arial" w:hAnsi="Arial"/>
          <w:sz w:val="22"/>
          <w:szCs w:val="22"/>
          <w:color w:val="auto"/>
        </w:rPr>
        <w:t>the Restricted Stock Units and the Common Stock subject to the Restricted Stock Units are not intended to replace any pension rights or compensation;</w:t>
      </w:r>
    </w:p>
    <w:p>
      <w:pPr>
        <w:spacing w:after="0" w:line="174" w:lineRule="exact"/>
        <w:rPr>
          <w:rFonts w:ascii="Arial" w:cs="Arial" w:eastAsia="Arial" w:hAnsi="Arial"/>
          <w:sz w:val="22"/>
          <w:szCs w:val="22"/>
          <w:color w:val="auto"/>
        </w:rPr>
      </w:pPr>
    </w:p>
    <w:p>
      <w:pPr>
        <w:ind w:left="1780" w:hanging="475"/>
        <w:spacing w:after="0"/>
        <w:tabs>
          <w:tab w:leader="none" w:pos="1780" w:val="left"/>
        </w:tabs>
        <w:numPr>
          <w:ilvl w:val="0"/>
          <w:numId w:val="198"/>
        </w:numPr>
        <w:rPr>
          <w:rFonts w:ascii="Arial" w:cs="Arial" w:eastAsia="Arial" w:hAnsi="Arial"/>
          <w:sz w:val="21"/>
          <w:szCs w:val="21"/>
          <w:color w:val="auto"/>
        </w:rPr>
      </w:pPr>
      <w:r>
        <w:rPr>
          <w:rFonts w:ascii="Arial" w:cs="Arial" w:eastAsia="Arial" w:hAnsi="Arial"/>
          <w:sz w:val="21"/>
          <w:szCs w:val="21"/>
          <w:color w:val="auto"/>
        </w:rPr>
        <w:t>the future value of the underlying Common Stock is unknown and cannot be predicted with certainty;</w:t>
      </w:r>
    </w:p>
    <w:p>
      <w:pPr>
        <w:spacing w:after="0" w:line="231" w:lineRule="exact"/>
        <w:rPr>
          <w:rFonts w:ascii="Arial" w:cs="Arial" w:eastAsia="Arial" w:hAnsi="Arial"/>
          <w:sz w:val="21"/>
          <w:szCs w:val="21"/>
          <w:color w:val="auto"/>
        </w:rPr>
      </w:pPr>
    </w:p>
    <w:p>
      <w:pPr>
        <w:jc w:val="both"/>
        <w:ind w:left="660" w:firstLine="645"/>
        <w:spacing w:after="0" w:line="312" w:lineRule="auto"/>
        <w:tabs>
          <w:tab w:leader="none" w:pos="1862" w:val="left"/>
        </w:tabs>
        <w:numPr>
          <w:ilvl w:val="0"/>
          <w:numId w:val="198"/>
        </w:numPr>
        <w:rPr>
          <w:rFonts w:ascii="Arial" w:cs="Arial" w:eastAsia="Arial" w:hAnsi="Arial"/>
          <w:sz w:val="19"/>
          <w:szCs w:val="19"/>
          <w:color w:val="auto"/>
        </w:rPr>
      </w:pPr>
      <w:r>
        <w:rPr>
          <w:rFonts w:ascii="Arial" w:cs="Arial" w:eastAsia="Arial" w:hAnsi="Arial"/>
          <w:sz w:val="19"/>
          <w:szCs w:val="19"/>
          <w:color w:val="auto"/>
        </w:rPr>
        <w:t>Awards and resulting benefits are not part of normal or expected compensation or salary for any purposes, including, but not limited to, calculating any severance, resignation, termination, redundancy, end of service payments, bonuses, long-service awards, pension or retirement benefits or similar payments insofar as permitted by law;</w:t>
      </w:r>
    </w:p>
    <w:p>
      <w:pPr>
        <w:spacing w:after="0" w:line="134" w:lineRule="exact"/>
        <w:rPr>
          <w:sz w:val="20"/>
          <w:szCs w:val="20"/>
          <w:color w:val="auto"/>
        </w:rPr>
      </w:pPr>
    </w:p>
    <w:p>
      <w:pPr>
        <w:jc w:val="both"/>
        <w:ind w:left="660" w:firstLine="645"/>
        <w:spacing w:after="0" w:line="261" w:lineRule="auto"/>
        <w:tabs>
          <w:tab w:leader="none" w:pos="1741" w:val="left"/>
        </w:tabs>
        <w:numPr>
          <w:ilvl w:val="0"/>
          <w:numId w:val="199"/>
        </w:numPr>
        <w:rPr>
          <w:rFonts w:ascii="Arial" w:cs="Arial" w:eastAsia="Arial" w:hAnsi="Arial"/>
          <w:sz w:val="21"/>
          <w:szCs w:val="21"/>
          <w:color w:val="auto"/>
        </w:rPr>
      </w:pPr>
      <w:r>
        <w:rPr>
          <w:rFonts w:ascii="Arial" w:cs="Arial" w:eastAsia="Arial" w:hAnsi="Arial"/>
          <w:sz w:val="21"/>
          <w:szCs w:val="21"/>
          <w:color w:val="auto"/>
        </w:rPr>
        <w:t>in consideration of the grant of the Restricted Stock Units, no claim or entitlement to compensation or damages shall arise from forfeiture of the Restricted Stock Units resulting from termination of Grantee’s employment with the Corporation or Grantee’s employer (for any reason whatsoever and whether or not in breach of local labor laws) and Grantee irrevocably releases the Corporation and Grantee’s employer from any such claim that may arise; if, notwithstanding the foregoing, any such claim is found by a court of competent jurisdiction to have arisen, Grantee shall be deemed irrevocably to have waive any entitlement to pursue such claim; and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20"/>
          </w:cols>
          <w:pgMar w:left="240" w:top="632" w:right="239" w:bottom="1440" w:gutter="0" w:footer="0" w:header="0"/>
        </w:sectPr>
      </w:pPr>
    </w:p>
    <w:bookmarkStart w:id="168" w:name="page169"/>
    <w:bookmarkEnd w:id="168"/>
    <w:p>
      <w:pPr>
        <w:jc w:val="both"/>
        <w:ind w:left="640" w:firstLine="645"/>
        <w:spacing w:after="0" w:line="297" w:lineRule="auto"/>
        <w:tabs>
          <w:tab w:leader="none" w:pos="1801" w:val="left"/>
        </w:tabs>
        <w:numPr>
          <w:ilvl w:val="0"/>
          <w:numId w:val="200"/>
        </w:numPr>
        <w:rPr>
          <w:rFonts w:ascii="Arial" w:cs="Arial" w:eastAsia="Arial" w:hAnsi="Arial"/>
          <w:sz w:val="19"/>
          <w:szCs w:val="19"/>
          <w:color w:val="auto"/>
        </w:rPr>
      </w:pPr>
      <w:r>
        <w:rPr>
          <w:rFonts w:ascii="Arial" w:cs="Arial" w:eastAsia="Arial" w:hAnsi="Arial"/>
          <w:sz w:val="19"/>
          <w:szCs w:val="19"/>
          <w:color w:val="auto"/>
        </w:rPr>
        <w:t>in the event Grantee ceases to be a Service Provider (whether or not in breach of local labor laws), Grantee’s right to vest in the Restricted Stock Units under the Plan, if any, will terminate effective as of the date that Grantee is no longer a Service Provider and will not be extended by any notice period mandated under local law (e.g., active service would not include a period of “garden leave” or similar period pursuant to local law); the Administrator shall have the exclusive discretion to determine when Grantee is no longer a Service Provider for purposes of the Restricted Stock Units.</w:t>
      </w:r>
    </w:p>
    <w:p>
      <w:pPr>
        <w:spacing w:after="0" w:line="141" w:lineRule="exact"/>
        <w:rPr>
          <w:sz w:val="20"/>
          <w:szCs w:val="20"/>
          <w:color w:val="auto"/>
        </w:rPr>
      </w:pPr>
    </w:p>
    <w:p>
      <w:pPr>
        <w:jc w:val="both"/>
        <w:ind w:left="-20" w:firstLine="1305"/>
        <w:spacing w:after="0" w:line="295" w:lineRule="auto"/>
        <w:tabs>
          <w:tab w:leader="none" w:pos="1857" w:val="left"/>
        </w:tabs>
        <w:numPr>
          <w:ilvl w:val="0"/>
          <w:numId w:val="201"/>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Non-U.S. Addendum</w:t>
      </w:r>
      <w:r>
        <w:rPr>
          <w:rFonts w:ascii="Arial" w:cs="Arial" w:eastAsia="Arial" w:hAnsi="Arial"/>
          <w:sz w:val="19"/>
          <w:szCs w:val="19"/>
          <w:b w:val="1"/>
          <w:bCs w:val="1"/>
          <w:color w:val="auto"/>
        </w:rPr>
        <w:t xml:space="preserve">. </w:t>
      </w:r>
      <w:r>
        <w:rPr>
          <w:rFonts w:ascii="Arial" w:cs="Arial" w:eastAsia="Arial" w:hAnsi="Arial"/>
          <w:sz w:val="19"/>
          <w:szCs w:val="19"/>
          <w:color w:val="auto"/>
        </w:rPr>
        <w:t>Notwithstanding any provisions in this Agreement, the Restricted Stock Units shall</w:t>
      </w:r>
      <w:r>
        <w:rPr>
          <w:rFonts w:ascii="Arial" w:cs="Arial" w:eastAsia="Arial" w:hAnsi="Arial"/>
          <w:sz w:val="19"/>
          <w:szCs w:val="19"/>
          <w:b w:val="1"/>
          <w:bCs w:val="1"/>
          <w:color w:val="auto"/>
        </w:rPr>
        <w:t xml:space="preserve"> </w:t>
      </w:r>
      <w:r>
        <w:rPr>
          <w:rFonts w:ascii="Arial" w:cs="Arial" w:eastAsia="Arial" w:hAnsi="Arial"/>
          <w:sz w:val="19"/>
          <w:szCs w:val="19"/>
          <w:color w:val="auto"/>
        </w:rPr>
        <w:t>also be subject to the special terms and conditions set forth in the Non-U.S. Addendum attached as Appendix B to this Agreement for Grantee’s country. Moreover, if Grantee relocates to one of the countries included in the Non-U.S. Addendum, the special terms and conditions for such country will apply to Grantee to the extent the Corporation determines that the application of such terms and conditions are necessary or advisable in order to comply with local law or facilitate the administration of the Plan. The Non-U.S. Addendum attached hereto as Appendix B constitutes part of this Agreement.</w:t>
      </w:r>
    </w:p>
    <w:p>
      <w:pPr>
        <w:spacing w:after="0" w:line="144" w:lineRule="exact"/>
        <w:rPr>
          <w:rFonts w:ascii="Arial" w:cs="Arial" w:eastAsia="Arial" w:hAnsi="Arial"/>
          <w:sz w:val="19"/>
          <w:szCs w:val="19"/>
          <w:b w:val="1"/>
          <w:bCs w:val="1"/>
          <w:color w:val="auto"/>
        </w:rPr>
      </w:pPr>
    </w:p>
    <w:p>
      <w:pPr>
        <w:ind w:left="-20" w:right="20" w:firstLine="1305"/>
        <w:spacing w:after="0" w:line="269" w:lineRule="auto"/>
        <w:tabs>
          <w:tab w:leader="none" w:pos="1818" w:val="left"/>
        </w:tabs>
        <w:numPr>
          <w:ilvl w:val="0"/>
          <w:numId w:val="20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Governing Law</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is governed by and construed in accordance with the laws of the State of</w:t>
      </w:r>
      <w:r>
        <w:rPr>
          <w:rFonts w:ascii="Arial" w:cs="Arial" w:eastAsia="Arial" w:hAnsi="Arial"/>
          <w:sz w:val="22"/>
          <w:szCs w:val="22"/>
          <w:b w:val="1"/>
          <w:bCs w:val="1"/>
          <w:color w:val="auto"/>
        </w:rPr>
        <w:t xml:space="preserve"> </w:t>
      </w:r>
      <w:r>
        <w:rPr>
          <w:rFonts w:ascii="Arial" w:cs="Arial" w:eastAsia="Arial" w:hAnsi="Arial"/>
          <w:sz w:val="22"/>
          <w:szCs w:val="22"/>
          <w:color w:val="auto"/>
        </w:rPr>
        <w:t>Michigan, notwithstanding conflict of law provisions.</w:t>
      </w:r>
    </w:p>
    <w:p>
      <w:pPr>
        <w:spacing w:after="0" w:line="162" w:lineRule="exact"/>
        <w:rPr>
          <w:rFonts w:ascii="Arial" w:cs="Arial" w:eastAsia="Arial" w:hAnsi="Arial"/>
          <w:sz w:val="22"/>
          <w:szCs w:val="22"/>
          <w:b w:val="1"/>
          <w:bCs w:val="1"/>
          <w:color w:val="auto"/>
        </w:rPr>
      </w:pPr>
    </w:p>
    <w:p>
      <w:pPr>
        <w:ind w:left="-20" w:right="1000" w:firstLine="1305"/>
        <w:spacing w:after="0" w:line="269" w:lineRule="auto"/>
        <w:tabs>
          <w:tab w:leader="none" w:pos="1763" w:val="left"/>
        </w:tabs>
        <w:numPr>
          <w:ilvl w:val="0"/>
          <w:numId w:val="20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Clawback Policy</w:t>
      </w:r>
      <w:r>
        <w:rPr>
          <w:rFonts w:ascii="Arial" w:cs="Arial" w:eastAsia="Arial" w:hAnsi="Arial"/>
          <w:sz w:val="22"/>
          <w:szCs w:val="22"/>
          <w:b w:val="1"/>
          <w:bCs w:val="1"/>
          <w:color w:val="auto"/>
        </w:rPr>
        <w:t xml:space="preserve">. </w:t>
      </w:r>
      <w:r>
        <w:rPr>
          <w:rFonts w:ascii="Arial" w:cs="Arial" w:eastAsia="Arial" w:hAnsi="Arial"/>
          <w:sz w:val="22"/>
          <w:szCs w:val="22"/>
          <w:color w:val="auto"/>
        </w:rPr>
        <w:t>Any Restricted Stock Units that have vested shall be subject to the Corporation’s</w:t>
      </w:r>
      <w:r>
        <w:rPr>
          <w:rFonts w:ascii="Arial" w:cs="Arial" w:eastAsia="Arial" w:hAnsi="Arial"/>
          <w:sz w:val="22"/>
          <w:szCs w:val="22"/>
          <w:b w:val="1"/>
          <w:bCs w:val="1"/>
          <w:color w:val="auto"/>
        </w:rPr>
        <w:t xml:space="preserve"> </w:t>
      </w:r>
      <w:r>
        <w:rPr>
          <w:rFonts w:ascii="Arial" w:cs="Arial" w:eastAsia="Arial" w:hAnsi="Arial"/>
          <w:sz w:val="22"/>
          <w:szCs w:val="22"/>
          <w:color w:val="auto"/>
        </w:rPr>
        <w:t>recoupment policy, as in effect from time to time.</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00"/>
          </w:cols>
          <w:pgMar w:left="260" w:top="631" w:right="239" w:bottom="1440" w:gutter="0" w:footer="0" w:header="0"/>
        </w:sectPr>
      </w:pPr>
    </w:p>
    <w:bookmarkStart w:id="169" w:name="page170"/>
    <w:bookmarkEnd w:id="169"/>
    <w:p>
      <w:pPr>
        <w:ind w:firstLine="648"/>
        <w:spacing w:after="0" w:line="263" w:lineRule="auto"/>
        <w:rPr>
          <w:sz w:val="20"/>
          <w:szCs w:val="20"/>
          <w:color w:val="auto"/>
        </w:rPr>
      </w:pPr>
      <w:r>
        <w:rPr>
          <w:rFonts w:ascii="Arial" w:cs="Arial" w:eastAsia="Arial" w:hAnsi="Arial"/>
          <w:sz w:val="22"/>
          <w:szCs w:val="22"/>
          <w:color w:val="auto"/>
        </w:rPr>
        <w:t>This Agreement may be executed in two or more counterparts, each of which is deemed an original and all of which constitute one document.</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281"/>
        </w:trPr>
        <w:tc>
          <w:tcPr>
            <w:tcW w:w="2820" w:type="dxa"/>
            <w:vAlign w:val="bottom"/>
          </w:tcPr>
          <w:p>
            <w:pPr>
              <w:spacing w:after="0"/>
              <w:rPr>
                <w:sz w:val="24"/>
                <w:szCs w:val="24"/>
                <w:color w:val="auto"/>
              </w:rPr>
            </w:pPr>
          </w:p>
        </w:tc>
        <w:tc>
          <w:tcPr>
            <w:tcW w:w="8240" w:type="dxa"/>
            <w:vAlign w:val="bottom"/>
            <w:gridSpan w:val="3"/>
          </w:tcPr>
          <w:p>
            <w:pPr>
              <w:ind w:left="880"/>
              <w:spacing w:after="0"/>
              <w:rPr>
                <w:sz w:val="20"/>
                <w:szCs w:val="20"/>
                <w:color w:val="auto"/>
              </w:rPr>
            </w:pPr>
            <w:r>
              <w:rPr>
                <w:rFonts w:ascii="Arial" w:cs="Arial" w:eastAsia="Arial" w:hAnsi="Arial"/>
                <w:sz w:val="22"/>
                <w:szCs w:val="22"/>
                <w:b w:val="1"/>
                <w:bCs w:val="1"/>
                <w:color w:val="auto"/>
              </w:rPr>
              <w:t>TRIMAS CORPORATION</w:t>
            </w:r>
          </w:p>
        </w:tc>
      </w:tr>
      <w:tr>
        <w:trPr>
          <w:trHeight w:val="571"/>
        </w:trPr>
        <w:tc>
          <w:tcPr>
            <w:tcW w:w="2820" w:type="dxa"/>
            <w:vAlign w:val="bottom"/>
          </w:tcPr>
          <w:p>
            <w:pPr>
              <w:spacing w:after="0"/>
              <w:rPr>
                <w:sz w:val="20"/>
                <w:szCs w:val="20"/>
                <w:color w:val="auto"/>
              </w:rPr>
            </w:pPr>
            <w:r>
              <w:rPr>
                <w:rFonts w:ascii="Arial" w:cs="Arial" w:eastAsia="Arial" w:hAnsi="Arial"/>
                <w:sz w:val="22"/>
                <w:szCs w:val="22"/>
                <w:color w:val="auto"/>
              </w:rPr>
              <w:t xml:space="preserve">Dated: </w:t>
            </w:r>
            <w:r>
              <w:rPr>
                <w:rFonts w:ascii="Arial" w:cs="Arial" w:eastAsia="Arial" w:hAnsi="Arial"/>
                <w:sz w:val="22"/>
                <w:szCs w:val="22"/>
                <w:b w:val="1"/>
                <w:bCs w:val="1"/>
                <w:color w:val="auto"/>
              </w:rPr>
              <w:t>March 1, 2016</w:t>
            </w:r>
          </w:p>
        </w:tc>
        <w:tc>
          <w:tcPr>
            <w:tcW w:w="8240" w:type="dxa"/>
            <w:vAlign w:val="bottom"/>
            <w:gridSpan w:val="3"/>
          </w:tcPr>
          <w:p>
            <w:pPr>
              <w:ind w:left="2200"/>
              <w:spacing w:after="0"/>
              <w:rPr>
                <w:sz w:val="20"/>
                <w:szCs w:val="20"/>
                <w:color w:val="auto"/>
              </w:rPr>
            </w:pPr>
            <w:r>
              <w:rPr>
                <w:rFonts w:ascii="Arial" w:cs="Arial" w:eastAsia="Arial" w:hAnsi="Arial"/>
                <w:sz w:val="22"/>
                <w:szCs w:val="22"/>
                <w:color w:val="auto"/>
              </w:rPr>
              <w:t>By: /s/ Joshua A. Sherbin</w:t>
            </w:r>
          </w:p>
        </w:tc>
      </w:tr>
      <w:tr>
        <w:trPr>
          <w:trHeight w:val="20"/>
        </w:trPr>
        <w:tc>
          <w:tcPr>
            <w:tcW w:w="28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r>
      <w:tr>
        <w:trPr>
          <w:trHeight w:val="242"/>
        </w:trPr>
        <w:tc>
          <w:tcPr>
            <w:tcW w:w="2820" w:type="dxa"/>
            <w:vAlign w:val="bottom"/>
          </w:tcPr>
          <w:p>
            <w:pPr>
              <w:spacing w:after="0"/>
              <w:rPr>
                <w:sz w:val="21"/>
                <w:szCs w:val="21"/>
                <w:color w:val="auto"/>
              </w:rPr>
            </w:pPr>
          </w:p>
        </w:tc>
        <w:tc>
          <w:tcPr>
            <w:tcW w:w="8240" w:type="dxa"/>
            <w:vAlign w:val="bottom"/>
            <w:gridSpan w:val="3"/>
          </w:tcPr>
          <w:p>
            <w:pPr>
              <w:ind w:left="2200"/>
              <w:spacing w:after="0" w:line="242" w:lineRule="exact"/>
              <w:rPr>
                <w:sz w:val="20"/>
                <w:szCs w:val="20"/>
                <w:color w:val="auto"/>
              </w:rPr>
            </w:pPr>
            <w:r>
              <w:rPr>
                <w:rFonts w:ascii="Arial" w:cs="Arial" w:eastAsia="Arial" w:hAnsi="Arial"/>
                <w:sz w:val="22"/>
                <w:szCs w:val="22"/>
                <w:color w:val="auto"/>
              </w:rPr>
              <w:t>Name: Joshua A. Sherbin</w:t>
            </w:r>
          </w:p>
        </w:tc>
      </w:tr>
      <w:tr>
        <w:trPr>
          <w:trHeight w:val="243"/>
        </w:trPr>
        <w:tc>
          <w:tcPr>
            <w:tcW w:w="2820" w:type="dxa"/>
            <w:vAlign w:val="bottom"/>
          </w:tcPr>
          <w:p>
            <w:pPr>
              <w:spacing w:after="0"/>
              <w:rPr>
                <w:sz w:val="21"/>
                <w:szCs w:val="21"/>
                <w:color w:val="auto"/>
              </w:rPr>
            </w:pPr>
          </w:p>
        </w:tc>
        <w:tc>
          <w:tcPr>
            <w:tcW w:w="8240" w:type="dxa"/>
            <w:vAlign w:val="bottom"/>
            <w:gridSpan w:val="3"/>
          </w:tcPr>
          <w:p>
            <w:pPr>
              <w:ind w:left="2200"/>
              <w:spacing w:after="0" w:line="243" w:lineRule="exact"/>
              <w:rPr>
                <w:sz w:val="20"/>
                <w:szCs w:val="20"/>
                <w:color w:val="auto"/>
              </w:rPr>
            </w:pPr>
            <w:r>
              <w:rPr>
                <w:rFonts w:ascii="Arial" w:cs="Arial" w:eastAsia="Arial" w:hAnsi="Arial"/>
                <w:sz w:val="22"/>
                <w:szCs w:val="22"/>
                <w:color w:val="auto"/>
                <w:w w:val="89"/>
              </w:rPr>
              <w:t>Title: Vice President, General Counsel, Chief Compliance Officer and</w:t>
            </w:r>
          </w:p>
        </w:tc>
      </w:tr>
      <w:tr>
        <w:trPr>
          <w:trHeight w:val="275"/>
        </w:trPr>
        <w:tc>
          <w:tcPr>
            <w:tcW w:w="2820" w:type="dxa"/>
            <w:vAlign w:val="bottom"/>
          </w:tcPr>
          <w:p>
            <w:pPr>
              <w:spacing w:after="0"/>
              <w:rPr>
                <w:sz w:val="23"/>
                <w:szCs w:val="23"/>
                <w:color w:val="auto"/>
              </w:rPr>
            </w:pPr>
          </w:p>
        </w:tc>
        <w:tc>
          <w:tcPr>
            <w:tcW w:w="8240" w:type="dxa"/>
            <w:vAlign w:val="bottom"/>
            <w:gridSpan w:val="3"/>
          </w:tcPr>
          <w:p>
            <w:pPr>
              <w:ind w:left="2200"/>
              <w:spacing w:after="0"/>
              <w:rPr>
                <w:sz w:val="20"/>
                <w:szCs w:val="20"/>
                <w:color w:val="auto"/>
              </w:rPr>
            </w:pPr>
            <w:r>
              <w:rPr>
                <w:rFonts w:ascii="Arial" w:cs="Arial" w:eastAsia="Arial" w:hAnsi="Arial"/>
                <w:sz w:val="22"/>
                <w:szCs w:val="22"/>
                <w:color w:val="auto"/>
              </w:rPr>
              <w:t>Corporate Secretary</w:t>
            </w:r>
          </w:p>
        </w:tc>
      </w:tr>
    </w:tbl>
    <w:p>
      <w:pPr>
        <w:spacing w:after="0" w:line="200" w:lineRule="exact"/>
        <w:rPr>
          <w:sz w:val="20"/>
          <w:szCs w:val="20"/>
          <w:color w:val="auto"/>
        </w:rPr>
      </w:pPr>
    </w:p>
    <w:p>
      <w:pPr>
        <w:spacing w:after="0" w:line="316" w:lineRule="exact"/>
        <w:rPr>
          <w:sz w:val="20"/>
          <w:szCs w:val="20"/>
          <w:color w:val="auto"/>
        </w:rPr>
      </w:pPr>
    </w:p>
    <w:p>
      <w:pPr>
        <w:jc w:val="both"/>
        <w:ind w:left="660"/>
        <w:spacing w:after="0" w:line="247" w:lineRule="auto"/>
        <w:rPr>
          <w:sz w:val="20"/>
          <w:szCs w:val="20"/>
          <w:color w:val="auto"/>
        </w:rPr>
      </w:pPr>
      <w:r>
        <w:rPr>
          <w:rFonts w:ascii="Arial" w:cs="Arial" w:eastAsia="Arial" w:hAnsi="Arial"/>
          <w:sz w:val="22"/>
          <w:szCs w:val="22"/>
          <w:b w:val="1"/>
          <w:bCs w:val="1"/>
          <w:color w:val="auto"/>
        </w:rPr>
        <w:t>GRANTEE ACKNOWLEDGES AND AGREES THAT NOTHING IN THIS RESTRICTED STOCK UNITS AGREEMENT, NOR IN THE CORPORATION’S 2006 LONG TERM EQUITY INCENTIVE PLAN, WHICH IS INCORPORATED INTO THIS AGREEMENT BY REFERENCE, CONFERS ON GRANTEE ANY RIGHT WITH RESPECT TO CONTINUATION AS A SERVICE PROVIDER OF THE CORPORATION OR ANY PARENT OR SUBSIDIARY OR AFFILIATE, NOR INTERFERES IN ANY WAY WITH GRANTEE’S RIGHT OR THE CORPORATION’S RIGHT TO TERMINATE GRANTEE’S SERVICE PROVIDER RELATIONSHIP AT ANY TIME, WITH OR WITHOUT CAUSE AND WITH OR WITHOUT PRIOR NOTICE.</w:t>
      </w:r>
    </w:p>
    <w:p>
      <w:pPr>
        <w:spacing w:after="0" w:line="190" w:lineRule="exact"/>
        <w:rPr>
          <w:sz w:val="20"/>
          <w:szCs w:val="20"/>
          <w:color w:val="auto"/>
        </w:rPr>
      </w:pPr>
    </w:p>
    <w:p>
      <w:pPr>
        <w:jc w:val="both"/>
        <w:ind w:left="660"/>
        <w:spacing w:after="0" w:line="247" w:lineRule="auto"/>
        <w:rPr>
          <w:sz w:val="20"/>
          <w:szCs w:val="20"/>
          <w:color w:val="auto"/>
        </w:rPr>
      </w:pPr>
      <w:r>
        <w:rPr>
          <w:rFonts w:ascii="Arial" w:cs="Arial" w:eastAsia="Arial" w:hAnsi="Arial"/>
          <w:sz w:val="22"/>
          <w:szCs w:val="22"/>
          <w:b w:val="1"/>
          <w:bCs w:val="1"/>
          <w:color w:val="auto"/>
        </w:rPr>
        <w:t>BY CLICKING THE “ACCEPT” BUTTON BELOW, GRANTEE ACKNOWLEDGES RECEIPT OF A COPY OF THE PLAN AND REPRESENTS THAT GRANTEE IS FAMILIAR WITH THE TERMS AND PROVISIONS OF THE PLAN. GRANTEE ACCEPTS THIS RESTRICTED STOCK UNIT AWARD SUBJECT TO ALL OF THE TERMS AND PROVISIONS OF THIS AGREEMENT AND THE PLAN. GRANTEE HAS REVIEWED THE PLAN AND THIS AGREEMENT IN THEIR ENTIRETY. GRANTEE AGREES TO ACCEPT AS BINDING, CONCLUSIVE AND FINAL ALL DECISIONS OR INTERPRETATIONS OF THE ADMINISTRATOR UPON ANY QUESTIONS ARISING UNDER THE PLAN OR THIS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631" w:right="239" w:bottom="1440" w:gutter="0" w:footer="0" w:header="0"/>
        </w:sectPr>
      </w:pPr>
    </w:p>
    <w:bookmarkStart w:id="170" w:name="page171"/>
    <w:bookmarkEnd w:id="170"/>
    <w:p>
      <w:pPr>
        <w:jc w:val="center"/>
        <w:spacing w:after="0"/>
        <w:rPr>
          <w:sz w:val="20"/>
          <w:szCs w:val="20"/>
          <w:color w:val="auto"/>
        </w:rPr>
      </w:pPr>
      <w:r>
        <w:rPr>
          <w:rFonts w:ascii="Arial" w:cs="Arial" w:eastAsia="Arial" w:hAnsi="Arial"/>
          <w:sz w:val="22"/>
          <w:szCs w:val="22"/>
          <w:b w:val="1"/>
          <w:bCs w:val="1"/>
          <w:color w:val="auto"/>
        </w:rPr>
        <w:t>APPENDIX A</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UNITS AGREEMENT</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GLOSSARY</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For purposes of this Agreement:</w:t>
      </w:r>
    </w:p>
    <w:p>
      <w:pPr>
        <w:spacing w:after="0" w:line="214"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Affiliate</w:t>
      </w:r>
      <w:r>
        <w:rPr>
          <w:rFonts w:ascii="Arial" w:cs="Arial" w:eastAsia="Arial" w:hAnsi="Arial"/>
          <w:sz w:val="21"/>
          <w:szCs w:val="21"/>
          <w:color w:val="auto"/>
        </w:rPr>
        <w:t>” means any person or entity which controls, is controlled by, or is under common control with the Corporation.</w:t>
      </w: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Beneficial Owner</w:t>
      </w:r>
      <w:r>
        <w:rPr>
          <w:rFonts w:ascii="Arial" w:cs="Arial" w:eastAsia="Arial" w:hAnsi="Arial"/>
          <w:sz w:val="22"/>
          <w:szCs w:val="22"/>
          <w:color w:val="auto"/>
        </w:rPr>
        <w:t>” shall have the meaning set forth in Rule 13d-3 under the Exchange Act.</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A “</w:t>
      </w:r>
      <w:r>
        <w:rPr>
          <w:rFonts w:ascii="Arial" w:cs="Arial" w:eastAsia="Arial" w:hAnsi="Arial"/>
          <w:sz w:val="22"/>
          <w:szCs w:val="22"/>
          <w:b w:val="1"/>
          <w:bCs w:val="1"/>
          <w:color w:val="auto"/>
        </w:rPr>
        <w:t>Change of Control</w:t>
      </w:r>
      <w:r>
        <w:rPr>
          <w:rFonts w:ascii="Arial" w:cs="Arial" w:eastAsia="Arial" w:hAnsi="Arial"/>
          <w:sz w:val="22"/>
          <w:szCs w:val="22"/>
          <w:color w:val="auto"/>
        </w:rPr>
        <w:t>” shall be deemed to have occurred upon the first of the following events to occur:</w:t>
      </w:r>
    </w:p>
    <w:p>
      <w:pPr>
        <w:spacing w:after="0" w:line="266" w:lineRule="exact"/>
        <w:rPr>
          <w:sz w:val="20"/>
          <w:szCs w:val="20"/>
          <w:color w:val="auto"/>
        </w:rPr>
      </w:pPr>
    </w:p>
    <w:p>
      <w:pPr>
        <w:jc w:val="both"/>
        <w:ind w:left="1300" w:hanging="644"/>
        <w:spacing w:after="0" w:line="286" w:lineRule="auto"/>
        <w:tabs>
          <w:tab w:leader="none" w:pos="1300" w:val="left"/>
        </w:tabs>
        <w:numPr>
          <w:ilvl w:val="0"/>
          <w:numId w:val="202"/>
        </w:numPr>
        <w:rPr>
          <w:rFonts w:ascii="Arial" w:cs="Arial" w:eastAsia="Arial" w:hAnsi="Arial"/>
          <w:sz w:val="19"/>
          <w:szCs w:val="19"/>
          <w:color w:val="auto"/>
        </w:rPr>
      </w:pPr>
      <w:r>
        <w:rPr>
          <w:rFonts w:ascii="Arial" w:cs="Arial" w:eastAsia="Arial" w:hAnsi="Arial"/>
          <w:sz w:val="19"/>
          <w:szCs w:val="19"/>
          <w:color w:val="auto"/>
        </w:rPr>
        <w:t>any Person is or becomes the Beneficial Owner, directly or indirectly, of securities of the Corporation (not including in the securities beneficially owned by such Person any securities acquired directly from the Corporation or its Affiliates) representing 35% or more of the combined voting power of the Corporation’s then outstanding securities, excluding any Person who becomes such a Beneficial Owner in connection with a transaction described in clause</w:t>
      </w:r>
    </w:p>
    <w:p>
      <w:pPr>
        <w:spacing w:after="0" w:line="2" w:lineRule="exact"/>
        <w:rPr>
          <w:rFonts w:ascii="Arial" w:cs="Arial" w:eastAsia="Arial" w:hAnsi="Arial"/>
          <w:sz w:val="19"/>
          <w:szCs w:val="19"/>
          <w:color w:val="auto"/>
        </w:rPr>
      </w:pPr>
    </w:p>
    <w:p>
      <w:pPr>
        <w:ind w:left="1300"/>
        <w:spacing w:after="0"/>
        <w:rPr>
          <w:rFonts w:ascii="Arial" w:cs="Arial" w:eastAsia="Arial" w:hAnsi="Arial"/>
          <w:sz w:val="19"/>
          <w:szCs w:val="19"/>
          <w:color w:val="auto"/>
        </w:rPr>
      </w:pPr>
      <w:r>
        <w:rPr>
          <w:rFonts w:ascii="Arial" w:cs="Arial" w:eastAsia="Arial" w:hAnsi="Arial"/>
          <w:sz w:val="22"/>
          <w:szCs w:val="22"/>
          <w:color w:val="auto"/>
        </w:rPr>
        <w:t>(A) of paragraph (iii) below;</w:t>
      </w:r>
    </w:p>
    <w:p>
      <w:pPr>
        <w:spacing w:after="0" w:line="242" w:lineRule="exact"/>
        <w:rPr>
          <w:rFonts w:ascii="Arial" w:cs="Arial" w:eastAsia="Arial" w:hAnsi="Arial"/>
          <w:sz w:val="19"/>
          <w:szCs w:val="19"/>
          <w:color w:val="auto"/>
        </w:rPr>
      </w:pPr>
    </w:p>
    <w:p>
      <w:pPr>
        <w:jc w:val="both"/>
        <w:ind w:left="1300" w:hanging="644"/>
        <w:spacing w:after="0" w:line="258" w:lineRule="auto"/>
        <w:tabs>
          <w:tab w:leader="none" w:pos="1300" w:val="left"/>
        </w:tabs>
        <w:numPr>
          <w:ilvl w:val="0"/>
          <w:numId w:val="202"/>
        </w:numPr>
        <w:rPr>
          <w:rFonts w:ascii="Arial" w:cs="Arial" w:eastAsia="Arial" w:hAnsi="Arial"/>
          <w:sz w:val="21"/>
          <w:szCs w:val="21"/>
          <w:color w:val="auto"/>
        </w:rPr>
      </w:pPr>
      <w:r>
        <w:rPr>
          <w:rFonts w:ascii="Arial" w:cs="Arial" w:eastAsia="Arial" w:hAnsi="Arial"/>
          <w:sz w:val="21"/>
          <w:szCs w:val="21"/>
          <w:color w:val="auto"/>
        </w:rPr>
        <w:t>the following individuals cease for any reason to constitute a majority of the number of directors then serving on the Board: individuals who, on the date hereof, constitute the Board and any new director (other than a director whose initial assumption of office is in connection with an actual or threatened election contest, including but not limited to a consent solicitation, relating to the election of directors of the Corporation) whose appointment or election by the Board or nomination for election by the Corporation’s stockholders was approved or recommended by a vote of at least two-thirds (2/3) of the directors then still in office who either were directors on the date hereof or whose appointment, election or nomination for election was previously so approved or recommended (the “Incumbent Board”); provided, however, that no individual shall be considered a member of the Incumbent Board if such individual initially assumed office as a result of either an actual or threatened election contest (an “Election Contest”) or other actual or threatened solicitation of proxies or consents by or on behalf of a Person other than the Board (a “Proxy Contest”), including by reason of any agreement intended to avoid or settle any Election Contest or Proxy Contest;</w:t>
      </w:r>
    </w:p>
    <w:p>
      <w:pPr>
        <w:spacing w:after="0" w:line="220" w:lineRule="exact"/>
        <w:rPr>
          <w:rFonts w:ascii="Arial" w:cs="Arial" w:eastAsia="Arial" w:hAnsi="Arial"/>
          <w:sz w:val="21"/>
          <w:szCs w:val="21"/>
          <w:color w:val="auto"/>
        </w:rPr>
      </w:pPr>
    </w:p>
    <w:p>
      <w:pPr>
        <w:jc w:val="both"/>
        <w:ind w:left="1300" w:hanging="644"/>
        <w:spacing w:after="0" w:line="265" w:lineRule="auto"/>
        <w:tabs>
          <w:tab w:leader="none" w:pos="1300" w:val="left"/>
        </w:tabs>
        <w:numPr>
          <w:ilvl w:val="0"/>
          <w:numId w:val="202"/>
        </w:numPr>
        <w:rPr>
          <w:rFonts w:ascii="Arial" w:cs="Arial" w:eastAsia="Arial" w:hAnsi="Arial"/>
          <w:sz w:val="21"/>
          <w:szCs w:val="21"/>
          <w:color w:val="auto"/>
        </w:rPr>
      </w:pPr>
      <w:r>
        <w:rPr>
          <w:rFonts w:ascii="Arial" w:cs="Arial" w:eastAsia="Arial" w:hAnsi="Arial"/>
          <w:sz w:val="21"/>
          <w:szCs w:val="21"/>
          <w:color w:val="auto"/>
        </w:rPr>
        <w:t>there is consummated a merger, consolidation, wind-up, reorganization or restructuring of the Corporation with or into any other entity, or a similar event or series of such events, other than (A) any such event or series of events which results in (1) the voting securities of the Corporation outstanding immediately prior to such event or series of events continuing to represent (either by remaining outstanding or</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1420"/>
          </w:cols>
          <w:pgMar w:left="240" w:top="625" w:right="239" w:bottom="1440" w:gutter="0" w:footer="0" w:header="0"/>
        </w:sectPr>
      </w:pPr>
    </w:p>
    <w:bookmarkStart w:id="171" w:name="page172"/>
    <w:bookmarkEnd w:id="171"/>
    <w:p>
      <w:pPr>
        <w:jc w:val="both"/>
        <w:ind w:left="1300"/>
        <w:spacing w:after="0" w:line="288" w:lineRule="auto"/>
        <w:rPr>
          <w:sz w:val="20"/>
          <w:szCs w:val="20"/>
          <w:color w:val="auto"/>
        </w:rPr>
      </w:pPr>
      <w:r>
        <w:rPr>
          <w:rFonts w:ascii="Arial" w:cs="Arial" w:eastAsia="Arial" w:hAnsi="Arial"/>
          <w:sz w:val="19"/>
          <w:szCs w:val="19"/>
          <w:color w:val="auto"/>
        </w:rPr>
        <w:t>by being converted into voting securities of the surviving entity or any parent thereof), in combination with the ownership of any trustee or other fiduciary holding securities under an employee benefit plan of the Corporation or any subsidiary of the Corporation, at least 51% of the combined voting power of the securities of the Corporation or such surviving entity or any parent thereof outstanding immediately after such merger or consolidation and (2) the individuals who comprise the Board immediately prior thereto constituting immediately thereafter at least a majority of the board of directors of the Corporation, the entity surviving such merger or consolidation or, if the Corporation or the entity surviving such merger is then a subsidiary, the ultimate parent thereof, or (B) any such event or series of events effected to implement a recapitalization of the Corporation (or similar transaction) in which no Person is or becomes the Beneficial Owner, directly or indirectly, of securities of the Corporation (not including in the securities Beneficially Owned by such Person any securities acquired directly from the Corporation or its Affiliates) representing 35% or more of the combined voting power of the Corporation’s then outstanding securities; or</w:t>
      </w:r>
    </w:p>
    <w:p>
      <w:pPr>
        <w:spacing w:after="0" w:line="195" w:lineRule="exact"/>
        <w:rPr>
          <w:sz w:val="20"/>
          <w:szCs w:val="20"/>
          <w:color w:val="auto"/>
        </w:rPr>
      </w:pPr>
    </w:p>
    <w:p>
      <w:pPr>
        <w:jc w:val="both"/>
        <w:ind w:left="1300" w:hanging="644"/>
        <w:spacing w:after="0" w:line="258" w:lineRule="auto"/>
        <w:tabs>
          <w:tab w:leader="none" w:pos="1300" w:val="left"/>
        </w:tabs>
        <w:numPr>
          <w:ilvl w:val="0"/>
          <w:numId w:val="203"/>
        </w:numPr>
        <w:rPr>
          <w:rFonts w:ascii="Arial" w:cs="Arial" w:eastAsia="Arial" w:hAnsi="Arial"/>
          <w:sz w:val="21"/>
          <w:szCs w:val="21"/>
          <w:color w:val="auto"/>
        </w:rPr>
      </w:pPr>
      <w:r>
        <w:rPr>
          <w:rFonts w:ascii="Arial" w:cs="Arial" w:eastAsia="Arial" w:hAnsi="Arial"/>
          <w:sz w:val="21"/>
          <w:szCs w:val="21"/>
          <w:color w:val="auto"/>
        </w:rPr>
        <w:t>the stockholders of the Corporation approve a plan of complete liquidation or dissolution of the Corporation or there is consummated an agreement for the sale or disposition by the Corporation of all or substantially all of the Corporation’s assets (it being conclusively presumed that any sale or disposition is a sale or disposition by the Corporation of all or substantially all of its assets if the consummation of the sale or disposition is contingent upon approval by the Corporation’s stockholders unless the Board expressly determines in writing that such approval is required solely by reason of any relationship between the Corporation and any other Person or an Affiliate of the Corporation and any other Person), other than a sale or disposition by the Corporation of all or substantially all of the Corporation’s assets to an entity (A) at least 51% of the combined voting power of the voting securities of which are owned by stockholders of the Corporation in substantially the same proportions as their ownership of the Corporation immediately prior to such sale or disposition and (B) the majority of whose board of directors immediately following such sale or disposition consists of individuals who comprise the Board immediately prior thereto.</w:t>
      </w:r>
    </w:p>
    <w:p>
      <w:pPr>
        <w:spacing w:after="0" w:line="221" w:lineRule="exact"/>
        <w:rPr>
          <w:sz w:val="20"/>
          <w:szCs w:val="20"/>
          <w:color w:val="auto"/>
        </w:rPr>
      </w:pPr>
    </w:p>
    <w:p>
      <w:pPr>
        <w:jc w:val="both"/>
        <w:spacing w:after="0" w:line="290" w:lineRule="auto"/>
        <w:rPr>
          <w:sz w:val="20"/>
          <w:szCs w:val="20"/>
          <w:color w:val="auto"/>
        </w:rPr>
      </w:pPr>
      <w:r>
        <w:rPr>
          <w:rFonts w:ascii="Arial" w:cs="Arial" w:eastAsia="Arial" w:hAnsi="Arial"/>
          <w:sz w:val="19"/>
          <w:szCs w:val="19"/>
          <w:color w:val="auto"/>
        </w:rPr>
        <w:t>Notwithstanding the foregoing, (A) a “Change of Control” shall not be deemed to have occurred by virtue of the consummation of any transaction or series of integrated transactions immediately following which the record holders of the common stock of the Corporation immediately prior to such transaction or series of transactions continue to have substantially the same proportionate ownership in an entity which owns all or substantially all of the assets of the Corporation immediately following such transaction or series of transactions and (B) if required to avoid accelerated taxation and/or tax penalties under Section 409A of the Code, a “Change of Control” shall be deemed to have occurred only if a “change in the ownership of the corporation,” a “change in effective control of the corporation” or a “change in the ownership of a substantial portion of the assets of the corporation,” within the meaning of Section 409A(a)(2)(A)(v) of the Code shall also be deemed to have occurred under Section 409A of the Code.</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11420"/>
          </w:cols>
          <w:pgMar w:left="240" w:top="631" w:right="239" w:bottom="1440" w:gutter="0" w:footer="0" w:header="0"/>
        </w:sectPr>
      </w:pPr>
    </w:p>
    <w:bookmarkStart w:id="172" w:name="page173"/>
    <w:bookmarkEnd w:id="172"/>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Good Reason</w:t>
      </w:r>
      <w:r>
        <w:rPr>
          <w:rFonts w:ascii="Arial" w:cs="Arial" w:eastAsia="Arial" w:hAnsi="Arial"/>
          <w:sz w:val="22"/>
          <w:szCs w:val="22"/>
          <w:color w:val="auto"/>
        </w:rPr>
        <w:t>” means:</w:t>
      </w:r>
    </w:p>
    <w:p>
      <w:pPr>
        <w:spacing w:after="0" w:line="266" w:lineRule="exact"/>
        <w:rPr>
          <w:sz w:val="20"/>
          <w:szCs w:val="20"/>
          <w:color w:val="auto"/>
        </w:rPr>
      </w:pPr>
    </w:p>
    <w:p>
      <w:pPr>
        <w:ind w:left="1300" w:hanging="644"/>
        <w:spacing w:after="0"/>
        <w:tabs>
          <w:tab w:leader="none" w:pos="1300" w:val="left"/>
        </w:tabs>
        <w:numPr>
          <w:ilvl w:val="0"/>
          <w:numId w:val="204"/>
        </w:numPr>
        <w:rPr>
          <w:rFonts w:ascii="Arial" w:cs="Arial" w:eastAsia="Arial" w:hAnsi="Arial"/>
          <w:sz w:val="22"/>
          <w:szCs w:val="22"/>
          <w:color w:val="auto"/>
        </w:rPr>
      </w:pPr>
      <w:r>
        <w:rPr>
          <w:rFonts w:ascii="Arial" w:cs="Arial" w:eastAsia="Arial" w:hAnsi="Arial"/>
          <w:sz w:val="22"/>
          <w:szCs w:val="22"/>
          <w:color w:val="auto"/>
        </w:rPr>
        <w:t>A material and permanent diminution in Grantee’s duties or responsibilities;</w:t>
      </w:r>
    </w:p>
    <w:p>
      <w:pPr>
        <w:spacing w:after="0" w:line="219" w:lineRule="exact"/>
        <w:rPr>
          <w:rFonts w:ascii="Arial" w:cs="Arial" w:eastAsia="Arial" w:hAnsi="Arial"/>
          <w:sz w:val="22"/>
          <w:szCs w:val="22"/>
          <w:color w:val="auto"/>
        </w:rPr>
      </w:pPr>
    </w:p>
    <w:p>
      <w:pPr>
        <w:ind w:left="1300" w:hanging="644"/>
        <w:spacing w:after="0" w:line="263" w:lineRule="auto"/>
        <w:tabs>
          <w:tab w:leader="none" w:pos="1300" w:val="left"/>
        </w:tabs>
        <w:numPr>
          <w:ilvl w:val="0"/>
          <w:numId w:val="204"/>
        </w:numPr>
        <w:rPr>
          <w:rFonts w:ascii="Arial" w:cs="Arial" w:eastAsia="Arial" w:hAnsi="Arial"/>
          <w:sz w:val="22"/>
          <w:szCs w:val="22"/>
          <w:color w:val="auto"/>
        </w:rPr>
      </w:pPr>
      <w:r>
        <w:rPr>
          <w:rFonts w:ascii="Arial" w:cs="Arial" w:eastAsia="Arial" w:hAnsi="Arial"/>
          <w:sz w:val="22"/>
          <w:szCs w:val="22"/>
          <w:color w:val="auto"/>
        </w:rPr>
        <w:t>A material reduction in the aggregate value of base salary and bonus opportunity provided to Grantee by the Corporation; or</w:t>
      </w:r>
    </w:p>
    <w:p>
      <w:pPr>
        <w:spacing w:after="0" w:line="174" w:lineRule="exact"/>
        <w:rPr>
          <w:rFonts w:ascii="Arial" w:cs="Arial" w:eastAsia="Arial" w:hAnsi="Arial"/>
          <w:sz w:val="22"/>
          <w:szCs w:val="22"/>
          <w:color w:val="auto"/>
        </w:rPr>
      </w:pPr>
    </w:p>
    <w:p>
      <w:pPr>
        <w:ind w:left="1300" w:hanging="644"/>
        <w:spacing w:after="0"/>
        <w:tabs>
          <w:tab w:leader="none" w:pos="1300" w:val="left"/>
        </w:tabs>
        <w:numPr>
          <w:ilvl w:val="0"/>
          <w:numId w:val="204"/>
        </w:numPr>
        <w:rPr>
          <w:rFonts w:ascii="Arial" w:cs="Arial" w:eastAsia="Arial" w:hAnsi="Arial"/>
          <w:sz w:val="19"/>
          <w:szCs w:val="19"/>
          <w:color w:val="auto"/>
        </w:rPr>
      </w:pPr>
      <w:r>
        <w:rPr>
          <w:rFonts w:ascii="Arial" w:cs="Arial" w:eastAsia="Arial" w:hAnsi="Arial"/>
          <w:sz w:val="19"/>
          <w:szCs w:val="19"/>
          <w:color w:val="auto"/>
        </w:rPr>
        <w:t>A permanent reassignment of Grantee to another primary office more than 50 miles from the current office location.</w:t>
      </w:r>
    </w:p>
    <w:p>
      <w:pPr>
        <w:spacing w:after="0" w:line="254" w:lineRule="exact"/>
        <w:rPr>
          <w:sz w:val="20"/>
          <w:szCs w:val="20"/>
          <w:color w:val="auto"/>
        </w:rPr>
      </w:pPr>
    </w:p>
    <w:p>
      <w:pPr>
        <w:jc w:val="both"/>
        <w:ind w:left="720"/>
        <w:spacing w:after="0" w:line="250" w:lineRule="auto"/>
        <w:rPr>
          <w:sz w:val="20"/>
          <w:szCs w:val="20"/>
          <w:color w:val="auto"/>
        </w:rPr>
      </w:pPr>
      <w:r>
        <w:rPr>
          <w:rFonts w:ascii="Arial" w:cs="Arial" w:eastAsia="Arial" w:hAnsi="Arial"/>
          <w:sz w:val="22"/>
          <w:szCs w:val="22"/>
          <w:color w:val="auto"/>
        </w:rPr>
        <w:t>Grantee must notify the Corporation of Grantee’s intention to invoke termination for Good Reason within 90 days after Grantee has knowledge of such event and provide the Corporation 30 days’ opportunity for cure, or such event shall not constitute Good Reason. Grantee may not invoke termination for Good Reason if Cause exists at the time of such termination.</w:t>
      </w:r>
    </w:p>
    <w:p>
      <w:pPr>
        <w:spacing w:after="0" w:line="182" w:lineRule="exact"/>
        <w:rPr>
          <w:sz w:val="20"/>
          <w:szCs w:val="20"/>
          <w:color w:val="auto"/>
        </w:rPr>
      </w:pPr>
    </w:p>
    <w:p>
      <w:pPr>
        <w:jc w:val="both"/>
        <w:spacing w:after="0" w:line="26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Person</w:t>
      </w:r>
      <w:r>
        <w:rPr>
          <w:rFonts w:ascii="Arial" w:cs="Arial" w:eastAsia="Arial" w:hAnsi="Arial"/>
          <w:sz w:val="21"/>
          <w:szCs w:val="21"/>
          <w:color w:val="auto"/>
        </w:rPr>
        <w:t>” shall have the meaning given in Section 3(a)(9) of the Exchange Act, as modified and used in Sections 13(d) and 14(d) thereof, except that such term shall not include (i) the Corporation or any of its subsidiaries, (ii) a trustee or other fiduciary holding securities under an employee benefit plan of the Corporation or any of its Affiliates, (iii) an underwriter temporarily holding securities pursuant to an offering of such securities, or (iv) a corporation owned, directly or indirectly, by the stockholders of the Corporation in substantially the same proportions as their ownership of stock of the Corporation.</w:t>
      </w:r>
    </w:p>
    <w:p>
      <w:pPr>
        <w:spacing w:after="0" w:line="21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“Qualifying Termination” </w:t>
      </w:r>
      <w:r>
        <w:rPr>
          <w:rFonts w:ascii="Arial" w:cs="Arial" w:eastAsia="Arial" w:hAnsi="Arial"/>
          <w:sz w:val="19"/>
          <w:szCs w:val="19"/>
          <w:color w:val="auto"/>
        </w:rPr>
        <w:t>means a termination of Grantee’s services with the Corporation or a Subsidiary or an Affiliate of the</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color w:val="auto"/>
        </w:rPr>
        <w:t>Corporation for any reason other than:</w:t>
      </w:r>
    </w:p>
    <w:p>
      <w:pPr>
        <w:spacing w:after="0" w:line="202" w:lineRule="exact"/>
        <w:rPr>
          <w:sz w:val="20"/>
          <w:szCs w:val="20"/>
          <w:color w:val="auto"/>
        </w:rPr>
      </w:pPr>
    </w:p>
    <w:p>
      <w:pPr>
        <w:ind w:left="1080" w:hanging="424"/>
        <w:spacing w:after="0"/>
        <w:tabs>
          <w:tab w:leader="none" w:pos="1080" w:val="left"/>
        </w:tabs>
        <w:numPr>
          <w:ilvl w:val="0"/>
          <w:numId w:val="205"/>
        </w:numPr>
        <w:rPr>
          <w:rFonts w:ascii="Arial" w:cs="Arial" w:eastAsia="Arial" w:hAnsi="Arial"/>
          <w:sz w:val="22"/>
          <w:szCs w:val="22"/>
          <w:color w:val="auto"/>
        </w:rPr>
      </w:pPr>
      <w:r>
        <w:rPr>
          <w:rFonts w:ascii="Arial" w:cs="Arial" w:eastAsia="Arial" w:hAnsi="Arial"/>
          <w:sz w:val="22"/>
          <w:szCs w:val="22"/>
          <w:color w:val="auto"/>
        </w:rPr>
        <w:t>death;</w:t>
      </w:r>
    </w:p>
    <w:p>
      <w:pPr>
        <w:spacing w:after="0" w:line="219" w:lineRule="exact"/>
        <w:rPr>
          <w:rFonts w:ascii="Arial" w:cs="Arial" w:eastAsia="Arial" w:hAnsi="Arial"/>
          <w:sz w:val="22"/>
          <w:szCs w:val="22"/>
          <w:color w:val="auto"/>
        </w:rPr>
      </w:pPr>
    </w:p>
    <w:p>
      <w:pPr>
        <w:ind w:left="1140" w:hanging="484"/>
        <w:spacing w:after="0"/>
        <w:tabs>
          <w:tab w:leader="none" w:pos="1140" w:val="left"/>
        </w:tabs>
        <w:numPr>
          <w:ilvl w:val="0"/>
          <w:numId w:val="205"/>
        </w:numPr>
        <w:rPr>
          <w:rFonts w:ascii="Arial" w:cs="Arial" w:eastAsia="Arial" w:hAnsi="Arial"/>
          <w:sz w:val="22"/>
          <w:szCs w:val="22"/>
          <w:color w:val="auto"/>
        </w:rPr>
      </w:pPr>
      <w:r>
        <w:rPr>
          <w:rFonts w:ascii="Arial" w:cs="Arial" w:eastAsia="Arial" w:hAnsi="Arial"/>
          <w:sz w:val="22"/>
          <w:szCs w:val="22"/>
          <w:color w:val="auto"/>
        </w:rPr>
        <w:t>Disability;</w:t>
      </w:r>
    </w:p>
    <w:p>
      <w:pPr>
        <w:spacing w:after="0" w:line="219" w:lineRule="exact"/>
        <w:rPr>
          <w:rFonts w:ascii="Arial" w:cs="Arial" w:eastAsia="Arial" w:hAnsi="Arial"/>
          <w:sz w:val="22"/>
          <w:szCs w:val="22"/>
          <w:color w:val="auto"/>
        </w:rPr>
      </w:pPr>
    </w:p>
    <w:p>
      <w:pPr>
        <w:ind w:left="1200" w:hanging="544"/>
        <w:spacing w:after="0"/>
        <w:tabs>
          <w:tab w:leader="none" w:pos="1200" w:val="left"/>
        </w:tabs>
        <w:numPr>
          <w:ilvl w:val="0"/>
          <w:numId w:val="205"/>
        </w:numPr>
        <w:rPr>
          <w:rFonts w:ascii="Arial" w:cs="Arial" w:eastAsia="Arial" w:hAnsi="Arial"/>
          <w:sz w:val="22"/>
          <w:szCs w:val="22"/>
          <w:color w:val="auto"/>
        </w:rPr>
      </w:pPr>
      <w:r>
        <w:rPr>
          <w:rFonts w:ascii="Arial" w:cs="Arial" w:eastAsia="Arial" w:hAnsi="Arial"/>
          <w:sz w:val="22"/>
          <w:szCs w:val="22"/>
          <w:color w:val="auto"/>
        </w:rPr>
        <w:t>Cause; or</w:t>
      </w:r>
    </w:p>
    <w:p>
      <w:pPr>
        <w:spacing w:after="0" w:line="219" w:lineRule="exact"/>
        <w:rPr>
          <w:rFonts w:ascii="Arial" w:cs="Arial" w:eastAsia="Arial" w:hAnsi="Arial"/>
          <w:sz w:val="22"/>
          <w:szCs w:val="22"/>
          <w:color w:val="auto"/>
        </w:rPr>
      </w:pPr>
    </w:p>
    <w:p>
      <w:pPr>
        <w:ind w:left="1240" w:hanging="584"/>
        <w:spacing w:after="0"/>
        <w:tabs>
          <w:tab w:leader="none" w:pos="1240" w:val="left"/>
        </w:tabs>
        <w:numPr>
          <w:ilvl w:val="0"/>
          <w:numId w:val="205"/>
        </w:numPr>
        <w:rPr>
          <w:rFonts w:ascii="Arial" w:cs="Arial" w:eastAsia="Arial" w:hAnsi="Arial"/>
          <w:sz w:val="22"/>
          <w:szCs w:val="22"/>
          <w:color w:val="auto"/>
        </w:rPr>
      </w:pPr>
      <w:r>
        <w:rPr>
          <w:rFonts w:ascii="Arial" w:cs="Arial" w:eastAsia="Arial" w:hAnsi="Arial"/>
          <w:sz w:val="22"/>
          <w:szCs w:val="22"/>
          <w:color w:val="auto"/>
        </w:rPr>
        <w:t>a termination of services by Grantee without Good Reason (as defined above).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iii</w:t>
      </w:r>
    </w:p>
    <w:p>
      <w:pPr>
        <w:sectPr>
          <w:pgSz w:w="11900" w:h="16838" w:orient="portrait"/>
          <w:cols w:equalWidth="0" w:num="1">
            <w:col w:w="11420"/>
          </w:cols>
          <w:pgMar w:left="240" w:top="882" w:right="239" w:bottom="1440" w:gutter="0" w:footer="0" w:header="0"/>
        </w:sectPr>
      </w:pPr>
    </w:p>
    <w:bookmarkStart w:id="173" w:name="page174"/>
    <w:bookmarkEnd w:id="173"/>
    <w:p>
      <w:pPr>
        <w:jc w:val="center"/>
        <w:spacing w:after="0"/>
        <w:rPr>
          <w:sz w:val="20"/>
          <w:szCs w:val="20"/>
          <w:color w:val="auto"/>
        </w:rPr>
      </w:pPr>
      <w:r>
        <w:rPr>
          <w:rFonts w:ascii="Arial" w:cs="Arial" w:eastAsia="Arial" w:hAnsi="Arial"/>
          <w:sz w:val="22"/>
          <w:szCs w:val="22"/>
          <w:b w:val="1"/>
          <w:bCs w:val="1"/>
          <w:color w:val="auto"/>
        </w:rPr>
        <w:t>APPENDIX B</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UNITS AGREEMENT</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NON-U.S. ADDENDUM</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Additional Terms and Conditions for Equity Grants Under the TriMas Corporation 2006 Long Term Equity Incentive Plan</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January 2016</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Terms and Conditions</w:t>
      </w:r>
    </w:p>
    <w:p>
      <w:pPr>
        <w:spacing w:after="0" w:line="266"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This Addendum includes additional terms and conditions that govern the restricted stock units (“</w:t>
      </w:r>
      <w:r>
        <w:rPr>
          <w:rFonts w:ascii="Arial" w:cs="Arial" w:eastAsia="Arial" w:hAnsi="Arial"/>
          <w:sz w:val="21"/>
          <w:szCs w:val="21"/>
          <w:u w:val="single" w:color="auto"/>
          <w:color w:val="auto"/>
        </w:rPr>
        <w:t>RSUs</w:t>
      </w:r>
      <w:r>
        <w:rPr>
          <w:rFonts w:ascii="Arial" w:cs="Arial" w:eastAsia="Arial" w:hAnsi="Arial"/>
          <w:sz w:val="21"/>
          <w:szCs w:val="21"/>
          <w:color w:val="auto"/>
        </w:rPr>
        <w:t>”) granted to you under the TriMas Corporation 2006 Long Term Equity Incentive Plan (referred to as the “</w:t>
      </w:r>
      <w:r>
        <w:rPr>
          <w:rFonts w:ascii="Arial" w:cs="Arial" w:eastAsia="Arial" w:hAnsi="Arial"/>
          <w:sz w:val="21"/>
          <w:szCs w:val="21"/>
          <w:u w:val="single" w:color="auto"/>
          <w:color w:val="auto"/>
        </w:rPr>
        <w:t>Plan</w:t>
      </w:r>
      <w:r>
        <w:rPr>
          <w:rFonts w:ascii="Arial" w:cs="Arial" w:eastAsia="Arial" w:hAnsi="Arial"/>
          <w:sz w:val="21"/>
          <w:szCs w:val="21"/>
          <w:color w:val="auto"/>
        </w:rPr>
        <w:t>”) if you reside in one of the countries listed below. Certain capitalized terms used but not defined in this Addendum have the meanings set forth in the Plan and/or your award agreement (the “</w:t>
      </w:r>
      <w:r>
        <w:rPr>
          <w:rFonts w:ascii="Arial" w:cs="Arial" w:eastAsia="Arial" w:hAnsi="Arial"/>
          <w:sz w:val="21"/>
          <w:szCs w:val="21"/>
          <w:u w:val="single" w:color="auto"/>
          <w:color w:val="auto"/>
        </w:rPr>
        <w:t>Agreement</w:t>
      </w:r>
      <w:r>
        <w:rPr>
          <w:rFonts w:ascii="Arial" w:cs="Arial" w:eastAsia="Arial" w:hAnsi="Arial"/>
          <w:sz w:val="21"/>
          <w:szCs w:val="21"/>
          <w:color w:val="auto"/>
        </w:rPr>
        <w:t>”) that relates to your award. By accepting your award, you agree to be bound by the terms and conditions contained in the paragraphs below in addition to the terms of the Plan, the Agreement, and the terms of any other document that may apply to you and your award.</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Notifications</w:t>
      </w:r>
    </w:p>
    <w:p>
      <w:pPr>
        <w:spacing w:after="0" w:line="266"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This Addendum also includes information regarding exchange controls and certain other issues of which you should be aware with respect to participation in the Plan. The information is based on the securities, exchange control, and other laws in effect in the respective countries as of January 2016. Such laws are often complex and change frequently. As a result, it is strongly recommended that you not rely on the information in this Addendum as the only source of information relating to the consequences of your participation in the Plan because the information may be out of date at the time you vest in your RSUs or sell shares acquired under the Plan.</w:t>
      </w:r>
    </w:p>
    <w:p>
      <w:pPr>
        <w:spacing w:after="0" w:line="234"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In addition, the information contained herein is general in nature and may not apply to your particular situation, and TriMas Corporation (the “</w:t>
      </w:r>
      <w:r>
        <w:rPr>
          <w:rFonts w:ascii="Arial" w:cs="Arial" w:eastAsia="Arial" w:hAnsi="Arial"/>
          <w:sz w:val="21"/>
          <w:szCs w:val="21"/>
          <w:u w:val="single" w:color="auto"/>
          <w:color w:val="auto"/>
        </w:rPr>
        <w:t>Corporation</w:t>
      </w:r>
      <w:r>
        <w:rPr>
          <w:rFonts w:ascii="Arial" w:cs="Arial" w:eastAsia="Arial" w:hAnsi="Arial"/>
          <w:sz w:val="21"/>
          <w:szCs w:val="21"/>
          <w:color w:val="auto"/>
        </w:rPr>
        <w:t>”) is not in a position to assure you of a particular result. Accordingly, you are advised to seek appropriate professional advice as to how the relevant laws in your country may apply to your situation.</w:t>
      </w:r>
    </w:p>
    <w:p>
      <w:pPr>
        <w:spacing w:after="0" w:line="208"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Finally, if you are a citizen or resident of a country other than the one in which you are currently working, transferred employment after the RSUs were granted to you, or are considered a resident of another country for local law purposes, the information contained herein may not apply.</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COUNTRY-SPECIFIC LANGUAGE</w:t>
      </w:r>
    </w:p>
    <w:p>
      <w:pPr>
        <w:spacing w:after="0" w:line="28" w:lineRule="exact"/>
        <w:rPr>
          <w:sz w:val="20"/>
          <w:szCs w:val="20"/>
          <w:color w:val="auto"/>
        </w:rPr>
      </w:pPr>
    </w:p>
    <w:p>
      <w:pPr>
        <w:spacing w:after="0"/>
        <w:rPr>
          <w:sz w:val="20"/>
          <w:szCs w:val="20"/>
          <w:color w:val="auto"/>
        </w:rPr>
      </w:pPr>
      <w:r>
        <w:rPr>
          <w:rFonts w:ascii="Arial" w:cs="Arial" w:eastAsia="Arial" w:hAnsi="Arial"/>
          <w:sz w:val="21"/>
          <w:szCs w:val="21"/>
          <w:color w:val="auto"/>
        </w:rPr>
        <w:t>Below please find country specific language that applies to Participants in the following countries: the United Kingdom.</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iv</w:t>
      </w:r>
    </w:p>
    <w:p>
      <w:pPr>
        <w:sectPr>
          <w:pgSz w:w="11900" w:h="16838" w:orient="portrait"/>
          <w:cols w:equalWidth="0" w:num="1">
            <w:col w:w="11420"/>
          </w:cols>
          <w:pgMar w:left="240" w:top="625" w:right="239" w:bottom="1440" w:gutter="0" w:footer="0" w:header="0"/>
        </w:sectPr>
      </w:pPr>
    </w:p>
    <w:bookmarkStart w:id="174" w:name="page175"/>
    <w:bookmarkEnd w:id="174"/>
    <w:p>
      <w:pPr>
        <w:jc w:val="center"/>
        <w:spacing w:after="0"/>
        <w:rPr>
          <w:sz w:val="20"/>
          <w:szCs w:val="20"/>
          <w:color w:val="auto"/>
        </w:rPr>
      </w:pPr>
      <w:r>
        <w:rPr>
          <w:rFonts w:ascii="Arial" w:cs="Arial" w:eastAsia="Arial" w:hAnsi="Arial"/>
          <w:sz w:val="22"/>
          <w:szCs w:val="22"/>
          <w:b w:val="1"/>
          <w:bCs w:val="1"/>
          <w:i w:val="1"/>
          <w:iCs w:val="1"/>
          <w:u w:val="single" w:color="auto"/>
          <w:color w:val="auto"/>
        </w:rPr>
        <w:t>UNITED KINGDOM</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Terms and Conditions</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Non-Transferability of Award</w:t>
      </w:r>
      <w:r>
        <w:rPr>
          <w:rFonts w:ascii="Arial" w:cs="Arial" w:eastAsia="Arial" w:hAnsi="Arial"/>
          <w:sz w:val="22"/>
          <w:szCs w:val="22"/>
          <w:color w:val="auto"/>
        </w:rPr>
        <w:t>. Section II.B.1 of the Agreement is hereby amended in its entirety to read as follows:</w:t>
      </w:r>
    </w:p>
    <w:p>
      <w:pPr>
        <w:spacing w:after="0" w:line="266" w:lineRule="exact"/>
        <w:rPr>
          <w:sz w:val="20"/>
          <w:szCs w:val="20"/>
          <w:color w:val="auto"/>
        </w:rPr>
      </w:pPr>
    </w:p>
    <w:p>
      <w:pPr>
        <w:jc w:val="both"/>
        <w:ind w:left="660" w:firstLine="648"/>
        <w:spacing w:after="0" w:line="247" w:lineRule="auto"/>
        <w:rPr>
          <w:sz w:val="20"/>
          <w:szCs w:val="20"/>
          <w:color w:val="auto"/>
        </w:rPr>
      </w:pPr>
      <w:r>
        <w:rPr>
          <w:rFonts w:ascii="Arial" w:cs="Arial" w:eastAsia="Arial" w:hAnsi="Arial"/>
          <w:sz w:val="22"/>
          <w:szCs w:val="22"/>
          <w:color w:val="auto"/>
        </w:rPr>
        <w:t>“Except as described below, this Award and the Restricted Stock Units subject to this Award may not be sold, pledged, assigned, hypothecated, transferred, or disposed of in any manner other than by will or by the laws of descent or distribution and the Award shall lapse and any unvested Restricted Stock Units subject to this Award shall be forfeited if a bankruptcy order is made in respect of Grantee. For the avoidance of doubt, the provisions contained in Section 11.13 of the Plan which allow each Participant to designate a beneficiary for the Restricted Stock Units awarded to him or her under the Plan shall not apply to this Award.”</w:t>
      </w: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Withholding</w:t>
      </w:r>
      <w:r>
        <w:rPr>
          <w:rFonts w:ascii="Arial" w:cs="Arial" w:eastAsia="Arial" w:hAnsi="Arial"/>
          <w:sz w:val="22"/>
          <w:szCs w:val="22"/>
          <w:color w:val="auto"/>
        </w:rPr>
        <w:t>. Section II.B.2 of the Agreement is hereby amended in its entirety to read as follows:</w:t>
      </w:r>
    </w:p>
    <w:p>
      <w:pPr>
        <w:spacing w:after="0" w:line="2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“Grantee hereby indemnifies the Corporation, Grantee’s employer or any other person in respect of:</w:t>
      </w:r>
    </w:p>
    <w:p>
      <w:pPr>
        <w:spacing w:after="0" w:line="260" w:lineRule="exact"/>
        <w:rPr>
          <w:sz w:val="20"/>
          <w:szCs w:val="20"/>
          <w:color w:val="auto"/>
        </w:rPr>
      </w:pPr>
    </w:p>
    <w:p>
      <w:pPr>
        <w:jc w:val="both"/>
        <w:ind w:left="1960" w:hanging="655"/>
        <w:spacing w:after="0" w:line="250" w:lineRule="auto"/>
        <w:tabs>
          <w:tab w:leader="none" w:pos="1960" w:val="left"/>
        </w:tabs>
        <w:numPr>
          <w:ilvl w:val="0"/>
          <w:numId w:val="206"/>
        </w:numPr>
        <w:rPr>
          <w:rFonts w:ascii="Arial" w:cs="Arial" w:eastAsia="Arial" w:hAnsi="Arial"/>
          <w:sz w:val="22"/>
          <w:szCs w:val="22"/>
          <w:color w:val="auto"/>
        </w:rPr>
      </w:pPr>
      <w:r>
        <w:rPr>
          <w:rFonts w:ascii="Arial" w:cs="Arial" w:eastAsia="Arial" w:hAnsi="Arial"/>
          <w:sz w:val="22"/>
          <w:szCs w:val="22"/>
          <w:color w:val="auto"/>
        </w:rPr>
        <w:t>any amount of income tax for which the Corporation, Grantee’s employer or any other person is obliged to account under the Pay-As-You-Earn system and any amounts of employee’s national insurance contributions arising from the vesting of the Award (or which would not otherwise have arisen but for the grant of the Award to Grantee); and</w:t>
      </w:r>
    </w:p>
    <w:p>
      <w:pPr>
        <w:spacing w:after="0" w:line="228" w:lineRule="exact"/>
        <w:rPr>
          <w:rFonts w:ascii="Arial" w:cs="Arial" w:eastAsia="Arial" w:hAnsi="Arial"/>
          <w:sz w:val="22"/>
          <w:szCs w:val="22"/>
          <w:color w:val="auto"/>
        </w:rPr>
      </w:pPr>
    </w:p>
    <w:p>
      <w:pPr>
        <w:jc w:val="both"/>
        <w:ind w:left="1960" w:hanging="655"/>
        <w:spacing w:after="0" w:line="297" w:lineRule="auto"/>
        <w:tabs>
          <w:tab w:leader="none" w:pos="1960" w:val="left"/>
        </w:tabs>
        <w:numPr>
          <w:ilvl w:val="0"/>
          <w:numId w:val="206"/>
        </w:numPr>
        <w:rPr>
          <w:rFonts w:ascii="Arial" w:cs="Arial" w:eastAsia="Arial" w:hAnsi="Arial"/>
          <w:sz w:val="19"/>
          <w:szCs w:val="19"/>
          <w:color w:val="auto"/>
        </w:rPr>
      </w:pPr>
      <w:r>
        <w:rPr>
          <w:rFonts w:ascii="Arial" w:cs="Arial" w:eastAsia="Arial" w:hAnsi="Arial"/>
          <w:sz w:val="19"/>
          <w:szCs w:val="19"/>
          <w:color w:val="auto"/>
        </w:rPr>
        <w:t>any amount of income tax for which the Corporation, Grantee’s employer or any other person is obliged to account under the Pay-As-You-Earn system and any amounts of employee’s national insurance contributions arising in respect of, or in connection with the holding or disposal by Grantee of the shares of Common Stock acquired pursuant to the Award or the conversion of such shares of Common Stock into securities of another description whilst such shares of Common Stock are held by Grantee,</w:t>
      </w:r>
    </w:p>
    <w:p>
      <w:pPr>
        <w:spacing w:after="0" w:line="188" w:lineRule="exact"/>
        <w:rPr>
          <w:sz w:val="20"/>
          <w:szCs w:val="20"/>
          <w:color w:val="auto"/>
        </w:rPr>
      </w:pPr>
    </w:p>
    <w:p>
      <w:pPr>
        <w:jc w:val="both"/>
        <w:ind w:left="660" w:firstLine="648"/>
        <w:spacing w:after="0" w:line="261" w:lineRule="auto"/>
        <w:rPr>
          <w:sz w:val="20"/>
          <w:szCs w:val="20"/>
          <w:color w:val="auto"/>
        </w:rPr>
      </w:pPr>
      <w:r>
        <w:rPr>
          <w:rFonts w:ascii="Arial" w:cs="Arial" w:eastAsia="Arial" w:hAnsi="Arial"/>
          <w:sz w:val="21"/>
          <w:szCs w:val="21"/>
          <w:color w:val="auto"/>
        </w:rPr>
        <w:t>and in pursuance of such indemnity, Grantee hereby agrees that he or she shall pay to the Corporation (or to such other entity as directed by it) such amount as shall be notified to Grantee by the Corporation as being due on any occasion under such indemnity, within seven days after being so notified. To the extent that Grantee fails to pay any amount so notified to him or by the Corporation within seven days after such notification, Grantee hereby agrees that the Corporation may withhold, or procure the withholding, from any salary, wages, payment or payments due to Grantee from the Corporation or the Employer an amount which is equal to the</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v</w:t>
      </w:r>
    </w:p>
    <w:p>
      <w:pPr>
        <w:sectPr>
          <w:pgSz w:w="11900" w:h="16838" w:orient="portrait"/>
          <w:cols w:equalWidth="0" w:num="1">
            <w:col w:w="11420"/>
          </w:cols>
          <w:pgMar w:left="240" w:top="632" w:right="239" w:bottom="1440" w:gutter="0" w:footer="0" w:header="0"/>
        </w:sectPr>
      </w:pPr>
    </w:p>
    <w:bookmarkStart w:id="175" w:name="page176"/>
    <w:bookmarkEnd w:id="175"/>
    <w:p>
      <w:pPr>
        <w:jc w:val="both"/>
        <w:ind w:left="660"/>
        <w:spacing w:after="0" w:line="260" w:lineRule="auto"/>
        <w:rPr>
          <w:sz w:val="20"/>
          <w:szCs w:val="20"/>
          <w:color w:val="auto"/>
        </w:rPr>
      </w:pPr>
      <w:r>
        <w:rPr>
          <w:rFonts w:ascii="Arial" w:cs="Arial" w:eastAsia="Arial" w:hAnsi="Arial"/>
          <w:sz w:val="21"/>
          <w:szCs w:val="21"/>
          <w:color w:val="auto"/>
        </w:rPr>
        <w:t>amount notified to Grantee, sell or procure the sale of sufficient of the shares of Common Stock acquired by Grantee pursuant to the Award on behalf of Grantee to produce a sum which after any costs of sale is sufficient to discharge the amount so notified to Grantee and retain such sum or make such other arrangements, by which Grantee hereby agrees to be bound, so as to ensure that the amount notified to Grantee is discharged in full. The Corporation will not be obliged to deliver any shares of Common Stock to Grantee pursuant to the Award if Grantee fails to comply with his or her obligations under the foregoing provisions of this Section II.B.2 and Grantee shall not be entitled to receive the delivery of such shares of Common Stock.”</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Clawback Policy</w:t>
      </w:r>
      <w:r>
        <w:rPr>
          <w:rFonts w:ascii="Arial" w:cs="Arial" w:eastAsia="Arial" w:hAnsi="Arial"/>
          <w:sz w:val="22"/>
          <w:szCs w:val="22"/>
          <w:color w:val="auto"/>
        </w:rPr>
        <w:t>. Section II.B.12 of the Agreement shall not apply.</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Data Privacy</w:t>
      </w:r>
      <w:r>
        <w:rPr>
          <w:rFonts w:ascii="Arial" w:cs="Arial" w:eastAsia="Arial" w:hAnsi="Arial"/>
          <w:sz w:val="22"/>
          <w:szCs w:val="22"/>
          <w:color w:val="auto"/>
        </w:rPr>
        <w:t>. A new Section II.B.13 is added to the Agreement to read as follows:</w:t>
      </w:r>
    </w:p>
    <w:p>
      <w:pPr>
        <w:spacing w:after="0" w:line="266" w:lineRule="exact"/>
        <w:rPr>
          <w:sz w:val="20"/>
          <w:szCs w:val="20"/>
          <w:color w:val="auto"/>
        </w:rPr>
      </w:pPr>
    </w:p>
    <w:p>
      <w:pPr>
        <w:jc w:val="both"/>
        <w:ind w:left="1300"/>
        <w:spacing w:after="0" w:line="250" w:lineRule="auto"/>
        <w:rPr>
          <w:sz w:val="20"/>
          <w:szCs w:val="20"/>
          <w:color w:val="auto"/>
        </w:rPr>
      </w:pPr>
      <w:r>
        <w:rPr>
          <w:rFonts w:ascii="Arial" w:cs="Arial" w:eastAsia="Arial" w:hAnsi="Arial"/>
          <w:sz w:val="22"/>
          <w:szCs w:val="22"/>
          <w:color w:val="auto"/>
        </w:rPr>
        <w:t>“The Corporation and Grantee’s employer (together the “Data Processors”) will process the Grantee’s personal data and each may transfer the Grantee’s personal data to their Subsidiaries, HM Revenue and Customs and third party service providers, for the purposes of managing and administering the Award and the operation of the Plan including but not limited to:</w:t>
      </w:r>
    </w:p>
    <w:p>
      <w:pPr>
        <w:spacing w:after="0" w:line="188" w:lineRule="exact"/>
        <w:rPr>
          <w:sz w:val="20"/>
          <w:szCs w:val="20"/>
          <w:color w:val="auto"/>
        </w:rPr>
      </w:pPr>
    </w:p>
    <w:p>
      <w:pPr>
        <w:ind w:left="2180" w:hanging="902"/>
        <w:spacing w:after="0"/>
        <w:tabs>
          <w:tab w:leader="none" w:pos="2180" w:val="left"/>
        </w:tabs>
        <w:numPr>
          <w:ilvl w:val="0"/>
          <w:numId w:val="207"/>
        </w:numPr>
        <w:rPr>
          <w:rFonts w:ascii="Arial" w:cs="Arial" w:eastAsia="Arial" w:hAnsi="Arial"/>
          <w:sz w:val="22"/>
          <w:szCs w:val="22"/>
          <w:color w:val="auto"/>
        </w:rPr>
      </w:pPr>
      <w:r>
        <w:rPr>
          <w:rFonts w:ascii="Arial" w:cs="Arial" w:eastAsia="Arial" w:hAnsi="Arial"/>
          <w:sz w:val="22"/>
          <w:szCs w:val="22"/>
          <w:color w:val="auto"/>
        </w:rPr>
        <w:t>administering and maintaining records relating to Grantee;</w:t>
      </w:r>
    </w:p>
    <w:p>
      <w:pPr>
        <w:spacing w:after="0" w:line="21" w:lineRule="exact"/>
        <w:rPr>
          <w:rFonts w:ascii="Arial" w:cs="Arial" w:eastAsia="Arial" w:hAnsi="Arial"/>
          <w:sz w:val="22"/>
          <w:szCs w:val="22"/>
          <w:color w:val="auto"/>
        </w:rPr>
      </w:pPr>
    </w:p>
    <w:p>
      <w:pPr>
        <w:ind w:left="1960" w:right="20" w:hanging="655"/>
        <w:spacing w:after="0" w:line="243" w:lineRule="auto"/>
        <w:tabs>
          <w:tab w:leader="none" w:pos="1960" w:val="left"/>
        </w:tabs>
        <w:numPr>
          <w:ilvl w:val="1"/>
          <w:numId w:val="207"/>
        </w:numPr>
        <w:rPr>
          <w:rFonts w:ascii="Arial" w:cs="Arial" w:eastAsia="Arial" w:hAnsi="Arial"/>
          <w:sz w:val="22"/>
          <w:szCs w:val="22"/>
          <w:color w:val="auto"/>
        </w:rPr>
      </w:pPr>
      <w:r>
        <w:rPr>
          <w:rFonts w:ascii="Arial" w:cs="Arial" w:eastAsia="Arial" w:hAnsi="Arial"/>
          <w:sz w:val="22"/>
          <w:szCs w:val="22"/>
          <w:color w:val="auto"/>
        </w:rPr>
        <w:t>providing information to (i) trustees of any employee benefit trust or (ii) other third party administrators involved directly or indirectly in the operation of the Plan;</w:t>
      </w:r>
    </w:p>
    <w:p>
      <w:pPr>
        <w:ind w:left="1960" w:hanging="655"/>
        <w:spacing w:after="0" w:line="243" w:lineRule="auto"/>
        <w:tabs>
          <w:tab w:leader="none" w:pos="1960" w:val="left"/>
        </w:tabs>
        <w:numPr>
          <w:ilvl w:val="1"/>
          <w:numId w:val="207"/>
        </w:numPr>
        <w:rPr>
          <w:rFonts w:ascii="Arial" w:cs="Arial" w:eastAsia="Arial" w:hAnsi="Arial"/>
          <w:sz w:val="22"/>
          <w:szCs w:val="22"/>
          <w:color w:val="auto"/>
        </w:rPr>
      </w:pPr>
      <w:r>
        <w:rPr>
          <w:rFonts w:ascii="Arial" w:cs="Arial" w:eastAsia="Arial" w:hAnsi="Arial"/>
          <w:sz w:val="22"/>
          <w:szCs w:val="22"/>
          <w:color w:val="auto"/>
        </w:rPr>
        <w:t>providing information relating to the Grantee in connection with the operation of the Plan to HM Revenue and Customs;</w:t>
      </w:r>
    </w:p>
    <w:p>
      <w:pPr>
        <w:ind w:left="1960" w:hanging="655"/>
        <w:spacing w:after="0"/>
        <w:tabs>
          <w:tab w:leader="none" w:pos="1960" w:val="left"/>
        </w:tabs>
        <w:numPr>
          <w:ilvl w:val="1"/>
          <w:numId w:val="207"/>
        </w:numPr>
        <w:rPr>
          <w:rFonts w:ascii="Arial" w:cs="Arial" w:eastAsia="Arial" w:hAnsi="Arial"/>
          <w:sz w:val="22"/>
          <w:szCs w:val="22"/>
          <w:color w:val="auto"/>
        </w:rPr>
      </w:pPr>
      <w:r>
        <w:rPr>
          <w:rFonts w:ascii="Arial" w:cs="Arial" w:eastAsia="Arial" w:hAnsi="Arial"/>
          <w:sz w:val="22"/>
          <w:szCs w:val="22"/>
          <w:color w:val="auto"/>
        </w:rPr>
        <w:t>providing information to potential purchasers of one or more of the Data Processors; and</w:t>
      </w:r>
    </w:p>
    <w:p>
      <w:pPr>
        <w:spacing w:after="0" w:line="3" w:lineRule="exact"/>
        <w:rPr>
          <w:rFonts w:ascii="Arial" w:cs="Arial" w:eastAsia="Arial" w:hAnsi="Arial"/>
          <w:sz w:val="22"/>
          <w:szCs w:val="22"/>
          <w:color w:val="auto"/>
        </w:rPr>
      </w:pPr>
    </w:p>
    <w:p>
      <w:pPr>
        <w:ind w:left="1960" w:hanging="655"/>
        <w:spacing w:after="0"/>
        <w:tabs>
          <w:tab w:leader="none" w:pos="1960" w:val="left"/>
        </w:tabs>
        <w:numPr>
          <w:ilvl w:val="1"/>
          <w:numId w:val="207"/>
        </w:numPr>
        <w:rPr>
          <w:rFonts w:ascii="Arial" w:cs="Arial" w:eastAsia="Arial" w:hAnsi="Arial"/>
          <w:sz w:val="19"/>
          <w:szCs w:val="19"/>
          <w:color w:val="auto"/>
        </w:rPr>
      </w:pPr>
      <w:r>
        <w:rPr>
          <w:rFonts w:ascii="Arial" w:cs="Arial" w:eastAsia="Arial" w:hAnsi="Arial"/>
          <w:sz w:val="19"/>
          <w:szCs w:val="19"/>
          <w:color w:val="auto"/>
        </w:rPr>
        <w:t>allowing any personal data provided by Grantee to be sent to and kept and used by any third party engaged</w:t>
      </w:r>
    </w:p>
    <w:p>
      <w:pPr>
        <w:spacing w:after="0" w:line="38" w:lineRule="exact"/>
        <w:rPr>
          <w:sz w:val="20"/>
          <w:szCs w:val="20"/>
          <w:color w:val="auto"/>
        </w:rPr>
      </w:pPr>
    </w:p>
    <w:p>
      <w:pPr>
        <w:ind w:left="1960"/>
        <w:spacing w:after="0" w:line="243" w:lineRule="auto"/>
        <w:rPr>
          <w:sz w:val="20"/>
          <w:szCs w:val="20"/>
          <w:color w:val="auto"/>
        </w:rPr>
      </w:pPr>
      <w:r>
        <w:rPr>
          <w:rFonts w:ascii="Arial" w:cs="Arial" w:eastAsia="Arial" w:hAnsi="Arial"/>
          <w:sz w:val="22"/>
          <w:szCs w:val="22"/>
          <w:color w:val="auto"/>
        </w:rPr>
        <w:t>by the Corporation to administer the Plan, including but not limited to the maintenance by such a third party of a database of Participants in the Plan.</w:t>
      </w:r>
    </w:p>
    <w:p>
      <w:pPr>
        <w:spacing w:after="0" w:line="1" w:lineRule="exact"/>
        <w:rPr>
          <w:sz w:val="20"/>
          <w:szCs w:val="20"/>
          <w:color w:val="auto"/>
        </w:rPr>
      </w:pPr>
    </w:p>
    <w:p>
      <w:pPr>
        <w:jc w:val="both"/>
        <w:ind w:left="1300"/>
        <w:spacing w:after="0" w:line="290" w:lineRule="auto"/>
        <w:rPr>
          <w:sz w:val="20"/>
          <w:szCs w:val="20"/>
          <w:color w:val="auto"/>
        </w:rPr>
      </w:pPr>
      <w:r>
        <w:rPr>
          <w:rFonts w:ascii="Arial" w:cs="Arial" w:eastAsia="Arial" w:hAnsi="Arial"/>
          <w:sz w:val="19"/>
          <w:szCs w:val="19"/>
          <w:color w:val="auto"/>
        </w:rPr>
        <w:t>Such personal data includes (without limitation) Grantee’s name, home address and telephone number; date of birth; social insurance or national insurance number or other identification number; salary; nationality; job title; any Common Stock or directorships held in the any of the Data Processors; alleged, proven and convicted offences, felonies and/or wilful misconduct; wilful failure or refusal to follow directions from the board of the Corporation; breach of fiduciary duty to the Corporation or a Subsidiary; and details of all Awards or any other entitlement to Common Stock awarded, cancelled, exercised, vested, unvested or outstanding in Grantee’s favour.</w:t>
      </w:r>
    </w:p>
    <w:p>
      <w:pPr>
        <w:spacing w:after="0" w:line="154" w:lineRule="exact"/>
        <w:rPr>
          <w:sz w:val="20"/>
          <w:szCs w:val="20"/>
          <w:color w:val="auto"/>
        </w:rPr>
      </w:pPr>
    </w:p>
    <w:p>
      <w:pPr>
        <w:jc w:val="both"/>
        <w:ind w:left="1300"/>
        <w:spacing w:after="0" w:line="253" w:lineRule="auto"/>
        <w:rPr>
          <w:sz w:val="20"/>
          <w:szCs w:val="20"/>
          <w:color w:val="auto"/>
        </w:rPr>
      </w:pPr>
      <w:r>
        <w:rPr>
          <w:rFonts w:ascii="Arial" w:cs="Arial" w:eastAsia="Arial" w:hAnsi="Arial"/>
          <w:sz w:val="22"/>
          <w:szCs w:val="22"/>
          <w:color w:val="auto"/>
        </w:rPr>
        <w:t>Grantee’s personal data may be transferred to the Data Processors or to any third parties assisting in the implementation, administration and management of the Plan and/or the Award which are based outside of the UK. Grantee’s employer and the</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vi</w:t>
      </w:r>
    </w:p>
    <w:p>
      <w:pPr>
        <w:sectPr>
          <w:pgSz w:w="11900" w:h="16838" w:orient="portrait"/>
          <w:cols w:equalWidth="0" w:num="1">
            <w:col w:w="11420"/>
          </w:cols>
          <w:pgMar w:left="240" w:top="631" w:right="239" w:bottom="1440" w:gutter="0" w:footer="0" w:header="0"/>
        </w:sectPr>
      </w:pPr>
    </w:p>
    <w:bookmarkStart w:id="176" w:name="page177"/>
    <w:bookmarkEnd w:id="176"/>
    <w:p>
      <w:pPr>
        <w:jc w:val="both"/>
        <w:ind w:left="1300"/>
        <w:spacing w:after="0" w:line="253" w:lineRule="auto"/>
        <w:rPr>
          <w:sz w:val="20"/>
          <w:szCs w:val="20"/>
          <w:color w:val="auto"/>
        </w:rPr>
      </w:pPr>
      <w:r>
        <w:rPr>
          <w:rFonts w:ascii="Arial" w:cs="Arial" w:eastAsia="Arial" w:hAnsi="Arial"/>
          <w:sz w:val="22"/>
          <w:szCs w:val="22"/>
          <w:color w:val="auto"/>
        </w:rPr>
        <w:t>Corporation (as appropriate) will implement safeguards to ensure the appropriate levels of protection for all such personal data. Grantee may request a list with the names and addresses of any potential recipients of the data by contacting their local human resources representative.</w:t>
      </w:r>
    </w:p>
    <w:p>
      <w:pPr>
        <w:spacing w:after="0" w:line="186" w:lineRule="exact"/>
        <w:rPr>
          <w:sz w:val="20"/>
          <w:szCs w:val="20"/>
          <w:color w:val="auto"/>
        </w:rPr>
      </w:pPr>
    </w:p>
    <w:p>
      <w:pPr>
        <w:jc w:val="both"/>
        <w:ind w:left="1300"/>
        <w:spacing w:after="0" w:line="302" w:lineRule="auto"/>
        <w:rPr>
          <w:sz w:val="20"/>
          <w:szCs w:val="20"/>
          <w:color w:val="auto"/>
        </w:rPr>
      </w:pPr>
      <w:r>
        <w:rPr>
          <w:rFonts w:ascii="Arial" w:cs="Arial" w:eastAsia="Arial" w:hAnsi="Arial"/>
          <w:sz w:val="19"/>
          <w:szCs w:val="19"/>
          <w:color w:val="auto"/>
        </w:rPr>
        <w:t>Grantee’s personal data will be held only as long as is necessary for the purpose for which it was collected. Grantee may (without cost) by contacting in writing their local human resources representative (i) view or request additional information about the storage and processing of their personal data, and/or (ii) request that any personal data that the Data Processors hold about Grantee which is inaccurate or out of date is corrected where appropriate.”</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Loss of Office or Employment</w:t>
      </w:r>
      <w:r>
        <w:rPr>
          <w:rFonts w:ascii="Arial" w:cs="Arial" w:eastAsia="Arial" w:hAnsi="Arial"/>
          <w:sz w:val="22"/>
          <w:szCs w:val="22"/>
          <w:color w:val="auto"/>
        </w:rPr>
        <w:t>. A new Section II.B.14 is added to the Agreement to read as follows:</w:t>
      </w:r>
    </w:p>
    <w:p>
      <w:pPr>
        <w:spacing w:after="0" w:line="266" w:lineRule="exact"/>
        <w:rPr>
          <w:sz w:val="20"/>
          <w:szCs w:val="20"/>
          <w:color w:val="auto"/>
        </w:rPr>
      </w:pPr>
    </w:p>
    <w:p>
      <w:pPr>
        <w:jc w:val="both"/>
        <w:ind w:left="1300"/>
        <w:spacing w:after="0" w:line="248" w:lineRule="auto"/>
        <w:rPr>
          <w:sz w:val="20"/>
          <w:szCs w:val="20"/>
          <w:color w:val="auto"/>
        </w:rPr>
      </w:pPr>
      <w:r>
        <w:rPr>
          <w:rFonts w:ascii="Arial" w:cs="Arial" w:eastAsia="Arial" w:hAnsi="Arial"/>
          <w:sz w:val="22"/>
          <w:szCs w:val="22"/>
          <w:color w:val="auto"/>
        </w:rPr>
        <w:t>“In no circumstances shall Grantee, on ceasing to hold the office or employment by virtue of which he has been granted this Award, be entitled to any compensation for any loss of any right or benefit or prospective right or benefit under the Award or the Plan which he might otherwise have enjoyed whether such compensation is claimed by way of damages for wrongful dismissal or other breach of contract or by way of compensation for loss of office or otherwise.”</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Notifications</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There are no country-specific notifications.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vii</w:t>
      </w:r>
    </w:p>
    <w:p>
      <w:pPr>
        <w:sectPr>
          <w:pgSz w:w="11900" w:h="16838" w:orient="portrait"/>
          <w:cols w:equalWidth="0" w:num="1">
            <w:col w:w="11420"/>
          </w:cols>
          <w:pgMar w:left="240" w:top="631" w:right="239" w:bottom="1440" w:gutter="0" w:footer="0" w:header="0"/>
        </w:sectPr>
      </w:pPr>
    </w:p>
    <w:bookmarkStart w:id="177" w:name="page178"/>
    <w:bookmarkEnd w:id="177"/>
    <w:p>
      <w:pPr>
        <w:jc w:val="right"/>
        <w:spacing w:after="0"/>
        <w:rPr>
          <w:sz w:val="20"/>
          <w:szCs w:val="20"/>
          <w:color w:val="auto"/>
        </w:rPr>
      </w:pPr>
      <w:r>
        <w:rPr>
          <w:rFonts w:ascii="Arial" w:cs="Arial" w:eastAsia="Arial" w:hAnsi="Arial"/>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(Chapter 63, Title 18 U.S.C. Section 1350(A) and (B))</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David M. Wathen, certify that:</w:t>
      </w:r>
    </w:p>
    <w:p>
      <w:pPr>
        <w:spacing w:after="0" w:line="225" w:lineRule="exact"/>
        <w:rPr>
          <w:sz w:val="20"/>
          <w:szCs w:val="20"/>
          <w:color w:val="auto"/>
        </w:rPr>
      </w:pPr>
    </w:p>
    <w:p>
      <w:pPr>
        <w:ind w:left="320" w:hanging="312"/>
        <w:spacing w:after="0"/>
        <w:tabs>
          <w:tab w:leader="none" w:pos="32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TriMas Corporation;</w:t>
      </w:r>
    </w:p>
    <w:p>
      <w:pPr>
        <w:spacing w:after="0" w:line="22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20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980" w:hanging="324"/>
        <w:spacing w:after="0" w:line="264" w:lineRule="auto"/>
        <w:tabs>
          <w:tab w:leader="none" w:pos="878" w:val="left"/>
        </w:tabs>
        <w:numPr>
          <w:ilvl w:val="1"/>
          <w:numId w:val="20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right="20" w:hanging="324"/>
        <w:spacing w:after="0" w:line="308" w:lineRule="auto"/>
        <w:tabs>
          <w:tab w:leader="none" w:pos="980" w:val="left"/>
        </w:tabs>
        <w:numPr>
          <w:ilvl w:val="1"/>
          <w:numId w:val="20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20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20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20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1"/>
          <w:numId w:val="20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28, 2016</w:t>
      </w:r>
    </w:p>
    <w:p>
      <w:pPr>
        <w:spacing w:after="0" w:line="333"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/s/ DAVID M. WATHEN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31750</wp:posOffset>
            </wp:positionV>
            <wp:extent cx="26758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57"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David M. Wathen</w:t>
      </w:r>
    </w:p>
    <w:p>
      <w:pPr>
        <w:spacing w:after="0" w:line="23" w:lineRule="exact"/>
        <w:rPr>
          <w:sz w:val="20"/>
          <w:szCs w:val="20"/>
          <w:color w:val="auto"/>
        </w:rPr>
      </w:pPr>
    </w:p>
    <w:p>
      <w:pPr>
        <w:ind w:left="722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581" w:right="239" w:bottom="1440" w:gutter="0" w:footer="0" w:header="0"/>
        </w:sectPr>
      </w:pPr>
    </w:p>
    <w:bookmarkStart w:id="178" w:name="page179"/>
    <w:bookmarkEnd w:id="178"/>
    <w:p>
      <w:pPr>
        <w:jc w:val="right"/>
        <w:spacing w:after="0"/>
        <w:rPr>
          <w:sz w:val="20"/>
          <w:szCs w:val="20"/>
          <w:color w:val="auto"/>
        </w:rPr>
      </w:pPr>
      <w:r>
        <w:rPr>
          <w:rFonts w:ascii="Arial" w:cs="Arial" w:eastAsia="Arial" w:hAnsi="Arial"/>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(Chapter 63, Title 18 U.S.C. Section 1350(A) and (B))</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Robert J. Zalupski, certify that:</w:t>
      </w:r>
    </w:p>
    <w:p>
      <w:pPr>
        <w:spacing w:after="0" w:line="225" w:lineRule="exact"/>
        <w:rPr>
          <w:sz w:val="20"/>
          <w:szCs w:val="20"/>
          <w:color w:val="auto"/>
        </w:rPr>
      </w:pPr>
    </w:p>
    <w:p>
      <w:pPr>
        <w:ind w:left="320" w:hanging="312"/>
        <w:spacing w:after="0"/>
        <w:tabs>
          <w:tab w:leader="none" w:pos="32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TriMas Corporation;</w:t>
      </w:r>
    </w:p>
    <w:p>
      <w:pPr>
        <w:spacing w:after="0" w:line="22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20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980" w:hanging="324"/>
        <w:spacing w:after="0" w:line="264" w:lineRule="auto"/>
        <w:tabs>
          <w:tab w:leader="none" w:pos="878" w:val="left"/>
        </w:tabs>
        <w:numPr>
          <w:ilvl w:val="1"/>
          <w:numId w:val="20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right="20" w:hanging="324"/>
        <w:spacing w:after="0" w:line="308" w:lineRule="auto"/>
        <w:tabs>
          <w:tab w:leader="none" w:pos="980" w:val="left"/>
        </w:tabs>
        <w:numPr>
          <w:ilvl w:val="1"/>
          <w:numId w:val="20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20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20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20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1"/>
          <w:numId w:val="20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28, 2016</w:t>
      </w:r>
    </w:p>
    <w:p>
      <w:pPr>
        <w:spacing w:after="0" w:line="33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 ROBERT J. ZALUPSKI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31750</wp:posOffset>
            </wp:positionV>
            <wp:extent cx="26758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57"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Robert J. Zalupski</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Chief Financial Officer</w:t>
      </w:r>
    </w:p>
    <w:p>
      <w:pPr>
        <w:sectPr>
          <w:pgSz w:w="11900" w:h="16838" w:orient="portrait"/>
          <w:cols w:equalWidth="0" w:num="1">
            <w:col w:w="11420"/>
          </w:cols>
          <w:pgMar w:left="240" w:top="580" w:right="239" w:bottom="1440" w:gutter="0" w:footer="0" w:header="0"/>
        </w:sectPr>
      </w:pPr>
    </w:p>
    <w:bookmarkStart w:id="179" w:name="page180"/>
    <w:bookmarkEnd w:id="179"/>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of TriMas Corporation (the “Company”) on Form 10-Q for the period ended March 31, 2016 as filed with the Securities and Exchange Commission on the date hereof (the “Report”), I, David M. Wathen, Chief Executive Officer of the Company, certify, pursuant to 18 U.S.C. § 1350, as adopted pursuant to § 906 of the Sarbanes-Oxley Act of 2002, that to the best of my knowledge:</w:t>
      </w:r>
    </w:p>
    <w:p>
      <w:pPr>
        <w:spacing w:after="0" w:line="181" w:lineRule="exact"/>
        <w:rPr>
          <w:sz w:val="20"/>
          <w:szCs w:val="20"/>
          <w:color w:val="auto"/>
        </w:rPr>
      </w:pPr>
    </w:p>
    <w:p>
      <w:pPr>
        <w:ind w:left="980" w:hanging="324"/>
        <w:spacing w:after="0"/>
        <w:tabs>
          <w:tab w:leader="none" w:pos="98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28, 2016</w:t>
      </w:r>
    </w:p>
    <w:p>
      <w:pPr>
        <w:spacing w:after="0" w:line="33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 DAVID M. WATHEN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31750</wp:posOffset>
            </wp:positionV>
            <wp:extent cx="26758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57"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David M. Wathen</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581" w:right="239" w:bottom="1440" w:gutter="0" w:footer="0" w:header="0"/>
        </w:sectPr>
      </w:pPr>
    </w:p>
    <w:bookmarkStart w:id="180" w:name="page181"/>
    <w:bookmarkEnd w:id="180"/>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of TriMas Corporation (the “Company”) on Form 10-Q for the period ended March 31, 2016 as filed with the Securities and Exchange Commission on the date hereof (the “Report”), I, Robert J. Zalupski, Chief Financial Officer of the Company, certify, pursuant to 18 U.S.C. § 1350, as adopted pursuant to § 906 of the Sarbanes-Oxley Act of 2002, that to the best of my knowledge:</w:t>
      </w:r>
    </w:p>
    <w:p>
      <w:pPr>
        <w:spacing w:after="0" w:line="181" w:lineRule="exact"/>
        <w:rPr>
          <w:sz w:val="20"/>
          <w:szCs w:val="20"/>
          <w:color w:val="auto"/>
        </w:rPr>
      </w:pPr>
    </w:p>
    <w:p>
      <w:pPr>
        <w:ind w:left="980" w:hanging="324"/>
        <w:spacing w:after="0"/>
        <w:tabs>
          <w:tab w:leader="none" w:pos="98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28, 2016</w:t>
      </w:r>
    </w:p>
    <w:p>
      <w:pPr>
        <w:spacing w:after="0" w:line="33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 ROBERT J. ZALUPSKI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31750</wp:posOffset>
            </wp:positionV>
            <wp:extent cx="26758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57"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Robert J. Zalupski</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BFE8E0"/>
    <w:multiLevelType w:val="hybridMultilevel"/>
    <w:lvl w:ilvl="0">
      <w:lvlJc w:val="left"/>
      <w:lvlText w:val="x"/>
      <w:numFmt w:val="bullet"/>
      <w:start w:val="1"/>
    </w:lvl>
  </w:abstractNum>
  <w:abstractNum w:abstractNumId="1">
    <w:nsid w:val="5092CA79"/>
    <w:multiLevelType w:val="hybridMultilevel"/>
    <w:lvl w:ilvl="0">
      <w:lvlJc w:val="left"/>
      <w:lvlText w:val="o"/>
      <w:numFmt w:val="bullet"/>
      <w:start w:val="1"/>
    </w:lvl>
  </w:abstractNum>
  <w:abstractNum w:abstractNumId="2">
    <w:nsid w:val="1D545C4D"/>
    <w:multiLevelType w:val="hybridMultilevel"/>
    <w:lvl w:ilvl="0">
      <w:lvlJc w:val="left"/>
      <w:lvlText w:val="•"/>
      <w:numFmt w:val="bullet"/>
      <w:start w:val="1"/>
    </w:lvl>
    <w:lvl w:ilvl="1">
      <w:lvlJc w:val="left"/>
      <w:lvlText w:val="•"/>
      <w:numFmt w:val="bullet"/>
      <w:start w:val="1"/>
    </w:lvl>
  </w:abstractNum>
  <w:abstractNum w:abstractNumId="3">
    <w:nsid w:val="59ADEA3D"/>
    <w:multiLevelType w:val="hybridMultilevel"/>
    <w:lvl w:ilvl="0">
      <w:lvlJc w:val="left"/>
      <w:lvlText w:val="(%1)"/>
      <w:numFmt w:val="lowerLetter"/>
      <w:start w:val="1"/>
    </w:lvl>
  </w:abstractNum>
  <w:abstractNum w:abstractNumId="4">
    <w:nsid w:val="288F1A34"/>
    <w:multiLevelType w:val="hybridMultilevel"/>
    <w:lvl w:ilvl="0">
      <w:lvlJc w:val="left"/>
      <w:lvlText w:val="(%1)"/>
      <w:numFmt w:val="lowerLetter"/>
      <w:start w:val="1"/>
    </w:lvl>
  </w:abstractNum>
  <w:abstractNum w:abstractNumId="5">
    <w:nsid w:val="2A155DBC"/>
    <w:multiLevelType w:val="hybridMultilevel"/>
    <w:lvl w:ilvl="0">
      <w:lvlJc w:val="left"/>
      <w:lvlText w:val="•"/>
      <w:numFmt w:val="bullet"/>
      <w:start w:val="1"/>
    </w:lvl>
  </w:abstractNum>
  <w:abstractNum w:abstractNumId="6">
    <w:nsid w:val="1D9F6E5F"/>
    <w:multiLevelType w:val="hybridMultilevel"/>
    <w:lvl w:ilvl="0">
      <w:lvlJc w:val="left"/>
      <w:lvlText w:val="•"/>
      <w:numFmt w:val="bullet"/>
      <w:start w:val="1"/>
    </w:lvl>
  </w:abstractNum>
  <w:abstractNum w:abstractNumId="7">
    <w:nsid w:val="97E1B4E"/>
    <w:multiLevelType w:val="hybridMultilevel"/>
    <w:lvl w:ilvl="0">
      <w:lvlJc w:val="left"/>
      <w:lvlText w:val="(%1)"/>
      <w:numFmt w:val="decimal"/>
      <w:start w:val="1"/>
    </w:lvl>
  </w:abstractNum>
  <w:abstractNum w:abstractNumId="8">
    <w:nsid w:val="51088277"/>
    <w:multiLevelType w:val="hybridMultilevel"/>
    <w:lvl w:ilvl="0">
      <w:lvlJc w:val="left"/>
      <w:lvlText w:val="(%1)"/>
      <w:numFmt w:val="lowerLetter"/>
      <w:start w:val="1"/>
    </w:lvl>
  </w:abstractNum>
  <w:abstractNum w:abstractNumId="9">
    <w:nsid w:val="1CA0C5FA"/>
    <w:multiLevelType w:val="hybridMultilevel"/>
    <w:lvl w:ilvl="0">
      <w:lvlJc w:val="left"/>
      <w:lvlText w:val="%1."/>
      <w:numFmt w:val="upperLetter"/>
      <w:start w:val="9"/>
    </w:lvl>
  </w:abstractNum>
  <w:abstractNum w:abstractNumId="10">
    <w:nsid w:val="53584BCB"/>
    <w:multiLevelType w:val="hybridMultilevel"/>
    <w:lvl w:ilvl="0">
      <w:lvlJc w:val="left"/>
      <w:lvlText w:val="%1."/>
      <w:numFmt w:val="upperLetter"/>
      <w:start w:val="35"/>
    </w:lvl>
    <w:lvl w:ilvl="1">
      <w:lvlJc w:val="left"/>
      <w:lvlText w:val="%2"/>
      <w:numFmt w:val="upperLetter"/>
      <w:start w:val="1"/>
    </w:lvl>
  </w:abstractNum>
  <w:abstractNum w:abstractNumId="11">
    <w:nsid w:val="415E286C"/>
    <w:multiLevelType w:val="hybridMultilevel"/>
    <w:lvl w:ilvl="0">
      <w:lvlJc w:val="left"/>
      <w:lvlText w:val="%1."/>
      <w:numFmt w:val="decimal"/>
      <w:start w:val="1"/>
    </w:lvl>
  </w:abstractNum>
  <w:abstractNum w:abstractNumId="12">
    <w:nsid w:val="7C58FD05"/>
    <w:multiLevelType w:val="hybridMultilevel"/>
    <w:lvl w:ilvl="0">
      <w:lvlJc w:val="left"/>
      <w:lvlText w:val="(%1)"/>
      <w:numFmt w:val="lowerLetter"/>
      <w:start w:val="1"/>
    </w:lvl>
  </w:abstractNum>
  <w:abstractNum w:abstractNumId="13">
    <w:nsid w:val="23D86AAC"/>
    <w:multiLevelType w:val="hybridMultilevel"/>
    <w:lvl w:ilvl="0">
      <w:lvlJc w:val="left"/>
      <w:lvlText w:val="%1."/>
      <w:numFmt w:val="decimal"/>
      <w:start w:val="7"/>
    </w:lvl>
  </w:abstractNum>
  <w:abstractNum w:abstractNumId="14">
    <w:nsid w:val="45E6D486"/>
    <w:multiLevelType w:val="hybridMultilevel"/>
    <w:lvl w:ilvl="0">
      <w:lvlJc w:val="left"/>
      <w:lvlText w:val="(%1)"/>
      <w:numFmt w:val="lowerLetter"/>
      <w:start w:val="1"/>
    </w:lvl>
  </w:abstractNum>
  <w:abstractNum w:abstractNumId="15">
    <w:nsid w:val="5C10FE21"/>
    <w:multiLevelType w:val="hybridMultilevel"/>
    <w:lvl w:ilvl="0">
      <w:lvlJc w:val="left"/>
      <w:lvlText w:val="%1."/>
      <w:numFmt w:val="upperLetter"/>
      <w:start w:val="2"/>
    </w:lvl>
    <w:lvl w:ilvl="1">
      <w:lvlJc w:val="left"/>
      <w:lvlText w:val="%2."/>
      <w:numFmt w:val="decimal"/>
      <w:start w:val="1"/>
    </w:lvl>
  </w:abstractNum>
  <w:abstractNum w:abstractNumId="16">
    <w:nsid w:val="E7FFA2B"/>
    <w:multiLevelType w:val="hybridMultilevel"/>
    <w:lvl w:ilvl="0">
      <w:lvlJc w:val="left"/>
      <w:lvlText w:val="%1."/>
      <w:numFmt w:val="decimal"/>
      <w:start w:val="3"/>
    </w:lvl>
  </w:abstractNum>
  <w:abstractNum w:abstractNumId="17">
    <w:nsid w:val="3C5991AA"/>
    <w:multiLevelType w:val="hybridMultilevel"/>
    <w:lvl w:ilvl="0">
      <w:lvlJc w:val="left"/>
      <w:lvlText w:val="(%1)"/>
      <w:numFmt w:val="lowerLetter"/>
      <w:start w:val="1"/>
    </w:lvl>
    <w:lvl w:ilvl="1">
      <w:lvlJc w:val="left"/>
      <w:lvlText w:val="(%2)"/>
      <w:numFmt w:val="decimal"/>
      <w:start w:val="1"/>
    </w:lvl>
  </w:abstractNum>
  <w:abstractNum w:abstractNumId="18">
    <w:nsid w:val="4BD8591A"/>
    <w:multiLevelType w:val="hybridMultilevel"/>
    <w:lvl w:ilvl="0">
      <w:lvlJc w:val="left"/>
      <w:lvlText w:val="(%1)"/>
      <w:numFmt w:val="decimal"/>
      <w:start w:val="5"/>
    </w:lvl>
  </w:abstractNum>
  <w:abstractNum w:abstractNumId="19">
    <w:nsid w:val="78DF6A55"/>
    <w:multiLevelType w:val="hybridMultilevel"/>
    <w:lvl w:ilvl="0">
      <w:lvlJc w:val="left"/>
      <w:lvlText w:val="%1."/>
      <w:numFmt w:val="decimal"/>
      <w:start w:val="4"/>
    </w:lvl>
  </w:abstractNum>
  <w:abstractNum w:abstractNumId="20">
    <w:nsid w:val="39B7AAA2"/>
    <w:multiLevelType w:val="hybridMultilevel"/>
    <w:lvl w:ilvl="0">
      <w:lvlJc w:val="left"/>
      <w:lvlText w:val="%1."/>
      <w:numFmt w:val="decimal"/>
      <w:start w:val="10"/>
    </w:lvl>
  </w:abstractNum>
  <w:abstractNum w:abstractNumId="21">
    <w:nsid w:val="2B0D8DBE"/>
    <w:multiLevelType w:val="hybridMultilevel"/>
    <w:lvl w:ilvl="0">
      <w:lvlJc w:val="left"/>
      <w:lvlText w:val="(%1)"/>
      <w:numFmt w:val="lowerLetter"/>
      <w:start w:val="1"/>
    </w:lvl>
  </w:abstractNum>
  <w:abstractNum w:abstractNumId="22">
    <w:nsid w:val="6C80EC70"/>
    <w:multiLevelType w:val="hybridMultilevel"/>
    <w:lvl w:ilvl="0">
      <w:lvlJc w:val="left"/>
      <w:lvlText w:val="(%1)"/>
      <w:numFmt w:val="lowerLetter"/>
      <w:start w:val="10"/>
    </w:lvl>
  </w:abstractNum>
  <w:abstractNum w:abstractNumId="23">
    <w:nsid w:val="379E21B5"/>
    <w:multiLevelType w:val="hybridMultilevel"/>
    <w:lvl w:ilvl="0">
      <w:lvlJc w:val="left"/>
      <w:lvlText w:val="%1."/>
      <w:numFmt w:val="decimal"/>
      <w:start w:val="11"/>
    </w:lvl>
  </w:abstractNum>
  <w:abstractNum w:abstractNumId="24">
    <w:nsid w:val="69E373"/>
    <w:multiLevelType w:val="hybridMultilevel"/>
    <w:lvl w:ilvl="0">
      <w:lvlJc w:val="left"/>
      <w:lvlText w:val="%1."/>
      <w:numFmt w:val="decimal"/>
      <w:start w:val="1"/>
    </w:lvl>
    <w:lvl w:ilvl="1">
      <w:lvlJc w:val="left"/>
      <w:lvlText w:val="(%2)"/>
      <w:numFmt w:val="upperLetter"/>
      <w:start w:val="1"/>
    </w:lvl>
  </w:abstractNum>
  <w:abstractNum w:abstractNumId="25">
    <w:nsid w:val="2C27173B"/>
    <w:multiLevelType w:val="hybridMultilevel"/>
    <w:lvl w:ilvl="0">
      <w:lvlJc w:val="left"/>
      <w:lvlText w:val="%1"/>
      <w:numFmt w:val="decimal"/>
      <w:start w:val="1"/>
    </w:lvl>
    <w:lvl w:ilvl="1">
      <w:lvlJc w:val="left"/>
      <w:lvlText w:val="(%2)"/>
      <w:numFmt w:val="upperLetter"/>
      <w:start w:val="3"/>
    </w:lvl>
  </w:abstractNum>
  <w:abstractNum w:abstractNumId="26">
    <w:nsid w:val="4C9B0904"/>
    <w:multiLevelType w:val="hybridMultilevel"/>
    <w:lvl w:ilvl="0">
      <w:lvlJc w:val="left"/>
      <w:lvlText w:val="%1."/>
      <w:numFmt w:val="decimal"/>
      <w:start w:val="5"/>
    </w:lvl>
    <w:lvl w:ilvl="1">
      <w:lvlJc w:val="left"/>
      <w:lvlText w:val="%2"/>
      <w:numFmt w:val="upperLetter"/>
      <w:start w:val="1"/>
    </w:lvl>
  </w:abstractNum>
  <w:abstractNum w:abstractNumId="27">
    <w:nsid w:val="6AA7B75C"/>
    <w:multiLevelType w:val="hybridMultilevel"/>
    <w:lvl w:ilvl="0">
      <w:lvlJc w:val="left"/>
      <w:lvlText w:val="%1."/>
      <w:numFmt w:val="decimal"/>
      <w:start w:val="6"/>
    </w:lvl>
    <w:lvl w:ilvl="1">
      <w:lvlJc w:val="left"/>
      <w:lvlText w:val="(%2)"/>
      <w:numFmt w:val="upperLetter"/>
      <w:start w:val="1"/>
    </w:lvl>
  </w:abstractNum>
  <w:abstractNum w:abstractNumId="28">
    <w:nsid w:val="1DF029D3"/>
    <w:multiLevelType w:val="hybridMultilevel"/>
    <w:lvl w:ilvl="0">
      <w:lvlJc w:val="left"/>
      <w:lvlText w:val="(%1)"/>
      <w:numFmt w:val="upperLetter"/>
      <w:start w:val="3"/>
    </w:lvl>
  </w:abstractNum>
  <w:abstractNum w:abstractNumId="29">
    <w:nsid w:val="5675FF36"/>
    <w:multiLevelType w:val="hybridMultilevel"/>
    <w:lvl w:ilvl="0">
      <w:lvlJc w:val="left"/>
      <w:lvlText w:val="(%1)"/>
      <w:numFmt w:val="lowerRoman"/>
      <w:start w:val="1"/>
    </w:lvl>
  </w:abstractNum>
  <w:abstractNum w:abstractNumId="30">
    <w:nsid w:val="3DD15094"/>
    <w:multiLevelType w:val="hybridMultilevel"/>
    <w:lvl w:ilvl="0">
      <w:lvlJc w:val="left"/>
      <w:lvlText w:val="(%1)"/>
      <w:numFmt w:val="lowerRoman"/>
      <w:start w:val="4"/>
    </w:lvl>
  </w:abstractNum>
  <w:abstractNum w:abstractNumId="31">
    <w:nsid w:val="3DB012B3"/>
    <w:multiLevelType w:val="hybridMultilevel"/>
    <w:lvl w:ilvl="0">
      <w:lvlJc w:val="left"/>
      <w:lvlText w:val="(%1)"/>
      <w:numFmt w:val="lowerRoman"/>
      <w:start w:val="1"/>
    </w:lvl>
  </w:abstractNum>
  <w:abstractNum w:abstractNumId="32">
    <w:nsid w:val="2708C9AF"/>
    <w:multiLevelType w:val="hybridMultilevel"/>
    <w:lvl w:ilvl="0">
      <w:lvlJc w:val="left"/>
      <w:lvlText w:val="(%1)"/>
      <w:numFmt w:val="lowerRoman"/>
      <w:start w:val="3"/>
    </w:lvl>
  </w:abstractNum>
  <w:abstractNum w:abstractNumId="33">
    <w:nsid w:val="5B25ACE2"/>
    <w:multiLevelType w:val="hybridMultilevel"/>
    <w:lvl w:ilvl="0">
      <w:lvlJc w:val="left"/>
      <w:lvlText w:val="(%1)"/>
      <w:numFmt w:val="lowerRoman"/>
      <w:start w:val="1"/>
    </w:lvl>
  </w:abstractNum>
  <w:abstractNum w:abstractNumId="34">
    <w:nsid w:val="175DFCF0"/>
    <w:multiLevelType w:val="hybridMultilevel"/>
    <w:lvl w:ilvl="0">
      <w:lvlJc w:val="left"/>
      <w:lvlText w:val="(%1)"/>
      <w:numFmt w:val="lowerRoman"/>
      <w:start w:val="1"/>
    </w:lvl>
  </w:abstractNum>
  <w:abstractNum w:abstractNumId="35">
    <w:nsid w:val="4F97E3E4"/>
    <w:multiLevelType w:val="hybridMultilevel"/>
    <w:lvl w:ilvl="0">
      <w:lvlJc w:val="left"/>
      <w:lvlText w:val="(%1)"/>
      <w:numFmt w:val="lowerLetter"/>
      <w:start w:val="1"/>
    </w:lvl>
  </w:abstractNum>
  <w:abstractNum w:abstractNumId="36">
    <w:nsid w:val="53B0A9E"/>
    <w:multiLevelType w:val="hybridMultilevel"/>
    <w:lvl w:ilvl="0">
      <w:lvlJc w:val="left"/>
      <w:lvlText w:val="%1."/>
      <w:numFmt w:val="upperLetter"/>
      <w:start w:val="9"/>
    </w:lvl>
  </w:abstractNum>
  <w:abstractNum w:abstractNumId="37">
    <w:nsid w:val="34FD6B4F"/>
    <w:multiLevelType w:val="hybridMultilevel"/>
    <w:lvl w:ilvl="0">
      <w:lvlJc w:val="left"/>
      <w:lvlText w:val="%1."/>
      <w:numFmt w:val="upperLetter"/>
      <w:start w:val="35"/>
    </w:lvl>
    <w:lvl w:ilvl="1">
      <w:lvlJc w:val="left"/>
      <w:lvlText w:val="%2"/>
      <w:numFmt w:val="upperLetter"/>
      <w:start w:val="1"/>
    </w:lvl>
    <w:lvl w:ilvl="2">
      <w:lvlJc w:val="left"/>
      <w:lvlText w:val="%3."/>
      <w:numFmt w:val="decimal"/>
      <w:start w:val="1"/>
    </w:lvl>
  </w:abstractNum>
  <w:abstractNum w:abstractNumId="38">
    <w:nsid w:val="5915FF32"/>
    <w:multiLevelType w:val="hybridMultilevel"/>
    <w:lvl w:ilvl="0">
      <w:lvlJc w:val="left"/>
      <w:lvlText w:val="%1."/>
      <w:numFmt w:val="decimal"/>
      <w:start w:val="6"/>
    </w:lvl>
    <w:lvl w:ilvl="1">
      <w:lvlJc w:val="left"/>
      <w:lvlText w:val="(%2)"/>
      <w:numFmt w:val="lowerLetter"/>
      <w:start w:val="1"/>
    </w:lvl>
  </w:abstractNum>
  <w:abstractNum w:abstractNumId="39">
    <w:nsid w:val="56438D15"/>
    <w:multiLevelType w:val="hybridMultilevel"/>
    <w:lvl w:ilvl="0">
      <w:lvlJc w:val="left"/>
      <w:lvlText w:val="%1."/>
      <w:numFmt w:val="decimal"/>
      <w:start w:val="7"/>
    </w:lvl>
  </w:abstractNum>
  <w:abstractNum w:abstractNumId="40">
    <w:nsid w:val="519E3149"/>
    <w:multiLevelType w:val="hybridMultilevel"/>
    <w:lvl w:ilvl="0">
      <w:lvlJc w:val="left"/>
      <w:lvlText w:val="(%1)"/>
      <w:numFmt w:val="lowerLetter"/>
      <w:start w:val="1"/>
    </w:lvl>
  </w:abstractNum>
  <w:abstractNum w:abstractNumId="41">
    <w:nsid w:val="2C6E4AFD"/>
    <w:multiLevelType w:val="hybridMultilevel"/>
    <w:lvl w:ilvl="0">
      <w:lvlJc w:val="left"/>
      <w:lvlText w:val="%1."/>
      <w:numFmt w:val="upperLetter"/>
      <w:start w:val="2"/>
    </w:lvl>
    <w:lvl w:ilvl="1">
      <w:lvlJc w:val="left"/>
      <w:lvlText w:val="%2."/>
      <w:numFmt w:val="decimal"/>
      <w:start w:val="1"/>
    </w:lvl>
  </w:abstractNum>
  <w:abstractNum w:abstractNumId="42">
    <w:nsid w:val="17A1B582"/>
    <w:multiLevelType w:val="hybridMultilevel"/>
    <w:lvl w:ilvl="0">
      <w:lvlJc w:val="left"/>
      <w:lvlText w:val="%1."/>
      <w:numFmt w:val="decimal"/>
      <w:start w:val="3"/>
    </w:lvl>
  </w:abstractNum>
  <w:abstractNum w:abstractNumId="43">
    <w:nsid w:val="4DF72E4E"/>
    <w:multiLevelType w:val="hybridMultilevel"/>
    <w:lvl w:ilvl="0">
      <w:lvlJc w:val="left"/>
      <w:lvlText w:val="(%1)"/>
      <w:numFmt w:val="lowerLetter"/>
      <w:start w:val="1"/>
    </w:lvl>
    <w:lvl w:ilvl="1">
      <w:lvlJc w:val="left"/>
      <w:lvlText w:val="(%2)"/>
      <w:numFmt w:val="decimal"/>
      <w:start w:val="1"/>
    </w:lvl>
  </w:abstractNum>
  <w:abstractNum w:abstractNumId="44">
    <w:nsid w:val="5046B5A9"/>
    <w:multiLevelType w:val="hybridMultilevel"/>
    <w:lvl w:ilvl="0">
      <w:lvlJc w:val="left"/>
      <w:lvlText w:val="(%1)"/>
      <w:numFmt w:val="decimal"/>
      <w:start w:val="5"/>
    </w:lvl>
  </w:abstractNum>
  <w:abstractNum w:abstractNumId="45">
    <w:nsid w:val="5D888A08"/>
    <w:multiLevelType w:val="hybridMultilevel"/>
    <w:lvl w:ilvl="0">
      <w:lvlJc w:val="left"/>
      <w:lvlText w:val="%1."/>
      <w:numFmt w:val="decimal"/>
      <w:start w:val="4"/>
    </w:lvl>
  </w:abstractNum>
  <w:abstractNum w:abstractNumId="46">
    <w:nsid w:val="2A082C70"/>
    <w:multiLevelType w:val="hybridMultilevel"/>
    <w:lvl w:ilvl="0">
      <w:lvlJc w:val="left"/>
      <w:lvlText w:val="%1."/>
      <w:numFmt w:val="decimal"/>
      <w:start w:val="10"/>
    </w:lvl>
  </w:abstractNum>
  <w:abstractNum w:abstractNumId="47">
    <w:nsid w:val="5EC6AFD4"/>
    <w:multiLevelType w:val="hybridMultilevel"/>
    <w:lvl w:ilvl="0">
      <w:lvlJc w:val="left"/>
      <w:lvlText w:val="(%1)"/>
      <w:numFmt w:val="lowerLetter"/>
      <w:start w:val="1"/>
    </w:lvl>
  </w:abstractNum>
  <w:abstractNum w:abstractNumId="48">
    <w:nsid w:val="19E21BB2"/>
    <w:multiLevelType w:val="hybridMultilevel"/>
    <w:lvl w:ilvl="0">
      <w:lvlJc w:val="left"/>
      <w:lvlText w:val="(%1)"/>
      <w:numFmt w:val="lowerLetter"/>
      <w:start w:val="10"/>
    </w:lvl>
    <w:lvl w:ilvl="1">
      <w:lvlJc w:val="left"/>
      <w:lvlText w:val="%2."/>
      <w:numFmt w:val="decimal"/>
      <w:start w:val="11"/>
    </w:lvl>
  </w:abstractNum>
  <w:abstractNum w:abstractNumId="49">
    <w:nsid w:val="75E0858A"/>
    <w:multiLevelType w:val="hybridMultilevel"/>
    <w:lvl w:ilvl="0">
      <w:lvlJc w:val="left"/>
      <w:lvlText w:val="%1."/>
      <w:numFmt w:val="decimal"/>
      <w:start w:val="12"/>
    </w:lvl>
  </w:abstractNum>
  <w:abstractNum w:abstractNumId="50">
    <w:nsid w:val="57A61A29"/>
    <w:multiLevelType w:val="hybridMultilevel"/>
    <w:lvl w:ilvl="0">
      <w:lvlJc w:val="left"/>
      <w:lvlText w:val="%1."/>
      <w:numFmt w:val="decimal"/>
      <w:start w:val="1"/>
    </w:lvl>
    <w:lvl w:ilvl="1">
      <w:lvlJc w:val="left"/>
      <w:lvlText w:val="(%2)"/>
      <w:numFmt w:val="upperLetter"/>
      <w:start w:val="1"/>
    </w:lvl>
  </w:abstractNum>
  <w:abstractNum w:abstractNumId="51">
    <w:nsid w:val="5399C654"/>
    <w:multiLevelType w:val="hybridMultilevel"/>
    <w:lvl w:ilvl="0">
      <w:lvlJc w:val="left"/>
      <w:lvlText w:val="%1"/>
      <w:numFmt w:val="decimal"/>
      <w:start w:val="1"/>
    </w:lvl>
    <w:lvl w:ilvl="1">
      <w:lvlJc w:val="left"/>
      <w:lvlText w:val="(%2)"/>
      <w:numFmt w:val="upperLetter"/>
      <w:start w:val="3"/>
    </w:lvl>
  </w:abstractNum>
  <w:abstractNum w:abstractNumId="52">
    <w:nsid w:val="20EE1348"/>
    <w:multiLevelType w:val="hybridMultilevel"/>
    <w:lvl w:ilvl="0">
      <w:lvlJc w:val="left"/>
      <w:lvlText w:val="%1."/>
      <w:numFmt w:val="decimal"/>
      <w:start w:val="5"/>
    </w:lvl>
    <w:lvl w:ilvl="1">
      <w:lvlJc w:val="left"/>
      <w:lvlText w:val="%2"/>
      <w:numFmt w:val="upperLetter"/>
      <w:start w:val="1"/>
    </w:lvl>
  </w:abstractNum>
  <w:abstractNum w:abstractNumId="53">
    <w:nsid w:val="4427069A"/>
    <w:multiLevelType w:val="hybridMultilevel"/>
    <w:lvl w:ilvl="0">
      <w:lvlJc w:val="left"/>
      <w:lvlText w:val="%1."/>
      <w:numFmt w:val="decimal"/>
      <w:start w:val="6"/>
    </w:lvl>
    <w:lvl w:ilvl="1">
      <w:lvlJc w:val="left"/>
      <w:lvlText w:val="(%2)"/>
      <w:numFmt w:val="upperLetter"/>
      <w:start w:val="1"/>
    </w:lvl>
  </w:abstractNum>
  <w:abstractNum w:abstractNumId="54">
    <w:nsid w:val="B37E80A"/>
    <w:multiLevelType w:val="hybridMultilevel"/>
    <w:lvl w:ilvl="0">
      <w:lvlJc w:val="left"/>
      <w:lvlText w:val="(%1)"/>
      <w:numFmt w:val="upperLetter"/>
      <w:start w:val="3"/>
    </w:lvl>
  </w:abstractNum>
  <w:abstractNum w:abstractNumId="55">
    <w:nsid w:val="2157F6BC"/>
    <w:multiLevelType w:val="hybridMultilevel"/>
    <w:lvl w:ilvl="0">
      <w:lvlJc w:val="left"/>
      <w:lvlText w:val="(%1)"/>
      <w:numFmt w:val="lowerRoman"/>
      <w:start w:val="1"/>
    </w:lvl>
  </w:abstractNum>
  <w:abstractNum w:abstractNumId="56">
    <w:nsid w:val="704E1DD5"/>
    <w:multiLevelType w:val="hybridMultilevel"/>
    <w:lvl w:ilvl="0">
      <w:lvlJc w:val="left"/>
      <w:lvlText w:val="(%1)"/>
      <w:numFmt w:val="lowerRoman"/>
      <w:start w:val="4"/>
    </w:lvl>
  </w:abstractNum>
  <w:abstractNum w:abstractNumId="57">
    <w:nsid w:val="57D2F10E"/>
    <w:multiLevelType w:val="hybridMultilevel"/>
    <w:lvl w:ilvl="0">
      <w:lvlJc w:val="left"/>
      <w:lvlText w:val="(%1)"/>
      <w:numFmt w:val="lowerRoman"/>
      <w:start w:val="1"/>
    </w:lvl>
  </w:abstractNum>
  <w:abstractNum w:abstractNumId="58">
    <w:nsid w:val="BFFAE18"/>
    <w:multiLevelType w:val="hybridMultilevel"/>
    <w:lvl w:ilvl="0">
      <w:lvlJc w:val="left"/>
      <w:lvlText w:val="(%1)"/>
      <w:numFmt w:val="lowerRoman"/>
      <w:start w:val="2"/>
    </w:lvl>
  </w:abstractNum>
  <w:abstractNum w:abstractNumId="59">
    <w:nsid w:val="E3E47A8"/>
    <w:multiLevelType w:val="hybridMultilevel"/>
    <w:lvl w:ilvl="0">
      <w:lvlJc w:val="left"/>
      <w:lvlText w:val="(%1)"/>
      <w:numFmt w:val="lowerRoman"/>
      <w:start w:val="1"/>
    </w:lvl>
  </w:abstractNum>
  <w:abstractNum w:abstractNumId="60">
    <w:nsid w:val="2E48F044"/>
    <w:multiLevelType w:val="hybridMultilevel"/>
    <w:lvl w:ilvl="0">
      <w:lvlJc w:val="left"/>
      <w:lvlText w:val="(%1)"/>
      <w:numFmt w:val="lowerRoman"/>
      <w:start w:val="1"/>
    </w:lvl>
  </w:abstractNum>
  <w:abstractNum w:abstractNumId="61">
    <w:nsid w:val="49D0FEAC"/>
    <w:multiLevelType w:val="hybridMultilevel"/>
    <w:lvl w:ilvl="0">
      <w:lvlJc w:val="left"/>
      <w:lvlText w:val="(%1)"/>
      <w:numFmt w:val="lowerLetter"/>
      <w:start w:val="1"/>
    </w:lvl>
  </w:abstractNum>
  <w:abstractNum w:abstractNumId="62">
    <w:nsid w:val="4BEE5A5B"/>
    <w:multiLevelType w:val="hybridMultilevel"/>
    <w:lvl w:ilvl="0">
      <w:lvlJc w:val="left"/>
      <w:lvlText w:val="%1."/>
      <w:numFmt w:val="upperLetter"/>
      <w:start w:val="9"/>
    </w:lvl>
  </w:abstractNum>
  <w:abstractNum w:abstractNumId="63">
    <w:nsid w:val="5551B9F3"/>
    <w:multiLevelType w:val="hybridMultilevel"/>
    <w:lvl w:ilvl="0">
      <w:lvlJc w:val="left"/>
      <w:lvlText w:val="%1."/>
      <w:numFmt w:val="upperLetter"/>
      <w:start w:val="35"/>
    </w:lvl>
    <w:lvl w:ilvl="1">
      <w:lvlJc w:val="left"/>
      <w:lvlText w:val="%2"/>
      <w:numFmt w:val="upperLetter"/>
      <w:start w:val="1"/>
    </w:lvl>
    <w:lvl w:ilvl="2">
      <w:lvlJc w:val="left"/>
      <w:lvlText w:val="%3."/>
      <w:numFmt w:val="decimal"/>
      <w:start w:val="1"/>
    </w:lvl>
  </w:abstractNum>
  <w:abstractNum w:abstractNumId="64">
    <w:nsid w:val="24F6AB8E"/>
    <w:multiLevelType w:val="hybridMultilevel"/>
    <w:lvl w:ilvl="0">
      <w:lvlJc w:val="left"/>
      <w:lvlText w:val="(%1)"/>
      <w:numFmt w:val="lowerLetter"/>
      <w:start w:val="1"/>
    </w:lvl>
    <w:lvl w:ilvl="1">
      <w:lvlJc w:val="left"/>
      <w:lvlText w:val="(%2)"/>
      <w:numFmt w:val="lowerRoman"/>
      <w:start w:val="1"/>
    </w:lvl>
  </w:abstractNum>
  <w:abstractNum w:abstractNumId="65">
    <w:nsid w:val="634C574C"/>
    <w:multiLevelType w:val="hybridMultilevel"/>
    <w:lvl w:ilvl="0">
      <w:lvlJc w:val="left"/>
      <w:lvlText w:val="%1."/>
      <w:numFmt w:val="decimal"/>
      <w:start w:val="2"/>
    </w:lvl>
  </w:abstractNum>
  <w:abstractNum w:abstractNumId="66">
    <w:nsid w:val="24E99DD7"/>
    <w:multiLevelType w:val="hybridMultilevel"/>
    <w:lvl w:ilvl="0">
      <w:lvlJc w:val="left"/>
      <w:lvlText w:val="(%1)"/>
      <w:numFmt w:val="lowerLetter"/>
      <w:start w:val="1"/>
    </w:lvl>
  </w:abstractNum>
  <w:abstractNum w:abstractNumId="67">
    <w:nsid w:val="2A31B62D"/>
    <w:multiLevelType w:val="hybridMultilevel"/>
    <w:lvl w:ilvl="0">
      <w:lvlJc w:val="left"/>
      <w:lvlText w:val="%1"/>
      <w:numFmt w:val="upperLetter"/>
      <w:start w:val="1"/>
    </w:lvl>
    <w:lvl w:ilvl="1">
      <w:lvlJc w:val="left"/>
      <w:lvlText w:val="%2."/>
      <w:numFmt w:val="decimal"/>
      <w:start w:val="3"/>
    </w:lvl>
  </w:abstractNum>
  <w:abstractNum w:abstractNumId="68">
    <w:nsid w:val="1849C29B"/>
    <w:multiLevelType w:val="hybridMultilevel"/>
    <w:lvl w:ilvl="0">
      <w:lvlJc w:val="left"/>
      <w:lvlText w:val="%1."/>
      <w:numFmt w:val="upperLetter"/>
      <w:start w:val="2"/>
    </w:lvl>
    <w:lvl w:ilvl="1">
      <w:lvlJc w:val="left"/>
      <w:lvlText w:val="%2."/>
      <w:numFmt w:val="decimal"/>
      <w:start w:val="1"/>
    </w:lvl>
  </w:abstractNum>
  <w:abstractNum w:abstractNumId="69">
    <w:nsid w:val="7DFF9D09"/>
    <w:multiLevelType w:val="hybridMultilevel"/>
    <w:lvl w:ilvl="0">
      <w:lvlJc w:val="left"/>
      <w:lvlText w:val="%1."/>
      <w:numFmt w:val="decimal"/>
      <w:start w:val="3"/>
    </w:lvl>
  </w:abstractNum>
  <w:abstractNum w:abstractNumId="70">
    <w:nsid w:val="754342"/>
    <w:multiLevelType w:val="hybridMultilevel"/>
    <w:lvl w:ilvl="0">
      <w:lvlJc w:val="left"/>
      <w:lvlText w:val="(%1)"/>
      <w:numFmt w:val="lowerLetter"/>
      <w:start w:val="1"/>
    </w:lvl>
    <w:lvl w:ilvl="1">
      <w:lvlJc w:val="left"/>
      <w:lvlText w:val="(%2)"/>
      <w:numFmt w:val="decimal"/>
      <w:start w:val="1"/>
    </w:lvl>
  </w:abstractNum>
  <w:abstractNum w:abstractNumId="71">
    <w:nsid w:val="69E7F3E5"/>
    <w:multiLevelType w:val="hybridMultilevel"/>
    <w:lvl w:ilvl="0">
      <w:lvlJc w:val="left"/>
      <w:lvlText w:val="(%1)"/>
      <w:numFmt w:val="decimal"/>
      <w:start w:val="4"/>
    </w:lvl>
  </w:abstractNum>
  <w:abstractNum w:abstractNumId="72">
    <w:nsid w:val="2A6DE806"/>
    <w:multiLevelType w:val="hybridMultilevel"/>
    <w:lvl w:ilvl="0">
      <w:lvlJc w:val="left"/>
      <w:lvlText w:val="%1."/>
      <w:numFmt w:val="decimal"/>
      <w:start w:val="4"/>
    </w:lvl>
  </w:abstractNum>
  <w:abstractNum w:abstractNumId="73">
    <w:nsid w:val="1816F8C4"/>
    <w:multiLevelType w:val="hybridMultilevel"/>
    <w:lvl w:ilvl="0">
      <w:lvlJc w:val="left"/>
      <w:lvlText w:val="%1."/>
      <w:numFmt w:val="decimal"/>
      <w:start w:val="9"/>
    </w:lvl>
  </w:abstractNum>
  <w:abstractNum w:abstractNumId="74">
    <w:nsid w:val="37DF2233"/>
    <w:multiLevelType w:val="hybridMultilevel"/>
    <w:lvl w:ilvl="0">
      <w:lvlJc w:val="left"/>
      <w:lvlText w:val="(%1)"/>
      <w:numFmt w:val="lowerLetter"/>
      <w:start w:val="1"/>
    </w:lvl>
  </w:abstractNum>
  <w:abstractNum w:abstractNumId="75">
    <w:nsid w:val="7AB49DAF"/>
    <w:multiLevelType w:val="hybridMultilevel"/>
    <w:lvl w:ilvl="0">
      <w:lvlJc w:val="left"/>
      <w:lvlText w:val="(%1)"/>
      <w:numFmt w:val="lowerLetter"/>
      <w:start w:val="10"/>
    </w:lvl>
  </w:abstractNum>
  <w:abstractNum w:abstractNumId="76">
    <w:nsid w:val="759F82CD"/>
    <w:multiLevelType w:val="hybridMultilevel"/>
    <w:lvl w:ilvl="0">
      <w:lvlJc w:val="left"/>
      <w:lvlText w:val="(%1)"/>
      <w:numFmt w:val="lowerLetter"/>
      <w:start w:val="11"/>
    </w:lvl>
  </w:abstractNum>
  <w:abstractNum w:abstractNumId="77">
    <w:nsid w:val="61E74EA3"/>
    <w:multiLevelType w:val="hybridMultilevel"/>
    <w:lvl w:ilvl="0">
      <w:lvlJc w:val="left"/>
      <w:lvlText w:val="%1."/>
      <w:numFmt w:val="decimal"/>
      <w:start w:val="10"/>
    </w:lvl>
  </w:abstractNum>
  <w:abstractNum w:abstractNumId="78">
    <w:nsid w:val="597B4D84"/>
    <w:multiLevelType w:val="hybridMultilevel"/>
    <w:lvl w:ilvl="0">
      <w:lvlJc w:val="left"/>
      <w:lvlText w:val="(%1)"/>
      <w:numFmt w:val="lowerRoman"/>
      <w:start w:val="1"/>
    </w:lvl>
  </w:abstractNum>
  <w:abstractNum w:abstractNumId="79">
    <w:nsid w:val="F819E7F"/>
    <w:multiLevelType w:val="hybridMultilevel"/>
    <w:lvl w:ilvl="0">
      <w:lvlJc w:val="left"/>
      <w:lvlText w:val="(%1)"/>
      <w:numFmt w:val="lowerRoman"/>
      <w:start w:val="4"/>
    </w:lvl>
  </w:abstractNum>
  <w:abstractNum w:abstractNumId="80">
    <w:nsid w:val="57C7D42D"/>
    <w:multiLevelType w:val="hybridMultilevel"/>
    <w:lvl w:ilvl="0">
      <w:lvlJc w:val="left"/>
      <w:lvlText w:val="(%1)"/>
      <w:numFmt w:val="lowerRoman"/>
      <w:start w:val="1"/>
    </w:lvl>
  </w:abstractNum>
  <w:abstractNum w:abstractNumId="81">
    <w:nsid w:val="312167AD"/>
    <w:multiLevelType w:val="hybridMultilevel"/>
    <w:lvl w:ilvl="0">
      <w:lvlJc w:val="left"/>
      <w:lvlText w:val="(%1)"/>
      <w:numFmt w:val="lowerRoman"/>
      <w:start w:val="1"/>
    </w:lvl>
  </w:abstractNum>
  <w:abstractNum w:abstractNumId="82">
    <w:nsid w:val="631B64D4"/>
    <w:multiLevelType w:val="hybridMultilevel"/>
    <w:lvl w:ilvl="0">
      <w:lvlJc w:val="left"/>
      <w:lvlText w:val="(%1)"/>
      <w:numFmt w:val="lowerRoman"/>
      <w:start w:val="1"/>
    </w:lvl>
  </w:abstractNum>
  <w:abstractNum w:abstractNumId="83">
    <w:nsid w:val="78B5E776"/>
    <w:multiLevelType w:val="hybridMultilevel"/>
    <w:lvl w:ilvl="0">
      <w:lvlJc w:val="left"/>
      <w:lvlText w:val="(%1)"/>
      <w:numFmt w:val="lowerLetter"/>
      <w:start w:val="1"/>
    </w:lvl>
  </w:abstractNum>
  <w:abstractNum w:abstractNumId="84">
    <w:nsid w:val="75486E47"/>
    <w:multiLevelType w:val="hybridMultilevel"/>
    <w:lvl w:ilvl="0">
      <w:lvlJc w:val="left"/>
      <w:lvlText w:val="%1."/>
      <w:numFmt w:val="upperLetter"/>
      <w:start w:val="9"/>
    </w:lvl>
  </w:abstractNum>
  <w:abstractNum w:abstractNumId="85">
    <w:nsid w:val="6E534CDE"/>
    <w:multiLevelType w:val="hybridMultilevel"/>
    <w:lvl w:ilvl="0">
      <w:lvlJc w:val="left"/>
      <w:lvlText w:val="%1."/>
      <w:numFmt w:val="upperLetter"/>
      <w:start w:val="35"/>
    </w:lvl>
    <w:lvl w:ilvl="1">
      <w:lvlJc w:val="left"/>
      <w:lvlText w:val="%2"/>
      <w:numFmt w:val="upperLetter"/>
      <w:start w:val="1"/>
    </w:lvl>
    <w:lvl w:ilvl="2">
      <w:lvlJc w:val="left"/>
      <w:lvlText w:val="%3."/>
      <w:numFmt w:val="decimal"/>
      <w:start w:val="1"/>
    </w:lvl>
  </w:abstractNum>
  <w:abstractNum w:abstractNumId="86">
    <w:nsid w:val="1A0DDE32"/>
    <w:multiLevelType w:val="hybridMultilevel"/>
    <w:lvl w:ilvl="0">
      <w:lvlJc w:val="left"/>
      <w:lvlText w:val="(%1)"/>
      <w:numFmt w:val="lowerLetter"/>
      <w:start w:val="1"/>
    </w:lvl>
    <w:lvl w:ilvl="1">
      <w:lvlJc w:val="left"/>
      <w:lvlText w:val="(%2)"/>
      <w:numFmt w:val="lowerRoman"/>
      <w:start w:val="1"/>
    </w:lvl>
  </w:abstractNum>
  <w:abstractNum w:abstractNumId="87">
    <w:nsid w:val="65968C1C"/>
    <w:multiLevelType w:val="hybridMultilevel"/>
    <w:lvl w:ilvl="0">
      <w:lvlJc w:val="left"/>
      <w:lvlText w:val="%1."/>
      <w:numFmt w:val="decimal"/>
      <w:start w:val="2"/>
    </w:lvl>
  </w:abstractNum>
  <w:abstractNum w:abstractNumId="88">
    <w:nsid w:val="46263DEC"/>
    <w:multiLevelType w:val="hybridMultilevel"/>
    <w:lvl w:ilvl="0">
      <w:lvlJc w:val="left"/>
      <w:lvlText w:val="(%1)"/>
      <w:numFmt w:val="lowerLetter"/>
      <w:start w:val="1"/>
    </w:lvl>
  </w:abstractNum>
  <w:abstractNum w:abstractNumId="89">
    <w:nsid w:val="260D8C4A"/>
    <w:multiLevelType w:val="hybridMultilevel"/>
    <w:lvl w:ilvl="0">
      <w:lvlJc w:val="left"/>
      <w:lvlText w:val="%1"/>
      <w:numFmt w:val="upperLetter"/>
      <w:start w:val="1"/>
    </w:lvl>
    <w:lvl w:ilvl="1">
      <w:lvlJc w:val="left"/>
      <w:lvlText w:val="%2."/>
      <w:numFmt w:val="decimal"/>
      <w:start w:val="3"/>
    </w:lvl>
  </w:abstractNum>
  <w:abstractNum w:abstractNumId="90">
    <w:nsid w:val="73D4D3C4"/>
    <w:multiLevelType w:val="hybridMultilevel"/>
    <w:lvl w:ilvl="0">
      <w:lvlJc w:val="left"/>
      <w:lvlText w:val="%1."/>
      <w:numFmt w:val="upperLetter"/>
      <w:start w:val="2"/>
    </w:lvl>
    <w:lvl w:ilvl="1">
      <w:lvlJc w:val="left"/>
      <w:lvlText w:val="%2."/>
      <w:numFmt w:val="decimal"/>
      <w:start w:val="1"/>
    </w:lvl>
  </w:abstractNum>
  <w:abstractNum w:abstractNumId="91">
    <w:nsid w:val="746F2E30"/>
    <w:multiLevelType w:val="hybridMultilevel"/>
    <w:lvl w:ilvl="0">
      <w:lvlJc w:val="left"/>
      <w:lvlText w:val="%1."/>
      <w:numFmt w:val="decimal"/>
      <w:start w:val="2"/>
    </w:lvl>
  </w:abstractNum>
  <w:abstractNum w:abstractNumId="92">
    <w:nsid w:val="6FDE8AF6"/>
    <w:multiLevelType w:val="hybridMultilevel"/>
    <w:lvl w:ilvl="0">
      <w:lvlJc w:val="left"/>
      <w:lvlText w:val="(%1)"/>
      <w:numFmt w:val="lowerLetter"/>
      <w:start w:val="1"/>
    </w:lvl>
    <w:lvl w:ilvl="1">
      <w:lvlJc w:val="left"/>
      <w:lvlText w:val="(%2)"/>
      <w:numFmt w:val="decimal"/>
      <w:start w:val="1"/>
    </w:lvl>
  </w:abstractNum>
  <w:abstractNum w:abstractNumId="93">
    <w:nsid w:val="3FC32E20"/>
    <w:multiLevelType w:val="hybridMultilevel"/>
    <w:lvl w:ilvl="0">
      <w:lvlJc w:val="left"/>
      <w:lvlText w:val="(%1)"/>
      <w:numFmt w:val="decimal"/>
      <w:start w:val="4"/>
    </w:lvl>
  </w:abstractNum>
  <w:abstractNum w:abstractNumId="94">
    <w:nsid w:val="49C0E823"/>
    <w:multiLevelType w:val="hybridMultilevel"/>
    <w:lvl w:ilvl="0">
      <w:lvlJc w:val="left"/>
      <w:lvlText w:val="%1."/>
      <w:numFmt w:val="decimal"/>
      <w:start w:val="4"/>
    </w:lvl>
  </w:abstractNum>
  <w:abstractNum w:abstractNumId="95">
    <w:nsid w:val="14D53685"/>
    <w:multiLevelType w:val="hybridMultilevel"/>
    <w:lvl w:ilvl="0">
      <w:lvlJc w:val="left"/>
      <w:lvlText w:val="%1."/>
      <w:numFmt w:val="decimal"/>
      <w:start w:val="8"/>
    </w:lvl>
  </w:abstractNum>
  <w:abstractNum w:abstractNumId="96">
    <w:nsid w:val="230F856C"/>
    <w:multiLevelType w:val="hybridMultilevel"/>
    <w:lvl w:ilvl="0">
      <w:lvlJc w:val="left"/>
      <w:lvlText w:val="(%1)"/>
      <w:numFmt w:val="lowerLetter"/>
      <w:start w:val="1"/>
    </w:lvl>
  </w:abstractNum>
  <w:abstractNum w:abstractNumId="97">
    <w:nsid w:val="6EAA85FB"/>
    <w:multiLevelType w:val="hybridMultilevel"/>
    <w:lvl w:ilvl="0">
      <w:lvlJc w:val="left"/>
      <w:lvlText w:val="(%1)"/>
      <w:numFmt w:val="lowerLetter"/>
      <w:start w:val="10"/>
    </w:lvl>
  </w:abstractNum>
  <w:abstractNum w:abstractNumId="98">
    <w:nsid w:val="3F06ECB2"/>
    <w:multiLevelType w:val="hybridMultilevel"/>
    <w:lvl w:ilvl="0">
      <w:lvlJc w:val="left"/>
      <w:lvlText w:val="%1."/>
      <w:numFmt w:val="decimal"/>
      <w:start w:val="10"/>
    </w:lvl>
  </w:abstractNum>
  <w:abstractNum w:abstractNumId="99">
    <w:nsid w:val="3B594807"/>
    <w:multiLevelType w:val="hybridMultilevel"/>
    <w:lvl w:ilvl="0">
      <w:lvlJc w:val="left"/>
      <w:lvlText w:val="(%1)"/>
      <w:numFmt w:val="lowerRoman"/>
      <w:start w:val="1"/>
    </w:lvl>
  </w:abstractNum>
  <w:abstractNum w:abstractNumId="100">
    <w:nsid w:val="6CAA2304"/>
    <w:multiLevelType w:val="hybridMultilevel"/>
    <w:lvl w:ilvl="0">
      <w:lvlJc w:val="left"/>
      <w:lvlText w:val="(%1)"/>
      <w:numFmt w:val="lowerRoman"/>
      <w:start w:val="4"/>
    </w:lvl>
  </w:abstractNum>
  <w:abstractNum w:abstractNumId="101">
    <w:nsid w:val="3F7C2FF4"/>
    <w:multiLevelType w:val="hybridMultilevel"/>
    <w:lvl w:ilvl="0">
      <w:lvlJc w:val="left"/>
      <w:lvlText w:val="(%1)"/>
      <w:numFmt w:val="lowerRoman"/>
      <w:start w:val="1"/>
    </w:lvl>
  </w:abstractNum>
  <w:abstractNum w:abstractNumId="102">
    <w:nsid w:val="25413BEC"/>
    <w:multiLevelType w:val="hybridMultilevel"/>
    <w:lvl w:ilvl="0">
      <w:lvlJc w:val="left"/>
      <w:lvlText w:val="(%1)"/>
      <w:numFmt w:val="lowerRoman"/>
      <w:start w:val="1"/>
    </w:lvl>
  </w:abstractNum>
  <w:abstractNum w:abstractNumId="103">
    <w:nsid w:val="17180B0B"/>
    <w:multiLevelType w:val="hybridMultilevel"/>
    <w:lvl w:ilvl="0">
      <w:lvlJc w:val="left"/>
      <w:lvlText w:val="(%1)"/>
      <w:numFmt w:val="lowerRoman"/>
      <w:start w:val="1"/>
    </w:lvl>
  </w:abstractNum>
  <w:abstractNum w:abstractNumId="104">
    <w:nsid w:val="579328B9"/>
    <w:multiLevelType w:val="hybridMultilevel"/>
    <w:lvl w:ilvl="0">
      <w:lvlJc w:val="left"/>
      <w:lvlText w:val="(%1)"/>
      <w:numFmt w:val="lowerRoman"/>
      <w:start w:val="2"/>
    </w:lvl>
  </w:abstractNum>
  <w:abstractNum w:abstractNumId="105">
    <w:nsid w:val="5D205E20"/>
    <w:multiLevelType w:val="hybridMultilevel"/>
    <w:lvl w:ilvl="0">
      <w:lvlJc w:val="left"/>
      <w:lvlText w:val="(%1)"/>
      <w:numFmt w:val="lowerLetter"/>
      <w:start w:val="1"/>
    </w:lvl>
  </w:abstractNum>
  <w:abstractNum w:abstractNumId="106">
    <w:nsid w:val="11CCA8BA"/>
    <w:multiLevelType w:val="hybridMultilevel"/>
    <w:lvl w:ilvl="0">
      <w:lvlJc w:val="left"/>
      <w:lvlText w:val="(%1)"/>
      <w:numFmt w:val="lowerLetter"/>
      <w:start w:val="2"/>
    </w:lvl>
  </w:abstractNum>
  <w:abstractNum w:abstractNumId="107">
    <w:nsid w:val="4D32AB86"/>
    <w:multiLevelType w:val="hybridMultilevel"/>
    <w:lvl w:ilvl="0">
      <w:lvlJc w:val="left"/>
      <w:lvlText w:val="%1."/>
      <w:numFmt w:val="upperLetter"/>
      <w:start w:val="9"/>
    </w:lvl>
  </w:abstractNum>
  <w:abstractNum w:abstractNumId="108">
    <w:nsid w:val="3F07ACC3"/>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109">
    <w:nsid w:val="6B47F63E"/>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abstractNum>
  <w:abstractNum w:abstractNumId="110">
    <w:nsid w:val="5CB44A05"/>
    <w:multiLevelType w:val="hybridMultilevel"/>
    <w:lvl w:ilvl="0">
      <w:lvlJc w:val="left"/>
      <w:lvlText w:val="%1."/>
      <w:numFmt w:val="decimal"/>
      <w:start w:val="2"/>
    </w:lvl>
    <w:lvl w:ilvl="1">
      <w:lvlJc w:val="left"/>
      <w:lvlText w:val="%2."/>
      <w:numFmt w:val="decimal"/>
      <w:start w:val="2"/>
    </w:lvl>
    <w:lvl w:ilvl="2">
      <w:lvlJc w:val="left"/>
      <w:lvlText w:val="(%3)"/>
      <w:numFmt w:val="lowerLetter"/>
      <w:start w:val="1"/>
    </w:lvl>
  </w:abstractNum>
  <w:abstractNum w:abstractNumId="111">
    <w:nsid w:val="16CF80F1"/>
    <w:multiLevelType w:val="hybridMultilevel"/>
    <w:lvl w:ilvl="0">
      <w:lvlJc w:val="left"/>
      <w:lvlText w:val="%1"/>
      <w:numFmt w:val="upperLetter"/>
      <w:start w:val="1"/>
    </w:lvl>
    <w:lvl w:ilvl="1">
      <w:lvlJc w:val="left"/>
      <w:lvlText w:val="%2."/>
      <w:numFmt w:val="decimal"/>
      <w:start w:val="5"/>
    </w:lvl>
    <w:lvl w:ilvl="2">
      <w:lvlJc w:val="left"/>
      <w:lvlText w:val="%3"/>
      <w:numFmt w:val="lowerLetter"/>
      <w:start w:val="1"/>
    </w:lvl>
    <w:lvl w:ilvl="3">
      <w:lvlJc w:val="left"/>
      <w:lvlText w:val="%4"/>
      <w:numFmt w:val="decimal"/>
      <w:start w:val="1"/>
    </w:lvl>
  </w:abstractNum>
  <w:abstractNum w:abstractNumId="112">
    <w:nsid w:val="1C695DEC"/>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lvl w:ilvl="3">
      <w:lvlJc w:val="left"/>
      <w:lvlText w:val="(%4)"/>
      <w:numFmt w:val="decimal"/>
      <w:start w:val="1"/>
    </w:lvl>
  </w:abstractNum>
  <w:abstractNum w:abstractNumId="113">
    <w:nsid w:val="3FCFAED9"/>
    <w:multiLevelType w:val="hybridMultilevel"/>
    <w:lvl w:ilvl="0">
      <w:lvlJc w:val="left"/>
      <w:lvlText w:val="(%1)"/>
      <w:numFmt w:val="decimal"/>
      <w:start w:val="3"/>
    </w:lvl>
  </w:abstractNum>
  <w:abstractNum w:abstractNumId="114">
    <w:nsid w:val="F856867"/>
    <w:multiLevelType w:val="hybridMultilevel"/>
    <w:lvl w:ilvl="0">
      <w:lvlJc w:val="left"/>
      <w:lvlText w:val="%1."/>
      <w:numFmt w:val="decimal"/>
      <w:start w:val="4"/>
    </w:lvl>
  </w:abstractNum>
  <w:abstractNum w:abstractNumId="115">
    <w:nsid w:val="11B1CC33"/>
    <w:multiLevelType w:val="hybridMultilevel"/>
    <w:lvl w:ilvl="0">
      <w:lvlJc w:val="left"/>
      <w:lvlText w:val="%1."/>
      <w:numFmt w:val="upperLetter"/>
      <w:start w:val="9"/>
    </w:lvl>
  </w:abstractNum>
  <w:abstractNum w:abstractNumId="116">
    <w:nsid w:val="2E22FBB7"/>
    <w:multiLevelType w:val="hybridMultilevel"/>
    <w:lvl w:ilvl="0">
      <w:lvlJc w:val="left"/>
      <w:lvlText w:val="%1."/>
      <w:numFmt w:val="upperLetter"/>
      <w:start w:val="35"/>
    </w:lvl>
    <w:lvl w:ilvl="1">
      <w:lvlJc w:val="left"/>
      <w:lvlText w:val="%2"/>
      <w:numFmt w:val="upperLetter"/>
      <w:start w:val="1"/>
    </w:lvl>
    <w:lvl w:ilvl="2">
      <w:lvlJc w:val="left"/>
      <w:lvlText w:val="%3."/>
      <w:numFmt w:val="decimal"/>
      <w:start w:val="1"/>
    </w:lvl>
  </w:abstractNum>
  <w:abstractNum w:abstractNumId="117">
    <w:nsid w:val="29934699"/>
    <w:multiLevelType w:val="hybridMultilevel"/>
    <w:lvl w:ilvl="0">
      <w:lvlJc w:val="left"/>
      <w:lvlText w:val="(%1)"/>
      <w:numFmt w:val="lowerLetter"/>
      <w:start w:val="1"/>
    </w:lvl>
    <w:lvl w:ilvl="1">
      <w:lvlJc w:val="left"/>
      <w:lvlText w:val="(%2)"/>
      <w:numFmt w:val="lowerRoman"/>
      <w:start w:val="1"/>
    </w:lvl>
  </w:abstractNum>
  <w:abstractNum w:abstractNumId="118">
    <w:nsid w:val="77485850"/>
    <w:multiLevelType w:val="hybridMultilevel"/>
    <w:lvl w:ilvl="0">
      <w:lvlJc w:val="left"/>
      <w:lvlText w:val="%1."/>
      <w:numFmt w:val="decimal"/>
      <w:start w:val="2"/>
    </w:lvl>
  </w:abstractNum>
  <w:abstractNum w:abstractNumId="119">
    <w:nsid w:val="744939A3"/>
    <w:multiLevelType w:val="hybridMultilevel"/>
    <w:lvl w:ilvl="0">
      <w:lvlJc w:val="left"/>
      <w:lvlText w:val="(%1)"/>
      <w:numFmt w:val="lowerLetter"/>
      <w:start w:val="1"/>
    </w:lvl>
  </w:abstractNum>
  <w:abstractNum w:abstractNumId="120">
    <w:nsid w:val="4FA0D2E3"/>
    <w:multiLevelType w:val="hybridMultilevel"/>
    <w:lvl w:ilvl="0">
      <w:lvlJc w:val="left"/>
      <w:lvlText w:val="%1"/>
      <w:numFmt w:val="upperLetter"/>
      <w:start w:val="1"/>
    </w:lvl>
    <w:lvl w:ilvl="1">
      <w:lvlJc w:val="left"/>
      <w:lvlText w:val="%2."/>
      <w:numFmt w:val="decimal"/>
      <w:start w:val="3"/>
    </w:lvl>
  </w:abstractNum>
  <w:abstractNum w:abstractNumId="121">
    <w:nsid w:val="6B1D2C14"/>
    <w:multiLevelType w:val="hybridMultilevel"/>
    <w:lvl w:ilvl="0">
      <w:lvlJc w:val="left"/>
      <w:lvlText w:val="%1."/>
      <w:numFmt w:val="upperLetter"/>
      <w:start w:val="2"/>
    </w:lvl>
    <w:lvl w:ilvl="1">
      <w:lvlJc w:val="left"/>
      <w:lvlText w:val="%2."/>
      <w:numFmt w:val="decimal"/>
      <w:start w:val="1"/>
    </w:lvl>
  </w:abstractNum>
  <w:abstractNum w:abstractNumId="122">
    <w:nsid w:val="68B867D3"/>
    <w:multiLevelType w:val="hybridMultilevel"/>
    <w:lvl w:ilvl="0">
      <w:lvlJc w:val="left"/>
      <w:lvlText w:val="%1."/>
      <w:numFmt w:val="decimal"/>
      <w:start w:val="3"/>
    </w:lvl>
  </w:abstractNum>
  <w:abstractNum w:abstractNumId="123">
    <w:nsid w:val="3F7F5DD9"/>
    <w:multiLevelType w:val="hybridMultilevel"/>
    <w:lvl w:ilvl="0">
      <w:lvlJc w:val="left"/>
      <w:lvlText w:val="(%1)"/>
      <w:numFmt w:val="lowerLetter"/>
      <w:start w:val="1"/>
    </w:lvl>
    <w:lvl w:ilvl="1">
      <w:lvlJc w:val="left"/>
      <w:lvlText w:val="(%2)"/>
      <w:numFmt w:val="decimal"/>
      <w:start w:val="1"/>
    </w:lvl>
  </w:abstractNum>
  <w:abstractNum w:abstractNumId="124">
    <w:nsid w:val="2AE05A34"/>
    <w:multiLevelType w:val="hybridMultilevel"/>
    <w:lvl w:ilvl="0">
      <w:lvlJc w:val="left"/>
      <w:lvlText w:val="(%1)"/>
      <w:numFmt w:val="decimal"/>
      <w:start w:val="4"/>
    </w:lvl>
  </w:abstractNum>
  <w:abstractNum w:abstractNumId="125">
    <w:nsid w:val="32794FF7"/>
    <w:multiLevelType w:val="hybridMultilevel"/>
    <w:lvl w:ilvl="0">
      <w:lvlJc w:val="left"/>
      <w:lvlText w:val="%1."/>
      <w:numFmt w:val="decimal"/>
      <w:start w:val="4"/>
    </w:lvl>
  </w:abstractNum>
  <w:abstractNum w:abstractNumId="126">
    <w:nsid w:val="5454945E"/>
    <w:multiLevelType w:val="hybridMultilevel"/>
    <w:lvl w:ilvl="0">
      <w:lvlJc w:val="left"/>
      <w:lvlText w:val="%1."/>
      <w:numFmt w:val="decimal"/>
      <w:start w:val="9"/>
    </w:lvl>
  </w:abstractNum>
  <w:abstractNum w:abstractNumId="127">
    <w:nsid w:val="4DEFDFA0"/>
    <w:multiLevelType w:val="hybridMultilevel"/>
    <w:lvl w:ilvl="0">
      <w:lvlJc w:val="left"/>
      <w:lvlText w:val="(%1)"/>
      <w:numFmt w:val="lowerLetter"/>
      <w:start w:val="1"/>
    </w:lvl>
  </w:abstractNum>
  <w:abstractNum w:abstractNumId="128">
    <w:nsid w:val="2123D5F2"/>
    <w:multiLevelType w:val="hybridMultilevel"/>
    <w:lvl w:ilvl="0">
      <w:lvlJc w:val="left"/>
      <w:lvlText w:val="(%1)"/>
      <w:numFmt w:val="lowerLetter"/>
      <w:start w:val="10"/>
    </w:lvl>
  </w:abstractNum>
  <w:abstractNum w:abstractNumId="129">
    <w:nsid w:val="135B8110"/>
    <w:multiLevelType w:val="hybridMultilevel"/>
    <w:lvl w:ilvl="0">
      <w:lvlJc w:val="left"/>
      <w:lvlText w:val="(%1)"/>
      <w:numFmt w:val="lowerLetter"/>
      <w:start w:val="11"/>
    </w:lvl>
  </w:abstractNum>
  <w:abstractNum w:abstractNumId="130">
    <w:nsid w:val="94927A8"/>
    <w:multiLevelType w:val="hybridMultilevel"/>
    <w:lvl w:ilvl="0">
      <w:lvlJc w:val="left"/>
      <w:lvlText w:val="%1."/>
      <w:numFmt w:val="decimal"/>
      <w:start w:val="10"/>
    </w:lvl>
  </w:abstractNum>
  <w:abstractNum w:abstractNumId="131">
    <w:nsid w:val="DCDF8F6"/>
    <w:multiLevelType w:val="hybridMultilevel"/>
    <w:lvl w:ilvl="0">
      <w:lvlJc w:val="left"/>
      <w:lvlText w:val="(%1)"/>
      <w:numFmt w:val="lowerRoman"/>
      <w:start w:val="1"/>
    </w:lvl>
  </w:abstractNum>
  <w:abstractNum w:abstractNumId="132">
    <w:nsid w:val="52D7B105"/>
    <w:multiLevelType w:val="hybridMultilevel"/>
    <w:lvl w:ilvl="0">
      <w:lvlJc w:val="left"/>
      <w:lvlText w:val="(%1)"/>
      <w:numFmt w:val="lowerRoman"/>
      <w:start w:val="4"/>
    </w:lvl>
  </w:abstractNum>
  <w:abstractNum w:abstractNumId="133">
    <w:nsid w:val="2E8A6394"/>
    <w:multiLevelType w:val="hybridMultilevel"/>
    <w:lvl w:ilvl="0">
      <w:lvlJc w:val="left"/>
      <w:lvlText w:val="(%1)"/>
      <w:numFmt w:val="lowerRoman"/>
      <w:start w:val="1"/>
    </w:lvl>
  </w:abstractNum>
  <w:abstractNum w:abstractNumId="134">
    <w:nsid w:val="24E60401"/>
    <w:multiLevelType w:val="hybridMultilevel"/>
    <w:lvl w:ilvl="0">
      <w:lvlJc w:val="left"/>
      <w:lvlText w:val="(%1)"/>
      <w:numFmt w:val="lowerRoman"/>
      <w:start w:val="1"/>
    </w:lvl>
  </w:abstractNum>
  <w:abstractNum w:abstractNumId="135">
    <w:nsid w:val="2A6AD9BE"/>
    <w:multiLevelType w:val="hybridMultilevel"/>
    <w:lvl w:ilvl="0">
      <w:lvlJc w:val="left"/>
      <w:lvlText w:val="(%1)"/>
      <w:numFmt w:val="lowerRoman"/>
      <w:start w:val="1"/>
    </w:lvl>
  </w:abstractNum>
  <w:abstractNum w:abstractNumId="136">
    <w:nsid w:val="BAAC1B4"/>
    <w:multiLevelType w:val="hybridMultilevel"/>
    <w:lvl w:ilvl="0">
      <w:lvlJc w:val="left"/>
      <w:lvlText w:val="(%1)"/>
      <w:numFmt w:val="lowerLetter"/>
      <w:start w:val="1"/>
    </w:lvl>
  </w:abstractNum>
  <w:abstractNum w:abstractNumId="137">
    <w:nsid w:val="36B2ACBC"/>
    <w:multiLevelType w:val="hybridMultilevel"/>
    <w:lvl w:ilvl="0">
      <w:lvlJc w:val="left"/>
      <w:lvlText w:val="%1."/>
      <w:numFmt w:val="upperLetter"/>
      <w:start w:val="9"/>
    </w:lvl>
  </w:abstractNum>
  <w:abstractNum w:abstractNumId="138">
    <w:nsid w:val="779D8544"/>
    <w:multiLevelType w:val="hybridMultilevel"/>
    <w:lvl w:ilvl="0">
      <w:lvlJc w:val="left"/>
      <w:lvlText w:val="%1."/>
      <w:numFmt w:val="upperLetter"/>
      <w:start w:val="35"/>
    </w:lvl>
    <w:lvl w:ilvl="1">
      <w:lvlJc w:val="left"/>
      <w:lvlText w:val="%2"/>
      <w:numFmt w:val="upperLetter"/>
      <w:start w:val="1"/>
    </w:lvl>
    <w:lvl w:ilvl="2">
      <w:lvlJc w:val="left"/>
      <w:lvlText w:val="%3."/>
      <w:numFmt w:val="decimal"/>
      <w:start w:val="1"/>
    </w:lvl>
  </w:abstractNum>
  <w:abstractNum w:abstractNumId="139">
    <w:nsid w:val="4AB26E78"/>
    <w:multiLevelType w:val="hybridMultilevel"/>
    <w:lvl w:ilvl="0">
      <w:lvlJc w:val="left"/>
      <w:lvlText w:val="(%1)"/>
      <w:numFmt w:val="lowerLetter"/>
      <w:start w:val="1"/>
    </w:lvl>
    <w:lvl w:ilvl="1">
      <w:lvlJc w:val="left"/>
      <w:lvlText w:val="(%2)"/>
      <w:numFmt w:val="lowerRoman"/>
      <w:start w:val="1"/>
    </w:lvl>
  </w:abstractNum>
  <w:abstractNum w:abstractNumId="140">
    <w:nsid w:val="21FAA2FA"/>
    <w:multiLevelType w:val="hybridMultilevel"/>
    <w:lvl w:ilvl="0">
      <w:lvlJc w:val="left"/>
      <w:lvlText w:val="%1."/>
      <w:numFmt w:val="decimal"/>
      <w:start w:val="2"/>
    </w:lvl>
  </w:abstractNum>
  <w:abstractNum w:abstractNumId="141">
    <w:nsid w:val="5451CF49"/>
    <w:multiLevelType w:val="hybridMultilevel"/>
    <w:lvl w:ilvl="0">
      <w:lvlJc w:val="left"/>
      <w:lvlText w:val="(%1)"/>
      <w:numFmt w:val="lowerLetter"/>
      <w:start w:val="1"/>
    </w:lvl>
  </w:abstractNum>
  <w:abstractNum w:abstractNumId="142">
    <w:nsid w:val="6181EF69"/>
    <w:multiLevelType w:val="hybridMultilevel"/>
    <w:lvl w:ilvl="0">
      <w:lvlJc w:val="left"/>
      <w:lvlText w:val="%1"/>
      <w:numFmt w:val="upperLetter"/>
      <w:start w:val="1"/>
    </w:lvl>
    <w:lvl w:ilvl="1">
      <w:lvlJc w:val="left"/>
      <w:lvlText w:val="%2."/>
      <w:numFmt w:val="decimal"/>
      <w:start w:val="3"/>
    </w:lvl>
  </w:abstractNum>
  <w:abstractNum w:abstractNumId="143">
    <w:nsid w:val="3E6400E6"/>
    <w:multiLevelType w:val="hybridMultilevel"/>
    <w:lvl w:ilvl="0">
      <w:lvlJc w:val="left"/>
      <w:lvlText w:val="%1."/>
      <w:numFmt w:val="upperLetter"/>
      <w:start w:val="2"/>
    </w:lvl>
    <w:lvl w:ilvl="1">
      <w:lvlJc w:val="left"/>
      <w:lvlText w:val="%2."/>
      <w:numFmt w:val="decimal"/>
      <w:start w:val="1"/>
    </w:lvl>
  </w:abstractNum>
  <w:abstractNum w:abstractNumId="144">
    <w:nsid w:val="14217E23"/>
    <w:multiLevelType w:val="hybridMultilevel"/>
    <w:lvl w:ilvl="0">
      <w:lvlJc w:val="left"/>
      <w:lvlText w:val="%1."/>
      <w:numFmt w:val="decimal"/>
      <w:start w:val="2"/>
    </w:lvl>
  </w:abstractNum>
  <w:abstractNum w:abstractNumId="145">
    <w:nsid w:val="710757D0"/>
    <w:multiLevelType w:val="hybridMultilevel"/>
    <w:lvl w:ilvl="0">
      <w:lvlJc w:val="left"/>
      <w:lvlText w:val="(%1)"/>
      <w:numFmt w:val="lowerLetter"/>
      <w:start w:val="1"/>
    </w:lvl>
    <w:lvl w:ilvl="1">
      <w:lvlJc w:val="left"/>
      <w:lvlText w:val="(%2)"/>
      <w:numFmt w:val="decimal"/>
      <w:start w:val="1"/>
    </w:lvl>
  </w:abstractNum>
  <w:abstractNum w:abstractNumId="146">
    <w:nsid w:val="5015CD1A"/>
    <w:multiLevelType w:val="hybridMultilevel"/>
    <w:lvl w:ilvl="0">
      <w:lvlJc w:val="left"/>
      <w:lvlText w:val="(%1)"/>
      <w:numFmt w:val="decimal"/>
      <w:start w:val="4"/>
    </w:lvl>
  </w:abstractNum>
  <w:abstractNum w:abstractNumId="147">
    <w:nsid w:val="424479DA"/>
    <w:multiLevelType w:val="hybridMultilevel"/>
    <w:lvl w:ilvl="0">
      <w:lvlJc w:val="left"/>
      <w:lvlText w:val="%1."/>
      <w:numFmt w:val="decimal"/>
      <w:start w:val="4"/>
    </w:lvl>
  </w:abstractNum>
  <w:abstractNum w:abstractNumId="148">
    <w:nsid w:val="1A9A9E69"/>
    <w:multiLevelType w:val="hybridMultilevel"/>
    <w:lvl w:ilvl="0">
      <w:lvlJc w:val="left"/>
      <w:lvlText w:val="%1."/>
      <w:numFmt w:val="decimal"/>
      <w:start w:val="8"/>
    </w:lvl>
  </w:abstractNum>
  <w:abstractNum w:abstractNumId="149">
    <w:nsid w:val="475E256A"/>
    <w:multiLevelType w:val="hybridMultilevel"/>
    <w:lvl w:ilvl="0">
      <w:lvlJc w:val="left"/>
      <w:lvlText w:val="(%1)"/>
      <w:numFmt w:val="lowerLetter"/>
      <w:start w:val="1"/>
    </w:lvl>
  </w:abstractNum>
  <w:abstractNum w:abstractNumId="150">
    <w:nsid w:val="368DB37E"/>
    <w:multiLevelType w:val="hybridMultilevel"/>
    <w:lvl w:ilvl="0">
      <w:lvlJc w:val="left"/>
      <w:lvlText w:val="(%1)"/>
      <w:numFmt w:val="lowerLetter"/>
      <w:start w:val="10"/>
    </w:lvl>
  </w:abstractNum>
  <w:abstractNum w:abstractNumId="151">
    <w:nsid w:val="6A3B714C"/>
    <w:multiLevelType w:val="hybridMultilevel"/>
    <w:lvl w:ilvl="0">
      <w:lvlJc w:val="left"/>
      <w:lvlText w:val="%1."/>
      <w:numFmt w:val="decimal"/>
      <w:start w:val="10"/>
    </w:lvl>
  </w:abstractNum>
  <w:abstractNum w:abstractNumId="152">
    <w:nsid w:val="327B517E"/>
    <w:multiLevelType w:val="hybridMultilevel"/>
    <w:lvl w:ilvl="0">
      <w:lvlJc w:val="left"/>
      <w:lvlText w:val="(%1)"/>
      <w:numFmt w:val="lowerRoman"/>
      <w:start w:val="1"/>
    </w:lvl>
  </w:abstractNum>
  <w:abstractNum w:abstractNumId="153">
    <w:nsid w:val="1F461B51"/>
    <w:multiLevelType w:val="hybridMultilevel"/>
    <w:lvl w:ilvl="0">
      <w:lvlJc w:val="left"/>
      <w:lvlText w:val="(%1)"/>
      <w:numFmt w:val="lowerRoman"/>
      <w:start w:val="4"/>
    </w:lvl>
  </w:abstractNum>
  <w:abstractNum w:abstractNumId="154">
    <w:nsid w:val="29BACF25"/>
    <w:multiLevelType w:val="hybridMultilevel"/>
    <w:lvl w:ilvl="0">
      <w:lvlJc w:val="left"/>
      <w:lvlText w:val="(%1)"/>
      <w:numFmt w:val="lowerRoman"/>
      <w:start w:val="1"/>
    </w:lvl>
  </w:abstractNum>
  <w:abstractNum w:abstractNumId="155">
    <w:nsid w:val="5D5BABB3"/>
    <w:multiLevelType w:val="hybridMultilevel"/>
    <w:lvl w:ilvl="0">
      <w:lvlJc w:val="left"/>
      <w:lvlText w:val="%1"/>
      <w:numFmt w:val="lowerRoman"/>
      <w:start w:val="1"/>
    </w:lvl>
    <w:lvl w:ilvl="1">
      <w:lvlJc w:val="left"/>
      <w:lvlText w:val="(%2)"/>
      <w:numFmt w:val="lowerRoman"/>
      <w:start w:val="1"/>
    </w:lvl>
  </w:abstractNum>
  <w:abstractNum w:abstractNumId="156">
    <w:nsid w:val="51BF6B48"/>
    <w:multiLevelType w:val="hybridMultilevel"/>
    <w:lvl w:ilvl="0">
      <w:lvlJc w:val="left"/>
      <w:lvlText w:val="(%1)"/>
      <w:numFmt w:val="lowerRoman"/>
      <w:start w:val="4"/>
    </w:lvl>
    <w:lvl w:ilvl="1">
      <w:lvlJc w:val="left"/>
      <w:lvlText w:val="%2"/>
      <w:numFmt w:val="lowerRoman"/>
      <w:start w:val="1"/>
    </w:lvl>
  </w:abstractNum>
  <w:abstractNum w:abstractNumId="157">
    <w:nsid w:val="7E0F6384"/>
    <w:multiLevelType w:val="hybridMultilevel"/>
    <w:lvl w:ilvl="0">
      <w:lvlJc w:val="left"/>
      <w:lvlText w:val="(%1)"/>
      <w:numFmt w:val="lowerRoman"/>
      <w:start w:val="1"/>
    </w:lvl>
  </w:abstractNum>
  <w:abstractNum w:abstractNumId="158">
    <w:nsid w:val="2B4B8B53"/>
    <w:multiLevelType w:val="hybridMultilevel"/>
    <w:lvl w:ilvl="0">
      <w:lvlJc w:val="left"/>
      <w:lvlText w:val="(%1)"/>
      <w:numFmt w:val="lowerRoman"/>
      <w:start w:val="2"/>
    </w:lvl>
  </w:abstractNum>
  <w:abstractNum w:abstractNumId="159">
    <w:nsid w:val="72E3413A"/>
    <w:multiLevelType w:val="hybridMultilevel"/>
    <w:lvl w:ilvl="0">
      <w:lvlJc w:val="left"/>
      <w:lvlText w:val="(%1)"/>
      <w:numFmt w:val="lowerLetter"/>
      <w:start w:val="1"/>
    </w:lvl>
  </w:abstractNum>
  <w:abstractNum w:abstractNumId="160">
    <w:nsid w:val="116AE494"/>
    <w:multiLevelType w:val="hybridMultilevel"/>
    <w:lvl w:ilvl="0">
      <w:lvlJc w:val="left"/>
      <w:lvlText w:val="(%1)"/>
      <w:numFmt w:val="lowerLetter"/>
      <w:start w:val="2"/>
    </w:lvl>
  </w:abstractNum>
  <w:abstractNum w:abstractNumId="161">
    <w:nsid w:val="3494B2FB"/>
    <w:multiLevelType w:val="hybridMultilevel"/>
    <w:lvl w:ilvl="0">
      <w:lvlJc w:val="left"/>
      <w:lvlText w:val="%1."/>
      <w:numFmt w:val="upperLetter"/>
      <w:start w:val="9"/>
    </w:lvl>
  </w:abstractNum>
  <w:abstractNum w:abstractNumId="162">
    <w:nsid w:val="B13A31"/>
    <w:multiLevelType w:val="hybridMultilevel"/>
    <w:lvl w:ilvl="0">
      <w:lvlJc w:val="left"/>
      <w:lvlText w:val="%1."/>
      <w:numFmt w:val="upperLetter"/>
      <w:start w:val="35"/>
    </w:lvl>
    <w:lvl w:ilvl="1">
      <w:lvlJc w:val="left"/>
      <w:lvlText w:val="%2"/>
      <w:numFmt w:val="upperLetter"/>
      <w:start w:val="1"/>
    </w:lvl>
  </w:abstractNum>
  <w:abstractNum w:abstractNumId="163">
    <w:nsid w:val="64429599"/>
    <w:multiLevelType w:val="hybridMultilevel"/>
    <w:lvl w:ilvl="0">
      <w:lvlJc w:val="left"/>
      <w:lvlText w:val="%1."/>
      <w:numFmt w:val="decimal"/>
      <w:start w:val="1"/>
    </w:lvl>
  </w:abstractNum>
  <w:abstractNum w:abstractNumId="164">
    <w:nsid w:val="631F1690"/>
    <w:multiLevelType w:val="hybridMultilevel"/>
    <w:lvl w:ilvl="0">
      <w:lvlJc w:val="left"/>
      <w:lvlText w:val="(%1)"/>
      <w:numFmt w:val="lowerLetter"/>
      <w:start w:val="1"/>
    </w:lvl>
    <w:lvl w:ilvl="1">
      <w:lvlJc w:val="left"/>
      <w:lvlText w:val="(%2)"/>
      <w:numFmt w:val="lowerRoman"/>
      <w:start w:val="1"/>
    </w:lvl>
  </w:abstractNum>
  <w:abstractNum w:abstractNumId="165">
    <w:nsid w:val="25973E32"/>
    <w:multiLevelType w:val="hybridMultilevel"/>
    <w:lvl w:ilvl="0">
      <w:lvlJc w:val="left"/>
      <w:lvlText w:val="%1."/>
      <w:numFmt w:val="decimal"/>
      <w:start w:val="2"/>
    </w:lvl>
  </w:abstractNum>
  <w:abstractNum w:abstractNumId="166">
    <w:nsid w:val="EAD6F57"/>
    <w:multiLevelType w:val="hybridMultilevel"/>
    <w:lvl w:ilvl="0">
      <w:lvlJc w:val="left"/>
      <w:lvlText w:val="(%1)"/>
      <w:numFmt w:val="lowerLetter"/>
      <w:start w:val="1"/>
    </w:lvl>
  </w:abstractNum>
  <w:abstractNum w:abstractNumId="167">
    <w:nsid w:val="6EC9D844"/>
    <w:multiLevelType w:val="hybridMultilevel"/>
    <w:lvl w:ilvl="0">
      <w:lvlJc w:val="left"/>
      <w:lvlText w:val="%1"/>
      <w:numFmt w:val="upperLetter"/>
      <w:start w:val="1"/>
    </w:lvl>
    <w:lvl w:ilvl="1">
      <w:lvlJc w:val="left"/>
      <w:lvlText w:val="%2."/>
      <w:numFmt w:val="decimal"/>
      <w:start w:val="3"/>
    </w:lvl>
  </w:abstractNum>
  <w:abstractNum w:abstractNumId="168">
    <w:nsid w:val="5C49EAEE"/>
    <w:multiLevelType w:val="hybridMultilevel"/>
    <w:lvl w:ilvl="0">
      <w:lvlJc w:val="left"/>
      <w:lvlText w:val="%1."/>
      <w:numFmt w:val="upperLetter"/>
      <w:start w:val="2"/>
    </w:lvl>
    <w:lvl w:ilvl="1">
      <w:lvlJc w:val="left"/>
      <w:lvlText w:val="%2."/>
      <w:numFmt w:val="decimal"/>
      <w:start w:val="1"/>
    </w:lvl>
  </w:abstractNum>
  <w:abstractNum w:abstractNumId="169">
    <w:nsid w:val="64AF49B"/>
    <w:multiLevelType w:val="hybridMultilevel"/>
    <w:lvl w:ilvl="0">
      <w:lvlJc w:val="left"/>
      <w:lvlText w:val="%1."/>
      <w:numFmt w:val="decimal"/>
      <w:start w:val="3"/>
    </w:lvl>
  </w:abstractNum>
  <w:abstractNum w:abstractNumId="170">
    <w:nsid w:val="397C46BC"/>
    <w:multiLevelType w:val="hybridMultilevel"/>
    <w:lvl w:ilvl="0">
      <w:lvlJc w:val="left"/>
      <w:lvlText w:val="(%1)"/>
      <w:numFmt w:val="lowerLetter"/>
      <w:start w:val="1"/>
    </w:lvl>
    <w:lvl w:ilvl="1">
      <w:lvlJc w:val="left"/>
      <w:lvlText w:val="(%2)"/>
      <w:numFmt w:val="decimal"/>
      <w:start w:val="1"/>
    </w:lvl>
  </w:abstractNum>
  <w:abstractNum w:abstractNumId="171">
    <w:nsid w:val="7E448DE9"/>
    <w:multiLevelType w:val="hybridMultilevel"/>
    <w:lvl w:ilvl="0">
      <w:lvlJc w:val="left"/>
      <w:lvlText w:val="(%1)"/>
      <w:numFmt w:val="decimal"/>
      <w:start w:val="4"/>
    </w:lvl>
  </w:abstractNum>
  <w:abstractNum w:abstractNumId="172">
    <w:nsid w:val="5A9CC3E5"/>
    <w:multiLevelType w:val="hybridMultilevel"/>
    <w:lvl w:ilvl="0">
      <w:lvlJc w:val="left"/>
      <w:lvlText w:val="%1."/>
      <w:numFmt w:val="decimal"/>
      <w:start w:val="4"/>
    </w:lvl>
  </w:abstractNum>
  <w:abstractNum w:abstractNumId="173">
    <w:nsid w:val="1AFE3625"/>
    <w:multiLevelType w:val="hybridMultilevel"/>
    <w:lvl w:ilvl="0">
      <w:lvlJc w:val="left"/>
      <w:lvlText w:val="%1."/>
      <w:numFmt w:val="decimal"/>
      <w:start w:val="9"/>
    </w:lvl>
  </w:abstractNum>
  <w:abstractNum w:abstractNumId="174">
    <w:nsid w:val="3CA88ECF"/>
    <w:multiLevelType w:val="hybridMultilevel"/>
    <w:lvl w:ilvl="0">
      <w:lvlJc w:val="left"/>
      <w:lvlText w:val="(%1)"/>
      <w:numFmt w:val="lowerLetter"/>
      <w:start w:val="1"/>
    </w:lvl>
  </w:abstractNum>
  <w:abstractNum w:abstractNumId="175">
    <w:nsid w:val="6EBE4208"/>
    <w:multiLevelType w:val="hybridMultilevel"/>
    <w:lvl w:ilvl="0">
      <w:lvlJc w:val="left"/>
      <w:lvlText w:val="(%1)"/>
      <w:numFmt w:val="lowerLetter"/>
      <w:start w:val="10"/>
    </w:lvl>
    <w:lvl w:ilvl="1">
      <w:lvlJc w:val="left"/>
      <w:lvlText w:val="%2."/>
      <w:numFmt w:val="decimal"/>
      <w:start w:val="10"/>
    </w:lvl>
  </w:abstractNum>
  <w:abstractNum w:abstractNumId="176">
    <w:nsid w:val="C058DF5"/>
    <w:multiLevelType w:val="hybridMultilevel"/>
    <w:lvl w:ilvl="0">
      <w:lvlJc w:val="left"/>
      <w:lvlText w:val="%1."/>
      <w:numFmt w:val="decimal"/>
      <w:start w:val="11"/>
    </w:lvl>
  </w:abstractNum>
  <w:abstractNum w:abstractNumId="177">
    <w:nsid w:val="CBE5BE9"/>
    <w:multiLevelType w:val="hybridMultilevel"/>
    <w:lvl w:ilvl="0">
      <w:lvlJc w:val="left"/>
      <w:lvlText w:val="(%1)"/>
      <w:numFmt w:val="lowerRoman"/>
      <w:start w:val="1"/>
    </w:lvl>
  </w:abstractNum>
  <w:abstractNum w:abstractNumId="178">
    <w:nsid w:val="3102BBE2"/>
    <w:multiLevelType w:val="hybridMultilevel"/>
    <w:lvl w:ilvl="0">
      <w:lvlJc w:val="left"/>
      <w:lvlText w:val="(%1)"/>
      <w:numFmt w:val="lowerRoman"/>
      <w:start w:val="4"/>
    </w:lvl>
  </w:abstractNum>
  <w:abstractNum w:abstractNumId="179">
    <w:nsid w:val="26A02C5E"/>
    <w:multiLevelType w:val="hybridMultilevel"/>
    <w:lvl w:ilvl="0">
      <w:lvlJc w:val="left"/>
      <w:lvlText w:val="(%1)"/>
      <w:numFmt w:val="lowerRoman"/>
      <w:start w:val="1"/>
    </w:lvl>
  </w:abstractNum>
  <w:abstractNum w:abstractNumId="180">
    <w:nsid w:val="541C8153"/>
    <w:multiLevelType w:val="hybridMultilevel"/>
    <w:lvl w:ilvl="0">
      <w:lvlJc w:val="left"/>
      <w:lvlText w:val="(%1)"/>
      <w:numFmt w:val="lowerRoman"/>
      <w:start w:val="1"/>
    </w:lvl>
  </w:abstractNum>
  <w:abstractNum w:abstractNumId="181">
    <w:nsid w:val="67906F60"/>
    <w:multiLevelType w:val="hybridMultilevel"/>
    <w:lvl w:ilvl="0">
      <w:lvlJc w:val="left"/>
      <w:lvlText w:val="(%1)"/>
      <w:numFmt w:val="lowerRoman"/>
      <w:start w:val="1"/>
    </w:lvl>
  </w:abstractNum>
  <w:abstractNum w:abstractNumId="182">
    <w:nsid w:val="10DB9DAA"/>
    <w:multiLevelType w:val="hybridMultilevel"/>
    <w:lvl w:ilvl="0">
      <w:lvlJc w:val="left"/>
      <w:lvlText w:val="(%1)"/>
      <w:numFmt w:val="lowerRoman"/>
      <w:start w:val="2"/>
    </w:lvl>
  </w:abstractNum>
  <w:abstractNum w:abstractNumId="183">
    <w:nsid w:val="697D2D2"/>
    <w:multiLevelType w:val="hybridMultilevel"/>
    <w:lvl w:ilvl="0">
      <w:lvlJc w:val="left"/>
      <w:lvlText w:val="(%1)"/>
      <w:numFmt w:val="lowerLetter"/>
      <w:start w:val="1"/>
    </w:lvl>
  </w:abstractNum>
  <w:abstractNum w:abstractNumId="184">
    <w:nsid w:val="6D68AB2"/>
    <w:multiLevelType w:val="hybridMultilevel"/>
    <w:lvl w:ilvl="0">
      <w:lvlJc w:val="left"/>
      <w:lvlText w:val="(%1)"/>
      <w:numFmt w:val="lowerLetter"/>
      <w:start w:val="2"/>
    </w:lvl>
  </w:abstractNum>
  <w:abstractNum w:abstractNumId="185">
    <w:nsid w:val="3A966CD0"/>
    <w:multiLevelType w:val="hybridMultilevel"/>
    <w:lvl w:ilvl="0">
      <w:lvlJc w:val="left"/>
      <w:lvlText w:val="%1."/>
      <w:numFmt w:val="upperLetter"/>
      <w:start w:val="9"/>
    </w:lvl>
  </w:abstractNum>
  <w:abstractNum w:abstractNumId="186">
    <w:nsid w:val="63F37E85"/>
    <w:multiLevelType w:val="hybridMultilevel"/>
    <w:lvl w:ilvl="0">
      <w:lvlJc w:val="left"/>
      <w:lvlText w:val="%1."/>
      <w:numFmt w:val="upperLetter"/>
      <w:start w:val="35"/>
    </w:lvl>
    <w:lvl w:ilvl="1">
      <w:lvlJc w:val="left"/>
      <w:lvlText w:val="%2"/>
      <w:numFmt w:val="upperLetter"/>
      <w:start w:val="1"/>
    </w:lvl>
    <w:lvl w:ilvl="2">
      <w:lvlJc w:val="left"/>
      <w:lvlText w:val="%3."/>
      <w:numFmt w:val="decimal"/>
      <w:start w:val="1"/>
    </w:lvl>
  </w:abstractNum>
  <w:abstractNum w:abstractNumId="187">
    <w:nsid w:val="5895F5FA"/>
    <w:multiLevelType w:val="hybridMultilevel"/>
    <w:lvl w:ilvl="0">
      <w:lvlJc w:val="left"/>
      <w:lvlText w:val="(%1)"/>
      <w:numFmt w:val="lowerLetter"/>
      <w:start w:val="1"/>
    </w:lvl>
    <w:lvl w:ilvl="1">
      <w:lvlJc w:val="left"/>
      <w:lvlText w:val="(%2)"/>
      <w:numFmt w:val="lowerRoman"/>
      <w:start w:val="1"/>
    </w:lvl>
  </w:abstractNum>
  <w:abstractNum w:abstractNumId="188">
    <w:nsid w:val="38A5D054"/>
    <w:multiLevelType w:val="hybridMultilevel"/>
    <w:lvl w:ilvl="0">
      <w:lvlJc w:val="left"/>
      <w:lvlText w:val="%1."/>
      <w:numFmt w:val="decimal"/>
      <w:start w:val="2"/>
    </w:lvl>
  </w:abstractNum>
  <w:abstractNum w:abstractNumId="189">
    <w:nsid w:val="F3F09D8"/>
    <w:multiLevelType w:val="hybridMultilevel"/>
    <w:lvl w:ilvl="0">
      <w:lvlJc w:val="left"/>
      <w:lvlText w:val="(%1)"/>
      <w:numFmt w:val="lowerLetter"/>
      <w:start w:val="1"/>
    </w:lvl>
  </w:abstractNum>
  <w:abstractNum w:abstractNumId="190">
    <w:nsid w:val="4B793735"/>
    <w:multiLevelType w:val="hybridMultilevel"/>
    <w:lvl w:ilvl="0">
      <w:lvlJc w:val="left"/>
      <w:lvlText w:val="%1"/>
      <w:numFmt w:val="upperLetter"/>
      <w:start w:val="1"/>
    </w:lvl>
    <w:lvl w:ilvl="1">
      <w:lvlJc w:val="left"/>
      <w:lvlText w:val="%2."/>
      <w:numFmt w:val="decimal"/>
      <w:start w:val="3"/>
    </w:lvl>
  </w:abstractNum>
  <w:abstractNum w:abstractNumId="191">
    <w:nsid w:val="4A10B4E8"/>
    <w:multiLevelType w:val="hybridMultilevel"/>
    <w:lvl w:ilvl="0">
      <w:lvlJc w:val="left"/>
      <w:lvlText w:val="%1."/>
      <w:numFmt w:val="upperLetter"/>
      <w:start w:val="2"/>
    </w:lvl>
    <w:lvl w:ilvl="1">
      <w:lvlJc w:val="left"/>
      <w:lvlText w:val="%2."/>
      <w:numFmt w:val="decimal"/>
      <w:start w:val="1"/>
    </w:lvl>
  </w:abstractNum>
  <w:abstractNum w:abstractNumId="192">
    <w:nsid w:val="43D3BCD4"/>
    <w:multiLevelType w:val="hybridMultilevel"/>
    <w:lvl w:ilvl="0">
      <w:lvlJc w:val="left"/>
      <w:lvlText w:val="%1."/>
      <w:numFmt w:val="decimal"/>
      <w:start w:val="3"/>
    </w:lvl>
  </w:abstractNum>
  <w:abstractNum w:abstractNumId="193">
    <w:nsid w:val="4C2A7166"/>
    <w:multiLevelType w:val="hybridMultilevel"/>
    <w:lvl w:ilvl="0">
      <w:lvlJc w:val="left"/>
      <w:lvlText w:val="(%1)"/>
      <w:numFmt w:val="lowerLetter"/>
      <w:start w:val="1"/>
    </w:lvl>
    <w:lvl w:ilvl="1">
      <w:lvlJc w:val="left"/>
      <w:lvlText w:val="(%2)"/>
      <w:numFmt w:val="decimal"/>
      <w:start w:val="1"/>
    </w:lvl>
  </w:abstractNum>
  <w:abstractNum w:abstractNumId="194">
    <w:nsid w:val="2E534A82"/>
    <w:multiLevelType w:val="hybridMultilevel"/>
    <w:lvl w:ilvl="0">
      <w:lvlJc w:val="left"/>
      <w:lvlText w:val="(%1)"/>
      <w:numFmt w:val="decimal"/>
      <w:start w:val="4"/>
    </w:lvl>
  </w:abstractNum>
  <w:abstractNum w:abstractNumId="195">
    <w:nsid w:val="26F2D364"/>
    <w:multiLevelType w:val="hybridMultilevel"/>
    <w:lvl w:ilvl="0">
      <w:lvlJc w:val="left"/>
      <w:lvlText w:val="%1."/>
      <w:numFmt w:val="decimal"/>
      <w:start w:val="4"/>
    </w:lvl>
  </w:abstractNum>
  <w:abstractNum w:abstractNumId="196">
    <w:nsid w:val="71C1AF98"/>
    <w:multiLevelType w:val="hybridMultilevel"/>
    <w:lvl w:ilvl="0">
      <w:lvlJc w:val="left"/>
      <w:lvlText w:val="%1."/>
      <w:numFmt w:val="decimal"/>
      <w:start w:val="9"/>
    </w:lvl>
  </w:abstractNum>
  <w:abstractNum w:abstractNumId="197">
    <w:nsid w:val="3D00B9D9"/>
    <w:multiLevelType w:val="hybridMultilevel"/>
    <w:lvl w:ilvl="0">
      <w:lvlJc w:val="left"/>
      <w:lvlText w:val="(%1)"/>
      <w:numFmt w:val="lowerLetter"/>
      <w:start w:val="1"/>
    </w:lvl>
  </w:abstractNum>
  <w:abstractNum w:abstractNumId="198">
    <w:nsid w:val="15BCABA8"/>
    <w:multiLevelType w:val="hybridMultilevel"/>
    <w:lvl w:ilvl="0">
      <w:lvlJc w:val="left"/>
      <w:lvlText w:val="(%1)"/>
      <w:numFmt w:val="lowerLetter"/>
      <w:start w:val="10"/>
    </w:lvl>
  </w:abstractNum>
  <w:abstractNum w:abstractNumId="199">
    <w:nsid w:val="4E0B9A87"/>
    <w:multiLevelType w:val="hybridMultilevel"/>
    <w:lvl w:ilvl="0">
      <w:lvlJc w:val="left"/>
      <w:lvlText w:val="(%1)"/>
      <w:numFmt w:val="lowerLetter"/>
      <w:start w:val="11"/>
    </w:lvl>
  </w:abstractNum>
  <w:abstractNum w:abstractNumId="200">
    <w:nsid w:val="434BAE75"/>
    <w:multiLevelType w:val="hybridMultilevel"/>
    <w:lvl w:ilvl="0">
      <w:lvlJc w:val="left"/>
      <w:lvlText w:val="%1."/>
      <w:numFmt w:val="decimal"/>
      <w:start w:val="10"/>
    </w:lvl>
  </w:abstractNum>
  <w:abstractNum w:abstractNumId="201">
    <w:nsid w:val="4F38F265"/>
    <w:multiLevelType w:val="hybridMultilevel"/>
    <w:lvl w:ilvl="0">
      <w:lvlJc w:val="left"/>
      <w:lvlText w:val="(%1)"/>
      <w:numFmt w:val="lowerRoman"/>
      <w:start w:val="1"/>
    </w:lvl>
  </w:abstractNum>
  <w:abstractNum w:abstractNumId="202">
    <w:nsid w:val="4C502870"/>
    <w:multiLevelType w:val="hybridMultilevel"/>
    <w:lvl w:ilvl="0">
      <w:lvlJc w:val="left"/>
      <w:lvlText w:val="(%1)"/>
      <w:numFmt w:val="lowerRoman"/>
      <w:start w:val="4"/>
    </w:lvl>
  </w:abstractNum>
  <w:abstractNum w:abstractNumId="203">
    <w:nsid w:val="1DE8725A"/>
    <w:multiLevelType w:val="hybridMultilevel"/>
    <w:lvl w:ilvl="0">
      <w:lvlJc w:val="left"/>
      <w:lvlText w:val="(%1)"/>
      <w:numFmt w:val="lowerRoman"/>
      <w:start w:val="1"/>
    </w:lvl>
  </w:abstractNum>
  <w:abstractNum w:abstractNumId="204">
    <w:nsid w:val="6A37288A"/>
    <w:multiLevelType w:val="hybridMultilevel"/>
    <w:lvl w:ilvl="0">
      <w:lvlJc w:val="left"/>
      <w:lvlText w:val="(%1)"/>
      <w:numFmt w:val="lowerRoman"/>
      <w:start w:val="1"/>
    </w:lvl>
  </w:abstractNum>
  <w:abstractNum w:abstractNumId="205">
    <w:nsid w:val="8F8B73F"/>
    <w:multiLevelType w:val="hybridMultilevel"/>
    <w:lvl w:ilvl="0">
      <w:lvlJc w:val="left"/>
      <w:lvlText w:val="(%1)"/>
      <w:numFmt w:val="lowerRoman"/>
      <w:start w:val="1"/>
    </w:lvl>
  </w:abstractNum>
  <w:abstractNum w:abstractNumId="206">
    <w:nsid w:val="CA6B462"/>
    <w:multiLevelType w:val="hybridMultilevel"/>
    <w:lvl w:ilvl="0">
      <w:lvlJc w:val="left"/>
      <w:lvlText w:val="(%1)"/>
      <w:numFmt w:val="lowerLetter"/>
      <w:start w:val="1"/>
    </w:lvl>
    <w:lvl w:ilvl="1">
      <w:lvlJc w:val="left"/>
      <w:lvlText w:val="(%2)"/>
      <w:numFmt w:val="lowerLetter"/>
      <w:start w:val="2"/>
    </w:lvl>
  </w:abstractNum>
  <w:abstractNum w:abstractNumId="207">
    <w:nsid w:val="763CB680"/>
    <w:multiLevelType w:val="hybridMultilevel"/>
    <w:lvl w:ilvl="0">
      <w:lvlJc w:val="left"/>
      <w:lvlText w:val="%1."/>
      <w:numFmt w:val="decimal"/>
      <w:start w:val="1"/>
    </w:lvl>
    <w:lvl w:ilvl="1">
      <w:lvlJc w:val="left"/>
      <w:lvlText w:val="%2)"/>
      <w:numFmt w:val="lowerLetter"/>
      <w:start w:val="1"/>
    </w:lvl>
  </w:abstractNum>
  <w:abstractNum w:abstractNumId="208">
    <w:nsid w:val="15B71329"/>
    <w:multiLevelType w:val="hybridMultilevel"/>
    <w:lvl w:ilvl="0">
      <w:lvlJc w:val="left"/>
      <w:lvlText w:val="%1."/>
      <w:numFmt w:val="decimal"/>
      <w:start w:val="1"/>
    </w:lvl>
    <w:lvl w:ilvl="1">
      <w:lvlJc w:val="left"/>
      <w:lvlText w:val="%2)"/>
      <w:numFmt w:val="lowerLetter"/>
      <w:start w:val="1"/>
    </w:lvl>
  </w:abstractNum>
  <w:abstractNum w:abstractNumId="209">
    <w:nsid w:val="3DA97044"/>
    <w:multiLevelType w:val="hybridMultilevel"/>
    <w:lvl w:ilvl="0">
      <w:lvlJc w:val="left"/>
      <w:lvlText w:val="%1."/>
      <w:numFmt w:val="decimal"/>
      <w:start w:val="1"/>
    </w:lvl>
  </w:abstractNum>
  <w:abstractNum w:abstractNumId="210">
    <w:nsid w:val="1CDCE2D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2019-12-29T12:02:21Z</dcterms:created>
  <dcterms:modified xsi:type="dcterms:W3CDTF">2019-12-29T12:02:21Z</dcterms:modified>
</cp:coreProperties>
</file>