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1"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0"/>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0"/>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208"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9" w:lineRule="exact"/>
        <w:rPr>
          <w:sz w:val="24"/>
          <w:szCs w:val="24"/>
          <w:color w:val="auto"/>
        </w:rPr>
      </w:pPr>
    </w:p>
    <w:p>
      <w:pPr>
        <w:sectPr>
          <w:pgSz w:w="11900" w:h="16838" w:orient="portrait"/>
          <w:cols w:equalWidth="0" w:num="4">
            <w:col w:w="4220" w:space="720"/>
            <w:col w:w="620" w:space="720"/>
            <w:col w:w="2740" w:space="720"/>
            <w:col w:w="1680"/>
          </w:cols>
          <w:pgMar w:left="240" w:top="233" w:right="23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o</w:t>
        <w:tab/>
        <w:t>(Do not check if a smaller reporting company)</w:t>
      </w:r>
    </w:p>
    <w:p>
      <w:pPr>
        <w:spacing w:after="0" w:line="200" w:lineRule="exact"/>
        <w:rPr>
          <w:sz w:val="24"/>
          <w:szCs w:val="24"/>
          <w:color w:val="auto"/>
        </w:rPr>
      </w:pPr>
    </w:p>
    <w:p>
      <w:pPr>
        <w:sectPr>
          <w:pgSz w:w="11900" w:h="16838" w:orient="portrait"/>
          <w:cols w:equalWidth="0" w:num="2">
            <w:col w:w="4220" w:space="720"/>
            <w:col w:w="6480"/>
          </w:cols>
          <w:pgMar w:left="240" w:top="233" w:right="239" w:bottom="1440" w:gutter="0" w:footer="0" w:header="0"/>
          <w:type w:val="continuous"/>
        </w:sectPr>
      </w:pPr>
    </w:p>
    <w:p>
      <w:pPr>
        <w:spacing w:after="0" w:line="21"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spacing w:after="0" w:line="10"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7"/>
          <w:szCs w:val="17"/>
          <w:color w:val="auto"/>
        </w:rPr>
        <w:t>o</w:t>
      </w:r>
    </w:p>
    <w:p>
      <w:pPr>
        <w:spacing w:after="0" w:line="129"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2100"/>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July 31, 2018, the number of outstanding shares of the Registrant's common stock, $0.01 par value, was 45,846,987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2"/>
          </w:tcPr>
          <w:p>
            <w:pPr>
              <w:jc w:val="center"/>
              <w:ind w:right="3500"/>
              <w:spacing w:after="0"/>
              <w:rPr>
                <w:sz w:val="20"/>
                <w:szCs w:val="20"/>
                <w:color w:val="auto"/>
              </w:rPr>
            </w:pPr>
            <w:r>
              <w:rPr>
                <w:rFonts w:ascii="Arial" w:cs="Arial" w:eastAsia="Arial" w:hAnsi="Arial"/>
                <w:sz w:val="18"/>
                <w:szCs w:val="18"/>
                <w:b w:val="1"/>
                <w:bCs w:val="1"/>
                <w:color w:val="auto"/>
                <w:w w:val="95"/>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9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June 30, 2018 and December 31, 2017</w:t>
              </w:r>
            </w:hyperlink>
          </w:p>
        </w:tc>
        <w:tc>
          <w:tcPr>
            <w:tcW w:w="182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 of Income for the Three and Six Months Ended June 30, 2018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 of Comprehensive Income for the Three and Six Months Ended June</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30, 2018 and 2017</w:t>
              </w:r>
            </w:hyperlink>
          </w:p>
        </w:tc>
        <w:tc>
          <w:tcPr>
            <w:tcW w:w="5380" w:type="dxa"/>
            <w:vAlign w:val="bottom"/>
            <w:tcBorders>
              <w:top w:val="single" w:sz="8" w:color="0000EE"/>
            </w:tcBorders>
            <w:gridSpan w:val="1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Cash Flows for the Six Months Ended June 30, 2018 and 2017</w:t>
              </w:r>
            </w:hyperlink>
          </w:p>
        </w:tc>
        <w:tc>
          <w:tcPr>
            <w:tcW w:w="580" w:type="dxa"/>
            <w:vAlign w:val="bottom"/>
            <w:gridSpan w:val="3"/>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gridSpan w:val="1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Six Months Ended June 30, 2018</w:t>
              </w:r>
            </w:hyperlink>
          </w:p>
        </w:tc>
        <w:tc>
          <w:tcPr>
            <w:tcW w:w="6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w:t>
              </w:r>
            </w:hyperlink>
          </w:p>
        </w:tc>
        <w:tc>
          <w:tcPr>
            <w:tcW w:w="3260" w:type="dxa"/>
            <w:vAlign w:val="bottom"/>
            <w:gridSpan w:val="4"/>
          </w:tcPr>
          <w:p>
            <w:pPr>
              <w:spacing w:after="0"/>
              <w:rPr>
                <w:sz w:val="24"/>
                <w:szCs w:val="24"/>
                <w:color w:val="auto"/>
              </w:rPr>
            </w:pPr>
          </w:p>
        </w:tc>
        <w:tc>
          <w:tcPr>
            <w:tcW w:w="64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400" w:type="dxa"/>
            <w:vAlign w:val="bottom"/>
            <w:gridSpan w:val="4"/>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120" w:type="dxa"/>
            <w:vAlign w:val="bottom"/>
            <w:tcBorders>
              <w:bottom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4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2160" w:type="dxa"/>
            <w:vAlign w:val="bottom"/>
            <w:tcBorders>
              <w:top w:val="single" w:sz="8" w:color="0000EE"/>
            </w:tcBorders>
            <w:gridSpan w:val="4"/>
          </w:tcPr>
          <w:p>
            <w:pPr>
              <w:spacing w:after="0"/>
              <w:rPr>
                <w:sz w:val="24"/>
                <w:szCs w:val="24"/>
                <w:color w:val="auto"/>
              </w:rPr>
            </w:pPr>
          </w:p>
        </w:tc>
        <w:tc>
          <w:tcPr>
            <w:tcW w:w="58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480"/>
        </w:trPr>
        <w:tc>
          <w:tcPr>
            <w:tcW w:w="11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40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Other Information</w:t>
              </w:r>
            </w:hyperlink>
          </w:p>
        </w:tc>
        <w:tc>
          <w:tcPr>
            <w:tcW w:w="6460" w:type="dxa"/>
            <w:vAlign w:val="bottom"/>
            <w:gridSpan w:val="16"/>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706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27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400" w:type="dxa"/>
            <w:vAlign w:val="bottom"/>
            <w:gridSpan w:val="4"/>
          </w:tcPr>
          <w:p>
            <w:pPr>
              <w:spacing w:after="0"/>
              <w:rPr>
                <w:sz w:val="24"/>
                <w:szCs w:val="24"/>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472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5.</w:t>
              </w:r>
            </w:hyperlink>
          </w:p>
        </w:tc>
        <w:tc>
          <w:tcPr>
            <w:tcW w:w="400" w:type="dxa"/>
            <w:vAlign w:val="bottom"/>
            <w:gridSpan w:val="4"/>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400" w:type="dxa"/>
            <w:vAlign w:val="bottom"/>
            <w:gridSpan w:val="4"/>
          </w:tcPr>
          <w:p>
            <w:pPr>
              <w:spacing w:after="0"/>
              <w:rPr>
                <w:sz w:val="24"/>
                <w:szCs w:val="24"/>
                <w:color w:val="auto"/>
              </w:rPr>
            </w:pP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72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72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0"/>
          </w:tcPr>
          <w:p>
            <w:pPr>
              <w:jc w:val="center"/>
              <w:ind w:left="209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the performance of our subcontractors and suppliers; supply constraints; market demand; technology factors;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information technology factors;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2017.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1"/>
              </w:rPr>
              <w:t>Receivables, net of reserves of approximately $4.1 million as of June 30, 2018 and December 31, 2017,</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132,500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155,350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311,270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187,070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190,250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184,290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194,220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1,053,860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80,970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72,410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121,880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489,180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45,869,678 shares at June 30, 2018 and 45,724,453 shares at December 31, 2017</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823,850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(262,960)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585,690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1,053,860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413,200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(316,850)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(301,910)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42,330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19,600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43,920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45,920,307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45,717,697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45,850,137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45,644,096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46,200,757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45,922,416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46,215,047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45,915,687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43,920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postretirement plans (Note 14)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3,730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9)</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other comprehensive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3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43,920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in receivables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operating activities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49,590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to purchase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for the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At beginning of period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27,580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22,680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500"/>
              <w:spacing w:after="0"/>
              <w:rPr>
                <w:sz w:val="20"/>
                <w:szCs w:val="20"/>
                <w:color w:val="auto"/>
              </w:rPr>
            </w:pPr>
            <w:r>
              <w:rPr>
                <w:rFonts w:ascii="Arial" w:cs="Arial" w:eastAsia="Arial" w:hAnsi="Arial"/>
                <w:sz w:val="18"/>
                <w:szCs w:val="18"/>
                <w:color w:val="auto"/>
              </w:rPr>
              <w:t>Cash paid for taxes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43,920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2,620</w:t>
            </w: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821,170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585,690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2018, TriMas realigned its reporting structure from four segments to three. While there were no changes to the Packaging and Aerospace reportable segments, the Company combined its previous Energy and Engineered Components reportable segments into a new reportable segment titled Specialty Products. This change was made in connection with recent realignment efforts, providing a more streamlined operating structure and to better leverage resources across the divisions in this segment. See Note 11,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Certain prior year amounts have been reclassified to conform with current year presentation. The accompanying consolidated financial statements and notes thereto should be read in conjunction with the Company's 2017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Financial Accounting Standards Board ("FASB") issued Accounting Standards Update ("ASU") 2018-02, "Income Statement - Reporting Comprehensive Income (Topic 220)" ("ASU 2018-02"), which provides for the option to reclassify stranded tax effects within accumulated other comprehensive income to retained earnings resulting from the Tax Cuts and Jobs Act ("Tax Reform Act"). ASU 2018-02 is effective for fiscal years, and interim periods within those years, beginning after December 15, 2018, with early adoption permitted. ASU 2018-02 is to be applied retrospectively to each period in which the effect of the change in the U.S. federal corporate income tax rate related to the Tax Reform Act is recorded. The Company is in the process of assessing the impact of adoption on its consolidated financial statements.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on its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is recognized when control of promised goods are transferred to customers, which generally occurs when products are shipped from the Company’s facilities to its customers. The amount of revenue recorded reflects the consideration the Company expects to be entitled to in exchange for transferring those goods. Net sales are comprised of gross revenues, based on observed stand-alone selling prices, less estimates of expected returns, trade discounts and customer allowances, which include incentives such as volume discounts and other supply agreements in connection with various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has elected to account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risk.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w w:val="99"/>
              </w:rPr>
              <w:t>Three months ended June 30,</w:t>
            </w:r>
          </w:p>
        </w:tc>
        <w:tc>
          <w:tcPr>
            <w:tcW w:w="440" w:type="dxa"/>
            <w:vAlign w:val="bottom"/>
          </w:tcPr>
          <w:p>
            <w:pPr>
              <w:spacing w:after="0"/>
              <w:rPr>
                <w:sz w:val="18"/>
                <w:szCs w:val="18"/>
                <w:color w:val="auto"/>
              </w:rPr>
            </w:pPr>
          </w:p>
        </w:tc>
        <w:tc>
          <w:tcPr>
            <w:tcW w:w="2700" w:type="dxa"/>
            <w:vAlign w:val="bottom"/>
            <w:gridSpan w:val="3"/>
          </w:tcPr>
          <w:p>
            <w:pPr>
              <w:jc w:val="right"/>
              <w:ind w:right="51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End Markets</w:t>
            </w:r>
          </w:p>
        </w:tc>
        <w:tc>
          <w:tcPr>
            <w:tcW w:w="320" w:type="dxa"/>
            <w:vAlign w:val="bottom"/>
          </w:tcPr>
          <w:p>
            <w:pPr>
              <w:spacing w:after="0"/>
              <w:rPr>
                <w:sz w:val="20"/>
                <w:szCs w:val="20"/>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1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66,780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136,720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125,660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Aerospace</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45,620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47,580</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91,430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110,320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99,290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Oil and gas</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51,330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49,010</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103,540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95,250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224,910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213,370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442,010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413,200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Packaging reportable segment earns revenues from the consumer and industrial end markets. The Aerospace reportable segment earns revenues from the aerospace end market. The Specialty Products reportable segment earns revenues from the industrial and oil and gas end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Bangalore, India facility</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2018, the Company exited its Bangalore, India facility within the Specialty Products reportable segment. In connection with this action, the Company recorded pre-tax charges of approximately $0.7 million within selling, general and administrative expenses and approximately $0.6 million within cost of sales related to severance benefits for employees involuntarily terminated, facility closure costs and costs related to the disposal of certain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Reynosa, Mexico facility</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the Company announced plans within the Specialty Products reportable segment to cease production at its Reynosa, Mexico facility, and consolidate production into its Houston, Texas facility. During the second quarter of 2017, upon the cease use date of the facility, the Company recorded a pre-tax charge of approximately $1.5 million within cost of sales for estimated future unrecoverable lease obligations, net of estimated sublease recoveries, for the lease that expires in 2025. In addition, in the second quarter of 2017, the Company incurred approximately $1.2 million of pre-tax non-cash charges within cost of sales related to accelerated depreciation expense as a result of shortening the expected lives on certain machinery, equipment and leasehold improvement assets that the Company no longer used following the facility closure.</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2018, following entry into a sublease agreement for the facility, the Company re-evaluated its estimate of unrecoverable future obligations, and reduced its estimate by approximately $1.1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Wolverhampton, United Kingdom facility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exited its Wolverhampton, United Kingdom facility within the Specialty Products reportable segment. In connection with this action, the Company recorded pre-tax charges of approximately $3.5 million within selling, general and administrative expenses, of which approximately $3.2 million were non-cash charges related to the disposal of certain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2018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319,390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164,710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317,700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June 30, 2018 and December 31, 2017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80"/>
              <w:spacing w:after="0"/>
              <w:rPr>
                <w:sz w:val="20"/>
                <w:szCs w:val="20"/>
                <w:color w:val="auto"/>
              </w:rPr>
            </w:pPr>
            <w:r>
              <w:rPr>
                <w:rFonts w:ascii="Arial" w:cs="Arial" w:eastAsia="Arial" w:hAnsi="Arial"/>
                <w:sz w:val="16"/>
                <w:szCs w:val="16"/>
                <w:b w:val="1"/>
                <w:bCs w:val="1"/>
                <w:color w:val="auto"/>
              </w:rPr>
              <w:t>As of June 30, 2018</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73,540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(44,660)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(41,000)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(51,880)</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205,770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206,140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(92,880)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r>
      <w:tr>
        <w:trPr>
          <w:trHeight w:val="243"/>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(33,490)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349,030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349,710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3,620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3,640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7,280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9,990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1"/>
        </w:trPr>
        <w:tc>
          <w:tcPr>
            <w:tcW w:w="5160" w:type="dxa"/>
            <w:vAlign w:val="bottom"/>
          </w:tcPr>
          <w:p>
            <w:pPr>
              <w:spacing w:after="0"/>
              <w:rPr>
                <w:sz w:val="24"/>
                <w:szCs w:val="24"/>
                <w:color w:val="auto"/>
              </w:rPr>
            </w:pP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87"/>
              </w:rPr>
              <w:t>June 30,</w:t>
            </w:r>
          </w:p>
        </w:tc>
        <w:tc>
          <w:tcPr>
            <w:tcW w:w="2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160,680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155,350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00" w:type="dxa"/>
            <w:vAlign w:val="bottom"/>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4"/>
          </w:tcPr>
          <w:p>
            <w:pPr>
              <w:ind w:left="1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74,310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73,550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309,400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303,880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399,120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392,930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212,050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202,680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187,070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190,250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Depreciation expense, included in selling, general and</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0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6,540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7,250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760" w:type="dxa"/>
            <w:vAlign w:val="bottom"/>
            <w:gridSpan w:val="3"/>
          </w:tcPr>
          <w:p>
            <w:pPr>
              <w:spacing w:after="0"/>
              <w:rPr>
                <w:sz w:val="20"/>
                <w:szCs w:val="20"/>
                <w:color w:val="auto"/>
              </w:rPr>
            </w:pPr>
            <w:r>
              <w:rPr>
                <w:rFonts w:ascii="Arial" w:cs="Arial" w:eastAsia="Arial" w:hAnsi="Arial"/>
                <w:sz w:val="18"/>
                <w:szCs w:val="18"/>
                <w:color w:val="auto"/>
                <w:w w:val="92"/>
              </w:rPr>
              <w:t>The Company's long-term debt consists of the following (dollars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293,010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303,080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existing and future senior indebtedness and subordinated to all existing and future secured indebtedness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value of the assets securing such indebtedness.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revolving credit facility allows for the issuance of letters of credit, not to exceed $40.0 million in aggregate. At June 30, 2018, the Company had no amounts outstanding under its revolving credit facility and had approximately $285.9 million potentially available after giving effect to approximately $14.1 million of letters of credit issued and outstanding. At December 31, 2017, the Company had approximately $10.8 million outstanding under its revolving credit facility and had approximately $274.3 million potentially available after giving effect to approximately $14.9 million of letters of credit issued and outstanding. However, including availability under its former accounts receivable facility and after consideration of leverage restrictions contained in the Credit Agreement, the Company had approximately $285.9 million and $332.1 million at June 30, 2018 and December 31, 2017, respectively, of borrowing capacity available for general corporate purposes.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2018, the Company was in compliance with its financial covenants contained in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2018, the Company terminated its accounts receivable facility previously utilized through TSPC, Inc. ("TSPC"), a wholly-owned subsidiary. The facility was used to sell trade accounts receivable of substantially all of the Company's domestic business operations. Under this facility, TSPC, from time to time, could sell an undivided fractional ownership interest in the pool of receivables up to $75.0 million to a third-party multi-seller receivables funding company. The cost of funds under this facility consisted of a 1-month LIBOR-based rate plus a usage fee of 1.00% and a fee on the unused portion of the facility of 0.35%.</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2017, the Company had no amounts outstanding under the facility and approximately $57.8 million available but not utilized. Aggregate costs incurred under the facility were approximately $0.3 million for the three months ended June 30, 2017, and $0.1 million and $0.6 million for the six months ended June 30, 2018 and 2017, respectively, and are included in interest expense in the accompanying consolidated statement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2018</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4"/>
          </w:tcPr>
          <w:p>
            <w:pPr>
              <w:jc w:val="right"/>
              <w:ind w:right="111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4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480" w:type="dxa"/>
            <w:vAlign w:val="bottom"/>
          </w:tcPr>
          <w:p>
            <w:pPr>
              <w:jc w:val="right"/>
              <w:ind w:right="45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300,750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10,490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$150.0 million to $75.0 million over the contract period. Under the terms of the swap agreements, the Company is to receive net interest payments at a fixed rate of approximately 2.10% of the notional amount. At inception, the cross-currency swaps were designated as net investment hedges.</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immediately following the debt refinancing, the Company determined the likelihood of the hedged transactions occurring was less than probable and de-designated the interest rate swaps as cash flow hedges and terminated the interest rate swaps for a cash payment of approximately $4.7 million. There were no interest rate swaps outstanding as of June 30, 2018 or December 31, 2017. The cash flows associated with the cash flow hedges are reported in net cash provided by operating activities on the statement of cash flows. Up to the date of the termination, the Company utilized hedge accounting, which allows for the effective portion of the interest rate swaps to be recorded in accumulated other comprehensive income or loss ("AOCI") in the accompanying consolidated balance sheet.</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and December 31, 2017,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80" w:type="dxa"/>
            <w:vAlign w:val="bottom"/>
            <w:gridSpan w:val="2"/>
          </w:tcPr>
          <w:p>
            <w:pPr>
              <w:ind w:left="58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8"/>
                <w:szCs w:val="18"/>
                <w:color w:val="auto"/>
              </w:rPr>
            </w:pPr>
          </w:p>
        </w:tc>
        <w:tc>
          <w:tcPr>
            <w:tcW w:w="1120" w:type="dxa"/>
            <w:vAlign w:val="bottom"/>
          </w:tcPr>
          <w:p>
            <w:pPr>
              <w:jc w:val="right"/>
              <w:ind w:right="43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2017</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(4,110)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loss recognized in AOCI on derivative contracts designated as hedging instruments as of June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the amounts reclassified from AOCI into earnings for the three and six months ended June 30, 2018 and 2017 (dollars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2"/>
              </w:rPr>
              <w:t>Amount of Loss Reclassified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w w:val="89"/>
              </w:rPr>
              <w:t>Amount of Loss Recognized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0"/>
              <w:spacing w:after="0"/>
              <w:rPr>
                <w:sz w:val="20"/>
                <w:szCs w:val="20"/>
                <w:color w:val="auto"/>
              </w:rPr>
            </w:pPr>
            <w:r>
              <w:rPr>
                <w:rFonts w:ascii="Arial" w:cs="Arial" w:eastAsia="Arial" w:hAnsi="Arial"/>
                <w:sz w:val="16"/>
                <w:szCs w:val="16"/>
                <w:b w:val="1"/>
                <w:bCs w:val="1"/>
                <w:color w:val="auto"/>
              </w:rPr>
              <w:t>from AOCI into Earnings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gridSpan w:val="5"/>
            <w:vMerge w:val="continue"/>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6"/>
              </w:rPr>
              <w:t>in AOCI on Derivative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(Effective Portion, net of tax)</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3"/>
          </w:tcPr>
          <w:p>
            <w:pPr>
              <w:jc w:val="right"/>
              <w:ind w:right="335"/>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Reclassified from AOCI</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into Earnings (Effective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7"/>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2017</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Portion)</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3"/>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Net Investment Hedges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w w:val="98"/>
              </w:rPr>
              <w:t>Cross-currency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5"/>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5"/>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7"/>
              </w:rPr>
              <w:t>(90)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losses from AOCI into earnings.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derivatives are estimated using an income approach based on valuation techniques to convert future amounts to a single, discounted amount. Estimates of the fair value of the Company's interest rate swaps and cross-currency swaps use observable inputs such as interest rate yield curves and forward currency exchange rates. Fair value measurements and the fair value hierarchy level for the Company's assets and liabilities measured at fair value on a recurring basis as of June 30, 2018 and December 31, 2017 are shown below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96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Frequency</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Cross-currency swaps</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2018, the Company was a party to 396 pending cases involving an aggregate of 4,841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Claims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during</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3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1,125,386</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5,256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2,280,000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4,841 claims pending at June 30, 2018, 60 set forth specific amounts of damages (other than those stating the statutory minimum or maximum). At June 30, 2018, of the 60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$8.7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there will be a period within the next six to 12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June 6, 2002, the Company was wholly-owned by Metaldyne Corporation ("Metaldyne"). In connection with the reorganization between TriMas and Metaldyne in June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11,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2018, TriMas realigned its reporting structure into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 develops and manufactures specialty dispensing and closure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health, beauty and home care, food and beverage, and industrial markets.</w:t>
      </w:r>
    </w:p>
    <w:p>
      <w:pPr>
        <w:spacing w:after="0" w:line="2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Aerospace – </w:t>
      </w:r>
      <w:r>
        <w:rPr>
          <w:rFonts w:ascii="Arial" w:cs="Arial" w:eastAsia="Arial" w:hAnsi="Arial"/>
          <w:sz w:val="16"/>
          <w:szCs w:val="16"/>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6"/>
          <w:szCs w:val="16"/>
          <w:color w:val="auto"/>
        </w:rPr>
        <w:t>, Allfast Fastening Systems</w:t>
      </w:r>
      <w:r>
        <w:rPr>
          <w:rFonts w:ascii="Arial" w:cs="Arial" w:eastAsia="Arial" w:hAnsi="Arial"/>
          <w:sz w:val="22"/>
          <w:szCs w:val="22"/>
          <w:color w:val="auto"/>
          <w:vertAlign w:val="superscript"/>
        </w:rPr>
        <w:t>®</w:t>
      </w:r>
      <w:r>
        <w:rPr>
          <w:rFonts w:ascii="Arial" w:cs="Arial" w:eastAsia="Arial" w:hAnsi="Arial"/>
          <w:sz w:val="16"/>
          <w:szCs w:val="16"/>
          <w:color w:val="auto"/>
        </w:rPr>
        <w:t>, Mac Fasteners</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Martinic</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develops, qualifies and manufactures highly-engineered, precision fasteners and machined products to serve the aerospace market.</w:t>
      </w:r>
    </w:p>
    <w:p>
      <w:pPr>
        <w:spacing w:after="0" w:line="11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5"/>
          <w:szCs w:val="25"/>
          <w:color w:val="auto"/>
          <w:vertAlign w:val="superscript"/>
        </w:rPr>
        <w:t>™</w:t>
      </w:r>
      <w:r>
        <w:rPr>
          <w:rFonts w:ascii="Arial" w:cs="Arial" w:eastAsia="Arial" w:hAnsi="Arial"/>
          <w:sz w:val="18"/>
          <w:szCs w:val="18"/>
          <w:color w:val="auto"/>
        </w:rPr>
        <w:t>, Lamons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sealing and fastener products, and wellhead engines and compression systems for use within the industrial, petrochemical, and oil and gas exploration and refining markets.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91"/>
              <w:spacing w:after="0"/>
              <w:rPr>
                <w:sz w:val="20"/>
                <w:szCs w:val="20"/>
                <w:color w:val="auto"/>
              </w:rPr>
            </w:pPr>
            <w:r>
              <w:rPr>
                <w:rFonts w:ascii="Arial" w:cs="Arial" w:eastAsia="Arial" w:hAnsi="Arial"/>
                <w:sz w:val="16"/>
                <w:szCs w:val="16"/>
                <w:b w:val="1"/>
                <w:bCs w:val="1"/>
                <w:color w:val="auto"/>
                <w:w w:val="84"/>
              </w:rPr>
              <w:t>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45,620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91,430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150,500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224,910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213,370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442,010</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413,200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22,810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42,390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38,490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31,520</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26,420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66,730</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42,330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340" w:hanging="332"/>
        <w:spacing w:after="0" w:line="213"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During the first quarter of 2018, the Company removed an obligation from its balance sheet, resulting in an approximate $8.2 million non-cash reduction in selling, general and administrative expenses. See Note 10,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further details.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grant any stock option awards during the six months ended June 30, 2018. Information related to stock options at June 30, 2018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June 30, 2018</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3,352,113</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2018, 106,854 stock options outstanding were exercisable under the Plans. As of June 30, 2018, there was approximately $0.2 million of unrecognized compensation cost related to stock options that is expected to be recorded over a weighted average period of 1.1 years.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approximately $0.1 million and $0.2 million of stock-based compensation expense related to stock options during the three months ended June 30, 2018 and 2017, respectively, and approximately $0.2 million and $0.3 million of stock-based compensation expense during the six months ended June 30, 2018 and 2017, respectively. 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six months ended June 30, 2018:</w:t>
      </w:r>
    </w:p>
    <w:p>
      <w:pPr>
        <w:spacing w:after="0" w:line="27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140,183 RSUs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25,830 RSUs to its non-employee independent directors, which vest one year from date of grant so long as the director and/or Company does not terminate the director's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issued 4,509 RSUs related to director fee deferrals for the six months ended June 30, 2018.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2018, the Company awarded 104,532 performance-based RSUs to certain Company key employees which vest three years from the grant date as long as the employee remains with the Company. These awards are earned 50% based upon the Company's achievement of earnings per share compound annual growth rate ("EPS CAGR") metrics over a period beginning January 1, 2018 and ending December 31, 2020. The remaining 50% of the grants are earned based on the Company's total shareholder return ("TSR") relative to the TSR of the common stock of a pre-defined industry peer-group and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rate of 2.67% and annualized volatility of 30.2%. Depending on the performance achieved for these two metrics, the amount of shares earned, if any, can vary from 40% of the target award to a maximum of 200% of the target award for the EPS CAGR metric and 0% of the target award to a maximum of 200% of the target award for the TSR metric.</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the Company awarded performance-based RSUs to certain Company key employees which were earned based upon the Company's TSR relative to the TSR of the common stock of a pre-defined industry peer-group and measured over a period beginning September 10, 2015 and ending on December 31, 2017. Depending on the performance achieved, the amount of shares earned could vary from 0% of the target award to a maximum of 200% of the target award. The Company attained 126.9% of the target on a weighted average basis, resulting in an increase of 31,021 shares during the six months ended June 30,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June 30, 2018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306,075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(26,710)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668,160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19,643,904</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there was approximately $10.6 million of unrecognized compensation cost related to unvested RSUs that is expected to be recorded over a weighted average period of 2.4 years.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stock-based compensation expense related to RSUs of approximately $1.3 million and $1.7 million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2018 and 2017, respectively, and approximately $2.5 million and $3.0 million during the six months ended June 30, 2018 and 2017,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restricted stock units. The following table summarizes the dilutive effect of restricted stock units and options to purchase common stock for the three and six months ended June 30, 2018 and 2017:</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5620" w:type="dxa"/>
            <w:vAlign w:val="bottom"/>
          </w:tcPr>
          <w:p>
            <w:pPr>
              <w:spacing w:after="0"/>
              <w:rPr>
                <w:sz w:val="18"/>
                <w:szCs w:val="18"/>
                <w:color w:val="auto"/>
              </w:rPr>
            </w:pPr>
          </w:p>
        </w:tc>
        <w:tc>
          <w:tcPr>
            <w:tcW w:w="1840" w:type="dxa"/>
            <w:vAlign w:val="bottom"/>
            <w:gridSpan w:val="3"/>
          </w:tcPr>
          <w:p>
            <w:pPr>
              <w:jc w:val="center"/>
              <w:ind w:left="97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left="95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45,920,307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45,717,697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45,850,137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45,644,096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176,658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162,153</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267,620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222,996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103,792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42,566</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48,595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46,200,757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45,922,416</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46,215,047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45,915,687</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2015, the Company announced its Board of Directors had authorized the Company to purchase its common stock up to $50 million in the aggregate. During the second quarter of 2018, the Company executed its first activity under its stock purchase program, purchasing 100,947 shares of its outstanding common stock for approximately $2.9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Plans</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periodic pension benefit costs for the Company's defined benefit pension plans cover certain foreign employees, union hourly employees and salaried employees. The components of net periodic pension cost for the three and six months ended June 30, 2018 and 2017 are as follows (dollars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Pension Plans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3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3"/>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Settlement/curtailment loss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2,500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2,890</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960</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expense, net in the accompanying consolidated statement of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the Company purchased an annuity contract to transfer certain retiree defined benefit obligations to an insurance company. The annuity contract was funded by plan assets. The Company recognized a one-time settlement charge of approximately $2.5 million, which is included in other expense, net in the accompanying consolidated statement of income.</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$0.6 million and $1.2 million to its defined benefit pension plans during the three and six months ended June 30, 2018, respectively. The Company expects to contribute approximately $2.3 million to its defined benefit pension plans for the full year 2018.</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$0.5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$0.8 million. See Note 14,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$0.1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line="273" w:lineRule="auto"/>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14,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diversified industrial manufacturer of products for customers in the consumer products, aerospace, industrial, petrochemical, refinery and oil and gas end markets. Our wide range of innovative and quality product solutions are engineered and designed to address our customers' application-specific needs. We believe our businesses share important and distinguishing characteristics, including: well-recognized and leading brand names in the niche markets we serve; established distribution networks; innovative product technologies and features; customer approved processes and qualified products;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cyclical industries that are highly competitive and are themselves significantly impacted by changes in economic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2018, there were five significant factors impacting our reported results as compared to the second quarter of 2017.</w:t>
      </w:r>
    </w:p>
    <w:p>
      <w:pPr>
        <w:spacing w:after="0" w:line="2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first factor was an increase in sales levels across most of our end markets. Second quarter 2018 net sales increased by 5.4% compared with second quarter 2017, driven primarily by growth in our health, beauty and home care end market within our Packaging reportable segment and an increased volume of steel cylinder sales within our Specialty Products reportable segment. We believe general industrial year-to-date activity levels have been higher in 2018 versus 2017, particularly in the United States, and we are well positioned to take advantage of the incremental volume opportunities.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factor was continued positive momentum as we further leveraged the TriMas Business Model ("TBM"), which provides for a common platform to operate and manage our multi-industry set of businesses. We implemented the TBM in late 2016 and have continued to drive and leverage operating improvements, as well as continuously evaluate, realign and streamline fixed and selling, general and administrative expenses. The improvements and efficiencies attained through the TBM contributed to increased operating profit from higher sales levels leveraging at a greater rate than in second quarter 2017.</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factor affecting our year-over-year results was the enactment of the Tax Cuts and Jobs Act (the "Tax Reform Act") on December 22, 2017. We adopted the new legislation in the fourth quarter of 2017, and recorded one-time provisional charges of approximately $12.7 million related to taxing previously deferred foreign income and revaluing our net deferred tax assets. However, in the second quarter of 2018, we significantly benefited from the reduction in the U.S. Federal corporate tax rate from 35% to 21%, which resulted in a decrease in our overall effective tax rate from 35.0% in second quarter 2017 to 24.2% in second quarter 2018.</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fourth factor impacting our results was an increase in material costs in the second quarter 2018, primarily related to oil and metal-based commodities. Costs for these commodity-based items are higher than in 2017 and have been trending upward during 2018, and we believe have further increased in second quarter as a result of governmental intervention in trade matters. Historically, we have been able to work with our suppliers to manage costs. Tactics we employ in mitigating commodity cost increases include commercial pricing adjustments, both contractual and negotiated, resourcing to alternate suppliers to secure better pricing or avoid import and transportation costs, and insourcing to take advantage of our global manufacturing footprint. Certain of these measures take time, and in some cases some investment, to implement. While we have not fully recovered the commodity cost increases in the first half of 2018, we have, over time, been generally able to mitigate the impact of increased commodity costs.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fifth factor was the recognition of a one-time, non-cash settlement charge of approximately $2.5 million related to our decision to purchase an annuity contract and transfer certain U.S. pension obligations to an insurance company. We continue to execute de-risking strategies across our company to mitigate or eliminate potential volatility related to future payment obligations. The settlement charge was included in other expense, net in our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second quarter 2018 events, another significant factor affecting our 2018 reported results was an adjustment to terminate a legacy liability of approximately $8.2 million during the first quarter of 2018, which resulted in a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 related matters, benefit plan liabilities and reimbursements to Metaldyne of normal course payments to be made on TriMas' behalf. Metaldyne and its U.S. subsidiaries filed voluntary petitions in the United States Bankruptcy Court under Chapter 11 of the U.S. Bankruptcy Code in 2009. On January 11, 2018, the U.S. Bankruptcy Court entered a final decree to close all remaining cases and finalize the Metaldyne bankruptcy distribution trust, effectively terminating any potential obligation by TriMas to Metaldyne.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resins (such as polypropylene and polyethylene), steel, aluminum and other oil and metal-based purchased components. Although we are generally able to mitigate the impact of higher commodity costs, we may experience additional material costs and disruptions in supply in the future and may not be able to pass along higher costs to our customers in the form of price increases.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of our businesses in our Specialty Products reportable segment are sensitive to the demand for natural gas and crude oil in North America. For example, our Arrow Engine business is most directly impacted by these factors, as its engine pumpjack and compressor products are impacted by oil and gas rig counts and well completion activities. In addition, a portion of our Lamons business serves upstream customers at oil well sites that have been impacted by lower oil prices. The majority of this business provides parts for oil refineries and petrochemical plants, which may or may not decide to incur capital expenditures for their preventive maintenance or capacity expansion activities, both of which require use of our gaskets and bolts, in times of fluctuating oil prices. Separately, oil-based commodity costs are a significant driver of raw materials and purchased components used within our Packaging reportable segment. Although we have escalator/de-escalator clauses in commercial contracts with certain of our customers, or can modify p;rices based on market conditions to recover higher costs, we cannot be assured of full cost recovery in the open market.</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as a core tenet within the TBM, our businesses target cost savings from continuous improvement and productivity initiatives in an effort to lower input costs or improve throughput and yield rates with a goal of at least covering inflationary and market cost increases. In addition, we continuously review our costs to ensure alignment with current market demand.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our businesses continue to generate cash, we continuously evaluate strategies to redeploy our cash, which includes returning capital to our shareholders. In November 2015, we announced our Board of Directors had authorized us to purchase our common stock up to $50 million in the aggregate. In the second quarter of 2018 we purchased 100,947 shares of our outstanding common stock for approximately $2.9 million, marking the first stock buyback activity under this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three months ended June 30, 2018 and 2017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95,090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88,740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45,620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84,200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77,050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224,910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213,370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32,230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20,400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64,780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59,470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33,260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33,050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22,810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21,590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31,520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26,420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6,540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7,250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4,830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2018 and 2017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620"/>
              <w:spacing w:after="0"/>
              <w:rPr>
                <w:sz w:val="20"/>
                <w:szCs w:val="20"/>
                <w:color w:val="auto"/>
              </w:rPr>
            </w:pPr>
            <w:r>
              <w:rPr>
                <w:rFonts w:ascii="Arial" w:cs="Arial" w:eastAsia="Arial" w:hAnsi="Arial"/>
                <w:sz w:val="16"/>
                <w:szCs w:val="16"/>
                <w:b w:val="1"/>
                <w:bCs w:val="1"/>
                <w:color w:val="auto"/>
              </w:rPr>
              <w:t>Six months ended June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183,290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169,700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93,000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167,290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150,500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442,010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413,200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23,210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40,400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125,160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111,290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19,400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21,510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68,960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42,390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38,490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66,730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42,330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13,050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9,740</w:t>
            </w:r>
          </w:p>
        </w:tc>
        <w:tc>
          <w:tcPr>
            <w:tcW w:w="2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9,990</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three months ended June 30, 2018, compared with the three months ended June 30, 2017, were:</w:t>
      </w:r>
    </w:p>
    <w:p>
      <w:pPr>
        <w:spacing w:after="0" w:line="293" w:lineRule="exact"/>
        <w:rPr>
          <w:sz w:val="20"/>
          <w:szCs w:val="20"/>
          <w:color w:val="auto"/>
        </w:rPr>
      </w:pPr>
    </w:p>
    <w:p>
      <w:pPr>
        <w:ind w:left="1140" w:right="20" w:hanging="484"/>
        <w:spacing w:after="0" w:line="308"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sales levels across most of our end markets, primarily driven by growth in our health, beauty and home care end market within our Packaging reportable segment and from higher industrial cylinder sales within our Specialty Products reportable segment;</w:t>
      </w:r>
    </w:p>
    <w:p>
      <w:pPr>
        <w:spacing w:after="0" w:line="200" w:lineRule="exact"/>
        <w:rPr>
          <w:rFonts w:ascii="Arial" w:cs="Arial" w:eastAsia="Arial" w:hAnsi="Arial"/>
          <w:sz w:val="17"/>
          <w:szCs w:val="17"/>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benefits of leveraging the TBM, as we have continued to drive and leverage operating improvements, as well as continuously evaluate, realign and streamline fixed and selling, general and administrative expenses;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Tax Reform Act, contributing to a lower overall effective tax rate;</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commodity costs, primarily related to oil and steel-based raw materials, utilized in our Packaging and Specialty Products reportable segments; and</w:t>
      </w:r>
    </w:p>
    <w:p>
      <w:pPr>
        <w:spacing w:after="0" w:line="224"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recognition of a one-time, non-cash settlement charge of approximately $2.5 million related to our decision to purchase an annuity contract to transfer certain U.S. pension obligations to an insurance company.</w:t>
      </w:r>
    </w:p>
    <w:p>
      <w:pPr>
        <w:sectPr>
          <w:pgSz w:w="11900" w:h="16838" w:orient="portrait"/>
          <w:cols w:equalWidth="0" w:num="1">
            <w:col w:w="11420"/>
          </w:cols>
          <w:pgMar w:left="240" w:top="125" w:right="239" w:bottom="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with Three Months Ended June 30, 2017</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net sales increased approximately $11.5 million, or 5.4%, to $224.9 million for the three months ended June 30, 2018, as compared with $213.4 million in the three months ended June 30, 2017, primarily driven by $4.8 million higher sales of industrial cylinder products within our Specialty Products reportable segment and $4.6 million higher sales of health, beauty and home care products within our Packaging reportable segment. In addition, net sales increased by approximately $1.4 million due to net favorable currency exchange, as our reported results in U.S. dollars were favorably impacted as a result of the weakening U.S. dollar relative to foreign currencies.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margin (gross profit as a percentage of sales) approximated 28.8% and 27.9% for the three months ended June 30, 2018 and 2017, respectively. Gross profit increased primarily as a result of higher sales levels and lower facility exit costs in our Specialty Products reportable segment in second quarter 2018, which more than offset the impact of higher commodity-related costs.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margin (operating profit as a percentage of sales) approximated 14.0% and 12.4% for the three months ended June 30, 2018 and 2017, respectively. Operating profit increased approximately $5.1 million, or 19.3%, to $31.5 million for the three months ended June 30, 2018, from $26.4 million for the three months ended June 30, 2017. Operating profit increased primarily due to overall higher sales levels and lower facility exit costs, as selling, general and administrative expenses remained relatively flat compared to 2017.</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approximately $0.1 million, to $3.5 million for the three months ended June 30, 2018, as compared to $3.4 million for the three months ended June 30, 2017, as an increase in our interest rates more than offset lower weighted average borrowings.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increased approximately $2.1 million, to $2.2 million for the three months ended June 30, 2018, as compared to $0.1 million for the three months ended June 30, 2018, primarily due to a one-time charge of $2.5 million related to the settlement of defined benefit obligations, partially offset by an increase in gains on transactions denominated in foreign currencies.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income tax rates for the three months ended June 30, 2018 and 2017 were 24.2% and 35.0%, respectively. The decrease in the rate was primarily a result of the Tax Reform Act signed into law on December 22, 2017, which reduced the U.S. corporate income tax rate from 35% to 21% and added the Foreign Derived Intangible Income deduction effective January 1, 2018. In addition, we generated fewer losses at certain foreign subsidiaries where no tax benefit could be recorded in the three months ended June 30, 2018 as compared to the three months ended June 30, 2017. This decrease was partially offset by the Tax Reform Act’s repeal of the domestic manufacturing activities deduction and executive compensation limitation.</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increased by approximately $4.7 million, to $19.6 million for the three months ended June 30, 2018, as compared to $14.9 million for the three months ended June 30, 2017. The increase in net income was primarily the result of an increase in operating profit of approximately $5.1 million and a decrease in income tax expense of approximately $1.7 million, partially offset by an increase in other expense, net of approximately $2.1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$6.4 million, or 7.2%, to $95.1 million in the three months ended June 30, 2018, as compared to $88.7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June 30, 2017. Sales of our health, beauty and home care products increased approximately $4.6 million, primarily due to higher demand in Asia and North America as well as the ramp up of new products. Sales of our industrial closures increased approximately $0.9 million due to higher demand in North America. Sales of our food and beverage products decreased by approximately $0.2 million. Additionally, net sales increased by approximately $1.1 million due to favorable currency exchange, as our reported results in U.S. dollars were favorably impacted as a result of the weakening of the U.S. dollar relative to foreign currencies.</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gross profit decreased approximately $0.6 million to $31.6 million, or 33.3% of sales, in the three months ended June 30, 2018, as compared to $32.2 million, or 36.3% of sales, in the three months ended June 30, 2017. Gross profit decreased primarily as a result of a less favorable product sales mix and pricing pressures, most notably in the health, beauty and home care end market. In addition, gross profit was further pressured by higher resin-based raw material costs, which increased in late second quarter 2018 but price escalation clauses and other measures had not yet taken effect to recover such costs. The decrease was partially offset by approximately $0.5 million of favorable currency exchange, as our reported results in U.S. dollars were favorably impacted as a result of the weakening of the U.S. dollar relative to foreign currencies.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selling, general and administrative expenses decreased approximately $1.8 million to $8.8 million, or 9.3% of sales, in the three months ended June 30, 2018, as compared to $10.6 million, or 12.0% of sales, in the three months ended June 30, 2017, primarily due to a charge of approximately $1.1 million during the second quarter of 2017 to reserve for an outstanding accounts receivable deemed uncollectable from a European customer who filed for insolvency, as well as lower overall administrative expenses in second quarter 2018.</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operating profit increased approximately $1.2 million to $22.8 million, or 24.0% of sales, in the three months ended June 30, 2018, as compared to $21.6 million, or 24.3% of sales, in the three months ended June 30, 2017, as the impact of higher sales levels and lower selling, general, and administrative expenses more than offset the impact of a less favorable product sales mix, pricing pressures and higher commodity costs.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three months ended June 30, 2018 decreased approximately $2.0 million, or 4.1%, to $45.6 million, as compared to $47.6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three months ended June 30, 2017. Sales of our machined components products decreased by approximately $1.2 million, primarily due to the impact of our decision to exit certain less profitable production jobs. Sales of our fastener products decreased by approximately $0.8 million. Order intake activity for fastener products was, as expected, higher in the second quarter of 2018 than the second quarter of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Aerospace increased approximately $0.3 million to $12.8 million, or 27.9% of sales, in the three months ended June 30, 2018, from $12.4 million, or 26.1% of sales, in the three months ended June 30, 2017. Although sales levels decreased, gross profit increased, primarily as a result of improved production efficiencies and a more favorable product sales mix.</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remained flat at $5.4 million, or 11.9% of sales, in the three months ended June 30, 2018, as compared to $5.4 million, or 11.4% of sales, in the three months ended June 30, 2017.</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increased approximately $0.3 million to $7.3 million, or 16.0% of sales, in the three months ended June 30, 2018, as compared to $7.0 million, or 14.7% of sales in the three months ended June 30, 2017, as improved production efficiencies and a more favorable product mix more than offset the impact of lower sales levels.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June 30, 2018 increased approximately $7.1 million, or 9.3%, to $84.2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$77.1 million in the three months ended June 30, 2017. Sales of our industrial products increased by approximately $4.8 million, primarily due to increased sales volume of steel cylinders. Sales of our oil and gas related products increased by approximately $2.0 million, primarily as a result of higher sales of engines and compressors to wellhead sites due to higher levels of drilling activity in the United States and Canada. In addition, net sales increased by approximately $0.3 million of net favorable currency exchange, as our reported results in U.S. dollars were positively impacted as a result of the weaker U.S. dollar relative to foreign currencies.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Specialty Products increased approximately $5.6 million to $20.4 million, or 24.2% of sales, in the three months ended June 30, 2018, as compared to $14.8 million, or 19.2% of sales, in the three months ended June 30, 2017. Gross profit dollars and margin increased primarily as a result of approximately $3.4 million lower costs in second quarter 2018 than in second quarter 2017 related to the closure of our Reynosa, Mexico and Bangalore, India facilities. In addition, higher second quarter 2018 sales levels improved both gross profit dollars and margin, as this segment continues to leverage its lower fixed cost footprint. These increases were partially offset by higher specialty steel costs in second quarter 2018 used in the manufacture of our industrial cylinder products.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increased approximately $1.6 million to $11.2 million, or 13.3% of sales, in the three months ended June 30, 2018, as compared to $9.6 million, or 12.4% of sales, in the three months ended June 30, 2017, primarily due to increased selling costs as a result of higher sales volumes and approximately $0.7 million of severance and restructuring costs associated with the exit of our Bangalore, India facility.</w:t>
      </w:r>
    </w:p>
    <w:p>
      <w:pPr>
        <w:spacing w:after="0" w:line="24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profit within Specialty Products increased approximately $3.9 million to $9.2 million, or 11.0% of sales, in the three months ended June 30, 2018, as compared to $5.3 million, or 6.8% of sales, in the three months ended June 30, 2017, as a result of higher sales levels, lower facility exit costs and incremental savings resulting from footprint realignment activities, partially offset by higher selling, general and administrative expenses, and higher material costs.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increased approximately $0.4 million to $7.8 million of income for the three months ended June 30, 2018, from $7.4 million of expense for the three months ended June 30, 2017. Corporate operating expenses increased approximately $0.7 million, primarily due to an increase in expense related to the timing and estimated attainment of our short-term incentive compensation plans. Non-cash stock compensation decreased approximately $0.4 million, primarily due to the timing and amount of equity grants in 2018 compared with 2017.</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with Six Months Ended June 30, 2017</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Overall, net sales increased approximately $28.8 million, or 7.0%, to $442.0 million for the six months ended June 30, 2018, as compared with $413.2 million in the six months ended June 30, 2017, primarily driven by $8.5 million higher sales of industrial cylinder products and $7.5 million higher oil and gas-related product sales, both within our Specialty Products reportable segment, and $7.5 million higher sales of health, beauty and home care products within our Packaging reportable segment. In addition, net sales increased by approximately $4.2 million due to net favorable currency exchange, as our reported results in U.S. dollars were favorably impacted as a result of the weakening U.S. dollar relative to foreign currencies.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margin (gross profit as a percentage of sales) approximated 28.3% and 26.9% for the six months ended June 30, 2018 and 2017, respectively. Gross profit increased primarily as a result of higher sales levels and lower facility exit costs in our Specialty Products and Packaging reportable segments in the first half of 2018, which more than offset the impact of higher commodity-related costs in the first half of 2018.</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margin (operating profit as a percentage of sales) approximated 15.1% and 10.2% for the six months ended June 30, 2018 and 2017, respectively. Operating profit increased approximately $24.4 million, or 57.6%, to $66.7 million for the six months ended June 30, 2018, compared to $42.3 million for the six months ended June 30, 2017. Operating profit increased primarily due to overall higher sales levels and lower costs to exit, move and consolidate facilities in the first half of 2018 compared to the first half of 2017. Operating profit also increased by approximately $8.2 million due to a reduction of our recorded liability to Metaldyne following the U.S. Bankruptcy Court's final decree to close all remaining cases and terminate the Metaldyne bankruptcy distribution trust.</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approximately $0.2 million, to $7.2 million, for the six months ended June 30, 2018, as compared to $7.0 million for the six months ended June 30, 2017, as an increase in our interest rates more than offset lower weighted average borrowings.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increased approximately $1.8 million, to $2.7 million for the six months ended June 30, 2018, from $0.9 million for the six months ended June 30, 2017, primarily due to a one-time, non-cash charge of approximately $2.5 million related to the settlement of defined benefit obligations, which was partially offset by an increase in gains on transactions denominated in foreign currencies.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income tax rates for the six months ended June 30, 2018 and 2017 were 22.7% and 36.6%, respectively. The decrease in the rate was primarily a result of the Tax Reform Act signed into law on December 22, 2017, which reduced the U.S. corporate income tax rate from 35% to 21% and added the Foreign Derived Intangible Income deduction effective January 1, 2018. In addition, we generated fewer losses at certain foreign subsidiaries where no tax benefit could be recorded in the three months ended June 30, 2018 as compared to the three months ended June 30, 2017. This decrease was partially offset by the Tax Reform Act’s repeal of the domestic manufacturing activities deduction and executive compensation limitation.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increased by approximately $22.1 million, to $43.9 million for the six months ended June 30, 2018, compared to $21.8 million for the six months ended June 30, 2017. The increase was primarily the result of a $24.4 million increase in operating profit, partially offset by a $1.8 million increase in other expense, net, a $0.3 million increase in income tax expense and a $0.2 million increase in interest expense.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$13.6 million, or 8.0%, to $183.3 million in the six months ended June 30, 2018, as compared to $169.7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six months ended June 30, 2017, with sales increases in all three primary end markets. Sales of our health, beauty and home care products increased approximately $7.5 million, driven by higher sales in Asia and North America as well as the ramp up of new products. Sales of our industrial closures increased approximately $1.6 million due to increased demand in North America. Sales of our food and beverage products increased approximately $1.1 million due to increased demand in North America. Additionally, net sales increased by approximately $3.4 million due to favorable currency exchange, as our reported results in U.S. dollars were favorably impacted as a result of the weakening of the U.S. dollar relative to foreign currencies.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increased approximately $3.0 million to $60.9 million, or 33.2% of sales, in the six months ended June 30, 2018, as compared to $57.9 million, or 34.1% of sales, in the six months ended June 30, 2017, primarily as a result of approximately $1.4 million of costs incurred in the first half of 2017 to consolidate manufacturing facilities in India and to finalize the move to a new facility in Mexico that did not repeat in the first half of 2018 and approximately $1.5 million due to favorable currency exchange, as our reported results in U.S. dollars were favorably impacted as a result of the weakening of the U.S. dollar relative to foreign currencies. Gross profit margin declined, primarily due to a less favorable product sales mix and pricing pressures, most notably in our health, beauty and home care end market.</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decreased approximately $0.9 million to $18.5 million, or 10.1% of sales, in the six months ended June 30, 2018, as compared to $19.4 million, or 11.4% of sales, in the six months ended June 30, 2017, due to a charge of approximately $1.1 million during the second quarter of 2017 to reserve for an outstanding accounts receivable deemed uncollectable from a European customer who filed for insolvency, which was partially offset by higher employee-related costs in the first half of 2018 supporting our sales growth initiatives.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operating profit increased approximately $3.9 million to $42.4 million, or 23.1% of sales, in the six months ended June 30, 2018, as compared to $38.5 million, or 22.7% of sales, in the six months ended June 30, 2017. Operating profit increased primarily due to higher sales levels, lower consolidation and move costs than in the first half of 2017, lower selling, general, and administrative expenses and by approximately $1.0 million due to favorable currency exchange, all of which were partially offset by a less favorable product sales mix and pricing pressures.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six months ended June 30, 2018 decreased approximately $1.6 million, or 1.7%, to $91.4 million, as compared to $93.0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six months ended June 30, 2017. Sales of our fastener products decreased by approximately $1.5 million, primarily as a result of higher sales levels in the first half of 2017 as we reduced our past due order levels. Order intake activity for fastener products was, as expected, higher in the first half of 2018 than the first half of 2017. Sales of our machined components products were flat with first half 2017 levels, as higher sales levels related to solid demand and improved manufacturing throughput were essentially offset by our decision to exit certain less profitable production jobs.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Aerospace increased approximately $0.7 million to $23.9 million, or 26.1% of sales, in the six months ended June 30, 2018, from $23.2 million, or 25.0% of sales, in the six months ended June 30, 2017, primarily as a result of improved production efficiencies and a more favorable product sales mix.</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increased approximately $0.4 million to $11.5 million, or 12.6% of sales, in the six months ended June 30, 2018, as compared to $11.2 million, or 12.0% of sales, in the six months ended June 30, 2017, primarily due to a reduction in estimated uncollectable accounts receivable following cash collections from a customer in the six months ended June 30, 2017.</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profit within Aerospace increased approximately $0.3 million to $12.4 million, or 13.6% of sales, in the six months ended June 30, 2018, as compared to $12.1 million, or 13.0% of sales, in the six months ended June 30, 2017, as the impact of improved production efficiencies and a more favorable product mix more than offset the impact of lower sales levels and higher selling, general and administrative expenses.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six months ended June 30, 2018 increased approximately $16.8 million, or 11.2%, to $167.3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$150.5 million in the six months ended June 30, 2017. Sales of our industrial products increased by approximately $8.5 million, primarily due to increased demand for steel cylinders. Sales of our oil and gas related products increased by approximately $7.5 million, due to higher levels of refinery turnaround activity as well as increased sales of engines and compressors to wellhead sites due to higher levels of drilling activity in the United States and Canada. In addition, net sales increased by approximately $0.8 million of net favorable currency exchange, as our reported results in U.S. dollars were positively impacted as a result of the weaker U.S. dollar relative to foreign currencies.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Specialty Products increased approximately $10.2 million to $40.4 million, or 24.1% of sales, in the six months ended June 30, 2018, as compared to $30.2 million, or 20.1% of sales, in the six months ended June 30, 2017. Gross profit dollars and margin increased primarily as a result of approximately $4.5 million lower costs in the first six months of 2018 compared with the first six months of 2017 related to the closure of our former Reynosa, Mexico and Bangalore, India facilities. In addition, higher first half 2018 sales levels converted into higher gross profit dollars and margin, as this segment continues to leverage its lower fixed cost footprint. These increases were partially offset by higher specialty steel costs in the first half of 2018 used in the manufacture of our industrial cylinder products.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within Specialty Products decreased approximately $1.9 million to $21.5 million, or 12.9% of sales, in the six months ended June 30, 2018, as compared to $23.4 million, or 15.6% of sales, in the six months ended June 30, 2017, primarily as a result of a $3.5 million charge recorded in the first half of 2017 related to the exit of the Wolverhampton, United Kingdom facility, which was partially offset by increased selling costs as a result of higher sales volumes and approximately $0.7 million of severance and restructuring costs associated with the exit of our Bangalore, India facility.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$12.1 million to $18.9 million, or 11.3% of sales, in the six months ended June 30, 2018, as compared to $6.8 million, or 4.5% of sales, in the six months ended June 30, 2017, as a result of higher sales levels, lower costs associated with facility closures, and lower selling, general and administrative expenses, partially offset by increased commodity costs related to the production of industrial cylinders.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 net</w:t>
            </w: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Corporate expenses, net decreased approximately $8.1 million to $6.9 million for the six months ended June 30, 2018, from $15.0 million for the six months ended June 30, 2017, primarily due to the termination of the liability to Metaldyne in first quarter 2018, resulting in an approximate $8.2 million non-cash reduction in legacy (income) expenses, net. Corporate operating expenses increased approximately $0.5 million, primarily due to an increase in expense related to the timing and estimated attainment of our short-term incentive compensation plans. Non-cash stock compensation decreased approximately $0.7 million, primarily due to the timing and amount of equity grants in 2018 compared with 2017.</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$51.6 million for the six months ended June 30, 2018, as compared to approximately $49.6 million for the six months ended June 30, 2017. Significant changes in cash flows provided by operating activities and the reasons for such changes were as follows:</w:t>
      </w:r>
    </w:p>
    <w:p>
      <w:pPr>
        <w:spacing w:after="0" w:line="235" w:lineRule="exact"/>
        <w:rPr>
          <w:sz w:val="20"/>
          <w:szCs w:val="20"/>
          <w:color w:val="auto"/>
        </w:rPr>
      </w:pPr>
    </w:p>
    <w:p>
      <w:pPr>
        <w:jc w:val="both"/>
        <w:ind w:left="98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six months ended June 30, 2018, the Company generated approximately $76.4 million of cash, based on the reported net income of approximately $43.9 million and after considering the effects of non-cash items related to depreciation, amortization, loss on dispositions of assets, changes in deferred income taxes, stock-based compensation and other operating activities. For the six months ended June 30, 2017, the Company generated approximately $53.9 million in cash flows based on the reported net income of approximately $21.8 million and after considering the effects of similar non-cash items.</w:t>
      </w:r>
    </w:p>
    <w:p>
      <w:pPr>
        <w:spacing w:after="0" w:line="24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$20.4 million and $11.5 million for the six months ended June 30, 2018 and 2017, respectively. The increased use of cash for each of the six month periods is due primarily to the timing of sales and collection of cash within the periods. Days sales outstanding of receivables remained flat period-over-period.</w:t>
      </w:r>
    </w:p>
    <w:p>
      <w:pPr>
        <w:spacing w:after="0" w:line="235" w:lineRule="exact"/>
        <w:rPr>
          <w:rFonts w:ascii="Arial" w:cs="Arial" w:eastAsia="Arial" w:hAnsi="Arial"/>
          <w:sz w:val="18"/>
          <w:szCs w:val="18"/>
          <w:color w:val="auto"/>
        </w:rPr>
      </w:pPr>
    </w:p>
    <w:p>
      <w:pPr>
        <w:jc w:val="both"/>
        <w:ind w:left="980" w:hanging="324"/>
        <w:spacing w:after="0" w:line="30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increased our investment in inventory by approximately $5.9 million for the six months ended June 30, 2018, primarily as a result of operating at higher production levels to support sales growth. For the six months ended June 30, 2017, we reduced our investment in inventory by approximately $2.9 million, primarily as a result of our footprint consolidation and relocations projects. While our inventory levels are higher in 2018 than in 2017, our days sales in inventory have remained flat, as we continue our significant focus on working capital management.</w:t>
      </w:r>
    </w:p>
    <w:p>
      <w:pPr>
        <w:spacing w:after="0" w:line="208"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$9.0 million and $6.3 million for the six months ended June 30, 2018 and 2017, respectively, primarily as a result of the timing of payments made for income taxes and certain operating expenses.</w:t>
      </w:r>
    </w:p>
    <w:p>
      <w:pPr>
        <w:spacing w:after="0" w:line="23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cash use of approximately $7.5 million for the six months ended June 30, 2018, primarily related to an approximate $8.2 million non-cash reduction in an obligation during first quarter 2018. Decreases in accounts payable and accrued liabilities resulted in a cash use of approximately $1.9 million for the six months ended June 30, 2017, primarily as a result of timing of payments made to suppliers and the mix of vendors and related terms. Our days accounts payable on hand remained flat period-over-period.</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six months ended June 30, 2018 and 2017 was approximately $11.1 million and $15.1 million, respectively. During the first six months of 2018, we incurred approximately $11.3 million in capital expenditures, as we have continued our investment in growth, capacity and productivity-related capital projects. Cash received from the disposition of property and equipment was approximately $0.3 million. During the first six months of 2017, we incurred approximately $16.9 million in capital expenditures and received cash from the disposition of property and equipment of approximately $1.8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for the six months ended June 30, 2018 and 2017 was approximately $14.7 million and $32.5 million, respectively. During the first six months of 2018, we made net repayments of approximately $9.4 million on our revolving credit and accounts receivable facilities. We also purchased approximately $2.9 million of outstanding common stock and used a net cash amount of approximately $2.4 million related to our stock compensation arrangements. During the first six months of 2017, we made net repayments of approximately $24.9 million on our revolving credit and accounts receivable facilities, and repaid approximately $6.9 million on our former term loan A facility. We also used a net cash amount of approximately $0.5 million related to our stock compensation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2017, we issued $300.0 million aggregate principal amount of 4.875% senior unsecured notes due October 15, 2025 at par value in a private placement under Rule 144A of the Securities Act of 1933, as amended. The Senior Notes accrue interest at a rate of 4.875% per annum, payable semi-annually in arrears on April 15 and October 15, commencing on April 15,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subordinated to all existing and future secured indebtedness to the extent of the value of the assets securing such indebtedness. For the six months ended June 30, 2018, our consolidated subsidiaries that do not guarantee the Senior Notes represented approximately 14% of the total of guarantor and non-guarantor net sales, treating each as a consolidated group and excluding intercompany transactions between guarantor and non-guarantor subsidiaries. In addition, our non-guarantor subsidiaries represented approximately 29% and 7% of the total guarantor and non-guarantor assets and liabilities, respectively, as of June 30, 2018, treating the guarantor and non-guarantor subsidiaries each as a consolidated group and excluding intercompany transactions between such groups.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2018. If we were to complete an acquisition which qualifies for a Covenant Holiday Period, as defined in our Credit Agreement, then our permitted total net leverage ratio cannot exceed 4.50 to 1.00 during that period. Our actual total net leverage ratio was 1.67 to 1.00 at June 30, 2018. Our permitted senior secured net leverage ratio under the Credit Agreement is 3.50 to 1.00 as of June 30, 2018.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June 30, 2018. Our permitted interest expense coverage ratio under the Credit Agreement is 3.00 to 1.00 as of June 30, 2018. Our actual interest expense coverage ratio was 12.13 to 1.00 at June 30, 2018. At June 30, 2018, we were in compliance with our financial covenants.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2018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w w:val="95"/>
              </w:rPr>
              <w:t>Twelve Months</w:t>
            </w:r>
          </w:p>
        </w:tc>
        <w:tc>
          <w:tcPr>
            <w:tcW w:w="220" w:type="dxa"/>
            <w:vAlign w:val="bottom"/>
          </w:tcPr>
          <w:p>
            <w:pPr>
              <w:spacing w:after="0"/>
              <w:rPr>
                <w:sz w:val="17"/>
                <w:szCs w:val="17"/>
                <w:color w:val="auto"/>
              </w:rPr>
            </w:pPr>
          </w:p>
        </w:tc>
      </w:tr>
      <w:tr>
        <w:trPr>
          <w:trHeight w:val="210"/>
        </w:trPr>
        <w:tc>
          <w:tcPr>
            <w:tcW w:w="9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Ended June 30, 2018</w:t>
            </w: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53,040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14,610</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35,790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46,440</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6,060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4,240</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3,370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Extraordinary, non-recurring or unusual gains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(6,300)</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Business and asset dispositions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730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financing and extinguishment costs</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4,910</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162,890</w:t>
            </w:r>
          </w:p>
        </w:tc>
      </w:tr>
      <w:tr>
        <w:trPr>
          <w:trHeight w:val="20"/>
        </w:trPr>
        <w:tc>
          <w:tcPr>
            <w:tcW w:w="9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616"/>
        </w:trPr>
        <w:tc>
          <w:tcPr>
            <w:tcW w:w="9140" w:type="dxa"/>
            <w:vAlign w:val="bottom"/>
          </w:tcPr>
          <w:p>
            <w:pPr>
              <w:spacing w:after="0"/>
              <w:rPr>
                <w:sz w:val="24"/>
                <w:szCs w:val="24"/>
                <w:color w:val="auto"/>
              </w:rPr>
            </w:pPr>
          </w:p>
        </w:tc>
        <w:tc>
          <w:tcPr>
            <w:tcW w:w="204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24"/>
                <w:szCs w:val="24"/>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271,430</w:t>
            </w:r>
          </w:p>
        </w:tc>
        <w:tc>
          <w:tcPr>
            <w:tcW w:w="220" w:type="dxa"/>
            <w:vAlign w:val="bottom"/>
            <w:shd w:val="clear" w:color="auto" w:fill="CCEEFF"/>
          </w:tcPr>
          <w:p>
            <w:pPr>
              <w:spacing w:after="0"/>
              <w:rPr>
                <w:sz w:val="22"/>
                <w:szCs w:val="22"/>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162,890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auto"/>
        </w:rPr>
        <w:t>June 30, 2018</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5260" w:type="dxa"/>
            <w:vAlign w:val="bottom"/>
            <w:tcBorders>
              <w:top w:val="single" w:sz="8" w:color="CCEEFF"/>
            </w:tcBorders>
            <w:shd w:val="clear" w:color="auto" w:fill="CCEEFF"/>
          </w:tcPr>
          <w:p>
            <w:pPr>
              <w:ind w:left="20"/>
              <w:spacing w:after="0" w:line="283"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38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w:t>
            </w:r>
          </w:p>
        </w:tc>
        <w:tc>
          <w:tcPr>
            <w:tcW w:w="220" w:type="dxa"/>
            <w:vAlign w:val="bottom"/>
            <w:tcBorders>
              <w:top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162,890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38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840" w:type="dxa"/>
            <w:vAlign w:val="bottom"/>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5"/>
              </w:rPr>
              <w:t>Twelve Months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Ended June 30,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gridSpan w:val="2"/>
          </w:tcPr>
          <w:p>
            <w:pPr>
              <w:spacing w:after="0"/>
              <w:rPr>
                <w:sz w:val="2"/>
                <w:szCs w:val="2"/>
                <w:color w:val="auto"/>
              </w:rPr>
            </w:pPr>
          </w:p>
        </w:tc>
        <w:tc>
          <w:tcPr>
            <w:tcW w:w="45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14,610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Bank stipulated adjustments:</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Non-cash amounts attributable to amortization of financing costs</w:t>
            </w:r>
          </w:p>
        </w:tc>
        <w:tc>
          <w:tcPr>
            <w:tcW w:w="38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45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13,430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40" w:type="dxa"/>
            <w:vAlign w:val="bottom"/>
            <w:vMerge w:val="restart"/>
          </w:tcPr>
          <w:p>
            <w:pPr>
              <w:jc w:val="right"/>
              <w:ind w:right="325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472"/>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162,890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32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13,430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3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12.13</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Non-recurring costs and expenses relating to severance, relocation, restructuring and curtailment expenses.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8"/>
          <w:szCs w:val="8"/>
          <w:color w:val="auto"/>
        </w:rPr>
      </w:pPr>
      <w:r>
        <w:rPr>
          <w:rFonts w:ascii="Arial" w:cs="Arial" w:eastAsia="Arial" w:hAnsi="Arial"/>
          <w:sz w:val="13"/>
          <w:szCs w:val="13"/>
          <w:color w:val="auto"/>
        </w:rPr>
        <w:t>Senior secured indebtedness is negative at June 30, 2018 due to the deduction of certain unrestricted cash and unrestricted permitted investments as allowed under the Credit Agreement.</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we terminated our $75.0 million accounts receivable facility, under which we had the ability to sell eligible accounts receivable to a third-party multi-seller receivables funding company. At December 31, 2017, we had no amounts outstanding under the facility and approximately $57.8 million available but not utilized.</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2018, we had no amounts outstanding under our revolving credit facility and had approximately $285.9 million potentially available after giving effect to approximately $14.1 million of letters of credit issued and outstanding. At December 31, 2017, we had approximately $10.8 million outstanding under our revolving credit facility and had approximately $274.3 million potentially available after giving effect to approximately $14.9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June 30, 2018 and December 31, 2017, we had approximately $285.9 million and $332.1 million, respectively, of borrowing capacity available for general corporate purposes.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use cash on hand from our domestic and foreign subsidiaries to pay down amounts outstanding under our revolving credit facility, as applicable.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weighted average borrowings during the first six months of 2018 approximated $330.3 million, compared to approximately $404.0 million during the first six months of 2017. The overall decrease is primarily due to repayments using cash flows from operations.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June 30, 2018 is located in jurisdictions outside the U.S., given aggregate available funding under our revolving credit facility of $285.9 million at June 30, 2018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variable interest rates on our revolving credit facility. At June 30, 2018, 1-Month LIBOR approximated 2.09%. At June 30, 2018, we had no amounts outstanding on our revolving credit facility and therefore no variable rate-based borrowings outstanding.</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$16.7 million in 2017. We expect leasing will continue to be an available financing option to fund future capital expenditure requirements.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continuously evaluate strategies to redeploy our cash, including returning capital to our shareholders. In November 2015, we announced our Board of Directors had authorized us to purchase our common stock up to $50 million in the aggregate. In the three and six months ended June 30, 2018 we purchased 100,947 shares of our outstanding common stock for approximately $2.9 million. We will continue to evaluate opportunities to return capital to shareholders through the purchase of our common stock, depending on market conditions and other factors.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 We use cross-currency swap agreements to mitigate currency risks associated with the net investment in certain of our foreign subsidiaries. See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June 7, 2018, Moody's upgraded our Senior Notes rating to Ba3 from B1, as presented in Note 8,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upgraded our Corporate Family Rating to Ba2 from Ba3 and maintained its outlook as stable. On May 11, 2018, Standard &amp; Poor's upgraded our senior unsecured debt rating to BB- from B+, upgraded our corporate credit rating to BB from BB-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first half 2018 results continue our recent positive momentum, as we further improve our operating efficacy under the TriMas Business Model, which provides a standardized set of processes that we follow to drive results across our multi-industry set of businesses. We experienced year-over-year increases in sales and operating profit, with further improvement in net income as a result of a lower tax rate following the enactment of the Tax Reform Act.</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sales levels for 2018 will be higher than originally projected considering our year to date growth, which has been boosted by improved economic activity and the continued success of our internal sales growth programs. We do believe year-over-year growth in the second half of 2018 will moderate from the 7.0% growth in the first half of 2018, as compared with the first half of 2017, as certain customers may have bought earlier in 2018 than they originally planned or may defer planned second half purchases given economic uncertainty around direct and indirect impacts of recently enacted tariffs on foreign-sourced materials.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our efforts to mitigate the impact of external factors, while also focusing on those areas we can control. We will also continue to prioritize growth programs, particularly in our Packaging and Aerospace reportable segments, many of which are underway and will provide benefit through the remainder of 2018. We will also continue to monitor the cost structure of our Specialty Products reportable segment, to ensure it remains aligned with customer demand in the end markets we serve.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leverage the tenets of the TriMas Business Model to execute our improvement actions, adjust our product portfolios to deemphasize or no longer sell certain lower-margin products, and seek lower-cost sources for input costs, all while continuously assessing our manufacturing footprint, productivity and fixed cost structure.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June 30, 2018,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2017.</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completing our 2017 assessment of goodwill and indefinite-lived intangible assets, we determined the fair value of the Aerospace reporting unit exceeded its carrying value by more than 15%, and thus there was no goodwill impairment. All other reporting units with goodwill had an implied fair value greater than carrying value by more than 89% in our last quantitative assessment. The amount of remaining goodwill attributable to the Aerospace reporting unit was approximately $146.4 million as of each of June 30, 2018 and December 31, 2017. We have not identified any events or changes in circumstances that could reasonably be expected to have an other than temporary effect on the significant assumptions used in estimating the fair value of our Aerospace or other reporting units with goodwill.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and Note 9,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2018,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2018, the Company's disclosure controls and procedures are effective to provide reasonable assurance that they would meet their objectives.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June 30, 2018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2017, which could materially affect our business, financial condition or future results. There have been no significant changes in our risk factors as disclosed in our 2017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June 30,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w w:val="96"/>
              </w:rPr>
              <w:t>Total Number of Shares</w:t>
            </w:r>
          </w:p>
        </w:tc>
        <w:tc>
          <w:tcPr>
            <w:tcW w:w="120" w:type="dxa"/>
            <w:vAlign w:val="bottom"/>
          </w:tcPr>
          <w:p>
            <w:pPr>
              <w:spacing w:after="0"/>
              <w:rPr>
                <w:sz w:val="17"/>
                <w:szCs w:val="17"/>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Average Price Paid per</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43"/>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to April 30, 2018</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May 1, 2018 to May 31, 2018</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19,782</w:t>
            </w:r>
          </w:p>
        </w:tc>
        <w:tc>
          <w:tcPr>
            <w:tcW w:w="54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19,782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49,463,606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2018 to June 30, 2018</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81,165</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81,165</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47,080,257</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100,947</w:t>
            </w:r>
          </w:p>
        </w:tc>
        <w:tc>
          <w:tcPr>
            <w:tcW w:w="54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100,947</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47,080,257</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57"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Pursuant to a publicly announced share repurchase program from November 2015, during the three months ended June 30, 2018, the Company repurchased 100,947 shares of its common stock at a cost of approximately $2.9 million. The share repurchase program, pursuant to which the Company is authorized to purchase up to $50 million in aggregate of its common stock, is effective and has no expiration date.</w:t>
      </w:r>
    </w:p>
    <w:p>
      <w:pPr>
        <w:spacing w:after="0" w:line="2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360" w:type="dxa"/>
            <w:vAlign w:val="bottom"/>
            <w:gridSpan w:val="9"/>
          </w:tcPr>
          <w:p>
            <w:pPr>
              <w:spacing w:after="0"/>
              <w:rPr>
                <w:sz w:val="20"/>
                <w:szCs w:val="20"/>
                <w:color w:val="auto"/>
              </w:rPr>
            </w:pPr>
            <w:r>
              <w:rPr>
                <w:rFonts w:ascii="Arial" w:cs="Arial" w:eastAsia="Arial" w:hAnsi="Arial"/>
                <w:sz w:val="18"/>
                <w:szCs w:val="18"/>
                <w:b w:val="1"/>
                <w:bCs w:val="1"/>
                <w:color w:val="auto"/>
              </w:rPr>
              <w:t>Exhibits Index:</w:t>
            </w:r>
          </w:p>
        </w:tc>
      </w:tr>
      <w:tr>
        <w:trPr>
          <w:trHeight w:val="55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40" w:type="dxa"/>
            <w:vAlign w:val="bottom"/>
          </w:tcPr>
          <w:p>
            <w:pPr>
              <w:spacing w:after="0"/>
              <w:rPr>
                <w:sz w:val="24"/>
                <w:szCs w:val="24"/>
                <w:color w:val="auto"/>
              </w:rPr>
            </w:pPr>
          </w:p>
        </w:tc>
        <w:tc>
          <w:tcPr>
            <w:tcW w:w="5940" w:type="dxa"/>
            <w:vAlign w:val="bottom"/>
            <w:tcBorders>
              <w:bottom w:val="single" w:sz="8" w:color="0000FF"/>
            </w:tcBorders>
            <w:gridSpan w:val="3"/>
          </w:tcPr>
          <w:p>
            <w:pPr>
              <w:spacing w:after="0"/>
              <w:rPr>
                <w:rFonts w:ascii="Arial" w:cs="Arial" w:eastAsia="Arial" w:hAnsi="Arial"/>
                <w:sz w:val="18"/>
                <w:szCs w:val="18"/>
                <w:color w:val="0000FF"/>
                <w:w w:val="91"/>
              </w:rPr>
            </w:pPr>
            <w:hyperlink r:id="rId8">
              <w:r>
                <w:rPr>
                  <w:rFonts w:ascii="Arial" w:cs="Arial" w:eastAsia="Arial" w:hAnsi="Arial"/>
                  <w:sz w:val="18"/>
                  <w:szCs w:val="18"/>
                  <w:color w:val="0000FF"/>
                  <w:w w:val="91"/>
                </w:rPr>
                <w:t>Fourth Amended and Restated Certificate of Incorporation of TriMas Corporation.</w:t>
              </w:r>
            </w:hyperlink>
          </w:p>
        </w:tc>
        <w:tc>
          <w:tcPr>
            <w:tcW w:w="3660" w:type="dxa"/>
            <w:vAlign w:val="bottom"/>
            <w:gridSpan w:val="4"/>
          </w:tcPr>
          <w:p>
            <w:pPr>
              <w:spacing w:after="0"/>
              <w:rPr>
                <w:sz w:val="24"/>
                <w:szCs w:val="24"/>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40" w:type="dxa"/>
            <w:vAlign w:val="bottom"/>
          </w:tcPr>
          <w:p>
            <w:pPr>
              <w:spacing w:after="0"/>
              <w:rPr>
                <w:sz w:val="21"/>
                <w:szCs w:val="21"/>
                <w:color w:val="auto"/>
              </w:rPr>
            </w:pPr>
          </w:p>
        </w:tc>
        <w:tc>
          <w:tcPr>
            <w:tcW w:w="4480" w:type="dxa"/>
            <w:vAlign w:val="bottom"/>
            <w:tcBorders>
              <w:bottom w:val="single" w:sz="8" w:color="0000FF"/>
            </w:tcBorders>
            <w:gridSpan w:val="2"/>
          </w:tcPr>
          <w:p>
            <w:pPr>
              <w:spacing w:after="0"/>
              <w:rPr>
                <w:rFonts w:ascii="Arial" w:cs="Arial" w:eastAsia="Arial" w:hAnsi="Arial"/>
                <w:sz w:val="18"/>
                <w:szCs w:val="18"/>
                <w:color w:val="0000FF"/>
                <w:w w:val="91"/>
              </w:rPr>
            </w:pPr>
            <w:hyperlink r:id="rId9">
              <w:r>
                <w:rPr>
                  <w:rFonts w:ascii="Arial" w:cs="Arial" w:eastAsia="Arial" w:hAnsi="Arial"/>
                  <w:sz w:val="18"/>
                  <w:szCs w:val="18"/>
                  <w:color w:val="0000FF"/>
                  <w:w w:val="91"/>
                </w:rPr>
                <w:t>Third Amended and Restated By-laws of TriMas Corporation.</w:t>
              </w:r>
            </w:hyperlink>
          </w:p>
        </w:tc>
        <w:tc>
          <w:tcPr>
            <w:tcW w:w="5120" w:type="dxa"/>
            <w:vAlign w:val="bottom"/>
            <w:gridSpan w:val="5"/>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21"/>
                <w:szCs w:val="21"/>
                <w:color w:val="auto"/>
              </w:rPr>
            </w:pPr>
          </w:p>
        </w:tc>
        <w:tc>
          <w:tcPr>
            <w:tcW w:w="84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Form of Performance Stock Units Agreement - 2018 LTI - under the 2017 Equity and Incentive Compensation Plan.*</w:t>
              </w:r>
            </w:hyperlink>
          </w:p>
        </w:tc>
        <w:tc>
          <w:tcPr>
            <w:tcW w:w="1140" w:type="dxa"/>
            <w:vAlign w:val="bottom"/>
            <w:gridSpan w:val="3"/>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21"/>
                <w:szCs w:val="21"/>
                <w:color w:val="auto"/>
              </w:rPr>
            </w:pPr>
          </w:p>
        </w:tc>
        <w:tc>
          <w:tcPr>
            <w:tcW w:w="96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Form of Restricted Stock Units Agreement (Three-Year Vest) - 2018 LTI - under the 2017 Equity and Incentive Compensation Plan.*</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1040" w:type="dxa"/>
            <w:vAlign w:val="bottom"/>
          </w:tcPr>
          <w:p>
            <w:pPr>
              <w:spacing w:after="0"/>
              <w:rPr>
                <w:sz w:val="21"/>
                <w:szCs w:val="21"/>
                <w:color w:val="auto"/>
              </w:rPr>
            </w:pPr>
          </w:p>
        </w:tc>
        <w:tc>
          <w:tcPr>
            <w:tcW w:w="9600" w:type="dxa"/>
            <w:vAlign w:val="bottom"/>
            <w:gridSpan w:val="7"/>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Form of Restricted Stock Units Agreement (Board Of Directors) (One-Year Vest) - 2018 LTI - under the 2017 Equity and Incentive</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Compensation Plan.*</w:t>
              </w:r>
            </w:hyperlink>
          </w:p>
        </w:tc>
        <w:tc>
          <w:tcPr>
            <w:tcW w:w="7900" w:type="dxa"/>
            <w:vAlign w:val="bottom"/>
            <w:tcBorders>
              <w:top w:val="single" w:sz="8" w:color="0000FF"/>
            </w:tcBorders>
            <w:gridSpan w:val="5"/>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93">
              <w:r>
                <w:rPr>
                  <w:rFonts w:ascii="Arial" w:cs="Arial" w:eastAsia="Arial" w:hAnsi="Arial"/>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94">
              <w:r>
                <w:rPr>
                  <w:rFonts w:ascii="Arial" w:cs="Arial" w:eastAsia="Arial" w:hAnsi="Arial"/>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95">
              <w:r>
                <w:rPr>
                  <w:rFonts w:ascii="Arial" w:cs="Arial" w:eastAsia="Arial" w:hAnsi="Arial"/>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96">
              <w:r>
                <w:rPr>
                  <w:rFonts w:ascii="Arial" w:cs="Arial" w:eastAsia="Arial" w:hAnsi="Arial"/>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91"/>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0" w:type="dxa"/>
            <w:vAlign w:val="bottom"/>
          </w:tcPr>
          <w:p>
            <w:pPr>
              <w:spacing w:after="0"/>
              <w:rPr>
                <w:sz w:val="24"/>
                <w:szCs w:val="24"/>
                <w:color w:val="auto"/>
              </w:rPr>
            </w:pPr>
          </w:p>
        </w:tc>
        <w:tc>
          <w:tcPr>
            <w:tcW w:w="87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gridSpan w:val="2"/>
          </w:tcPr>
          <w:p>
            <w:pPr>
              <w:spacing w:after="0"/>
              <w:rPr>
                <w:sz w:val="24"/>
                <w:szCs w:val="24"/>
                <w:color w:val="auto"/>
              </w:rPr>
            </w:pP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right="460" w:hanging="832"/>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right="460" w:hanging="832"/>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100" w:type="dxa"/>
            <w:vAlign w:val="bottom"/>
            <w:gridSpan w:val="2"/>
          </w:tcPr>
          <w:p>
            <w:pPr>
              <w:ind w:left="98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Date:  August 7, 2018</w:t>
            </w:r>
          </w:p>
        </w:tc>
        <w:tc>
          <w:tcPr>
            <w:tcW w:w="4100" w:type="dxa"/>
            <w:vAlign w:val="bottom"/>
            <w:gridSpan w:val="2"/>
          </w:tcPr>
          <w:p>
            <w:pPr>
              <w:ind w:left="98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80" w:type="dxa"/>
            <w:vAlign w:val="bottom"/>
          </w:tcPr>
          <w:p>
            <w:pPr>
              <w:spacing w:after="0"/>
              <w:rPr>
                <w:sz w:val="24"/>
                <w:szCs w:val="24"/>
                <w:color w:val="auto"/>
              </w:rPr>
            </w:pPr>
          </w:p>
        </w:tc>
        <w:tc>
          <w:tcPr>
            <w:tcW w:w="4100" w:type="dxa"/>
            <w:vAlign w:val="bottom"/>
            <w:gridSpan w:val="2"/>
          </w:tcPr>
          <w:p>
            <w:pPr>
              <w:jc w:val="right"/>
              <w:ind w:right="1020"/>
              <w:spacing w:after="0"/>
              <w:rPr>
                <w:sz w:val="20"/>
                <w:szCs w:val="20"/>
                <w:color w:val="auto"/>
              </w:rPr>
            </w:pPr>
            <w:r>
              <w:rPr>
                <w:rFonts w:ascii="Arial" w:cs="Arial" w:eastAsia="Arial" w:hAnsi="Arial"/>
                <w:sz w:val="18"/>
                <w:szCs w:val="18"/>
                <w:color w:val="auto"/>
              </w:rPr>
              <w:t>39</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1/1/18 - 12/31/20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one or more Appendices to this Agreement, the terms used in this Agreement have the same meanings as defined in the Plan.</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gridSpan w:val="3"/>
          </w:tcPr>
          <w:p>
            <w:pPr>
              <w:spacing w:after="0"/>
              <w:rPr>
                <w:sz w:val="20"/>
                <w:szCs w:val="20"/>
                <w:color w:val="auto"/>
              </w:rPr>
            </w:pPr>
            <w:r>
              <w:rPr>
                <w:rFonts w:ascii="Arial" w:cs="Arial" w:eastAsia="Arial" w:hAnsi="Arial"/>
                <w:sz w:val="22"/>
                <w:szCs w:val="22"/>
                <w:b w:val="1"/>
                <w:bCs w:val="1"/>
                <w:color w:val="auto"/>
              </w:rPr>
              <w:t>I.  NOTICE OF PSU AWARD</w:t>
            </w:r>
          </w:p>
        </w:tc>
        <w:tc>
          <w:tcPr>
            <w:tcW w:w="6100" w:type="dxa"/>
            <w:vAlign w:val="bottom"/>
          </w:tcPr>
          <w:p>
            <w:pPr>
              <w:spacing w:after="0"/>
              <w:rPr>
                <w:sz w:val="21"/>
                <w:szCs w:val="21"/>
                <w:color w:val="auto"/>
              </w:rPr>
            </w:pPr>
          </w:p>
        </w:tc>
      </w:tr>
      <w:tr>
        <w:trPr>
          <w:trHeight w:val="665"/>
        </w:trPr>
        <w:tc>
          <w:tcPr>
            <w:tcW w:w="320" w:type="dxa"/>
            <w:vAlign w:val="bottom"/>
          </w:tcPr>
          <w:p>
            <w:pPr>
              <w:spacing w:after="0"/>
              <w:rPr>
                <w:sz w:val="24"/>
                <w:szCs w:val="24"/>
                <w:color w:val="auto"/>
              </w:rPr>
            </w:pPr>
          </w:p>
        </w:tc>
        <w:tc>
          <w:tcPr>
            <w:tcW w:w="2520" w:type="dxa"/>
            <w:vAlign w:val="bottom"/>
            <w:tcBorders>
              <w:top w:val="single" w:sz="8" w:color="auto"/>
            </w:tcBorders>
          </w:tcPr>
          <w:p>
            <w:pPr>
              <w:ind w:left="360"/>
              <w:spacing w:after="0"/>
              <w:rPr>
                <w:sz w:val="20"/>
                <w:szCs w:val="20"/>
                <w:color w:val="auto"/>
              </w:rPr>
            </w:pPr>
            <w:r>
              <w:rPr>
                <w:rFonts w:ascii="Arial" w:cs="Arial" w:eastAsia="Arial" w:hAnsi="Arial"/>
                <w:sz w:val="22"/>
                <w:szCs w:val="22"/>
                <w:b w:val="1"/>
                <w:bCs w:val="1"/>
                <w:color w:val="auto"/>
              </w:rPr>
              <w:t>Grantee:</w:t>
            </w:r>
          </w:p>
        </w:tc>
        <w:tc>
          <w:tcPr>
            <w:tcW w:w="1440" w:type="dxa"/>
            <w:vAlign w:val="bottom"/>
          </w:tcPr>
          <w:p>
            <w:pPr>
              <w:spacing w:after="0"/>
              <w:rPr>
                <w:sz w:val="24"/>
                <w:szCs w:val="24"/>
                <w:color w:val="auto"/>
              </w:rPr>
            </w:pPr>
          </w:p>
        </w:tc>
        <w:tc>
          <w:tcPr>
            <w:tcW w:w="6100" w:type="dxa"/>
            <w:vAlign w:val="bottom"/>
          </w:tcPr>
          <w:p>
            <w:pPr>
              <w:ind w:left="1080"/>
              <w:spacing w:after="0"/>
              <w:rPr>
                <w:sz w:val="20"/>
                <w:szCs w:val="20"/>
                <w:color w:val="auto"/>
              </w:rPr>
            </w:pPr>
            <w:r>
              <w:rPr>
                <w:rFonts w:ascii="Arial" w:cs="Arial" w:eastAsia="Arial" w:hAnsi="Arial"/>
                <w:sz w:val="22"/>
                <w:szCs w:val="22"/>
                <w:color w:val="auto"/>
              </w:rPr>
              <w:t>[specify Grantee’s name]</w:t>
            </w:r>
          </w:p>
        </w:tc>
      </w:tr>
      <w:tr>
        <w:trPr>
          <w:trHeight w:val="297"/>
        </w:trPr>
        <w:tc>
          <w:tcPr>
            <w:tcW w:w="320" w:type="dxa"/>
            <w:vAlign w:val="bottom"/>
          </w:tcPr>
          <w:p>
            <w:pPr>
              <w:spacing w:after="0"/>
              <w:rPr>
                <w:sz w:val="24"/>
                <w:szCs w:val="24"/>
                <w:color w:val="auto"/>
              </w:rPr>
            </w:pPr>
          </w:p>
        </w:tc>
        <w:tc>
          <w:tcPr>
            <w:tcW w:w="3960" w:type="dxa"/>
            <w:vAlign w:val="bottom"/>
            <w:gridSpan w:val="2"/>
          </w:tcPr>
          <w:p>
            <w:pPr>
              <w:ind w:left="360"/>
              <w:spacing w:after="0"/>
              <w:rPr>
                <w:sz w:val="20"/>
                <w:szCs w:val="20"/>
                <w:color w:val="auto"/>
              </w:rPr>
            </w:pPr>
            <w:r>
              <w:rPr>
                <w:rFonts w:ascii="Arial" w:cs="Arial" w:eastAsia="Arial" w:hAnsi="Arial"/>
                <w:sz w:val="22"/>
                <w:szCs w:val="22"/>
                <w:b w:val="1"/>
                <w:bCs w:val="1"/>
                <w:color w:val="auto"/>
              </w:rPr>
              <w:t>Date of Agreement:</w:t>
            </w:r>
          </w:p>
        </w:tc>
        <w:tc>
          <w:tcPr>
            <w:tcW w:w="6100" w:type="dxa"/>
            <w:vAlign w:val="bottom"/>
          </w:tcPr>
          <w:p>
            <w:pPr>
              <w:ind w:left="1080"/>
              <w:spacing w:after="0"/>
              <w:rPr>
                <w:sz w:val="20"/>
                <w:szCs w:val="20"/>
                <w:color w:val="auto"/>
              </w:rPr>
            </w:pPr>
            <w:r>
              <w:rPr>
                <w:rFonts w:ascii="Arial" w:cs="Arial" w:eastAsia="Arial" w:hAnsi="Arial"/>
                <w:sz w:val="22"/>
                <w:szCs w:val="22"/>
                <w:color w:val="auto"/>
              </w:rPr>
              <w:t>As of [enter date]</w:t>
            </w:r>
          </w:p>
        </w:tc>
      </w:tr>
      <w:tr>
        <w:trPr>
          <w:trHeight w:val="297"/>
        </w:trPr>
        <w:tc>
          <w:tcPr>
            <w:tcW w:w="320" w:type="dxa"/>
            <w:vAlign w:val="bottom"/>
          </w:tcPr>
          <w:p>
            <w:pPr>
              <w:spacing w:after="0"/>
              <w:rPr>
                <w:sz w:val="24"/>
                <w:szCs w:val="24"/>
                <w:color w:val="auto"/>
              </w:rPr>
            </w:pPr>
          </w:p>
        </w:tc>
        <w:tc>
          <w:tcPr>
            <w:tcW w:w="3960" w:type="dxa"/>
            <w:vAlign w:val="bottom"/>
            <w:gridSpan w:val="2"/>
          </w:tcPr>
          <w:p>
            <w:pPr>
              <w:ind w:left="360"/>
              <w:spacing w:after="0"/>
              <w:rPr>
                <w:sz w:val="20"/>
                <w:szCs w:val="20"/>
                <w:color w:val="auto"/>
              </w:rPr>
            </w:pPr>
            <w:r>
              <w:rPr>
                <w:rFonts w:ascii="Arial" w:cs="Arial" w:eastAsia="Arial" w:hAnsi="Arial"/>
                <w:sz w:val="22"/>
                <w:szCs w:val="22"/>
                <w:b w:val="1"/>
                <w:bCs w:val="1"/>
                <w:color w:val="auto"/>
              </w:rPr>
              <w:t>Date of Grant:</w:t>
            </w:r>
          </w:p>
        </w:tc>
        <w:tc>
          <w:tcPr>
            <w:tcW w:w="6100" w:type="dxa"/>
            <w:vAlign w:val="bottom"/>
          </w:tcPr>
          <w:p>
            <w:pPr>
              <w:ind w:left="1080"/>
              <w:spacing w:after="0"/>
              <w:rPr>
                <w:sz w:val="20"/>
                <w:szCs w:val="20"/>
                <w:color w:val="auto"/>
              </w:rPr>
            </w:pPr>
            <w:r>
              <w:rPr>
                <w:rFonts w:ascii="Arial" w:cs="Arial" w:eastAsia="Arial" w:hAnsi="Arial"/>
                <w:sz w:val="22"/>
                <w:szCs w:val="22"/>
                <w:color w:val="auto"/>
              </w:rPr>
              <w:t>[Grant Date]</w:t>
            </w:r>
          </w:p>
        </w:tc>
      </w:tr>
      <w:tr>
        <w:trPr>
          <w:trHeight w:val="266"/>
        </w:trPr>
        <w:tc>
          <w:tcPr>
            <w:tcW w:w="320" w:type="dxa"/>
            <w:vAlign w:val="bottom"/>
          </w:tcPr>
          <w:p>
            <w:pPr>
              <w:spacing w:after="0"/>
              <w:rPr>
                <w:sz w:val="23"/>
                <w:szCs w:val="23"/>
                <w:color w:val="auto"/>
              </w:rPr>
            </w:pPr>
          </w:p>
        </w:tc>
        <w:tc>
          <w:tcPr>
            <w:tcW w:w="3960" w:type="dxa"/>
            <w:vAlign w:val="bottom"/>
            <w:gridSpan w:val="2"/>
          </w:tcPr>
          <w:p>
            <w:pPr>
              <w:ind w:left="360"/>
              <w:spacing w:after="0"/>
              <w:rPr>
                <w:sz w:val="20"/>
                <w:szCs w:val="20"/>
                <w:color w:val="auto"/>
              </w:rPr>
            </w:pPr>
            <w:r>
              <w:rPr>
                <w:rFonts w:ascii="Arial" w:cs="Arial" w:eastAsia="Arial" w:hAnsi="Arial"/>
                <w:sz w:val="22"/>
                <w:szCs w:val="22"/>
                <w:b w:val="1"/>
                <w:bCs w:val="1"/>
                <w:color w:val="auto"/>
              </w:rPr>
              <w:t>Number of PSUs in Award:</w:t>
            </w:r>
          </w:p>
        </w:tc>
        <w:tc>
          <w:tcPr>
            <w:tcW w:w="6100" w:type="dxa"/>
            <w:vAlign w:val="bottom"/>
          </w:tcPr>
          <w:p>
            <w:pPr>
              <w:ind w:left="1080"/>
              <w:spacing w:after="0"/>
              <w:rPr>
                <w:sz w:val="20"/>
                <w:szCs w:val="20"/>
                <w:color w:val="auto"/>
              </w:rPr>
            </w:pPr>
            <w:r>
              <w:rPr>
                <w:rFonts w:ascii="Arial" w:cs="Arial" w:eastAsia="Arial" w:hAnsi="Arial"/>
                <w:sz w:val="22"/>
                <w:szCs w:val="22"/>
                <w:color w:val="auto"/>
              </w:rPr>
              <w:t>[number of PSUs] (“Target”), subject to addition or</w:t>
            </w:r>
          </w:p>
        </w:tc>
      </w:tr>
      <w:tr>
        <w:trPr>
          <w:trHeight w:val="243"/>
        </w:trPr>
        <w:tc>
          <w:tcPr>
            <w:tcW w:w="3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100" w:type="dxa"/>
            <w:vAlign w:val="bottom"/>
          </w:tcPr>
          <w:p>
            <w:pPr>
              <w:ind w:left="1080"/>
              <w:spacing w:after="0" w:line="243" w:lineRule="exact"/>
              <w:rPr>
                <w:sz w:val="20"/>
                <w:szCs w:val="20"/>
                <w:color w:val="auto"/>
              </w:rPr>
            </w:pPr>
            <w:r>
              <w:rPr>
                <w:rFonts w:ascii="Arial" w:cs="Arial" w:eastAsia="Arial" w:hAnsi="Arial"/>
                <w:sz w:val="22"/>
                <w:szCs w:val="22"/>
                <w:color w:val="auto"/>
                <w:w w:val="97"/>
              </w:rPr>
              <w:t>subtraction as set forth on Appendix A depending on</w:t>
            </w:r>
          </w:p>
        </w:tc>
      </w:tr>
      <w:tr>
        <w:trPr>
          <w:trHeight w:val="275"/>
        </w:trPr>
        <w:tc>
          <w:tcPr>
            <w:tcW w:w="3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100" w:type="dxa"/>
            <w:vAlign w:val="bottom"/>
          </w:tcPr>
          <w:p>
            <w:pPr>
              <w:ind w:left="1080"/>
              <w:spacing w:after="0"/>
              <w:rPr>
                <w:sz w:val="20"/>
                <w:szCs w:val="20"/>
                <w:color w:val="auto"/>
              </w:rPr>
            </w:pPr>
            <w:r>
              <w:rPr>
                <w:rFonts w:ascii="Arial" w:cs="Arial" w:eastAsia="Arial" w:hAnsi="Arial"/>
                <w:sz w:val="22"/>
                <w:szCs w:val="22"/>
                <w:color w:val="auto"/>
              </w:rPr>
              <w:t>achievement of applicable Management Objectives</w:t>
            </w:r>
          </w:p>
        </w:tc>
      </w:tr>
      <w:tr>
        <w:trPr>
          <w:trHeight w:val="266"/>
        </w:trPr>
        <w:tc>
          <w:tcPr>
            <w:tcW w:w="320" w:type="dxa"/>
            <w:vAlign w:val="bottom"/>
          </w:tcPr>
          <w:p>
            <w:pPr>
              <w:spacing w:after="0"/>
              <w:rPr>
                <w:sz w:val="23"/>
                <w:szCs w:val="23"/>
                <w:color w:val="auto"/>
              </w:rPr>
            </w:pPr>
          </w:p>
        </w:tc>
        <w:tc>
          <w:tcPr>
            <w:tcW w:w="3960" w:type="dxa"/>
            <w:vAlign w:val="bottom"/>
            <w:gridSpan w:val="2"/>
          </w:tcPr>
          <w:p>
            <w:pPr>
              <w:ind w:left="360"/>
              <w:spacing w:after="0"/>
              <w:rPr>
                <w:sz w:val="20"/>
                <w:szCs w:val="20"/>
                <w:color w:val="auto"/>
              </w:rPr>
            </w:pPr>
            <w:r>
              <w:rPr>
                <w:rFonts w:ascii="Arial" w:cs="Arial" w:eastAsia="Arial" w:hAnsi="Arial"/>
                <w:sz w:val="22"/>
                <w:szCs w:val="22"/>
                <w:b w:val="1"/>
                <w:bCs w:val="1"/>
                <w:color w:val="auto"/>
              </w:rPr>
              <w:t>Performance Period:</w:t>
            </w:r>
          </w:p>
        </w:tc>
        <w:tc>
          <w:tcPr>
            <w:tcW w:w="6100" w:type="dxa"/>
            <w:vAlign w:val="bottom"/>
          </w:tcPr>
          <w:p>
            <w:pPr>
              <w:ind w:left="1080"/>
              <w:spacing w:after="0"/>
              <w:rPr>
                <w:sz w:val="20"/>
                <w:szCs w:val="20"/>
                <w:color w:val="auto"/>
              </w:rPr>
            </w:pPr>
            <w:r>
              <w:rPr>
                <w:rFonts w:ascii="Arial" w:cs="Arial" w:eastAsia="Arial" w:hAnsi="Arial"/>
                <w:sz w:val="22"/>
                <w:szCs w:val="22"/>
                <w:color w:val="auto"/>
                <w:w w:val="94"/>
              </w:rPr>
              <w:t>Beginning on January 1, 2018, and continuing through</w:t>
            </w:r>
          </w:p>
        </w:tc>
      </w:tr>
      <w:tr>
        <w:trPr>
          <w:trHeight w:val="275"/>
        </w:trPr>
        <w:tc>
          <w:tcPr>
            <w:tcW w:w="3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100" w:type="dxa"/>
            <w:vAlign w:val="bottom"/>
          </w:tcPr>
          <w:p>
            <w:pPr>
              <w:ind w:left="1080"/>
              <w:spacing w:after="0"/>
              <w:rPr>
                <w:sz w:val="20"/>
                <w:szCs w:val="20"/>
                <w:color w:val="auto"/>
              </w:rPr>
            </w:pPr>
            <w:r>
              <w:rPr>
                <w:rFonts w:ascii="Arial" w:cs="Arial" w:eastAsia="Arial" w:hAnsi="Arial"/>
                <w:sz w:val="22"/>
                <w:szCs w:val="22"/>
                <w:color w:val="auto"/>
              </w:rPr>
              <w:t>December 31, 2020</w:t>
            </w:r>
          </w:p>
        </w:tc>
      </w:tr>
      <w:tr>
        <w:trPr>
          <w:trHeight w:val="297"/>
        </w:trPr>
        <w:tc>
          <w:tcPr>
            <w:tcW w:w="320" w:type="dxa"/>
            <w:vAlign w:val="bottom"/>
          </w:tcPr>
          <w:p>
            <w:pPr>
              <w:spacing w:after="0"/>
              <w:rPr>
                <w:sz w:val="24"/>
                <w:szCs w:val="24"/>
                <w:color w:val="auto"/>
              </w:rPr>
            </w:pPr>
          </w:p>
        </w:tc>
        <w:tc>
          <w:tcPr>
            <w:tcW w:w="3960" w:type="dxa"/>
            <w:vAlign w:val="bottom"/>
            <w:gridSpan w:val="2"/>
          </w:tcPr>
          <w:p>
            <w:pPr>
              <w:ind w:left="360"/>
              <w:spacing w:after="0"/>
              <w:rPr>
                <w:sz w:val="20"/>
                <w:szCs w:val="20"/>
                <w:color w:val="auto"/>
              </w:rPr>
            </w:pPr>
            <w:r>
              <w:rPr>
                <w:rFonts w:ascii="Arial" w:cs="Arial" w:eastAsia="Arial" w:hAnsi="Arial"/>
                <w:sz w:val="22"/>
                <w:szCs w:val="22"/>
                <w:b w:val="1"/>
                <w:bCs w:val="1"/>
                <w:color w:val="auto"/>
              </w:rPr>
              <w:t>Settlement Date</w:t>
            </w:r>
          </w:p>
        </w:tc>
        <w:tc>
          <w:tcPr>
            <w:tcW w:w="6100" w:type="dxa"/>
            <w:vAlign w:val="bottom"/>
          </w:tcPr>
          <w:p>
            <w:pPr>
              <w:ind w:left="1080"/>
              <w:spacing w:after="0"/>
              <w:rPr>
                <w:sz w:val="20"/>
                <w:szCs w:val="20"/>
                <w:color w:val="auto"/>
              </w:rPr>
            </w:pPr>
            <w:r>
              <w:rPr>
                <w:rFonts w:ascii="Arial" w:cs="Arial" w:eastAsia="Arial" w:hAnsi="Arial"/>
                <w:sz w:val="22"/>
                <w:szCs w:val="22"/>
                <w:color w:val="auto"/>
              </w:rPr>
              <w:t>May 1, 2021</w:t>
            </w:r>
          </w:p>
        </w:tc>
      </w:tr>
      <w:tr>
        <w:trPr>
          <w:trHeight w:val="266"/>
        </w:trPr>
        <w:tc>
          <w:tcPr>
            <w:tcW w:w="320" w:type="dxa"/>
            <w:vAlign w:val="bottom"/>
          </w:tcPr>
          <w:p>
            <w:pPr>
              <w:spacing w:after="0"/>
              <w:rPr>
                <w:sz w:val="23"/>
                <w:szCs w:val="23"/>
                <w:color w:val="auto"/>
              </w:rPr>
            </w:pPr>
          </w:p>
        </w:tc>
        <w:tc>
          <w:tcPr>
            <w:tcW w:w="3960" w:type="dxa"/>
            <w:vAlign w:val="bottom"/>
            <w:gridSpan w:val="2"/>
          </w:tcPr>
          <w:p>
            <w:pPr>
              <w:ind w:left="360"/>
              <w:spacing w:after="0"/>
              <w:rPr>
                <w:sz w:val="20"/>
                <w:szCs w:val="20"/>
                <w:color w:val="auto"/>
              </w:rPr>
            </w:pPr>
            <w:r>
              <w:rPr>
                <w:rFonts w:ascii="Arial" w:cs="Arial" w:eastAsia="Arial" w:hAnsi="Arial"/>
                <w:sz w:val="22"/>
                <w:szCs w:val="22"/>
                <w:b w:val="1"/>
                <w:bCs w:val="1"/>
                <w:color w:val="auto"/>
              </w:rPr>
              <w:t>Settlement Method:</w:t>
            </w:r>
          </w:p>
        </w:tc>
        <w:tc>
          <w:tcPr>
            <w:tcW w:w="6100" w:type="dxa"/>
            <w:vAlign w:val="bottom"/>
          </w:tcPr>
          <w:p>
            <w:pPr>
              <w:ind w:left="1080"/>
              <w:spacing w:after="0"/>
              <w:rPr>
                <w:sz w:val="20"/>
                <w:szCs w:val="20"/>
                <w:color w:val="auto"/>
              </w:rPr>
            </w:pPr>
            <w:r>
              <w:rPr>
                <w:rFonts w:ascii="Arial" w:cs="Arial" w:eastAsia="Arial" w:hAnsi="Arial"/>
                <w:sz w:val="22"/>
                <w:szCs w:val="22"/>
                <w:color w:val="auto"/>
                <w:w w:val="88"/>
              </w:rPr>
              <w:t>Earned and vested PSUs will be settled by delivery of one</w:t>
            </w:r>
          </w:p>
        </w:tc>
      </w:tr>
      <w:tr>
        <w:trPr>
          <w:trHeight w:val="275"/>
        </w:trPr>
        <w:tc>
          <w:tcPr>
            <w:tcW w:w="3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100" w:type="dxa"/>
            <w:vAlign w:val="bottom"/>
          </w:tcPr>
          <w:p>
            <w:pPr>
              <w:ind w:left="1080"/>
              <w:spacing w:after="0"/>
              <w:rPr>
                <w:sz w:val="20"/>
                <w:szCs w:val="20"/>
                <w:color w:val="auto"/>
              </w:rPr>
            </w:pPr>
            <w:r>
              <w:rPr>
                <w:rFonts w:ascii="Arial" w:cs="Arial" w:eastAsia="Arial" w:hAnsi="Arial"/>
                <w:sz w:val="22"/>
                <w:szCs w:val="22"/>
                <w:color w:val="auto"/>
                <w:w w:val="99"/>
              </w:rPr>
              <w:t>share of Common Stock for each PSU being settled</w:t>
            </w:r>
          </w:p>
        </w:tc>
      </w:tr>
    </w:tbl>
    <w:p>
      <w:pPr>
        <w:spacing w:after="0" w:line="21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33" w:lineRule="exact"/>
        <w:rPr>
          <w:rFonts w:ascii="Arial" w:cs="Arial" w:eastAsia="Arial" w:hAnsi="Arial"/>
          <w:sz w:val="22"/>
          <w:szCs w:val="22"/>
          <w:b w:val="1"/>
          <w:bCs w:val="1"/>
          <w:color w:val="auto"/>
        </w:rPr>
      </w:pPr>
    </w:p>
    <w:p>
      <w:pPr>
        <w:jc w:val="both"/>
        <w:ind w:firstLine="648"/>
        <w:spacing w:after="0" w:line="262"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granted to Grantee (who, pursuant to this award is a Participant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earn the number of PSUs described above, subject to adjustment as provided otherwise in this Agreement (this “Award”). The PSUs evidenced by</w:t>
      </w:r>
    </w:p>
    <w:p>
      <w:pPr>
        <w:sectPr>
          <w:pgSz w:w="11900" w:h="16838" w:orient="portrait"/>
          <w:cols w:equalWidth="0" w:num="1">
            <w:col w:w="11420"/>
          </w:cols>
          <w:pgMar w:left="240" w:top="585" w:right="2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22"/>
          <w:szCs w:val="22"/>
          <w:color w:val="auto"/>
        </w:rPr>
        <w:t>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pacing w:after="0" w:line="180" w:lineRule="exact"/>
        <w:rPr>
          <w:sz w:val="20"/>
          <w:szCs w:val="20"/>
          <w:color w:val="auto"/>
        </w:rPr>
      </w:pPr>
    </w:p>
    <w:p>
      <w:pPr>
        <w:jc w:val="both"/>
        <w:ind w:firstLine="1305"/>
        <w:spacing w:after="0" w:line="253" w:lineRule="auto"/>
        <w:tabs>
          <w:tab w:leader="none" w:pos="182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79" w:lineRule="exact"/>
        <w:rPr>
          <w:rFonts w:ascii="Arial" w:cs="Arial" w:eastAsia="Arial" w:hAnsi="Arial"/>
          <w:sz w:val="22"/>
          <w:szCs w:val="22"/>
          <w:b w:val="1"/>
          <w:bCs w:val="1"/>
          <w:color w:val="auto"/>
        </w:rPr>
      </w:pPr>
    </w:p>
    <w:p>
      <w:pPr>
        <w:jc w:val="both"/>
        <w:ind w:firstLine="1305"/>
        <w:spacing w:after="0" w:line="262" w:lineRule="auto"/>
        <w:tabs>
          <w:tab w:leader="none" w:pos="1693"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 Goals to Earn PSUs</w:t>
      </w:r>
      <w:r>
        <w:rPr>
          <w:rFonts w:ascii="Arial" w:cs="Arial" w:eastAsia="Arial" w:hAnsi="Arial"/>
          <w:sz w:val="22"/>
          <w:szCs w:val="22"/>
          <w:color w:val="auto"/>
        </w:rPr>
        <w:t>. Grantee will only receive shares of Common Stock related to, and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that such shares are earned pursuant to, the Management Objectives and goals specified in Appendix A to this Agreement (“Performance Goals”).</w:t>
      </w:r>
    </w:p>
    <w:p>
      <w:pPr>
        <w:spacing w:after="0" w:line="170" w:lineRule="exact"/>
        <w:rPr>
          <w:rFonts w:ascii="Arial" w:cs="Arial" w:eastAsia="Arial" w:hAnsi="Arial"/>
          <w:sz w:val="22"/>
          <w:szCs w:val="22"/>
          <w:b w:val="1"/>
          <w:bCs w:val="1"/>
          <w:color w:val="auto"/>
        </w:rPr>
      </w:pPr>
    </w:p>
    <w:p>
      <w:pPr>
        <w:jc w:val="both"/>
        <w:ind w:firstLine="1305"/>
        <w:spacing w:after="0" w:line="261" w:lineRule="auto"/>
        <w:tabs>
          <w:tab w:leader="none" w:pos="1706"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PSU equal to the amount of each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5" w:lineRule="exact"/>
        <w:rPr>
          <w:rFonts w:ascii="Arial" w:cs="Arial" w:eastAsia="Arial" w:hAnsi="Arial"/>
          <w:sz w:val="21"/>
          <w:szCs w:val="21"/>
          <w:b w:val="1"/>
          <w:bCs w:val="1"/>
          <w:color w:val="auto"/>
        </w:rPr>
      </w:pPr>
    </w:p>
    <w:p>
      <w:pPr>
        <w:jc w:val="both"/>
        <w:ind w:firstLine="1305"/>
        <w:spacing w:after="0" w:line="263" w:lineRule="auto"/>
        <w:tabs>
          <w:tab w:leader="none" w:pos="1652"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Shareholder</w:t>
      </w:r>
      <w:r>
        <w:rPr>
          <w:rFonts w:ascii="Arial" w:cs="Arial" w:eastAsia="Arial" w:hAnsi="Arial"/>
          <w:sz w:val="21"/>
          <w:szCs w:val="21"/>
          <w:color w:val="auto"/>
        </w:rPr>
        <w:t>. This Award does not entitle Grantee to any ownership interest in any actual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3" w:lineRule="exact"/>
        <w:rPr>
          <w:rFonts w:ascii="Arial" w:cs="Arial" w:eastAsia="Arial" w:hAnsi="Arial"/>
          <w:sz w:val="21"/>
          <w:szCs w:val="21"/>
          <w:b w:val="1"/>
          <w:bCs w:val="1"/>
          <w:color w:val="auto"/>
        </w:rPr>
      </w:pPr>
    </w:p>
    <w:p>
      <w:pPr>
        <w:ind w:left="1680" w:hanging="375"/>
        <w:spacing w:after="0"/>
        <w:tabs>
          <w:tab w:leader="none" w:pos="168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covered by this Award will be subject to adjustment as provided in Section 11 of the</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Plan.</w:t>
      </w:r>
    </w:p>
    <w:p>
      <w:pPr>
        <w:spacing w:after="0" w:line="209" w:lineRule="exact"/>
        <w:rPr>
          <w:rFonts w:ascii="Arial" w:cs="Arial" w:eastAsia="Arial" w:hAnsi="Arial"/>
          <w:sz w:val="19"/>
          <w:szCs w:val="19"/>
          <w:b w:val="1"/>
          <w:bCs w:val="1"/>
          <w:color w:val="auto"/>
        </w:rPr>
      </w:pPr>
    </w:p>
    <w:p>
      <w:pPr>
        <w:ind w:left="1640" w:hanging="335"/>
        <w:spacing w:after="0"/>
        <w:tabs>
          <w:tab w:leader="none" w:pos="16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left="660" w:firstLine="1293"/>
        <w:spacing w:after="0" w:line="262" w:lineRule="auto"/>
        <w:tabs>
          <w:tab w:leader="none" w:pos="2430"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Voluntary Termination; Termination by Company</w:t>
      </w:r>
      <w:r>
        <w:rPr>
          <w:rFonts w:ascii="Arial" w:cs="Arial" w:eastAsia="Arial" w:hAnsi="Arial"/>
          <w:sz w:val="22"/>
          <w:szCs w:val="22"/>
          <w:color w:val="auto"/>
        </w:rPr>
        <w:t>. Any PSUs subject to this Award will be canceled</w:t>
      </w:r>
      <w:r>
        <w:rPr>
          <w:rFonts w:ascii="Arial" w:cs="Arial" w:eastAsia="Arial" w:hAnsi="Arial"/>
          <w:sz w:val="22"/>
          <w:szCs w:val="22"/>
          <w:b w:val="1"/>
          <w:bCs w:val="1"/>
          <w:color w:val="auto"/>
        </w:rPr>
        <w:t xml:space="preserve"> </w:t>
      </w:r>
      <w:r>
        <w:rPr>
          <w:rFonts w:ascii="Arial" w:cs="Arial" w:eastAsia="Arial" w:hAnsi="Arial"/>
          <w:sz w:val="22"/>
          <w:szCs w:val="22"/>
          <w:color w:val="auto"/>
        </w:rPr>
        <w:t>and forfeited if, prior to the Settlement Date, Grantee voluntarily terminates as a Service Provider (other than for Good Reason as provided below), or if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22"/>
          <w:szCs w:val="22"/>
          <w:color w:val="auto"/>
        </w:rPr>
        <w:t>Grantee’s status as a Service Provider is terminated by the Company or a Subsidiary for any reason (other than death, Disability, or Retirement).</w:t>
      </w:r>
    </w:p>
    <w:p>
      <w:pPr>
        <w:spacing w:after="0" w:line="169" w:lineRule="exact"/>
        <w:rPr>
          <w:sz w:val="20"/>
          <w:szCs w:val="20"/>
          <w:color w:val="auto"/>
        </w:rPr>
      </w:pPr>
    </w:p>
    <w:p>
      <w:pPr>
        <w:jc w:val="both"/>
        <w:ind w:firstLine="1293"/>
        <w:spacing w:after="0" w:line="292" w:lineRule="auto"/>
        <w:tabs>
          <w:tab w:leader="none" w:pos="1783"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Qualifying Termination Prior to a Change in Control</w:t>
      </w:r>
      <w:r>
        <w:rPr>
          <w:rFonts w:ascii="Arial" w:cs="Arial" w:eastAsia="Arial" w:hAnsi="Arial"/>
          <w:sz w:val="19"/>
          <w:szCs w:val="19"/>
          <w:color w:val="auto"/>
        </w:rPr>
        <w:t>. Notwithstanding the foregoing,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subsection (f) of this Section II.A.6, if Grantee ceases to be a Service Provider prior to the Settlement Date as a result of Grantee’s Qualifying Termination, Grantee shall vest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46" w:lineRule="exact"/>
        <w:rPr>
          <w:rFonts w:ascii="Arial" w:cs="Arial" w:eastAsia="Arial" w:hAnsi="Arial"/>
          <w:sz w:val="19"/>
          <w:szCs w:val="19"/>
          <w:color w:val="auto"/>
        </w:rPr>
      </w:pPr>
    </w:p>
    <w:p>
      <w:pPr>
        <w:jc w:val="both"/>
        <w:ind w:firstLine="1293"/>
        <w:spacing w:after="0" w:line="309" w:lineRule="auto"/>
        <w:tabs>
          <w:tab w:leader="none" w:pos="1865"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Notwithstanding the foregoing, if Grantee ceases to be a Service Provider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Date as a result of Grantee’s Disability, Grantee’s PSUs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30" w:lineRule="exact"/>
        <w:rPr>
          <w:rFonts w:ascii="Arial" w:cs="Arial" w:eastAsia="Arial" w:hAnsi="Arial"/>
          <w:sz w:val="19"/>
          <w:szCs w:val="19"/>
          <w:color w:val="auto"/>
        </w:rPr>
      </w:pPr>
    </w:p>
    <w:p>
      <w:pPr>
        <w:jc w:val="both"/>
        <w:ind w:firstLine="1293"/>
        <w:spacing w:after="0" w:line="262" w:lineRule="auto"/>
        <w:tabs>
          <w:tab w:leader="none" w:pos="1729"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Notwithstanding the foregoing, if Grantee ceases to be a Service Provider prior to the 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 as a result of Grantee’s death, Grantee’s PSUs shall immediately become fully vested based on the Target number set forth in “Number of PSUs in Award” in Section I.</w:t>
      </w:r>
    </w:p>
    <w:p>
      <w:pPr>
        <w:spacing w:after="0" w:line="170" w:lineRule="exact"/>
        <w:rPr>
          <w:rFonts w:ascii="Arial" w:cs="Arial" w:eastAsia="Arial" w:hAnsi="Arial"/>
          <w:sz w:val="22"/>
          <w:szCs w:val="22"/>
          <w:color w:val="auto"/>
        </w:rPr>
      </w:pPr>
    </w:p>
    <w:p>
      <w:pPr>
        <w:jc w:val="both"/>
        <w:ind w:firstLine="1293"/>
        <w:spacing w:after="0" w:line="262" w:lineRule="auto"/>
        <w:tabs>
          <w:tab w:leader="none" w:pos="1959"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amount of PSUs, with the pro-rata amount determined in accordance with subsection (b) of this Section II.A.6.</w:t>
      </w:r>
    </w:p>
    <w:p>
      <w:pPr>
        <w:spacing w:after="0" w:line="170" w:lineRule="exact"/>
        <w:rPr>
          <w:rFonts w:ascii="Arial" w:cs="Arial" w:eastAsia="Arial" w:hAnsi="Arial"/>
          <w:sz w:val="22"/>
          <w:szCs w:val="22"/>
          <w:color w:val="auto"/>
        </w:rPr>
      </w:pPr>
    </w:p>
    <w:p>
      <w:pPr>
        <w:ind w:firstLine="1293"/>
        <w:spacing w:after="0" w:line="282" w:lineRule="auto"/>
        <w:tabs>
          <w:tab w:leader="none" w:pos="17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Settlement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PSUs will vest in accordance with this Section II.A.6(f).</w:t>
      </w:r>
    </w:p>
    <w:p>
      <w:pPr>
        <w:spacing w:after="0" w:line="154" w:lineRule="exact"/>
        <w:rPr>
          <w:sz w:val="20"/>
          <w:szCs w:val="20"/>
          <w:color w:val="auto"/>
        </w:rPr>
      </w:pPr>
    </w:p>
    <w:p>
      <w:pPr>
        <w:jc w:val="both"/>
        <w:ind w:left="640" w:firstLine="653"/>
        <w:spacing w:after="0" w:line="261" w:lineRule="auto"/>
        <w:tabs>
          <w:tab w:leader="none" w:pos="1774" w:val="left"/>
        </w:tabs>
        <w:numPr>
          <w:ilvl w:val="0"/>
          <w:numId w:val="15"/>
        </w:numPr>
        <w:rPr>
          <w:rFonts w:ascii="Arial" w:cs="Arial" w:eastAsia="Arial" w:hAnsi="Arial"/>
          <w:sz w:val="21"/>
          <w:szCs w:val="21"/>
          <w:color w:val="auto"/>
        </w:rPr>
      </w:pPr>
      <w:r>
        <w:rPr>
          <w:rFonts w:ascii="Arial" w:cs="Arial" w:eastAsia="Arial" w:hAnsi="Arial"/>
          <w:sz w:val="21"/>
          <w:szCs w:val="21"/>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II.A.6(f)(2) to continue, replace or assume the PSUs covered by this Agreement (the “Replaced Award”)) as follows: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w:t>
      </w:r>
    </w:p>
    <w:p>
      <w:pPr>
        <w:spacing w:after="0" w:line="200" w:lineRule="exact"/>
        <w:rPr>
          <w:sz w:val="20"/>
          <w:szCs w:val="20"/>
          <w:color w:val="auto"/>
        </w:rPr>
      </w:pPr>
    </w:p>
    <w:p>
      <w:pPr>
        <w:spacing w:after="0" w:line="22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591" w:right="239" w:bottom="1440" w:gutter="0" w:footer="0" w:header="0"/>
        </w:sectPr>
      </w:pPr>
    </w:p>
    <w:bookmarkStart w:id="43" w:name="page44"/>
    <w:bookmarkEnd w:id="43"/>
    <w:p>
      <w:pPr>
        <w:ind w:left="1300"/>
        <w:spacing w:after="0" w:line="263" w:lineRule="auto"/>
        <w:rPr>
          <w:sz w:val="20"/>
          <w:szCs w:val="20"/>
          <w:color w:val="auto"/>
        </w:rPr>
      </w:pPr>
      <w:r>
        <w:rPr>
          <w:rFonts w:ascii="Arial" w:cs="Arial" w:eastAsia="Arial" w:hAnsi="Arial"/>
          <w:sz w:val="22"/>
          <w:szCs w:val="22"/>
          <w:color w:val="auto"/>
        </w:rPr>
        <w:t>vested. Any PSUs that are not earned and do not vest in accordance with the foregoing sentence shall terminate and be forfeited.</w:t>
      </w:r>
    </w:p>
    <w:p>
      <w:pPr>
        <w:spacing w:after="0" w:line="175" w:lineRule="exact"/>
        <w:rPr>
          <w:sz w:val="20"/>
          <w:szCs w:val="20"/>
          <w:color w:val="auto"/>
        </w:rPr>
      </w:pPr>
    </w:p>
    <w:p>
      <w:pPr>
        <w:jc w:val="both"/>
        <w:ind w:left="1300" w:firstLine="653"/>
        <w:spacing w:after="0" w:line="288" w:lineRule="auto"/>
        <w:tabs>
          <w:tab w:leader="none" w:pos="2434"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(A) of the same type (e.g., performance stock units) as the Replaced Award, (B) that has a value at least equal to the value of the Replaced Award, (C) 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II.A.6(f)(2) are satisfied will be made by the Committee, as constituted immediately before the Change in Control, in its sole discretion.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1300" w:firstLine="653"/>
        <w:spacing w:after="0" w:line="294" w:lineRule="auto"/>
        <w:tabs>
          <w:tab w:leader="none" w:pos="2556"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prior to the Settlement Date,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5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99" w:lineRule="exact"/>
        <w:rPr>
          <w:sz w:val="20"/>
          <w:szCs w:val="20"/>
          <w:color w:val="auto"/>
        </w:rPr>
      </w:pPr>
    </w:p>
    <w:p>
      <w:pPr>
        <w:ind w:left="1640" w:hanging="335"/>
        <w:spacing w:after="0"/>
        <w:tabs>
          <w:tab w:leader="none" w:pos="164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color w:val="auto"/>
        </w:rPr>
        <w:t>.</w:t>
      </w:r>
    </w:p>
    <w:p>
      <w:pPr>
        <w:spacing w:after="0" w:line="239" w:lineRule="exact"/>
        <w:rPr>
          <w:sz w:val="20"/>
          <w:szCs w:val="20"/>
          <w:color w:val="auto"/>
        </w:rPr>
      </w:pPr>
    </w:p>
    <w:p>
      <w:pPr>
        <w:jc w:val="both"/>
        <w:ind w:left="660" w:firstLine="645"/>
        <w:spacing w:after="0" w:line="265" w:lineRule="auto"/>
        <w:tabs>
          <w:tab w:leader="none" w:pos="2196" w:val="left"/>
        </w:tabs>
        <w:numPr>
          <w:ilvl w:val="0"/>
          <w:numId w:val="18"/>
        </w:numPr>
        <w:rPr>
          <w:rFonts w:ascii="Arial" w:cs="Arial" w:eastAsia="Arial" w:hAnsi="Arial"/>
          <w:sz w:val="21"/>
          <w:szCs w:val="21"/>
          <w:color w:val="auto"/>
        </w:rPr>
      </w:pPr>
      <w:r>
        <w:rPr>
          <w:rFonts w:ascii="Arial" w:cs="Arial" w:eastAsia="Arial" w:hAnsi="Arial"/>
          <w:sz w:val="21"/>
          <w:szCs w:val="21"/>
          <w:color w:val="auto"/>
        </w:rPr>
        <w:t>Subject to Section II.A.7(b), upon the Committee’s certification of achievement of the Performance Goals, and Grantee’s satisfaction of the vesting requirements in Section II.A.1 and Section II.A.6 above, as applicable, this Award shall be settled by issuing to Grantee the number of shares of Common Stock determined pursuant to Appendix A, and Grantee’s name shall be entered as the shareholder of record on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9"/>
          <w:szCs w:val="19"/>
          <w:color w:val="auto"/>
        </w:rPr>
        <w:t>books of the Company with respect to such shares. This settlement shall occur on May 1, 2021 (the “Settlement Date”).</w:t>
      </w:r>
    </w:p>
    <w:p>
      <w:pPr>
        <w:spacing w:after="0" w:line="295" w:lineRule="exact"/>
        <w:rPr>
          <w:sz w:val="20"/>
          <w:szCs w:val="20"/>
          <w:color w:val="auto"/>
        </w:rPr>
      </w:pPr>
    </w:p>
    <w:p>
      <w:pPr>
        <w:jc w:val="both"/>
        <w:ind w:left="660" w:firstLine="645"/>
        <w:spacing w:after="0" w:line="288" w:lineRule="auto"/>
        <w:tabs>
          <w:tab w:leader="none" w:pos="2209"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PSUs that become vested as a result of Grantee’s death pursuant to Section II.A.6(d) will be settled by issuing to Grantee one share of Common Stock for each PSU that is vested within 30 days of Grantee’s death, and Grantee’s name shall be entered as the shareholder of record on the books of the Company with respect to such shares. The PSUs that become vested as a result of a Change in Control where no Replacement Award is provided pursuant to Section II.A.6(f)(1) will settled by issuing to Grantee on share of Common Stock for each PSU that is vested within 30 days of the Change in Control, and Grantee’s name shall be entered as the shareholder of record on the books of the Company with respect to such shares. The PSUs that become vested as a result of Grantee’s Qualifying Termination within two years after a Change in Control pursuant to Section II.A.6(f)(3) will be settled by issuing to Grantee one share of Common Stock for each PSU that is vested within 30 days of such Qualifying Termination, and Grantee’s name shall be entered as the shareholder of record on the books of the Company with respect to such shares.</w:t>
      </w:r>
    </w:p>
    <w:p>
      <w:pPr>
        <w:spacing w:after="0" w:line="200" w:lineRule="exact"/>
        <w:rPr>
          <w:rFonts w:ascii="Arial" w:cs="Arial" w:eastAsia="Arial" w:hAnsi="Arial"/>
          <w:sz w:val="19"/>
          <w:szCs w:val="19"/>
          <w:color w:val="auto"/>
        </w:rPr>
      </w:pPr>
    </w:p>
    <w:p>
      <w:pPr>
        <w:jc w:val="both"/>
        <w:ind w:left="660" w:firstLine="645"/>
        <w:spacing w:after="0" w:line="253" w:lineRule="auto"/>
        <w:tabs>
          <w:tab w:leader="none" w:pos="21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220"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1305"/>
        <w:spacing w:after="0" w:line="323" w:lineRule="auto"/>
        <w:tabs>
          <w:tab w:leader="none" w:pos="1639"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described below, this Award and the PSUs subject to this Award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17" w:lineRule="exact"/>
        <w:rPr>
          <w:rFonts w:ascii="Arial" w:cs="Arial" w:eastAsia="Arial" w:hAnsi="Arial"/>
          <w:sz w:val="19"/>
          <w:szCs w:val="19"/>
          <w:b w:val="1"/>
          <w:bCs w:val="1"/>
          <w:color w:val="auto"/>
        </w:rPr>
      </w:pPr>
    </w:p>
    <w:p>
      <w:pPr>
        <w:jc w:val="both"/>
        <w:ind w:firstLine="1305"/>
        <w:spacing w:after="0" w:line="259" w:lineRule="auto"/>
        <w:tabs>
          <w:tab w:leader="none" w:pos="1720" w:val="left"/>
        </w:tabs>
        <w:numPr>
          <w:ilvl w:val="1"/>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that the Company is required to withhold federal, state, local or foreign taxes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may elect that (1) the Company will withhold shares of Common Stock having a value equal to the amount required to be withheld or (2) Grantee will pay to the Company an amount in cash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21"/>
          <w:szCs w:val="21"/>
          <w:color w:val="auto"/>
        </w:rPr>
        <w:t>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62" w:lineRule="exact"/>
        <w:rPr>
          <w:sz w:val="20"/>
          <w:szCs w:val="20"/>
          <w:color w:val="auto"/>
        </w:rPr>
      </w:pPr>
    </w:p>
    <w:p>
      <w:pPr>
        <w:jc w:val="both"/>
        <w:ind w:firstLine="1305"/>
        <w:spacing w:after="0" w:line="272" w:lineRule="auto"/>
        <w:tabs>
          <w:tab w:leader="none" w:pos="1747"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1" w:lineRule="exact"/>
        <w:rPr>
          <w:sz w:val="20"/>
          <w:szCs w:val="20"/>
          <w:color w:val="auto"/>
        </w:rPr>
      </w:pPr>
    </w:p>
    <w:p>
      <w:pPr>
        <w:jc w:val="both"/>
        <w:ind w:left="660" w:firstLine="645"/>
        <w:spacing w:after="0" w:line="262" w:lineRule="auto"/>
        <w:tabs>
          <w:tab w:leader="none" w:pos="185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0" w:lineRule="exact"/>
        <w:rPr>
          <w:rFonts w:ascii="Arial" w:cs="Arial" w:eastAsia="Arial" w:hAnsi="Arial"/>
          <w:sz w:val="22"/>
          <w:szCs w:val="22"/>
          <w:color w:val="auto"/>
        </w:rPr>
      </w:pPr>
    </w:p>
    <w:p>
      <w:pPr>
        <w:jc w:val="both"/>
        <w:ind w:left="660" w:firstLine="645"/>
        <w:spacing w:after="0" w:line="268" w:lineRule="auto"/>
        <w:tabs>
          <w:tab w:leader="none" w:pos="1767"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64" w:lineRule="exact"/>
        <w:rPr>
          <w:rFonts w:ascii="Arial" w:cs="Arial" w:eastAsia="Arial" w:hAnsi="Arial"/>
          <w:sz w:val="21"/>
          <w:szCs w:val="21"/>
          <w:color w:val="auto"/>
        </w:rPr>
      </w:pPr>
    </w:p>
    <w:p>
      <w:pPr>
        <w:jc w:val="both"/>
        <w:ind w:left="1300" w:firstLine="653"/>
        <w:spacing w:after="0" w:line="249" w:lineRule="auto"/>
        <w:tabs>
          <w:tab w:leader="none" w:pos="2448" w:val="left"/>
        </w:tabs>
        <w:numPr>
          <w:ilvl w:val="1"/>
          <w:numId w:val="22"/>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88" w:lineRule="exact"/>
        <w:rPr>
          <w:rFonts w:ascii="Arial" w:cs="Arial" w:eastAsia="Arial" w:hAnsi="Arial"/>
          <w:sz w:val="22"/>
          <w:szCs w:val="22"/>
          <w:color w:val="auto"/>
        </w:rPr>
      </w:pPr>
    </w:p>
    <w:p>
      <w:pPr>
        <w:ind w:left="2380" w:hanging="427"/>
        <w:spacing w:after="0"/>
        <w:tabs>
          <w:tab w:leader="none" w:pos="2380" w:val="left"/>
        </w:tabs>
        <w:numPr>
          <w:ilvl w:val="1"/>
          <w:numId w:val="22"/>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3"/>
        <w:spacing w:after="0" w:line="253" w:lineRule="auto"/>
        <w:tabs>
          <w:tab w:leader="none" w:pos="2448" w:val="left"/>
        </w:tabs>
        <w:numPr>
          <w:ilvl w:val="1"/>
          <w:numId w:val="22"/>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9" w:lineRule="exact"/>
        <w:rPr>
          <w:rFonts w:ascii="Arial" w:cs="Arial" w:eastAsia="Arial" w:hAnsi="Arial"/>
          <w:sz w:val="22"/>
          <w:szCs w:val="22"/>
          <w:color w:val="auto"/>
        </w:rPr>
      </w:pPr>
    </w:p>
    <w:p>
      <w:pPr>
        <w:ind w:left="1300" w:firstLine="653"/>
        <w:spacing w:after="0" w:line="282" w:lineRule="auto"/>
        <w:tabs>
          <w:tab w:leader="none" w:pos="2434" w:val="left"/>
        </w:tabs>
        <w:numPr>
          <w:ilvl w:val="1"/>
          <w:numId w:val="22"/>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46" w:name="page47"/>
    <w:bookmarkEnd w:id="46"/>
    <w:p>
      <w:pPr>
        <w:ind w:left="1300"/>
        <w:spacing w:after="0" w:line="287" w:lineRule="auto"/>
        <w:rPr>
          <w:sz w:val="20"/>
          <w:szCs w:val="20"/>
          <w:color w:val="auto"/>
        </w:rPr>
      </w:pPr>
      <w:r>
        <w:rPr>
          <w:rFonts w:ascii="Arial" w:cs="Arial" w:eastAsia="Arial" w:hAnsi="Arial"/>
          <w:sz w:val="21"/>
          <w:szCs w:val="21"/>
          <w:color w:val="auto"/>
        </w:rPr>
        <w:t>award may be enforced against the parties to the arbitration proceeding or their assets wherever they may be found and that a judgment upon the arbitration award may be entered in any court having jurisdiction.</w:t>
      </w:r>
    </w:p>
    <w:p>
      <w:pPr>
        <w:spacing w:after="0" w:line="146" w:lineRule="exact"/>
        <w:rPr>
          <w:sz w:val="20"/>
          <w:szCs w:val="20"/>
          <w:color w:val="auto"/>
        </w:rPr>
      </w:pPr>
    </w:p>
    <w:p>
      <w:pPr>
        <w:ind w:left="1300" w:firstLine="653"/>
        <w:spacing w:after="0" w:line="364" w:lineRule="auto"/>
        <w:tabs>
          <w:tab w:leader="none" w:pos="2380"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 power,</w:t>
      </w:r>
      <w:r>
        <w:rPr>
          <w:rFonts w:ascii="Arial" w:cs="Arial" w:eastAsia="Arial" w:hAnsi="Arial"/>
          <w:sz w:val="19"/>
          <w:szCs w:val="19"/>
          <w:b w:val="1"/>
          <w:bCs w:val="1"/>
          <w:color w:val="auto"/>
        </w:rPr>
        <w:t xml:space="preserve"> </w:t>
      </w:r>
      <w:r>
        <w:rPr>
          <w:rFonts w:ascii="Arial" w:cs="Arial" w:eastAsia="Arial" w:hAnsi="Arial"/>
          <w:sz w:val="19"/>
          <w:szCs w:val="19"/>
          <w:color w:val="auto"/>
        </w:rPr>
        <w:t>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jc w:val="both"/>
        <w:ind w:firstLine="1305"/>
        <w:spacing w:after="0" w:line="251" w:lineRule="auto"/>
        <w:tabs>
          <w:tab w:leader="none" w:pos="1639"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color w:val="auto"/>
        </w:rPr>
        <w:t>. To the extent applicable, it is intended that this Agreement and the Plan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1" w:lineRule="exact"/>
        <w:rPr>
          <w:rFonts w:ascii="Arial" w:cs="Arial" w:eastAsia="Arial" w:hAnsi="Arial"/>
          <w:sz w:val="22"/>
          <w:szCs w:val="22"/>
          <w:b w:val="1"/>
          <w:bCs w:val="1"/>
          <w:color w:val="auto"/>
        </w:rPr>
      </w:pPr>
    </w:p>
    <w:p>
      <w:pPr>
        <w:jc w:val="both"/>
        <w:ind w:firstLine="1305"/>
        <w:spacing w:after="0" w:line="309" w:lineRule="auto"/>
        <w:tabs>
          <w:tab w:leader="none" w:pos="170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Continued Right as Service Provider</w:t>
      </w:r>
      <w:r>
        <w:rPr>
          <w:rFonts w:ascii="Arial" w:cs="Arial" w:eastAsia="Arial" w:hAnsi="Arial"/>
          <w:sz w:val="19"/>
          <w:szCs w:val="19"/>
          <w:color w:val="auto"/>
        </w:rPr>
        <w:t>. Nothing in the Plan or in this Agreement confers on Grantee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continue as a Service Provider, or interferes with or restricts in any way the rights of the Company or any Subsidiary,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30" w:lineRule="exact"/>
        <w:rPr>
          <w:rFonts w:ascii="Arial" w:cs="Arial" w:eastAsia="Arial" w:hAnsi="Arial"/>
          <w:sz w:val="19"/>
          <w:szCs w:val="19"/>
          <w:b w:val="1"/>
          <w:bCs w:val="1"/>
          <w:color w:val="auto"/>
        </w:rPr>
      </w:pPr>
    </w:p>
    <w:p>
      <w:pPr>
        <w:jc w:val="both"/>
        <w:ind w:firstLine="1305"/>
        <w:spacing w:after="0" w:line="256" w:lineRule="auto"/>
        <w:tabs>
          <w:tab w:leader="none" w:pos="1666"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color w:val="auto"/>
        </w:rPr>
        <w:t>. In no event will the value, at any time, of the PSUs or any other payment or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6" w:lineRule="exact"/>
        <w:rPr>
          <w:rFonts w:ascii="Arial" w:cs="Arial" w:eastAsia="Arial" w:hAnsi="Arial"/>
          <w:sz w:val="22"/>
          <w:szCs w:val="22"/>
          <w:b w:val="1"/>
          <w:bCs w:val="1"/>
          <w:color w:val="auto"/>
        </w:rPr>
      </w:pPr>
    </w:p>
    <w:p>
      <w:pPr>
        <w:jc w:val="both"/>
        <w:ind w:firstLine="1305"/>
        <w:spacing w:after="0" w:line="262" w:lineRule="auto"/>
        <w:tabs>
          <w:tab w:leader="none" w:pos="1693"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Unfunded and Unsecured General Creditor</w:t>
      </w:r>
      <w:r>
        <w:rPr>
          <w:rFonts w:ascii="Arial" w:cs="Arial" w:eastAsia="Arial" w:hAnsi="Arial"/>
          <w:sz w:val="22"/>
          <w:szCs w:val="22"/>
          <w:color w:val="auto"/>
        </w:rPr>
        <w:t>. Grantee, as a holder of PSUs and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has no rights other than those of a general creditor of the Company. The PSUs represent an unfunded and unsecured obligation of the Company, subject to the terms and conditions of this Agreement and the Plan.</w:t>
      </w:r>
    </w:p>
    <w:p>
      <w:pPr>
        <w:spacing w:after="0" w:line="170" w:lineRule="exact"/>
        <w:rPr>
          <w:rFonts w:ascii="Arial" w:cs="Arial" w:eastAsia="Arial" w:hAnsi="Arial"/>
          <w:sz w:val="22"/>
          <w:szCs w:val="22"/>
          <w:b w:val="1"/>
          <w:bCs w:val="1"/>
          <w:color w:val="auto"/>
        </w:rPr>
      </w:pPr>
    </w:p>
    <w:p>
      <w:pPr>
        <w:jc w:val="both"/>
        <w:ind w:firstLine="1305"/>
        <w:spacing w:after="0" w:line="262" w:lineRule="auto"/>
        <w:tabs>
          <w:tab w:leader="none" w:pos="172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22"/>
          <w:szCs w:val="22"/>
          <w:color w:val="auto"/>
        </w:rPr>
        <w:t>be affected, and the provisions so held to be invalid or unenforceable shall be reformed to the extent (and only to the extent) necessary to make it enforceable and valid.</w:t>
      </w:r>
    </w:p>
    <w:p>
      <w:pPr>
        <w:spacing w:after="0" w:line="169" w:lineRule="exact"/>
        <w:rPr>
          <w:sz w:val="20"/>
          <w:szCs w:val="20"/>
          <w:color w:val="auto"/>
        </w:rPr>
      </w:pPr>
    </w:p>
    <w:p>
      <w:pPr>
        <w:jc w:val="both"/>
        <w:ind w:firstLine="1305"/>
        <w:spacing w:after="0" w:line="253" w:lineRule="auto"/>
        <w:tabs>
          <w:tab w:leader="none" w:pos="1679"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Company may, in its sole discretion, deliver any documents related to the PSUs and</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22"/>
          <w:szCs w:val="22"/>
          <w:b w:val="1"/>
          <w:bCs w:val="1"/>
          <w:color w:val="auto"/>
        </w:rPr>
      </w:pPr>
    </w:p>
    <w:p>
      <w:pPr>
        <w:ind w:left="1760" w:hanging="455"/>
        <w:spacing w:after="0"/>
        <w:tabs>
          <w:tab w:leader="none" w:pos="17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39" w:lineRule="exact"/>
        <w:rPr>
          <w:sz w:val="20"/>
          <w:szCs w:val="20"/>
          <w:color w:val="auto"/>
        </w:rPr>
      </w:pPr>
    </w:p>
    <w:p>
      <w:pPr>
        <w:ind w:left="660" w:firstLine="645"/>
        <w:spacing w:after="0" w:line="358" w:lineRule="auto"/>
        <w:tabs>
          <w:tab w:leader="none" w:pos="1863"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90" w:lineRule="exact"/>
        <w:rPr>
          <w:rFonts w:ascii="Arial" w:cs="Arial" w:eastAsia="Arial" w:hAnsi="Arial"/>
          <w:sz w:val="19"/>
          <w:szCs w:val="19"/>
          <w:color w:val="auto"/>
        </w:rPr>
      </w:pPr>
    </w:p>
    <w:p>
      <w:pPr>
        <w:ind w:left="660" w:firstLine="645"/>
        <w:spacing w:after="0" w:line="358" w:lineRule="auto"/>
        <w:tabs>
          <w:tab w:leader="none" w:pos="175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90" w:lineRule="exact"/>
        <w:rPr>
          <w:rFonts w:ascii="Arial" w:cs="Arial" w:eastAsia="Arial" w:hAnsi="Arial"/>
          <w:sz w:val="19"/>
          <w:szCs w:val="19"/>
          <w:color w:val="auto"/>
        </w:rPr>
      </w:pPr>
    </w:p>
    <w:p>
      <w:pPr>
        <w:ind w:left="1720" w:hanging="415"/>
        <w:spacing w:after="0"/>
        <w:tabs>
          <w:tab w:leader="none" w:pos="17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Committee;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877"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77" w:lineRule="exact"/>
        <w:rPr>
          <w:rFonts w:ascii="Arial" w:cs="Arial" w:eastAsia="Arial" w:hAnsi="Arial"/>
          <w:sz w:val="22"/>
          <w:szCs w:val="22"/>
          <w:color w:val="auto"/>
        </w:rPr>
      </w:pPr>
    </w:p>
    <w:p>
      <w:pPr>
        <w:ind w:left="660" w:firstLine="645"/>
        <w:spacing w:after="0" w:line="276" w:lineRule="auto"/>
        <w:tabs>
          <w:tab w:leader="none" w:pos="185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not intended to replace any pension rights or compensation;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44" w:lineRule="exact"/>
        <w:rPr>
          <w:rFonts w:ascii="Arial" w:cs="Arial" w:eastAsia="Arial" w:hAnsi="Arial"/>
          <w:sz w:val="21"/>
          <w:szCs w:val="21"/>
          <w:color w:val="auto"/>
        </w:rPr>
      </w:pPr>
    </w:p>
    <w:p>
      <w:pPr>
        <w:jc w:val="both"/>
        <w:ind w:left="660" w:firstLine="645"/>
        <w:spacing w:after="0" w:line="320" w:lineRule="auto"/>
        <w:tabs>
          <w:tab w:leader="none" w:pos="1835" w:val="left"/>
        </w:tabs>
        <w:numPr>
          <w:ilvl w:val="0"/>
          <w:numId w:val="26"/>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25" w:lineRule="exact"/>
        <w:rPr>
          <w:rFonts w:ascii="Arial" w:cs="Arial" w:eastAsia="Arial" w:hAnsi="Arial"/>
          <w:sz w:val="19"/>
          <w:szCs w:val="19"/>
          <w:color w:val="auto"/>
        </w:rPr>
      </w:pPr>
    </w:p>
    <w:p>
      <w:pPr>
        <w:jc w:val="both"/>
        <w:ind w:left="660" w:firstLine="645"/>
        <w:spacing w:after="0" w:line="270" w:lineRule="auto"/>
        <w:tabs>
          <w:tab w:leader="none" w:pos="1719" w:val="left"/>
        </w:tabs>
        <w:numPr>
          <w:ilvl w:val="0"/>
          <w:numId w:val="26"/>
        </w:numPr>
        <w:rPr>
          <w:rFonts w:ascii="Arial" w:cs="Arial" w:eastAsia="Arial" w:hAnsi="Arial"/>
          <w:sz w:val="21"/>
          <w:szCs w:val="21"/>
          <w:color w:val="auto"/>
        </w:rPr>
      </w:pPr>
      <w:r>
        <w:rPr>
          <w:rFonts w:ascii="Arial" w:cs="Arial" w:eastAsia="Arial" w:hAnsi="Arial"/>
          <w:sz w:val="21"/>
          <w:szCs w:val="21"/>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48" w:name="page49"/>
    <w:bookmarkEnd w:id="48"/>
    <w:p>
      <w:pPr>
        <w:ind w:left="660" w:right="20"/>
        <w:spacing w:after="0" w:line="263" w:lineRule="auto"/>
        <w:rPr>
          <w:sz w:val="20"/>
          <w:szCs w:val="20"/>
          <w:color w:val="auto"/>
        </w:rPr>
      </w:pPr>
      <w:r>
        <w:rPr>
          <w:rFonts w:ascii="Arial" w:cs="Arial" w:eastAsia="Arial" w:hAnsi="Arial"/>
          <w:sz w:val="22"/>
          <w:szCs w:val="22"/>
          <w:color w:val="auto"/>
        </w:rPr>
        <w:t>the foregoing, any such claim is found by a court of competent jurisdiction to have arisen, Grantee shall be deemed irrevocably to have waived any entitlement to pursue such claim; and</w:t>
      </w:r>
    </w:p>
    <w:p>
      <w:pPr>
        <w:spacing w:after="0" w:line="175" w:lineRule="exact"/>
        <w:rPr>
          <w:sz w:val="20"/>
          <w:szCs w:val="20"/>
          <w:color w:val="auto"/>
        </w:rPr>
      </w:pPr>
    </w:p>
    <w:p>
      <w:pPr>
        <w:jc w:val="both"/>
        <w:ind w:left="660" w:firstLine="645"/>
        <w:spacing w:after="0" w:line="266" w:lineRule="auto"/>
        <w:tabs>
          <w:tab w:leader="none" w:pos="1746" w:val="left"/>
        </w:tabs>
        <w:numPr>
          <w:ilvl w:val="0"/>
          <w:numId w:val="27"/>
        </w:numPr>
        <w:rPr>
          <w:rFonts w:ascii="Arial" w:cs="Arial" w:eastAsia="Arial" w:hAnsi="Arial"/>
          <w:sz w:val="21"/>
          <w:szCs w:val="21"/>
          <w:color w:val="auto"/>
        </w:rPr>
      </w:pPr>
      <w:r>
        <w:rPr>
          <w:rFonts w:ascii="Arial" w:cs="Arial" w:eastAsia="Arial" w:hAnsi="Arial"/>
          <w:sz w:val="21"/>
          <w:szCs w:val="21"/>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68" w:lineRule="exact"/>
        <w:rPr>
          <w:rFonts w:ascii="Arial" w:cs="Arial" w:eastAsia="Arial" w:hAnsi="Arial"/>
          <w:sz w:val="21"/>
          <w:szCs w:val="21"/>
          <w:color w:val="auto"/>
        </w:rPr>
      </w:pPr>
    </w:p>
    <w:p>
      <w:pPr>
        <w:jc w:val="both"/>
        <w:ind w:left="80" w:firstLine="1292"/>
        <w:spacing w:after="0" w:line="265" w:lineRule="auto"/>
        <w:tabs>
          <w:tab w:leader="none" w:pos="1869" w:val="left"/>
        </w:tabs>
        <w:numPr>
          <w:ilvl w:val="1"/>
          <w:numId w:val="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Non-U.S. Addendum</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provisions in this Agreement, the PSUs shall also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69" w:lineRule="exact"/>
        <w:rPr>
          <w:sz w:val="20"/>
          <w:szCs w:val="20"/>
          <w:color w:val="auto"/>
        </w:rPr>
      </w:pPr>
    </w:p>
    <w:p>
      <w:pPr>
        <w:jc w:val="both"/>
        <w:ind w:firstLine="1305"/>
        <w:spacing w:after="0" w:line="253" w:lineRule="auto"/>
        <w:tabs>
          <w:tab w:leader="none" w:pos="1841"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9" w:lineRule="exact"/>
        <w:rPr>
          <w:rFonts w:ascii="Arial" w:cs="Arial" w:eastAsia="Arial" w:hAnsi="Arial"/>
          <w:sz w:val="22"/>
          <w:szCs w:val="22"/>
          <w:b w:val="1"/>
          <w:bCs w:val="1"/>
          <w:color w:val="auto"/>
        </w:rPr>
      </w:pPr>
    </w:p>
    <w:p>
      <w:pPr>
        <w:jc w:val="both"/>
        <w:ind w:firstLine="1305"/>
        <w:spacing w:after="0" w:line="256" w:lineRule="auto"/>
        <w:tabs>
          <w:tab w:leader="none" w:pos="1855"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6" w:lineRule="exact"/>
        <w:rPr>
          <w:rFonts w:ascii="Arial" w:cs="Arial" w:eastAsia="Arial" w:hAnsi="Arial"/>
          <w:sz w:val="22"/>
          <w:szCs w:val="22"/>
          <w:b w:val="1"/>
          <w:bCs w:val="1"/>
          <w:color w:val="auto"/>
        </w:rPr>
      </w:pPr>
    </w:p>
    <w:p>
      <w:pPr>
        <w:ind w:firstLine="1305"/>
        <w:spacing w:after="0" w:line="282" w:lineRule="auto"/>
        <w:tabs>
          <w:tab w:leader="none" w:pos="1814"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48" w:lineRule="exact"/>
        <w:rPr>
          <w:rFonts w:ascii="Arial" w:cs="Arial" w:eastAsia="Arial" w:hAnsi="Arial"/>
          <w:sz w:val="22"/>
          <w:szCs w:val="22"/>
          <w:b w:val="1"/>
          <w:bCs w:val="1"/>
          <w:color w:val="auto"/>
        </w:rPr>
      </w:pPr>
    </w:p>
    <w:p>
      <w:pPr>
        <w:jc w:val="both"/>
        <w:ind w:firstLine="1305"/>
        <w:spacing w:after="0" w:line="295" w:lineRule="auto"/>
        <w:tabs>
          <w:tab w:leader="none" w:pos="1801"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 Policy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of Common Stock issued to Grantee in settlement of the PSUs (plus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 payments) shall be subject to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“Compensation Recovery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49" w:name="page50"/>
    <w:bookmarkEnd w:id="49"/>
    <w:p>
      <w:pPr>
        <w:spacing w:after="0" w:line="263" w:lineRule="auto"/>
        <w:rPr>
          <w:sz w:val="20"/>
          <w:szCs w:val="20"/>
          <w:color w:val="auto"/>
        </w:rPr>
      </w:pPr>
      <w:r>
        <w:rPr>
          <w:rFonts w:ascii="Arial" w:cs="Arial" w:eastAsia="Arial" w:hAnsi="Arial"/>
          <w:sz w:val="22"/>
          <w:szCs w:val="22"/>
          <w:color w:val="auto"/>
        </w:rPr>
        <w:t>Policy”), and (b) applicable provisions of this Agreement shall be deemed superseded by and subject to the terms and conditions of the Compensation Recovery Policy from and after the effective date thereof.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591" w:right="259" w:bottom="1440" w:gutter="0" w:footer="0" w:header="0"/>
        </w:sectPr>
      </w:pPr>
    </w:p>
    <w:bookmarkStart w:id="50" w:name="page51"/>
    <w:bookmarkEnd w:id="50"/>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920" w:type="dxa"/>
            <w:vAlign w:val="bottom"/>
          </w:tcPr>
          <w:p>
            <w:pPr>
              <w:spacing w:after="0"/>
              <w:rPr>
                <w:sz w:val="24"/>
                <w:szCs w:val="24"/>
                <w:color w:val="auto"/>
              </w:rPr>
            </w:pPr>
          </w:p>
        </w:tc>
        <w:tc>
          <w:tcPr>
            <w:tcW w:w="6360" w:type="dxa"/>
            <w:vAlign w:val="bottom"/>
            <w:gridSpan w:val="3"/>
          </w:tcPr>
          <w:p>
            <w:pPr>
              <w:ind w:left="7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920" w:type="dxa"/>
            <w:vAlign w:val="bottom"/>
          </w:tcPr>
          <w:p>
            <w:pPr>
              <w:spacing w:after="0"/>
              <w:rPr>
                <w:sz w:val="20"/>
                <w:szCs w:val="20"/>
                <w:color w:val="auto"/>
              </w:rPr>
            </w:pPr>
            <w:r>
              <w:rPr>
                <w:rFonts w:ascii="Arial" w:cs="Arial" w:eastAsia="Arial" w:hAnsi="Arial"/>
                <w:sz w:val="22"/>
                <w:szCs w:val="22"/>
                <w:color w:val="auto"/>
              </w:rPr>
              <w:t xml:space="preserve">Dated as of: </w:t>
            </w:r>
            <w:r>
              <w:rPr>
                <w:rFonts w:ascii="Arial" w:cs="Arial" w:eastAsia="Arial" w:hAnsi="Arial"/>
                <w:sz w:val="22"/>
                <w:szCs w:val="22"/>
                <w:b w:val="1"/>
                <w:bCs w:val="1"/>
                <w:i w:val="1"/>
                <w:iCs w:val="1"/>
                <w:color w:val="auto"/>
              </w:rPr>
              <w:t>[grant date]</w:t>
            </w:r>
          </w:p>
        </w:tc>
        <w:tc>
          <w:tcPr>
            <w:tcW w:w="6360" w:type="dxa"/>
            <w:vAlign w:val="bottom"/>
            <w:gridSpan w:val="3"/>
          </w:tcPr>
          <w:p>
            <w:pPr>
              <w:ind w:left="2100"/>
              <w:spacing w:after="0"/>
              <w:rPr>
                <w:sz w:val="20"/>
                <w:szCs w:val="20"/>
                <w:color w:val="auto"/>
              </w:rPr>
            </w:pPr>
            <w:r>
              <w:rPr>
                <w:rFonts w:ascii="Arial" w:cs="Arial" w:eastAsia="Arial" w:hAnsi="Arial"/>
                <w:sz w:val="22"/>
                <w:szCs w:val="22"/>
                <w:color w:val="auto"/>
              </w:rPr>
              <w:t>By:  /s/ Joshua A. Sherbin</w:t>
            </w:r>
          </w:p>
        </w:tc>
      </w:tr>
      <w:tr>
        <w:trPr>
          <w:trHeight w:val="20"/>
        </w:trPr>
        <w:tc>
          <w:tcPr>
            <w:tcW w:w="2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42"/>
        </w:trPr>
        <w:tc>
          <w:tcPr>
            <w:tcW w:w="2920" w:type="dxa"/>
            <w:vAlign w:val="bottom"/>
          </w:tcPr>
          <w:p>
            <w:pPr>
              <w:spacing w:after="0"/>
              <w:rPr>
                <w:sz w:val="21"/>
                <w:szCs w:val="21"/>
                <w:color w:val="auto"/>
              </w:rPr>
            </w:pPr>
          </w:p>
        </w:tc>
        <w:tc>
          <w:tcPr>
            <w:tcW w:w="63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Name: Joshua A. Sherbin</w:t>
            </w:r>
          </w:p>
        </w:tc>
      </w:tr>
      <w:tr>
        <w:trPr>
          <w:trHeight w:val="275"/>
        </w:trPr>
        <w:tc>
          <w:tcPr>
            <w:tcW w:w="2920" w:type="dxa"/>
            <w:vAlign w:val="bottom"/>
          </w:tcPr>
          <w:p>
            <w:pPr>
              <w:spacing w:after="0"/>
              <w:rPr>
                <w:sz w:val="23"/>
                <w:szCs w:val="23"/>
                <w:color w:val="auto"/>
              </w:rPr>
            </w:pPr>
          </w:p>
        </w:tc>
        <w:tc>
          <w:tcPr>
            <w:tcW w:w="6360" w:type="dxa"/>
            <w:vAlign w:val="bottom"/>
            <w:gridSpan w:val="3"/>
          </w:tcPr>
          <w:p>
            <w:pPr>
              <w:ind w:left="210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35"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 FOR PSU AWARD</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actual number of PSUs earned by Grantee will be determined by the Committee by May 1, 2021 following the end of the Performance Period (“Determination Date”), using data as of, and including, December 31, 2020 under the rules described below. Any PSUs not earned as of the Determination Date will be canceled and forfeited.</w:t>
      </w:r>
    </w:p>
    <w:p>
      <w:pPr>
        <w:spacing w:after="0" w:line="186" w:lineRule="exact"/>
        <w:rPr>
          <w:sz w:val="20"/>
          <w:szCs w:val="20"/>
          <w:color w:val="auto"/>
        </w:rPr>
      </w:pPr>
    </w:p>
    <w:p>
      <w:pPr>
        <w:ind w:firstLine="8"/>
        <w:spacing w:after="0" w:line="358" w:lineRule="auto"/>
        <w:tabs>
          <w:tab w:leader="none" w:pos="39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90" w:lineRule="exact"/>
        <w:rPr>
          <w:rFonts w:ascii="Arial" w:cs="Arial" w:eastAsia="Arial" w:hAnsi="Arial"/>
          <w:sz w:val="19"/>
          <w:szCs w:val="19"/>
          <w:color w:val="auto"/>
        </w:rPr>
      </w:pPr>
    </w:p>
    <w:p>
      <w:pPr>
        <w:ind w:firstLine="8"/>
        <w:spacing w:after="0" w:line="301" w:lineRule="auto"/>
        <w:tabs>
          <w:tab w:leader="none" w:pos="369"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PSUs subject to this Award are earned based on the achievement of specific performance measures over the Performance Period (i.e., January 1, 2018 through December 31, 2020) and determined on the Determination Date.</w:t>
      </w:r>
    </w:p>
    <w:p>
      <w:pPr>
        <w:spacing w:after="0" w:line="137" w:lineRule="exact"/>
        <w:rPr>
          <w:rFonts w:ascii="Arial" w:cs="Arial" w:eastAsia="Arial" w:hAnsi="Arial"/>
          <w:sz w:val="21"/>
          <w:szCs w:val="21"/>
          <w:color w:val="auto"/>
        </w:rPr>
      </w:pPr>
    </w:p>
    <w:p>
      <w:pPr>
        <w:ind w:firstLine="8"/>
        <w:spacing w:after="0" w:line="301" w:lineRule="auto"/>
        <w:tabs>
          <w:tab w:leader="none" w:pos="396" w:val="left"/>
        </w:tabs>
        <w:numPr>
          <w:ilvl w:val="0"/>
          <w:numId w:val="29"/>
        </w:numPr>
        <w:rPr>
          <w:rFonts w:ascii="Arial" w:cs="Arial" w:eastAsia="Arial" w:hAnsi="Arial"/>
          <w:sz w:val="21"/>
          <w:szCs w:val="21"/>
          <w:color w:val="auto"/>
        </w:rPr>
      </w:pPr>
      <w:r>
        <w:rPr>
          <w:rFonts w:ascii="Arial" w:cs="Arial" w:eastAsia="Arial" w:hAnsi="Arial"/>
          <w:sz w:val="21"/>
          <w:szCs w:val="21"/>
          <w:color w:val="auto"/>
        </w:rPr>
        <w:t>50% of the Target PSUs will be earned based on the achievement of EPS CAGR (the “</w:t>
      </w:r>
      <w:r>
        <w:rPr>
          <w:rFonts w:ascii="Arial" w:cs="Arial" w:eastAsia="Arial" w:hAnsi="Arial"/>
          <w:sz w:val="21"/>
          <w:szCs w:val="21"/>
          <w:b w:val="1"/>
          <w:bCs w:val="1"/>
          <w:i w:val="1"/>
          <w:iCs w:val="1"/>
          <w:color w:val="auto"/>
        </w:rPr>
        <w:t>EPS CAGR PSUs</w:t>
      </w:r>
      <w:r>
        <w:rPr>
          <w:rFonts w:ascii="Arial" w:cs="Arial" w:eastAsia="Arial" w:hAnsi="Arial"/>
          <w:sz w:val="21"/>
          <w:szCs w:val="21"/>
          <w:color w:val="auto"/>
        </w:rPr>
        <w:t>”), and 50% of the Target PSUs will be earned based on the achievement of Relative Total Shareholder Return (“</w:t>
      </w:r>
      <w:r>
        <w:rPr>
          <w:rFonts w:ascii="Arial" w:cs="Arial" w:eastAsia="Arial" w:hAnsi="Arial"/>
          <w:sz w:val="21"/>
          <w:szCs w:val="21"/>
          <w:b w:val="1"/>
          <w:bCs w:val="1"/>
          <w:i w:val="1"/>
          <w:iCs w:val="1"/>
          <w:color w:val="auto"/>
        </w:rPr>
        <w:t>RTSR PSUs</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360" w:hanging="352"/>
        <w:spacing w:after="0"/>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233"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EPS CAGR</w:t>
      </w:r>
      <w:r>
        <w:rPr>
          <w:rFonts w:ascii="Arial" w:cs="Arial" w:eastAsia="Arial" w:hAnsi="Arial"/>
          <w:sz w:val="22"/>
          <w:szCs w:val="22"/>
          <w:color w:val="auto"/>
        </w:rPr>
        <w:t>” means the cumulative average growth rate during the Performance Period of the diluted earnings per share from continuing operations as reported in the Company’s Income Statement within the applicable Form 10-Q and Form 10-K, plus or minus special items that may occur from time-to-time that the Committee believes should adjust the as-reported results for measurement of performance.</w:t>
      </w:r>
    </w:p>
    <w:p>
      <w:pPr>
        <w:spacing w:after="0" w:line="188"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1"/>
          <w:numId w:val="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Peer Group</w:t>
      </w:r>
      <w:r>
        <w:rPr>
          <w:rFonts w:ascii="Arial" w:cs="Arial" w:eastAsia="Arial" w:hAnsi="Arial"/>
          <w:sz w:val="21"/>
          <w:szCs w:val="21"/>
          <w:color w:val="auto"/>
        </w:rPr>
        <w:t xml:space="preserve">” means, of a benchmark group of 103 entities currently in the S&amp;PSmallCap 600 Capped Industrials index (the names of which are attached hereto as </w:t>
      </w:r>
      <w:r>
        <w:rPr>
          <w:rFonts w:ascii="Arial" w:cs="Arial" w:eastAsia="Arial" w:hAnsi="Arial"/>
          <w:sz w:val="21"/>
          <w:szCs w:val="21"/>
          <w:u w:val="single" w:color="auto"/>
          <w:color w:val="auto"/>
        </w:rPr>
        <w:t>Annex A</w:t>
      </w:r>
      <w:r>
        <w:rPr>
          <w:rFonts w:ascii="Arial" w:cs="Arial" w:eastAsia="Arial" w:hAnsi="Arial"/>
          <w:sz w:val="21"/>
          <w:szCs w:val="21"/>
          <w:color w:val="auto"/>
        </w:rPr>
        <w:t>), those entities that remain in the Peer Group as of the end of the Performance Period after application of the Peer Group Adjustment Protocol.</w:t>
      </w:r>
    </w:p>
    <w:p>
      <w:pPr>
        <w:spacing w:after="0" w:line="167"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1"/>
          <w:numId w:val="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Peer Group Adjustment Protocol</w:t>
      </w:r>
      <w:r>
        <w:rPr>
          <w:rFonts w:ascii="Arial" w:cs="Arial" w:eastAsia="Arial" w:hAnsi="Arial"/>
          <w:sz w:val="21"/>
          <w:szCs w:val="21"/>
          <w:color w:val="auto"/>
        </w:rPr>
        <w:t xml:space="preserve">” means: (i) if an entity listed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has been acquired and/or is no longer existing as a public company that is traded on its primary stock exchange (other than for the reasons as described in subsection (i) above), then such entity will not remain in the Peer Group and RTSR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585" w:right="239" w:bottom="1440" w:gutter="0" w:footer="0" w:header="0"/>
        </w:sectPr>
      </w:pPr>
    </w:p>
    <w:bookmarkStart w:id="52" w:name="page53"/>
    <w:bookmarkEnd w:id="52"/>
    <w:p>
      <w:pPr>
        <w:jc w:val="both"/>
        <w:ind w:left="1300"/>
        <w:spacing w:after="0" w:line="265" w:lineRule="auto"/>
        <w:rPr>
          <w:sz w:val="20"/>
          <w:szCs w:val="20"/>
          <w:color w:val="auto"/>
        </w:rPr>
      </w:pPr>
      <w:r>
        <w:rPr>
          <w:rFonts w:ascii="Arial" w:cs="Arial" w:eastAsia="Arial" w:hAnsi="Arial"/>
          <w:sz w:val="21"/>
          <w:szCs w:val="21"/>
          <w:color w:val="auto"/>
        </w:rPr>
        <w:t xml:space="preserve">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21"/>
          <w:szCs w:val="21"/>
          <w:u w:val="single" w:color="auto"/>
          <w:color w:val="auto"/>
        </w:rPr>
        <w:t>Annex A</w:t>
      </w:r>
      <w:r>
        <w:rPr>
          <w:rFonts w:ascii="Arial" w:cs="Arial" w:eastAsia="Arial" w:hAnsi="Arial"/>
          <w:sz w:val="21"/>
          <w:szCs w:val="21"/>
          <w:color w:val="auto"/>
        </w:rPr>
        <w:t>, such entity shall be deemed to include any successor to all or substantially all of the primary business of such entity at end of the Performance Period.</w:t>
      </w:r>
    </w:p>
    <w:p>
      <w:pPr>
        <w:spacing w:after="0" w:line="176" w:lineRule="exact"/>
        <w:rPr>
          <w:sz w:val="20"/>
          <w:szCs w:val="20"/>
          <w:color w:val="auto"/>
        </w:rPr>
      </w:pPr>
    </w:p>
    <w:p>
      <w:pPr>
        <w:jc w:val="both"/>
        <w:ind w:left="1300" w:hanging="644"/>
        <w:spacing w:after="0" w:line="253" w:lineRule="auto"/>
        <w:tabs>
          <w:tab w:leader="none" w:pos="13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or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8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2018 on the principal stock exchange on which the stock is then traded and the ending stock price will be based on the average closing stock price for the 20 trading days immediately preceding January 1, 2021 on the principal stock exchange on which the stock then trades.</w:t>
      </w:r>
    </w:p>
    <w:p>
      <w:pPr>
        <w:spacing w:after="0" w:line="156" w:lineRule="exact"/>
        <w:rPr>
          <w:rFonts w:ascii="Arial" w:cs="Arial" w:eastAsia="Arial" w:hAnsi="Arial"/>
          <w:sz w:val="19"/>
          <w:szCs w:val="19"/>
          <w:color w:val="auto"/>
        </w:rPr>
      </w:pPr>
    </w:p>
    <w:p>
      <w:pPr>
        <w:ind w:right="20" w:firstLine="8"/>
        <w:spacing w:after="0" w:line="276" w:lineRule="auto"/>
        <w:tabs>
          <w:tab w:leader="none" w:pos="35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EPS CAGR Performance Matrix</w:t>
      </w:r>
      <w:r>
        <w:rPr>
          <w:rFonts w:ascii="Arial" w:cs="Arial" w:eastAsia="Arial" w:hAnsi="Arial"/>
          <w:sz w:val="22"/>
          <w:szCs w:val="22"/>
          <w:color w:val="auto"/>
        </w:rPr>
        <w:t>. From 0% to 200% of the EPS CAGR PSUs will be earned based on achievement of the EPS CAGR performance goal during the Performance Period as follows:</w:t>
      </w:r>
    </w:p>
    <w:p>
      <w:pPr>
        <w:spacing w:after="0" w:line="284" w:lineRule="exact"/>
        <w:rPr>
          <w:sz w:val="20"/>
          <w:szCs w:val="20"/>
          <w:color w:val="auto"/>
        </w:rPr>
      </w:pPr>
    </w:p>
    <w:tbl>
      <w:tblPr>
        <w:tblLayout w:type="fixed"/>
        <w:tblInd w:w="2550" w:type="dxa"/>
        <w:tblCellMar>
          <w:top w:w="0" w:type="dxa"/>
          <w:left w:w="0" w:type="dxa"/>
          <w:bottom w:w="0" w:type="dxa"/>
          <w:right w:w="0" w:type="dxa"/>
        </w:tblCellMar>
      </w:tblPr>
      <w:tr>
        <w:trPr>
          <w:trHeight w:val="304"/>
        </w:trPr>
        <w:tc>
          <w:tcPr>
            <w:tcW w:w="3200" w:type="dxa"/>
            <w:vAlign w:val="bottom"/>
            <w:tcBorders>
              <w:top w:val="single" w:sz="8" w:color="auto"/>
              <w:left w:val="single" w:sz="8" w:color="auto"/>
              <w:bottom w:val="single" w:sz="8" w:color="auto"/>
              <w:right w:val="single" w:sz="8" w:color="auto"/>
            </w:tcBorders>
            <w:shd w:val="clear" w:color="auto" w:fill="ACACAC"/>
          </w:tcPr>
          <w:p>
            <w:pPr>
              <w:ind w:left="920"/>
              <w:spacing w:after="0"/>
              <w:rPr>
                <w:sz w:val="20"/>
                <w:szCs w:val="20"/>
                <w:color w:val="auto"/>
              </w:rPr>
            </w:pPr>
            <w:r>
              <w:rPr>
                <w:rFonts w:ascii="Arial" w:cs="Arial" w:eastAsia="Arial" w:hAnsi="Arial"/>
                <w:sz w:val="22"/>
                <w:szCs w:val="22"/>
                <w:b w:val="1"/>
                <w:bCs w:val="1"/>
                <w:color w:val="auto"/>
              </w:rPr>
              <w:t>EPS CAGR %</w:t>
            </w:r>
          </w:p>
        </w:tc>
        <w:tc>
          <w:tcPr>
            <w:tcW w:w="3160" w:type="dxa"/>
            <w:vAlign w:val="bottom"/>
            <w:tcBorders>
              <w:top w:val="single" w:sz="8" w:color="auto"/>
              <w:bottom w:val="single" w:sz="8" w:color="auto"/>
              <w:right w:val="single" w:sz="8" w:color="auto"/>
            </w:tcBorders>
            <w:shd w:val="clear" w:color="auto" w:fill="ACACAC"/>
          </w:tcPr>
          <w:p>
            <w:pPr>
              <w:ind w:left="380"/>
              <w:spacing w:after="0"/>
              <w:rPr>
                <w:sz w:val="20"/>
                <w:szCs w:val="20"/>
                <w:color w:val="auto"/>
              </w:rPr>
            </w:pPr>
            <w:r>
              <w:rPr>
                <w:rFonts w:ascii="Arial" w:cs="Arial" w:eastAsia="Arial" w:hAnsi="Arial"/>
                <w:sz w:val="22"/>
                <w:szCs w:val="22"/>
                <w:b w:val="1"/>
                <w:bCs w:val="1"/>
                <w:color w:val="auto"/>
              </w:rPr>
              <w:t>EPS CAGR PSUs Earned</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5.0%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5.5%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65.0%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77.5.%</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90.0%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7.5%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8.5%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9.5%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140.0%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10.5%</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180.0%</w:t>
            </w:r>
          </w:p>
        </w:tc>
      </w:tr>
      <w:tr>
        <w:trPr>
          <w:trHeight w:val="291"/>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11.0%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r>
    </w:tbl>
    <w:p>
      <w:pPr>
        <w:spacing w:after="0" w:line="200" w:lineRule="exact"/>
        <w:rPr>
          <w:sz w:val="20"/>
          <w:szCs w:val="20"/>
          <w:color w:val="auto"/>
        </w:rPr>
      </w:pPr>
    </w:p>
    <w:p>
      <w:pPr>
        <w:spacing w:after="0" w:line="224" w:lineRule="exact"/>
        <w:rPr>
          <w:sz w:val="20"/>
          <w:szCs w:val="20"/>
          <w:color w:val="auto"/>
        </w:rPr>
      </w:pPr>
    </w:p>
    <w:p>
      <w:pPr>
        <w:jc w:val="both"/>
        <w:ind w:firstLine="8"/>
        <w:spacing w:after="0" w:line="260" w:lineRule="auto"/>
        <w:tabs>
          <w:tab w:leader="none" w:pos="437"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Number of EPS CAGR PSUs Earned</w:t>
      </w:r>
      <w:r>
        <w:rPr>
          <w:rFonts w:ascii="Arial" w:cs="Arial" w:eastAsia="Arial" w:hAnsi="Arial"/>
          <w:sz w:val="22"/>
          <w:szCs w:val="22"/>
          <w:color w:val="auto"/>
        </w:rPr>
        <w:t>. Following the Performance Period, on the Determination Date, the Committee shall determine whether and to what extent the EPS CAGR performance goal has been satisfied for the Performance Period and shall determine the number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591"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EPS CAGR PSUs that shall become nonforfeitable hereunder and under the Agreement on the basis of the following:</w:t>
      </w:r>
    </w:p>
    <w:p>
      <w:pPr>
        <w:spacing w:after="0" w:line="220" w:lineRule="exact"/>
        <w:rPr>
          <w:sz w:val="20"/>
          <w:szCs w:val="20"/>
          <w:color w:val="auto"/>
        </w:rPr>
      </w:pPr>
    </w:p>
    <w:p>
      <w:pPr>
        <w:ind w:left="1300" w:right="260" w:hanging="644"/>
        <w:spacing w:after="0" w:line="25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Below Threshold</w:t>
      </w:r>
      <w:r>
        <w:rPr>
          <w:rFonts w:ascii="Arial" w:cs="Arial" w:eastAsia="Arial" w:hAnsi="Arial"/>
          <w:sz w:val="22"/>
          <w:szCs w:val="22"/>
          <w:color w:val="auto"/>
        </w:rPr>
        <w:t>. If, upon the conclusion of the Performance Period, EPS CAGR for the Performance Period falls below the lowest EPS CAGR level set forth in the Performance Matrix, no EPS CAGR PSUs shall become nonforfeitable.</w:t>
      </w:r>
    </w:p>
    <w:p>
      <w:pPr>
        <w:spacing w:after="0" w:line="185" w:lineRule="exact"/>
        <w:rPr>
          <w:rFonts w:ascii="Arial" w:cs="Arial" w:eastAsia="Arial" w:hAnsi="Arial"/>
          <w:sz w:val="22"/>
          <w:szCs w:val="22"/>
          <w:color w:val="auto"/>
        </w:rPr>
      </w:pPr>
    </w:p>
    <w:p>
      <w:pPr>
        <w:jc w:val="both"/>
        <w:ind w:left="1300" w:right="20" w:hanging="644"/>
        <w:spacing w:after="0" w:line="292" w:lineRule="auto"/>
        <w:tabs>
          <w:tab w:leader="none" w:pos="1300"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Threshold or Above</w:t>
      </w:r>
      <w:r>
        <w:rPr>
          <w:rFonts w:ascii="Arial" w:cs="Arial" w:eastAsia="Arial" w:hAnsi="Arial"/>
          <w:sz w:val="19"/>
          <w:szCs w:val="19"/>
          <w:color w:val="auto"/>
        </w:rPr>
        <w:t>. If, upon the conclusion of the Performance Period, EPS CAGR for the Performance Period is exactly equal to one of the levels set forth in the Performance Matrix, a percentage of the EPS CAGR PSUs equal to the percentage set forth opposite such level in the Performance Matrix (rounded down to the nearest whole number of PSUs) shall become nonforfeitable. If, upon the conclusion of the Performance Period, EPS CAGR for the Performance Period falls between two levels set forth in the Performance Matrix, a percentage of the EPS CAGR PSUs shall become nonforfeitable based on straight-line mathematical interpolation between the percentages applicable to such levels (rounded down to the nearest whole number of PSUs).</w:t>
      </w:r>
    </w:p>
    <w:p>
      <w:pPr>
        <w:spacing w:after="0" w:line="151" w:lineRule="exact"/>
        <w:rPr>
          <w:rFonts w:ascii="Arial" w:cs="Arial" w:eastAsia="Arial" w:hAnsi="Arial"/>
          <w:sz w:val="19"/>
          <w:szCs w:val="19"/>
          <w:color w:val="auto"/>
        </w:rPr>
      </w:pPr>
    </w:p>
    <w:p>
      <w:pPr>
        <w:ind w:right="20" w:firstLine="8"/>
        <w:spacing w:after="0" w:line="276" w:lineRule="auto"/>
        <w:tabs>
          <w:tab w:leader="none" w:pos="50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RTSR Performance Matrix</w:t>
      </w:r>
      <w:r>
        <w:rPr>
          <w:rFonts w:ascii="Arial" w:cs="Arial" w:eastAsia="Arial" w:hAnsi="Arial"/>
          <w:sz w:val="22"/>
          <w:szCs w:val="22"/>
          <w:color w:val="auto"/>
        </w:rPr>
        <w:t>. From 0% to 200% of the RTSR PSUs will be earned based on achievement of the RTSR performance goal during the Performance Period as follows:</w:t>
      </w:r>
    </w:p>
    <w:p>
      <w:pPr>
        <w:spacing w:after="0" w:line="284" w:lineRule="exact"/>
        <w:rPr>
          <w:sz w:val="20"/>
          <w:szCs w:val="20"/>
          <w:color w:val="auto"/>
        </w:rPr>
      </w:pPr>
    </w:p>
    <w:tbl>
      <w:tblPr>
        <w:tblLayout w:type="fixed"/>
        <w:tblInd w:w="950" w:type="dxa"/>
        <w:tblCellMar>
          <w:top w:w="0" w:type="dxa"/>
          <w:left w:w="0" w:type="dxa"/>
          <w:bottom w:w="0" w:type="dxa"/>
          <w:right w:w="0" w:type="dxa"/>
        </w:tblCellMar>
      </w:tblPr>
      <w:tr>
        <w:trPr>
          <w:trHeight w:val="304"/>
        </w:trPr>
        <w:tc>
          <w:tcPr>
            <w:tcW w:w="29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Performance Level</w:t>
            </w:r>
          </w:p>
        </w:tc>
        <w:tc>
          <w:tcPr>
            <w:tcW w:w="51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Relative Total Shareholder Return</w:t>
            </w:r>
          </w:p>
        </w:tc>
        <w:tc>
          <w:tcPr>
            <w:tcW w:w="2400" w:type="dxa"/>
            <w:vAlign w:val="bottom"/>
            <w:tcBorders>
              <w:top w:val="single" w:sz="8" w:color="auto"/>
              <w:bottom w:val="single" w:sz="8" w:color="auto"/>
              <w:right w:val="single" w:sz="8" w:color="auto"/>
            </w:tcBorders>
            <w:shd w:val="clear" w:color="auto" w:fill="BFBFBF"/>
          </w:tcPr>
          <w:p>
            <w:pPr>
              <w:ind w:left="260"/>
              <w:spacing w:after="0"/>
              <w:rPr>
                <w:sz w:val="20"/>
                <w:szCs w:val="20"/>
                <w:color w:val="auto"/>
              </w:rPr>
            </w:pPr>
            <w:r>
              <w:rPr>
                <w:rFonts w:ascii="Arial" w:cs="Arial" w:eastAsia="Arial" w:hAnsi="Arial"/>
                <w:sz w:val="22"/>
                <w:szCs w:val="22"/>
                <w:b w:val="1"/>
                <w:bCs w:val="1"/>
                <w:color w:val="auto"/>
              </w:rPr>
              <w:t>RTSR PSUs Earned</w:t>
            </w:r>
          </w:p>
        </w:tc>
      </w:tr>
      <w:tr>
        <w:trPr>
          <w:trHeight w:val="297"/>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514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87"/>
              </w:rPr>
              <w:t>Ranked below or at 25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Above Threshold</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35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Target</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50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Intermediate</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65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or above 80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8" w:lineRule="exact"/>
        <w:rPr>
          <w:sz w:val="20"/>
          <w:szCs w:val="20"/>
          <w:color w:val="auto"/>
        </w:rPr>
      </w:pPr>
    </w:p>
    <w:p>
      <w:pPr>
        <w:jc w:val="both"/>
        <w:ind w:right="20" w:firstLine="8"/>
        <w:spacing w:after="0" w:line="320" w:lineRule="auto"/>
        <w:tabs>
          <w:tab w:leader="none" w:pos="35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Number of RTSR PSUs Earned</w:t>
      </w:r>
      <w:r>
        <w:rPr>
          <w:rFonts w:ascii="Arial" w:cs="Arial" w:eastAsia="Arial" w:hAnsi="Arial"/>
          <w:sz w:val="19"/>
          <w:szCs w:val="19"/>
          <w:color w:val="auto"/>
        </w:rPr>
        <w:t>. Following the Performance Period, on the Determination Date, the Committee shall determine whether and to what extent the RTSR performance goal has been satisfied for the Performance Period and shall determine the number of RTSR PSUs that shall become nonforfeitable hereunder and under the Agreement on the basis of the following:</w:t>
      </w:r>
    </w:p>
    <w:p>
      <w:pPr>
        <w:spacing w:after="0" w:line="125" w:lineRule="exact"/>
        <w:rPr>
          <w:rFonts w:ascii="Arial" w:cs="Arial" w:eastAsia="Arial" w:hAnsi="Arial"/>
          <w:sz w:val="19"/>
          <w:szCs w:val="19"/>
          <w:color w:val="auto"/>
        </w:rPr>
      </w:pPr>
    </w:p>
    <w:p>
      <w:pPr>
        <w:ind w:left="1300" w:right="20" w:hanging="644"/>
        <w:spacing w:after="0" w:line="343"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Threshold</w:t>
      </w:r>
      <w:r>
        <w:rPr>
          <w:rFonts w:ascii="Arial" w:cs="Arial" w:eastAsia="Arial" w:hAnsi="Arial"/>
          <w:sz w:val="19"/>
          <w:szCs w:val="19"/>
          <w:color w:val="auto"/>
        </w:rPr>
        <w:t>. If, upon the conclusion of the Performance Period, RTSR for the Performance Period equals or falls below the “Threshold” level, as set forth in the Performance Matrix, no RTSR PSUs shall become nonforfeitable.</w:t>
      </w:r>
    </w:p>
    <w:p>
      <w:pPr>
        <w:spacing w:after="0" w:line="104" w:lineRule="exact"/>
        <w:rPr>
          <w:rFonts w:ascii="Arial" w:cs="Arial" w:eastAsia="Arial" w:hAnsi="Arial"/>
          <w:sz w:val="19"/>
          <w:szCs w:val="19"/>
          <w:color w:val="auto"/>
        </w:rPr>
      </w:pPr>
    </w:p>
    <w:p>
      <w:pPr>
        <w:jc w:val="both"/>
        <w:ind w:left="1300" w:right="20" w:hanging="644"/>
        <w:spacing w:after="0" w:line="302"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Between Threshold and Above Threshold</w:t>
      </w:r>
      <w:r>
        <w:rPr>
          <w:rFonts w:ascii="Arial" w:cs="Arial" w:eastAsia="Arial" w:hAnsi="Arial"/>
          <w:sz w:val="19"/>
          <w:szCs w:val="19"/>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 mathematical interpolation) of the RTSR PSUs (rounded down to the nearest whole number of PSUs) shall become nonforfeitable.</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40"/>
          </w:cols>
          <w:pgMar w:left="240" w:top="591" w:right="219" w:bottom="1440" w:gutter="0" w:footer="0" w:header="0"/>
        </w:sectPr>
      </w:pPr>
    </w:p>
    <w:bookmarkStart w:id="54" w:name="page55"/>
    <w:bookmarkEnd w:id="54"/>
    <w:p>
      <w:pPr>
        <w:jc w:val="both"/>
        <w:ind w:left="644" w:hanging="644"/>
        <w:spacing w:after="0" w:line="253" w:lineRule="auto"/>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Above Threshold</w:t>
      </w:r>
      <w:r>
        <w:rPr>
          <w:rFonts w:ascii="Arial" w:cs="Arial" w:eastAsia="Arial" w:hAnsi="Arial"/>
          <w:sz w:val="22"/>
          <w:szCs w:val="22"/>
          <w:color w:val="auto"/>
        </w:rPr>
        <w:t>. If, upon the conclusion of the Performance Period, RTSR for the Performance Period equals the “Above Threshold” level, as set forth in the Performance Matrix, 50% of the RTSR PSUs (rounded down to the nearest whole number of PSUs) shall become nonforfeitable.</w:t>
      </w:r>
    </w:p>
    <w:p>
      <w:pPr>
        <w:spacing w:after="0" w:line="185" w:lineRule="exact"/>
        <w:rPr>
          <w:rFonts w:ascii="Arial" w:cs="Arial" w:eastAsia="Arial" w:hAnsi="Arial"/>
          <w:sz w:val="22"/>
          <w:szCs w:val="22"/>
          <w:color w:val="auto"/>
        </w:rPr>
      </w:pPr>
    </w:p>
    <w:p>
      <w:pPr>
        <w:jc w:val="both"/>
        <w:ind w:left="644" w:hanging="644"/>
        <w:spacing w:after="0" w:line="302"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Between Above Threshold and Target</w:t>
      </w:r>
      <w:r>
        <w:rPr>
          <w:rFonts w:ascii="Arial" w:cs="Arial" w:eastAsia="Arial" w:hAnsi="Arial"/>
          <w:sz w:val="19"/>
          <w:szCs w:val="19"/>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RTSR PSUs (rounded down to the nearest whole number of PSUs) shall become nonforfeitable.</w:t>
      </w:r>
    </w:p>
    <w:p>
      <w:pPr>
        <w:spacing w:after="0" w:line="142" w:lineRule="exact"/>
        <w:rPr>
          <w:rFonts w:ascii="Arial" w:cs="Arial" w:eastAsia="Arial" w:hAnsi="Arial"/>
          <w:sz w:val="19"/>
          <w:szCs w:val="19"/>
          <w:color w:val="auto"/>
        </w:rPr>
      </w:pPr>
    </w:p>
    <w:p>
      <w:pPr>
        <w:ind w:left="644" w:hanging="644"/>
        <w:spacing w:after="0" w:line="287" w:lineRule="auto"/>
        <w:tabs>
          <w:tab w:leader="none" w:pos="644"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Target</w:t>
      </w:r>
      <w:r>
        <w:rPr>
          <w:rFonts w:ascii="Arial" w:cs="Arial" w:eastAsia="Arial" w:hAnsi="Arial"/>
          <w:sz w:val="21"/>
          <w:szCs w:val="21"/>
          <w:color w:val="auto"/>
        </w:rPr>
        <w:t>. If, upon the conclusion of the Performance Period, RTSR for the Performance Period equals the “Target” level, as set forth in the Performance Matrix, 100% of the RTSR PSUs shall become nonforfeitable.</w:t>
      </w:r>
    </w:p>
    <w:p>
      <w:pPr>
        <w:spacing w:after="0" w:line="151" w:lineRule="exact"/>
        <w:rPr>
          <w:rFonts w:ascii="Arial" w:cs="Arial" w:eastAsia="Arial" w:hAnsi="Arial"/>
          <w:sz w:val="21"/>
          <w:szCs w:val="21"/>
          <w:color w:val="auto"/>
        </w:rPr>
      </w:pPr>
    </w:p>
    <w:p>
      <w:pPr>
        <w:jc w:val="both"/>
        <w:ind w:left="644" w:hanging="644"/>
        <w:spacing w:after="0" w:line="302"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Between Target and Intermediate</w:t>
      </w:r>
      <w:r>
        <w:rPr>
          <w:rFonts w:ascii="Arial" w:cs="Arial" w:eastAsia="Arial" w:hAnsi="Arial"/>
          <w:sz w:val="19"/>
          <w:szCs w:val="19"/>
          <w:color w:val="auto"/>
        </w:rPr>
        <w:t>. If, upon the conclusion of the Performance Period, RTSR for the Performance Period exceeds the “Target” level, but is less than the “Intermediate” level, as set forth in the Performance Matrix, a percentage between 100% and 150% (determined on the basis of straight-line mathematical interpolation) of the RTSR PSUs (rounded down to the nearest whole number of PSUs) shall become nonforfeitable.</w:t>
      </w:r>
    </w:p>
    <w:p>
      <w:pPr>
        <w:spacing w:after="0" w:line="142" w:lineRule="exact"/>
        <w:rPr>
          <w:rFonts w:ascii="Arial" w:cs="Arial" w:eastAsia="Arial" w:hAnsi="Arial"/>
          <w:sz w:val="19"/>
          <w:szCs w:val="19"/>
          <w:color w:val="auto"/>
        </w:rPr>
      </w:pPr>
    </w:p>
    <w:p>
      <w:pPr>
        <w:ind w:left="644" w:hanging="644"/>
        <w:spacing w:after="0" w:line="343"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Intermediate</w:t>
      </w:r>
      <w:r>
        <w:rPr>
          <w:rFonts w:ascii="Arial" w:cs="Arial" w:eastAsia="Arial" w:hAnsi="Arial"/>
          <w:sz w:val="19"/>
          <w:szCs w:val="19"/>
          <w:color w:val="auto"/>
        </w:rPr>
        <w:t>. If, upon the conclusion of the Performance Period, RTSR for the Performance Period equals the “Intermediate” level, as set forth in the Performance Matrix, 150% of the RTSR PSUs shall become nonforfeitable.</w:t>
      </w:r>
    </w:p>
    <w:p>
      <w:pPr>
        <w:spacing w:after="0" w:line="104" w:lineRule="exact"/>
        <w:rPr>
          <w:rFonts w:ascii="Arial" w:cs="Arial" w:eastAsia="Arial" w:hAnsi="Arial"/>
          <w:sz w:val="19"/>
          <w:szCs w:val="19"/>
          <w:color w:val="auto"/>
        </w:rPr>
      </w:pPr>
    </w:p>
    <w:p>
      <w:pPr>
        <w:ind w:left="644" w:right="40" w:hanging="644"/>
        <w:spacing w:after="0" w:line="302"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Between Intermediate and Maximum</w:t>
      </w:r>
      <w:r>
        <w:rPr>
          <w:rFonts w:ascii="Arial" w:cs="Arial" w:eastAsia="Arial" w:hAnsi="Arial"/>
          <w:sz w:val="19"/>
          <w:szCs w:val="19"/>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RTSR PSUs (rounded down to the nearest whole number of PSUs) shall become nonforfeitable.</w:t>
      </w:r>
    </w:p>
    <w:p>
      <w:pPr>
        <w:spacing w:after="0" w:line="142"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If, upon the conclusion of the Performance Period, RTSR for the Performance Period equals or exceeds the “Maximum” level, as set forth in the Performance Matrix, 200% of the RTSR PSUs shall become nonforfeitable.</w:t>
      </w:r>
    </w:p>
    <w:p>
      <w:pPr>
        <w:spacing w:after="0" w:line="200" w:lineRule="exact"/>
        <w:rPr>
          <w:sz w:val="20"/>
          <w:szCs w:val="20"/>
          <w:color w:val="auto"/>
        </w:rPr>
      </w:pPr>
    </w:p>
    <w:p>
      <w:pPr>
        <w:spacing w:after="0" w:line="229" w:lineRule="exact"/>
        <w:rPr>
          <w:sz w:val="20"/>
          <w:szCs w:val="20"/>
          <w:color w:val="auto"/>
        </w:rPr>
      </w:pPr>
    </w:p>
    <w:p>
      <w:pPr>
        <w:ind w:left="4984"/>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764"/>
          </w:cols>
          <w:pgMar w:left="896" w:top="591"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60" w:type="dxa"/>
            <w:vAlign w:val="bottom"/>
            <w:tcBorders>
              <w:left w:val="single" w:sz="8" w:color="006EBF"/>
              <w:right w:val="single" w:sz="8" w:color="006EBF"/>
            </w:tcBorders>
            <w:shd w:val="clear" w:color="auto" w:fill="006EBF"/>
          </w:tcPr>
          <w:p>
            <w:pPr>
              <w:spacing w:after="0"/>
              <w:rPr>
                <w:sz w:val="22"/>
                <w:szCs w:val="22"/>
                <w:color w:val="auto"/>
              </w:rPr>
            </w:pPr>
          </w:p>
        </w:tc>
        <w:tc>
          <w:tcPr>
            <w:tcW w:w="720" w:type="dxa"/>
            <w:vAlign w:val="bottom"/>
            <w:shd w:val="clear" w:color="auto" w:fill="006EBF"/>
          </w:tcPr>
          <w:p>
            <w:pPr>
              <w:spacing w:after="0"/>
              <w:rPr>
                <w:sz w:val="22"/>
                <w:szCs w:val="22"/>
                <w:color w:val="auto"/>
              </w:rPr>
            </w:pPr>
          </w:p>
        </w:tc>
        <w:tc>
          <w:tcPr>
            <w:tcW w:w="6940" w:type="dxa"/>
            <w:vAlign w:val="bottom"/>
            <w:tcBorders>
              <w:right w:val="single" w:sz="8" w:color="006EBF"/>
            </w:tcBorders>
            <w:gridSpan w:val="5"/>
            <w:shd w:val="clear" w:color="auto" w:fill="006EBF"/>
          </w:tcPr>
          <w:p>
            <w:pPr>
              <w:ind w:left="100"/>
              <w:spacing w:after="0"/>
              <w:rPr>
                <w:sz w:val="20"/>
                <w:szCs w:val="20"/>
                <w:color w:val="auto"/>
              </w:rPr>
            </w:pPr>
            <w:r>
              <w:rPr>
                <w:rFonts w:ascii="Arial" w:cs="Arial" w:eastAsia="Arial" w:hAnsi="Arial"/>
                <w:sz w:val="18"/>
                <w:szCs w:val="18"/>
                <w:b w:val="1"/>
                <w:bCs w:val="1"/>
                <w:color w:val="FFFFFF"/>
              </w:rPr>
              <w:t>S&amp;P SmallCap 600 Industrials (End of December 2017)</w:t>
            </w:r>
          </w:p>
        </w:tc>
        <w:tc>
          <w:tcPr>
            <w:tcW w:w="1020" w:type="dxa"/>
            <w:vAlign w:val="bottom"/>
            <w:tcBorders>
              <w:right w:val="single" w:sz="8" w:color="006EBF"/>
            </w:tcBorders>
            <w:shd w:val="clear" w:color="auto" w:fill="006EB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60" w:type="dxa"/>
            <w:vAlign w:val="bottom"/>
            <w:tcBorders>
              <w:left w:val="single" w:sz="8" w:color="006EBF"/>
              <w:bottom w:val="single" w:sz="8" w:color="006EBF"/>
              <w:right w:val="single" w:sz="8" w:color="006EBF"/>
            </w:tcBorders>
            <w:shd w:val="clear" w:color="auto" w:fill="006EBF"/>
          </w:tcPr>
          <w:p>
            <w:pPr>
              <w:ind w:left="40"/>
              <w:spacing w:after="0"/>
              <w:rPr>
                <w:sz w:val="20"/>
                <w:szCs w:val="20"/>
                <w:color w:val="auto"/>
              </w:rPr>
            </w:pPr>
            <w:r>
              <w:rPr>
                <w:rFonts w:ascii="Arial" w:cs="Arial" w:eastAsia="Arial" w:hAnsi="Arial"/>
                <w:sz w:val="18"/>
                <w:szCs w:val="18"/>
                <w:b w:val="1"/>
                <w:bCs w:val="1"/>
                <w:color w:val="FFFFFF"/>
              </w:rPr>
              <w:t>Company Name</w:t>
            </w:r>
          </w:p>
        </w:tc>
        <w:tc>
          <w:tcPr>
            <w:tcW w:w="1360" w:type="dxa"/>
            <w:vAlign w:val="bottom"/>
            <w:tcBorders>
              <w:bottom w:val="single" w:sz="8" w:color="006EBF"/>
            </w:tcBorders>
            <w:gridSpan w:val="3"/>
            <w:shd w:val="clear" w:color="auto" w:fill="006EBF"/>
          </w:tcPr>
          <w:p>
            <w:pPr>
              <w:ind w:left="480"/>
              <w:spacing w:after="0"/>
              <w:rPr>
                <w:sz w:val="20"/>
                <w:szCs w:val="20"/>
                <w:color w:val="auto"/>
              </w:rPr>
            </w:pPr>
            <w:r>
              <w:rPr>
                <w:rFonts w:ascii="Arial" w:cs="Arial" w:eastAsia="Arial" w:hAnsi="Arial"/>
                <w:sz w:val="18"/>
                <w:szCs w:val="18"/>
                <w:b w:val="1"/>
                <w:bCs w:val="1"/>
                <w:color w:val="FFFFFF"/>
              </w:rPr>
              <w:t>Ticker</w:t>
            </w:r>
          </w:p>
        </w:tc>
        <w:tc>
          <w:tcPr>
            <w:tcW w:w="2420" w:type="dxa"/>
            <w:vAlign w:val="bottom"/>
            <w:tcBorders>
              <w:bottom w:val="single" w:sz="8" w:color="006EBF"/>
              <w:right w:val="single" w:sz="8" w:color="006EBF"/>
            </w:tcBorders>
            <w:shd w:val="clear" w:color="auto" w:fill="006EBF"/>
          </w:tcPr>
          <w:p>
            <w:pPr>
              <w:ind w:left="140"/>
              <w:spacing w:after="0"/>
              <w:rPr>
                <w:sz w:val="20"/>
                <w:szCs w:val="20"/>
                <w:color w:val="auto"/>
              </w:rPr>
            </w:pPr>
            <w:r>
              <w:rPr>
                <w:rFonts w:ascii="Arial" w:cs="Arial" w:eastAsia="Arial" w:hAnsi="Arial"/>
                <w:sz w:val="18"/>
                <w:szCs w:val="18"/>
                <w:b w:val="1"/>
                <w:bCs w:val="1"/>
                <w:color w:val="FFFFFF"/>
              </w:rPr>
              <w:t>Company Name</w:t>
            </w:r>
          </w:p>
        </w:tc>
        <w:tc>
          <w:tcPr>
            <w:tcW w:w="1020" w:type="dxa"/>
            <w:vAlign w:val="bottom"/>
            <w:tcBorders>
              <w:bottom w:val="single" w:sz="8" w:color="006EBF"/>
              <w:right w:val="single" w:sz="8" w:color="006EBF"/>
            </w:tcBorders>
            <w:shd w:val="clear" w:color="auto" w:fill="006EBF"/>
          </w:tcPr>
          <w:p>
            <w:pPr>
              <w:ind w:left="240"/>
              <w:spacing w:after="0"/>
              <w:rPr>
                <w:sz w:val="20"/>
                <w:szCs w:val="20"/>
                <w:color w:val="auto"/>
              </w:rPr>
            </w:pPr>
            <w:r>
              <w:rPr>
                <w:rFonts w:ascii="Arial" w:cs="Arial" w:eastAsia="Arial" w:hAnsi="Arial"/>
                <w:sz w:val="18"/>
                <w:szCs w:val="18"/>
                <w:b w:val="1"/>
                <w:bCs w:val="1"/>
                <w:color w:val="FFFFFF"/>
              </w:rPr>
              <w:t>Ticker</w:t>
            </w:r>
          </w:p>
        </w:tc>
        <w:tc>
          <w:tcPr>
            <w:tcW w:w="2860" w:type="dxa"/>
            <w:vAlign w:val="bottom"/>
            <w:tcBorders>
              <w:bottom w:val="single" w:sz="8" w:color="006EBF"/>
              <w:right w:val="single" w:sz="8" w:color="006EBF"/>
            </w:tcBorders>
            <w:shd w:val="clear" w:color="auto" w:fill="006EBF"/>
          </w:tcPr>
          <w:p>
            <w:pPr>
              <w:ind w:left="20"/>
              <w:spacing w:after="0"/>
              <w:rPr>
                <w:sz w:val="20"/>
                <w:szCs w:val="20"/>
                <w:color w:val="auto"/>
              </w:rPr>
            </w:pPr>
            <w:r>
              <w:rPr>
                <w:rFonts w:ascii="Arial" w:cs="Arial" w:eastAsia="Arial" w:hAnsi="Arial"/>
                <w:sz w:val="18"/>
                <w:szCs w:val="18"/>
                <w:b w:val="1"/>
                <w:bCs w:val="1"/>
                <w:color w:val="FFFFFF"/>
              </w:rPr>
              <w:t>Company Name</w:t>
            </w:r>
          </w:p>
        </w:tc>
        <w:tc>
          <w:tcPr>
            <w:tcW w:w="1020" w:type="dxa"/>
            <w:vAlign w:val="bottom"/>
            <w:tcBorders>
              <w:bottom w:val="single" w:sz="8" w:color="006EBF"/>
              <w:right w:val="single" w:sz="8" w:color="006EBF"/>
            </w:tcBorders>
            <w:shd w:val="clear" w:color="auto" w:fill="006EBF"/>
          </w:tcPr>
          <w:p>
            <w:pPr>
              <w:ind w:left="240"/>
              <w:spacing w:after="0"/>
              <w:rPr>
                <w:sz w:val="20"/>
                <w:szCs w:val="20"/>
                <w:color w:val="auto"/>
              </w:rPr>
            </w:pPr>
            <w:r>
              <w:rPr>
                <w:rFonts w:ascii="Arial" w:cs="Arial" w:eastAsia="Arial" w:hAnsi="Arial"/>
                <w:sz w:val="18"/>
                <w:szCs w:val="18"/>
                <w:b w:val="1"/>
                <w:bCs w:val="1"/>
                <w:color w:val="FFFFFF"/>
              </w:rPr>
              <w:t>Ticker</w:t>
            </w:r>
          </w:p>
        </w:tc>
        <w:tc>
          <w:tcPr>
            <w:tcW w:w="0" w:type="dxa"/>
            <w:vAlign w:val="bottom"/>
          </w:tcPr>
          <w:p>
            <w:pPr>
              <w:spacing w:after="0"/>
              <w:rPr>
                <w:sz w:val="1"/>
                <w:szCs w:val="1"/>
                <w:color w:val="auto"/>
              </w:rPr>
            </w:pPr>
          </w:p>
        </w:tc>
      </w:tr>
      <w:tr>
        <w:trPr>
          <w:trHeight w:val="237"/>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AAON, Inc.</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AAON</w:t>
            </w:r>
          </w:p>
        </w:tc>
        <w:tc>
          <w:tcPr>
            <w:tcW w:w="200" w:type="dxa"/>
            <w:vAlign w:val="bottom"/>
            <w:tcBorders>
              <w:top w:val="single" w:sz="8" w:color="auto"/>
              <w:right w:val="single" w:sz="8" w:color="auto"/>
            </w:tcBorders>
          </w:tcPr>
          <w:p>
            <w:pPr>
              <w:spacing w:after="0"/>
              <w:rPr>
                <w:sz w:val="20"/>
                <w:szCs w:val="20"/>
                <w:color w:val="auto"/>
              </w:rPr>
            </w:pPr>
          </w:p>
        </w:tc>
        <w:tc>
          <w:tcPr>
            <w:tcW w:w="28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Forward Air Corporation</w:t>
            </w:r>
          </w:p>
        </w:tc>
        <w:tc>
          <w:tcPr>
            <w:tcW w:w="1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FWRD</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Orion Group Holdings, Inc.</w:t>
            </w:r>
          </w:p>
        </w:tc>
        <w:tc>
          <w:tcPr>
            <w:tcW w:w="1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ORN</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 Corp.</w:t>
            </w:r>
          </w:p>
        </w:tc>
        <w:tc>
          <w:tcPr>
            <w:tcW w:w="720" w:type="dxa"/>
            <w:vAlign w:val="bottom"/>
          </w:tcPr>
          <w:p>
            <w:pPr>
              <w:ind w:left="40"/>
              <w:spacing w:after="0"/>
              <w:rPr>
                <w:sz w:val="20"/>
                <w:szCs w:val="20"/>
                <w:color w:val="auto"/>
              </w:rPr>
            </w:pPr>
            <w:r>
              <w:rPr>
                <w:rFonts w:ascii="Arial" w:cs="Arial" w:eastAsia="Arial" w:hAnsi="Arial"/>
                <w:sz w:val="18"/>
                <w:szCs w:val="18"/>
                <w:color w:val="auto"/>
              </w:rPr>
              <w:t>AIR</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Franklin Electric Co.,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FELE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Patrick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PATK</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ABM Industries Incorporated</w:t>
            </w:r>
          </w:p>
        </w:tc>
        <w:tc>
          <w:tcPr>
            <w:tcW w:w="720" w:type="dxa"/>
            <w:vAlign w:val="bottom"/>
          </w:tcPr>
          <w:p>
            <w:pPr>
              <w:ind w:left="40"/>
              <w:spacing w:after="0"/>
              <w:rPr>
                <w:sz w:val="20"/>
                <w:szCs w:val="20"/>
                <w:color w:val="auto"/>
              </w:rPr>
            </w:pPr>
            <w:r>
              <w:rPr>
                <w:rFonts w:ascii="Arial" w:cs="Arial" w:eastAsia="Arial" w:hAnsi="Arial"/>
                <w:sz w:val="18"/>
                <w:szCs w:val="18"/>
                <w:color w:val="auto"/>
              </w:rPr>
              <w:t>ABM</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FTI Consulting,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 Innovations,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Actuant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ATU</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General Cable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BGC</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Powell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POWL</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Aegion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AEGN</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Gibraltar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ROCK</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Proto Labs,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PRLB</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Aerojet Rocketdyne Holdings, Inc.</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AJRD</w:t>
            </w:r>
          </w:p>
        </w:tc>
        <w:tc>
          <w:tcPr>
            <w:tcW w:w="2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Griffon Corporation</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GFF</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Quanex Building Products</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NX</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gridSpan w:val="2"/>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Corporation</w:t>
            </w: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AeroVironment, Inc.</w:t>
            </w:r>
          </w:p>
        </w:tc>
        <w:tc>
          <w:tcPr>
            <w:tcW w:w="720" w:type="dxa"/>
            <w:vAlign w:val="bottom"/>
          </w:tcPr>
          <w:p>
            <w:pPr>
              <w:ind w:left="40"/>
              <w:spacing w:after="0"/>
              <w:rPr>
                <w:sz w:val="20"/>
                <w:szCs w:val="20"/>
                <w:color w:val="auto"/>
              </w:rPr>
            </w:pPr>
            <w:r>
              <w:rPr>
                <w:rFonts w:ascii="Arial" w:cs="Arial" w:eastAsia="Arial" w:hAnsi="Arial"/>
                <w:sz w:val="18"/>
                <w:szCs w:val="18"/>
                <w:color w:val="auto"/>
              </w:rPr>
              <w:t>AVAV</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Harsco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HSC</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R.R. Donnelley &amp; Sons Company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RRD</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Alamo Group Inc.</w:t>
            </w:r>
          </w:p>
        </w:tc>
        <w:tc>
          <w:tcPr>
            <w:tcW w:w="720" w:type="dxa"/>
            <w:vAlign w:val="bottom"/>
          </w:tcPr>
          <w:p>
            <w:pPr>
              <w:ind w:left="40"/>
              <w:spacing w:after="0"/>
              <w:rPr>
                <w:sz w:val="20"/>
                <w:szCs w:val="20"/>
                <w:color w:val="auto"/>
              </w:rPr>
            </w:pPr>
            <w:r>
              <w:rPr>
                <w:rFonts w:ascii="Arial" w:cs="Arial" w:eastAsia="Arial" w:hAnsi="Arial"/>
                <w:sz w:val="18"/>
                <w:szCs w:val="18"/>
                <w:color w:val="auto"/>
              </w:rPr>
              <w:t>ALG</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Hawaiian Holdings,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Raven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RAVN</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Albany International Corp.</w:t>
            </w:r>
          </w:p>
        </w:tc>
        <w:tc>
          <w:tcPr>
            <w:tcW w:w="720" w:type="dxa"/>
            <w:vAlign w:val="bottom"/>
          </w:tcPr>
          <w:p>
            <w:pPr>
              <w:ind w:left="40"/>
              <w:spacing w:after="0"/>
              <w:rPr>
                <w:sz w:val="20"/>
                <w:szCs w:val="20"/>
                <w:color w:val="auto"/>
              </w:rPr>
            </w:pPr>
            <w:r>
              <w:rPr>
                <w:rFonts w:ascii="Arial" w:cs="Arial" w:eastAsia="Arial" w:hAnsi="Arial"/>
                <w:sz w:val="18"/>
                <w:szCs w:val="18"/>
                <w:color w:val="auto"/>
              </w:rPr>
              <w:t>AIN</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Healthcare Services Group,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HCSG</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Resources Connection,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RECN</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Allegiant Travel Company</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ALGT</w:t>
            </w:r>
          </w:p>
        </w:tc>
        <w:tc>
          <w:tcPr>
            <w:tcW w:w="2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Heartland Express, Inc.</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HTLD</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Roadrunner Transportation Systems,</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RRTS</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gridSpan w:val="2"/>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Inc.</w:t>
            </w: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American Woodmark Corporation</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AMWD</w:t>
            </w:r>
          </w:p>
        </w:tc>
        <w:tc>
          <w:tcPr>
            <w:tcW w:w="2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Heidrick &amp; Struggles International,</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HSII</w:t>
            </w: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Saia, Inc.</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SAIA</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Inc.</w:t>
            </w:r>
          </w:p>
        </w:tc>
        <w:tc>
          <w:tcPr>
            <w:tcW w:w="24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Apogee Enterprises, Inc.</w:t>
            </w:r>
          </w:p>
        </w:tc>
        <w:tc>
          <w:tcPr>
            <w:tcW w:w="720" w:type="dxa"/>
            <w:vAlign w:val="bottom"/>
          </w:tcPr>
          <w:p>
            <w:pPr>
              <w:ind w:left="40"/>
              <w:spacing w:after="0"/>
              <w:rPr>
                <w:sz w:val="20"/>
                <w:szCs w:val="20"/>
                <w:color w:val="auto"/>
              </w:rPr>
            </w:pPr>
            <w:r>
              <w:rPr>
                <w:rFonts w:ascii="Arial" w:cs="Arial" w:eastAsia="Arial" w:hAnsi="Arial"/>
                <w:sz w:val="18"/>
                <w:szCs w:val="18"/>
                <w:color w:val="auto"/>
              </w:rPr>
              <w:t>APOG</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Hillenbrand,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Simpson Manufacturing Co.,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SSD</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Applied Industrial Technologies,</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AIT</w:t>
            </w:r>
          </w:p>
        </w:tc>
        <w:tc>
          <w:tcPr>
            <w:tcW w:w="2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Hub Group, Inc.</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HUBG</w:t>
            </w: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SkyWest, Inc.</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SKYW</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Inc.</w:t>
            </w:r>
          </w:p>
        </w:tc>
        <w:tc>
          <w:tcPr>
            <w:tcW w:w="72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gridSpan w:val="2"/>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ArcBest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ARCB</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Insperity,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NSP</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SPXC</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Astec Industries, Inc.</w:t>
            </w:r>
          </w:p>
        </w:tc>
        <w:tc>
          <w:tcPr>
            <w:tcW w:w="720" w:type="dxa"/>
            <w:vAlign w:val="bottom"/>
          </w:tcPr>
          <w:p>
            <w:pPr>
              <w:ind w:left="40"/>
              <w:spacing w:after="0"/>
              <w:rPr>
                <w:sz w:val="20"/>
                <w:szCs w:val="20"/>
                <w:color w:val="auto"/>
              </w:rPr>
            </w:pPr>
            <w:r>
              <w:rPr>
                <w:rFonts w:ascii="Arial" w:cs="Arial" w:eastAsia="Arial" w:hAnsi="Arial"/>
                <w:sz w:val="18"/>
                <w:szCs w:val="18"/>
                <w:color w:val="auto"/>
              </w:rPr>
              <w:t>ASTE</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Insteel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IIIN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FLOW,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FLOW</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Atlas Air Worldwide Holdings, Inc.</w:t>
            </w:r>
          </w:p>
        </w:tc>
        <w:tc>
          <w:tcPr>
            <w:tcW w:w="720" w:type="dxa"/>
            <w:vAlign w:val="bottom"/>
          </w:tcPr>
          <w:p>
            <w:pPr>
              <w:ind w:left="40"/>
              <w:spacing w:after="0"/>
              <w:rPr>
                <w:sz w:val="20"/>
                <w:szCs w:val="20"/>
                <w:color w:val="auto"/>
              </w:rPr>
            </w:pPr>
            <w:r>
              <w:rPr>
                <w:rFonts w:ascii="Arial" w:cs="Arial" w:eastAsia="Arial" w:hAnsi="Arial"/>
                <w:sz w:val="18"/>
                <w:szCs w:val="18"/>
                <w:color w:val="auto"/>
              </w:rPr>
              <w:t>AAWW</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Interface,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TILE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Standex International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SXI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Axon Enterprise, Inc.</w:t>
            </w:r>
          </w:p>
        </w:tc>
        <w:tc>
          <w:tcPr>
            <w:tcW w:w="720" w:type="dxa"/>
            <w:vAlign w:val="bottom"/>
          </w:tcPr>
          <w:p>
            <w:pPr>
              <w:ind w:left="40"/>
              <w:spacing w:after="0"/>
              <w:rPr>
                <w:sz w:val="20"/>
                <w:szCs w:val="20"/>
                <w:color w:val="auto"/>
              </w:rPr>
            </w:pPr>
            <w:r>
              <w:rPr>
                <w:rFonts w:ascii="Arial" w:cs="Arial" w:eastAsia="Arial" w:hAnsi="Arial"/>
                <w:sz w:val="18"/>
                <w:szCs w:val="18"/>
                <w:color w:val="auto"/>
              </w:rPr>
              <w:t>AAXN</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John Bean Technologies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JBT</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Team,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TISI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AZZ Inc.</w:t>
            </w:r>
          </w:p>
        </w:tc>
        <w:tc>
          <w:tcPr>
            <w:tcW w:w="720" w:type="dxa"/>
            <w:vAlign w:val="bottom"/>
          </w:tcPr>
          <w:p>
            <w:pPr>
              <w:ind w:left="40"/>
              <w:spacing w:after="0"/>
              <w:rPr>
                <w:sz w:val="20"/>
                <w:szCs w:val="20"/>
                <w:color w:val="auto"/>
              </w:rPr>
            </w:pPr>
            <w:r>
              <w:rPr>
                <w:rFonts w:ascii="Arial" w:cs="Arial" w:eastAsia="Arial" w:hAnsi="Arial"/>
                <w:sz w:val="18"/>
                <w:szCs w:val="18"/>
                <w:color w:val="auto"/>
              </w:rPr>
              <w:t>AZZ</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Kaman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KAMN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Tennant Company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TNC</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Barnes Group Inc.</w:t>
            </w:r>
          </w:p>
        </w:tc>
        <w:tc>
          <w:tcPr>
            <w:tcW w:w="720" w:type="dxa"/>
            <w:vAlign w:val="bottom"/>
          </w:tcPr>
          <w:p>
            <w:pPr>
              <w:ind w:left="40"/>
              <w:spacing w:after="0"/>
              <w:rPr>
                <w:sz w:val="20"/>
                <w:szCs w:val="20"/>
                <w:color w:val="auto"/>
              </w:rPr>
            </w:pPr>
            <w:r>
              <w:rPr>
                <w:rFonts w:ascii="Arial" w:cs="Arial" w:eastAsia="Arial" w:hAnsi="Arial"/>
                <w:sz w:val="18"/>
                <w:szCs w:val="18"/>
                <w:color w:val="auto"/>
              </w:rPr>
              <w:t>B</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Kelly Services,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KELY.A</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Tetra Tech,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TTEK</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Brady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BRC</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Korn/Ferry International</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KFY</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Greenbrier Companies,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GBX</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Briggs &amp; Stratton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BGG</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Lindsay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LNN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Titan International,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TWI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Chart Industries, Inc.</w:t>
            </w:r>
          </w:p>
        </w:tc>
        <w:tc>
          <w:tcPr>
            <w:tcW w:w="720" w:type="dxa"/>
            <w:vAlign w:val="bottom"/>
          </w:tcPr>
          <w:p>
            <w:pPr>
              <w:ind w:left="40"/>
              <w:spacing w:after="0"/>
              <w:rPr>
                <w:sz w:val="20"/>
                <w:szCs w:val="20"/>
                <w:color w:val="auto"/>
              </w:rPr>
            </w:pPr>
            <w:r>
              <w:rPr>
                <w:rFonts w:ascii="Arial" w:cs="Arial" w:eastAsia="Arial" w:hAnsi="Arial"/>
                <w:sz w:val="18"/>
                <w:szCs w:val="18"/>
                <w:color w:val="auto"/>
              </w:rPr>
              <w:t>GTLS</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LSC Communications,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LKSD</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Trex Company,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TREX</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CIRCOR International, Inc.</w:t>
            </w:r>
          </w:p>
        </w:tc>
        <w:tc>
          <w:tcPr>
            <w:tcW w:w="720" w:type="dxa"/>
            <w:vAlign w:val="bottom"/>
          </w:tcPr>
          <w:p>
            <w:pPr>
              <w:ind w:left="40"/>
              <w:spacing w:after="0"/>
              <w:rPr>
                <w:sz w:val="20"/>
                <w:szCs w:val="20"/>
                <w:color w:val="auto"/>
              </w:rPr>
            </w:pPr>
            <w:r>
              <w:rPr>
                <w:rFonts w:ascii="Arial" w:cs="Arial" w:eastAsia="Arial" w:hAnsi="Arial"/>
                <w:sz w:val="18"/>
                <w:szCs w:val="18"/>
                <w:color w:val="auto"/>
              </w:rPr>
              <w:t>CIR</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Lydall,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LDL</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Triumph Group,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TGI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Comfort Systems USA, Inc.</w:t>
            </w:r>
          </w:p>
        </w:tc>
        <w:tc>
          <w:tcPr>
            <w:tcW w:w="720" w:type="dxa"/>
            <w:vAlign w:val="bottom"/>
          </w:tcPr>
          <w:p>
            <w:pPr>
              <w:ind w:left="40"/>
              <w:spacing w:after="0"/>
              <w:rPr>
                <w:sz w:val="20"/>
                <w:szCs w:val="20"/>
                <w:color w:val="auto"/>
              </w:rPr>
            </w:pPr>
            <w:r>
              <w:rPr>
                <w:rFonts w:ascii="Arial" w:cs="Arial" w:eastAsia="Arial" w:hAnsi="Arial"/>
                <w:sz w:val="18"/>
                <w:szCs w:val="18"/>
                <w:color w:val="auto"/>
              </w:rPr>
              <w:t>FIX</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Marten Transport, Ltd.</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MRTN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TrueBlue,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TBI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Cubic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CUB</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Matson,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MATX</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UniFirst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UNF</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DXP Enterprises, Inc.</w:t>
            </w:r>
          </w:p>
        </w:tc>
        <w:tc>
          <w:tcPr>
            <w:tcW w:w="720" w:type="dxa"/>
            <w:vAlign w:val="bottom"/>
          </w:tcPr>
          <w:p>
            <w:pPr>
              <w:ind w:left="40"/>
              <w:spacing w:after="0"/>
              <w:rPr>
                <w:sz w:val="20"/>
                <w:szCs w:val="20"/>
                <w:color w:val="auto"/>
              </w:rPr>
            </w:pPr>
            <w:r>
              <w:rPr>
                <w:rFonts w:ascii="Arial" w:cs="Arial" w:eastAsia="Arial" w:hAnsi="Arial"/>
                <w:sz w:val="18"/>
                <w:szCs w:val="18"/>
                <w:color w:val="auto"/>
              </w:rPr>
              <w:t>DXPE</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Matthews International Corp</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MATW</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Universal Forest Products,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UFPI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Echo Global Logistics, Inc.</w:t>
            </w:r>
          </w:p>
        </w:tc>
        <w:tc>
          <w:tcPr>
            <w:tcW w:w="720" w:type="dxa"/>
            <w:vAlign w:val="bottom"/>
          </w:tcPr>
          <w:p>
            <w:pPr>
              <w:ind w:left="40"/>
              <w:spacing w:after="0"/>
              <w:rPr>
                <w:sz w:val="20"/>
                <w:szCs w:val="20"/>
                <w:color w:val="auto"/>
              </w:rPr>
            </w:pPr>
            <w:r>
              <w:rPr>
                <w:rFonts w:ascii="Arial" w:cs="Arial" w:eastAsia="Arial" w:hAnsi="Arial"/>
                <w:sz w:val="18"/>
                <w:szCs w:val="18"/>
                <w:color w:val="auto"/>
              </w:rPr>
              <w:t>ECHO</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Mercury Systems,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MRCY</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Ecology,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ECOL</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Encore Wire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WIRE</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Mobile Mini,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Veritiv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VRTV</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Engility Holdings, Inc.</w:t>
            </w:r>
          </w:p>
        </w:tc>
        <w:tc>
          <w:tcPr>
            <w:tcW w:w="720" w:type="dxa"/>
            <w:vAlign w:val="bottom"/>
          </w:tcPr>
          <w:p>
            <w:pPr>
              <w:ind w:left="40"/>
              <w:spacing w:after="0"/>
              <w:rPr>
                <w:sz w:val="20"/>
                <w:szCs w:val="20"/>
                <w:color w:val="auto"/>
              </w:rPr>
            </w:pPr>
            <w:r>
              <w:rPr>
                <w:rFonts w:ascii="Arial" w:cs="Arial" w:eastAsia="Arial" w:hAnsi="Arial"/>
                <w:sz w:val="18"/>
                <w:szCs w:val="18"/>
                <w:color w:val="auto"/>
              </w:rPr>
              <w:t>EGL</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Moog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MOG.A</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Viad Corp</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VVI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EnPro Industries, Inc.</w:t>
            </w:r>
          </w:p>
        </w:tc>
        <w:tc>
          <w:tcPr>
            <w:tcW w:w="720" w:type="dxa"/>
            <w:vAlign w:val="bottom"/>
          </w:tcPr>
          <w:p>
            <w:pPr>
              <w:ind w:left="40"/>
              <w:spacing w:after="0"/>
              <w:rPr>
                <w:sz w:val="20"/>
                <w:szCs w:val="20"/>
                <w:color w:val="auto"/>
              </w:rPr>
            </w:pPr>
            <w:r>
              <w:rPr>
                <w:rFonts w:ascii="Arial" w:cs="Arial" w:eastAsia="Arial" w:hAnsi="Arial"/>
                <w:sz w:val="18"/>
                <w:szCs w:val="18"/>
                <w:color w:val="auto"/>
              </w:rPr>
              <w:t>NPO</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Mueller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MLI</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Vicor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VICR</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ESCO Technologies Inc.</w:t>
            </w:r>
          </w:p>
        </w:tc>
        <w:tc>
          <w:tcPr>
            <w:tcW w:w="720" w:type="dxa"/>
            <w:vAlign w:val="bottom"/>
          </w:tcPr>
          <w:p>
            <w:pPr>
              <w:ind w:left="40"/>
              <w:spacing w:after="0"/>
              <w:rPr>
                <w:sz w:val="20"/>
                <w:szCs w:val="20"/>
                <w:color w:val="auto"/>
              </w:rPr>
            </w:pPr>
            <w:r>
              <w:rPr>
                <w:rFonts w:ascii="Arial" w:cs="Arial" w:eastAsia="Arial" w:hAnsi="Arial"/>
                <w:sz w:val="18"/>
                <w:szCs w:val="18"/>
                <w:color w:val="auto"/>
              </w:rPr>
              <w:t>ESE</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Multi-Color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LABL</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Wabash National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WNC</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Essendant Inc.</w:t>
            </w:r>
          </w:p>
        </w:tc>
        <w:tc>
          <w:tcPr>
            <w:tcW w:w="720" w:type="dxa"/>
            <w:vAlign w:val="bottom"/>
          </w:tcPr>
          <w:p>
            <w:pPr>
              <w:ind w:left="40"/>
              <w:spacing w:after="0"/>
              <w:rPr>
                <w:sz w:val="20"/>
                <w:szCs w:val="20"/>
                <w:color w:val="auto"/>
              </w:rPr>
            </w:pPr>
            <w:r>
              <w:rPr>
                <w:rFonts w:ascii="Arial" w:cs="Arial" w:eastAsia="Arial" w:hAnsi="Arial"/>
                <w:sz w:val="18"/>
                <w:szCs w:val="18"/>
                <w:color w:val="auto"/>
              </w:rPr>
              <w:t>ESND</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MYR Group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MYRG</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WageWorks,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WAGE</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Exponent, Inc.</w:t>
            </w:r>
          </w:p>
        </w:tc>
        <w:tc>
          <w:tcPr>
            <w:tcW w:w="720" w:type="dxa"/>
            <w:vAlign w:val="bottom"/>
          </w:tcPr>
          <w:p>
            <w:pPr>
              <w:ind w:left="40"/>
              <w:spacing w:after="0"/>
              <w:rPr>
                <w:sz w:val="20"/>
                <w:szCs w:val="20"/>
                <w:color w:val="auto"/>
              </w:rPr>
            </w:pPr>
            <w:r>
              <w:rPr>
                <w:rFonts w:ascii="Arial" w:cs="Arial" w:eastAsia="Arial" w:hAnsi="Arial"/>
                <w:sz w:val="18"/>
                <w:szCs w:val="18"/>
                <w:color w:val="auto"/>
              </w:rPr>
              <w:t>EXPO</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National Presto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NPK</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Watts Water Technologies,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WTS</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Federal Signal Corporation</w:t>
            </w:r>
          </w:p>
        </w:tc>
        <w:tc>
          <w:tcPr>
            <w:tcW w:w="720" w:type="dxa"/>
            <w:vAlign w:val="bottom"/>
          </w:tcPr>
          <w:p>
            <w:pPr>
              <w:ind w:left="40"/>
              <w:spacing w:after="0"/>
              <w:rPr>
                <w:sz w:val="20"/>
                <w:szCs w:val="20"/>
                <w:color w:val="auto"/>
              </w:rPr>
            </w:pPr>
            <w:r>
              <w:rPr>
                <w:rFonts w:ascii="Arial" w:cs="Arial" w:eastAsia="Arial" w:hAnsi="Arial"/>
                <w:sz w:val="18"/>
                <w:szCs w:val="18"/>
                <w:color w:val="auto"/>
              </w:rPr>
              <w:t>FSS</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Navigant Consulting,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NCI</w:t>
            </w:r>
          </w:p>
        </w:tc>
        <w:tc>
          <w:tcPr>
            <w:tcW w:w="28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Forrester Research, Inc.</w:t>
            </w:r>
          </w:p>
        </w:tc>
        <w:tc>
          <w:tcPr>
            <w:tcW w:w="720" w:type="dxa"/>
            <w:vAlign w:val="bottom"/>
          </w:tcPr>
          <w:p>
            <w:pPr>
              <w:ind w:left="40"/>
              <w:spacing w:after="0"/>
              <w:rPr>
                <w:sz w:val="20"/>
                <w:szCs w:val="20"/>
                <w:color w:val="auto"/>
              </w:rPr>
            </w:pPr>
            <w:r>
              <w:rPr>
                <w:rFonts w:ascii="Arial" w:cs="Arial" w:eastAsia="Arial" w:hAnsi="Arial"/>
                <w:sz w:val="18"/>
                <w:szCs w:val="18"/>
                <w:color w:val="auto"/>
              </w:rPr>
              <w:t>FORR</w:t>
            </w:r>
          </w:p>
        </w:tc>
        <w:tc>
          <w:tcPr>
            <w:tcW w:w="2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On Assignment,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ASGN</w:t>
            </w:r>
          </w:p>
        </w:tc>
        <w:tc>
          <w:tcPr>
            <w:tcW w:w="28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-7074535</wp:posOffset>
            </wp:positionV>
            <wp:extent cx="2714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27146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40"/>
          </w:cols>
          <w:pgMar w:left="240" w:top="585"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4" w:lineRule="exact"/>
        <w:rPr>
          <w:sz w:val="20"/>
          <w:szCs w:val="20"/>
          <w:color w:val="auto"/>
        </w:rPr>
      </w:pPr>
    </w:p>
    <w:p>
      <w:pPr>
        <w:ind w:left="1300" w:right="20" w:hanging="644"/>
        <w:spacing w:after="0" w:line="26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8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The Disability of Grantee and the date on which Grantee ceases to be a Service Provider by reason of Disability shall be determined by the Committee, in accordance with uniform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585" w:right="239" w:bottom="1440" w:gutter="0" w:footer="0" w:header="0"/>
        </w:sectPr>
      </w:pPr>
    </w:p>
    <w:bookmarkStart w:id="57" w:name="page58"/>
    <w:bookmarkEnd w:id="57"/>
    <w:p>
      <w:pPr>
        <w:jc w:val="both"/>
        <w:ind w:left="660"/>
        <w:spacing w:after="0" w:line="288" w:lineRule="auto"/>
        <w:rPr>
          <w:sz w:val="20"/>
          <w:szCs w:val="20"/>
          <w:color w:val="auto"/>
        </w:rPr>
      </w:pPr>
      <w:r>
        <w:rPr>
          <w:rFonts w:ascii="Arial" w:cs="Arial" w:eastAsia="Arial" w:hAnsi="Arial"/>
          <w:sz w:val="19"/>
          <w:szCs w:val="19"/>
          <w:color w:val="auto"/>
        </w:rPr>
        <w:t>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at the time of such termination.</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(a)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68" w:lineRule="exact"/>
        <w:rPr>
          <w:sz w:val="20"/>
          <w:szCs w:val="20"/>
          <w:color w:val="auto"/>
        </w:rPr>
      </w:pPr>
    </w:p>
    <w:p>
      <w:pPr>
        <w:ind w:left="1040" w:hanging="384"/>
        <w:spacing w:after="0"/>
        <w:tabs>
          <w:tab w:leader="none" w:pos="10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death;</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Cause; or</w:t>
      </w:r>
    </w:p>
    <w:p>
      <w:pPr>
        <w:spacing w:after="0" w:line="23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by Grantee without Good Reason.</w:t>
      </w: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termination of Grantee’s status as a Service Provider with the consent of the Committee after attaining age 55 and five years of service with the Company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means an individual actively providing services to the Company or a Subsidiary.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59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APPENDIX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NON-U.S. ADDENDUM</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Additional Terms and Conditions for Equity Grants Under the TriMas Corporation 2017 Equity and Incentive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Plan, as amended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performance-based Restricted Stock Units (“</w:t>
      </w:r>
      <w:r>
        <w:rPr>
          <w:rFonts w:ascii="Arial" w:cs="Arial" w:eastAsia="Arial" w:hAnsi="Arial"/>
          <w:sz w:val="21"/>
          <w:szCs w:val="21"/>
          <w:u w:val="single" w:color="auto"/>
          <w:color w:val="auto"/>
        </w:rPr>
        <w:t>PSUs</w:t>
      </w:r>
      <w:r>
        <w:rPr>
          <w:rFonts w:ascii="Arial" w:cs="Arial" w:eastAsia="Arial" w:hAnsi="Arial"/>
          <w:sz w:val="21"/>
          <w:szCs w:val="21"/>
          <w:color w:val="auto"/>
        </w:rPr>
        <w:t>”) granted to you under the TriMas Corporation 2017 Equity and Incentive Compensation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Below please find country specific language that applies to Grantees in the following countries: the United Kingdom.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purposes of the Agreement and notwithstanding the definition of “Retirement” in Appendix B hereto,</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shall mean the termination of Grantee’s services with the Company or a Subsidiary in circumstances determined by the Committee (in its reasonable discretion, provided that, for the avoidance of doubt, the Committee shall not be obliged to exercise its discretion in favor of the Grantee) to be retirement.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 (including earning, vesting, payment, and forfeitability) as apply to the PSUs based on which the dividend equivalents were notionally credited, and such amounts shall be paid in either cash or Common Stock, as determined by the Committee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585" w:right="239" w:bottom="1440" w:gutter="0" w:footer="0" w:header="0"/>
        </w:sectPr>
      </w:pPr>
    </w:p>
    <w:bookmarkStart w:id="59" w:name="page60"/>
    <w:bookmarkEnd w:id="59"/>
    <w:p>
      <w:pPr>
        <w:jc w:val="both"/>
        <w:ind w:left="660"/>
        <w:spacing w:after="0" w:line="294" w:lineRule="auto"/>
        <w:rPr>
          <w:sz w:val="20"/>
          <w:szCs w:val="20"/>
          <w:color w:val="auto"/>
        </w:rPr>
      </w:pPr>
      <w:r>
        <w:rPr>
          <w:rFonts w:ascii="Arial" w:cs="Arial" w:eastAsia="Arial" w:hAnsi="Arial"/>
          <w:sz w:val="19"/>
          <w:szCs w:val="19"/>
          <w:color w:val="auto"/>
        </w:rPr>
        <w:t>in its sole discretion, at the same time as the PSUs to which they relate. If such amounts are paid in Common Stock,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2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“Except as described below, this Award and the PSUs subject to this Award may not be sold, pledged, assigned, hypothecated, transferred, or disposed of in any manner other than by will or by the laws of descent or distribution and this Award shall lapse and any unvested PSUs subject to this Award shall be forfeited if a bankruptcy order is made in respect of Grantee.”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Company, Grantee’s employer or any other person in respect of:</w:t>
      </w:r>
    </w:p>
    <w:p>
      <w:pPr>
        <w:spacing w:after="0" w:line="220" w:lineRule="exact"/>
        <w:rPr>
          <w:sz w:val="20"/>
          <w:szCs w:val="20"/>
          <w:color w:val="auto"/>
        </w:rPr>
      </w:pPr>
    </w:p>
    <w:p>
      <w:pPr>
        <w:jc w:val="both"/>
        <w:ind w:left="1960" w:hanging="655"/>
        <w:spacing w:after="0" w:line="250" w:lineRule="auto"/>
        <w:tabs>
          <w:tab w:leader="none" w:pos="19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18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591" w:right="239" w:bottom="1440" w:gutter="0" w:footer="0" w:header="0"/>
        </w:sectPr>
      </w:pPr>
    </w:p>
    <w:bookmarkStart w:id="60" w:name="page61"/>
    <w:bookmarkEnd w:id="60"/>
    <w:p>
      <w:pPr>
        <w:jc w:val="both"/>
        <w:ind w:left="660"/>
        <w:spacing w:after="0" w:line="292" w:lineRule="auto"/>
        <w:rPr>
          <w:sz w:val="20"/>
          <w:szCs w:val="20"/>
          <w:color w:val="auto"/>
        </w:rPr>
      </w:pPr>
      <w:r>
        <w:rPr>
          <w:rFonts w:ascii="Arial" w:cs="Arial" w:eastAsia="Arial" w:hAnsi="Arial"/>
          <w:sz w:val="19"/>
          <w:szCs w:val="19"/>
          <w:color w:val="auto"/>
        </w:rPr>
        <w:t>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II.B.15 of the Agreement shall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II.B.16 is added to the Agreement to read as follows:</w:t>
      </w:r>
    </w:p>
    <w:p>
      <w:pPr>
        <w:spacing w:after="0" w:line="226"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controller in relation to such personal data.</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Categories of Personal Data</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name;</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date of birth;</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job title;</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home address (and, if different, mailing address) and postal code;</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telephone number;</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social insurance, national insurance, US taxpayer and/or foreign tax identification number;</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salary;</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country of citizenship and nationality;</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Common Stock or directorships held in the any of the Relevant TriMas Companies;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591" w:right="239" w:bottom="1440" w:gutter="0" w:footer="0" w:header="0"/>
        </w:sectPr>
      </w:pPr>
    </w:p>
    <w:bookmarkStart w:id="61" w:name="page62"/>
    <w:bookmarkEnd w:id="61"/>
    <w:p>
      <w:pPr>
        <w:ind w:left="760" w:hanging="331"/>
        <w:spacing w:after="0" w:line="263" w:lineRule="auto"/>
        <w:tabs>
          <w:tab w:leader="none" w:pos="7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details of all awards or any other entitlement to Common Stock awarded, cancelled, exercised, vested, unvested or outstanding in Grantee’s favour; and</w:t>
      </w:r>
    </w:p>
    <w:p>
      <w:pPr>
        <w:spacing w:after="0" w:line="174"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reference number (where relevant to link the Grantee’s benefits under the Plan to other documentation issued to or from the US Department of the Treasury Internal Revenue Service).</w:t>
      </w:r>
    </w:p>
    <w:p>
      <w:pPr>
        <w:spacing w:after="0" w:line="175" w:lineRule="exact"/>
        <w:rPr>
          <w:sz w:val="20"/>
          <w:szCs w:val="20"/>
          <w:color w:val="auto"/>
        </w:rPr>
      </w:pPr>
    </w:p>
    <w:p>
      <w:pPr>
        <w:ind w:left="100"/>
        <w:spacing w:after="0" w:line="263" w:lineRule="auto"/>
        <w:rPr>
          <w:sz w:val="20"/>
          <w:szCs w:val="20"/>
          <w:color w:val="auto"/>
        </w:rPr>
      </w:pPr>
      <w:r>
        <w:rPr>
          <w:rFonts w:ascii="Arial" w:cs="Arial" w:eastAsia="Arial" w:hAnsi="Arial"/>
          <w:sz w:val="22"/>
          <w:szCs w:val="22"/>
          <w:color w:val="auto"/>
        </w:rPr>
        <w:t>The processing of the personal data set out above is mandatory in order for the Relevant TriMas Companies to provide and administer the Plan.</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Purposes of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process the Grantee’s personal data for the purposes of:</w:t>
      </w:r>
    </w:p>
    <w:p>
      <w:pPr>
        <w:spacing w:after="0" w:line="220" w:lineRule="exact"/>
        <w:rPr>
          <w:sz w:val="20"/>
          <w:szCs w:val="20"/>
          <w:color w:val="auto"/>
        </w:rPr>
      </w:pPr>
    </w:p>
    <w:p>
      <w:pPr>
        <w:ind w:left="760" w:hanging="331"/>
        <w:spacing w:after="0" w:line="263" w:lineRule="auto"/>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administering and maintaining the Plan relating to the Grantee and records associated with the Plan (including maintaining a database of Participants in the Plan);</w:t>
      </w:r>
    </w:p>
    <w:p>
      <w:pPr>
        <w:spacing w:after="0" w:line="174"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85"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 in the United Kingdom as required by law;</w:t>
      </w:r>
    </w:p>
    <w:p>
      <w:pPr>
        <w:spacing w:after="0" w:line="174"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5" w:lineRule="exact"/>
        <w:rPr>
          <w:rFonts w:ascii="Arial" w:cs="Arial" w:eastAsia="Arial" w:hAnsi="Arial"/>
          <w:sz w:val="22"/>
          <w:szCs w:val="22"/>
          <w:color w:val="auto"/>
        </w:rPr>
      </w:pPr>
    </w:p>
    <w:p>
      <w:pPr>
        <w:ind w:left="760" w:hanging="331"/>
        <w:spacing w:after="0"/>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obtaining legal and other professional advice; and</w:t>
      </w:r>
    </w:p>
    <w:p>
      <w:pPr>
        <w:spacing w:after="0" w:line="219" w:lineRule="exact"/>
        <w:rPr>
          <w:rFonts w:ascii="Arial" w:cs="Arial" w:eastAsia="Arial" w:hAnsi="Arial"/>
          <w:sz w:val="22"/>
          <w:szCs w:val="22"/>
          <w:color w:val="auto"/>
        </w:rPr>
      </w:pPr>
    </w:p>
    <w:p>
      <w:pPr>
        <w:ind w:left="760" w:hanging="331"/>
        <w:spacing w:after="0"/>
        <w:tabs>
          <w:tab w:leader="none" w:pos="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establishing, exercising or defending legal rights.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Legal Basis for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processing of the Grantee’s personal data:</w:t>
      </w:r>
    </w:p>
    <w:p>
      <w:pPr>
        <w:spacing w:after="0" w:line="220" w:lineRule="exact"/>
        <w:rPr>
          <w:sz w:val="20"/>
          <w:szCs w:val="20"/>
          <w:color w:val="auto"/>
        </w:rPr>
      </w:pPr>
    </w:p>
    <w:p>
      <w:pPr>
        <w:jc w:val="both"/>
        <w:ind w:left="760" w:hanging="331"/>
        <w:spacing w:after="0" w:line="271" w:lineRule="auto"/>
        <w:tabs>
          <w:tab w:leader="none" w:pos="7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200" w:lineRule="exact"/>
        <w:rPr>
          <w:sz w:val="20"/>
          <w:szCs w:val="20"/>
          <w:color w:val="auto"/>
        </w:rPr>
      </w:pPr>
    </w:p>
    <w:p>
      <w:pPr>
        <w:spacing w:after="0" w:line="21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0220"/>
          </w:cols>
          <w:pgMar w:left="1440" w:top="591" w:right="239" w:bottom="1440" w:gutter="0" w:footer="0" w:header="0"/>
        </w:sectPr>
      </w:pPr>
    </w:p>
    <w:bookmarkStart w:id="62" w:name="page63"/>
    <w:bookmarkEnd w:id="62"/>
    <w:p>
      <w:pPr>
        <w:jc w:val="both"/>
        <w:ind w:left="760" w:hanging="331"/>
        <w:spacing w:after="0" w:line="250" w:lineRule="auto"/>
        <w:tabs>
          <w:tab w:leader="none" w:pos="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88" w:lineRule="exact"/>
        <w:rPr>
          <w:rFonts w:ascii="Arial" w:cs="Arial" w:eastAsia="Arial" w:hAnsi="Arial"/>
          <w:sz w:val="22"/>
          <w:szCs w:val="22"/>
          <w:color w:val="auto"/>
        </w:rPr>
      </w:pPr>
    </w:p>
    <w:p>
      <w:pPr>
        <w:ind w:left="760" w:right="20" w:hanging="331"/>
        <w:spacing w:after="0" w:line="263" w:lineRule="auto"/>
        <w:tabs>
          <w:tab w:leader="none" w:pos="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respect of all other personal data set out above, is necessary for the performance of the Performance Stock Units Agreement between the Grantee and TriMas Corporation.</w:t>
      </w:r>
    </w:p>
    <w:p>
      <w:pPr>
        <w:spacing w:after="0" w:line="175"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Relevant TriMas Companies will also process the Grantee’s personal data as necessary to comply with any legal obligations to which the Relevant TriMas Companies are subject.</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Sharing Personal Data with Third Parties</w:t>
      </w:r>
    </w:p>
    <w:p>
      <w:pPr>
        <w:spacing w:after="0" w:line="226"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5"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0" w:lineRule="exact"/>
        <w:rPr>
          <w:sz w:val="20"/>
          <w:szCs w:val="20"/>
          <w:color w:val="auto"/>
        </w:rPr>
      </w:pPr>
    </w:p>
    <w:p>
      <w:pPr>
        <w:jc w:val="both"/>
        <w:ind w:left="100"/>
        <w:spacing w:after="0" w:line="290" w:lineRule="auto"/>
        <w:rPr>
          <w:sz w:val="20"/>
          <w:szCs w:val="20"/>
          <w:color w:val="auto"/>
        </w:rPr>
      </w:pPr>
      <w:r>
        <w:rPr>
          <w:rFonts w:ascii="Arial" w:cs="Arial" w:eastAsia="Arial" w:hAnsi="Arial"/>
          <w:sz w:val="19"/>
          <w:szCs w:val="19"/>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1-800-844-9354 (Domestic) or 1-800-544-0275 (International), and (3) by logging into Grantee’s Fidelity account at </w:t>
      </w:r>
      <w:r>
        <w:rPr>
          <w:rFonts w:ascii="Arial" w:cs="Arial" w:eastAsia="Arial" w:hAnsi="Arial"/>
          <w:sz w:val="19"/>
          <w:szCs w:val="19"/>
          <w:u w:val="single" w:color="auto"/>
          <w:color w:val="0000FF"/>
        </w:rPr>
        <w:t>www.netbenefits.fidelity.com</w:t>
      </w:r>
      <w:r>
        <w:rPr>
          <w:rFonts w:ascii="Arial" w:cs="Arial" w:eastAsia="Arial" w:hAnsi="Arial"/>
          <w:sz w:val="19"/>
          <w:szCs w:val="19"/>
          <w:color w:val="auto"/>
        </w:rPr>
        <w:t xml:space="preserve"> and visiting the Plan &amp; Grant Documents section of the Grantee’s account.</w:t>
      </w:r>
    </w:p>
    <w:p>
      <w:pPr>
        <w:spacing w:after="0" w:line="157"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0220"/>
          </w:cols>
          <w:pgMar w:left="1440" w:top="591" w:right="239" w:bottom="1440" w:gutter="0" w:footer="0" w:header="0"/>
        </w:sectPr>
      </w:pPr>
    </w:p>
    <w:bookmarkStart w:id="63" w:name="page64"/>
    <w:bookmarkEnd w:id="63"/>
    <w:p>
      <w:pPr>
        <w:ind w:left="760" w:hanging="331"/>
        <w:spacing w:after="0"/>
        <w:tabs>
          <w:tab w:leader="none" w:pos="76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enabling potential purchasers to complete due diligence on, and value, the business and/or assets;</w:t>
      </w:r>
    </w:p>
    <w:p>
      <w:pPr>
        <w:spacing w:after="0" w:line="231" w:lineRule="exact"/>
        <w:rPr>
          <w:rFonts w:ascii="Arial" w:cs="Arial" w:eastAsia="Arial" w:hAnsi="Arial"/>
          <w:sz w:val="21"/>
          <w:szCs w:val="21"/>
          <w:color w:val="auto"/>
        </w:rPr>
      </w:pPr>
    </w:p>
    <w:p>
      <w:pPr>
        <w:ind w:left="760" w:hanging="331"/>
        <w:spacing w:after="0" w:line="263" w:lineRule="auto"/>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transferring the personal data in connection with any relevant sale and the transfer of the Relevant TriMas Company’s contractual rights and/or obligations; and</w:t>
      </w:r>
    </w:p>
    <w:p>
      <w:pPr>
        <w:spacing w:after="0" w:line="174" w:lineRule="exact"/>
        <w:rPr>
          <w:rFonts w:ascii="Arial" w:cs="Arial" w:eastAsia="Arial" w:hAnsi="Arial"/>
          <w:sz w:val="22"/>
          <w:szCs w:val="22"/>
          <w:color w:val="auto"/>
        </w:rPr>
      </w:pPr>
    </w:p>
    <w:p>
      <w:pPr>
        <w:ind w:left="760" w:hanging="331"/>
        <w:spacing w:after="0"/>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use of such personal data by a purchaser for the operation of its business.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also share the Grantee’s personal data with:</w:t>
      </w:r>
    </w:p>
    <w:p>
      <w:pPr>
        <w:spacing w:after="0" w:line="220" w:lineRule="exact"/>
        <w:rPr>
          <w:sz w:val="20"/>
          <w:szCs w:val="20"/>
          <w:color w:val="auto"/>
        </w:rPr>
      </w:pPr>
    </w:p>
    <w:p>
      <w:pPr>
        <w:ind w:left="760" w:hanging="331"/>
        <w:spacing w:after="0"/>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its professional advisors, auditors, service providers;</w:t>
      </w:r>
    </w:p>
    <w:p>
      <w:pPr>
        <w:spacing w:after="0" w:line="219"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5" w:lineRule="exact"/>
        <w:rPr>
          <w:rFonts w:ascii="Arial" w:cs="Arial" w:eastAsia="Arial" w:hAnsi="Arial"/>
          <w:sz w:val="22"/>
          <w:szCs w:val="22"/>
          <w:color w:val="auto"/>
        </w:rPr>
      </w:pPr>
    </w:p>
    <w:p>
      <w:pPr>
        <w:jc w:val="both"/>
        <w:ind w:left="760" w:hanging="331"/>
        <w:spacing w:after="0" w:line="312" w:lineRule="auto"/>
        <w:tabs>
          <w:tab w:leader="none" w:pos="7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Retention of Personal Data</w:t>
      </w:r>
    </w:p>
    <w:p>
      <w:pPr>
        <w:spacing w:after="0" w:line="226"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The Relevant TriMas Companies will retain the Grantee’s personal data for the duration of the Plan and for a further period of eight years after the Grantee ceases to be a member of the Plan.</w:t>
      </w:r>
    </w:p>
    <w:p>
      <w:pPr>
        <w:spacing w:after="0" w:line="17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The Grantee’s Rights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In order to control the use of their personal data, each Grantee has the following controls over their personal data:</w:t>
      </w:r>
    </w:p>
    <w:p>
      <w:pPr>
        <w:spacing w:after="0" w:line="254" w:lineRule="exact"/>
        <w:rPr>
          <w:sz w:val="20"/>
          <w:szCs w:val="20"/>
          <w:color w:val="auto"/>
        </w:rPr>
      </w:pPr>
    </w:p>
    <w:p>
      <w:pPr>
        <w:ind w:left="760" w:hanging="331"/>
        <w:spacing w:after="0" w:line="263" w:lineRule="auto"/>
        <w:tabs>
          <w:tab w:leader="none" w:pos="7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Each Grantee may request access to or copies of the personal data that the Relevant TriMas Companies hold about them by contacting their local human resources representative;</w:t>
      </w:r>
    </w:p>
    <w:p>
      <w:pPr>
        <w:spacing w:after="0" w:line="174" w:lineRule="exact"/>
        <w:rPr>
          <w:rFonts w:ascii="Arial" w:cs="Arial" w:eastAsia="Arial" w:hAnsi="Arial"/>
          <w:sz w:val="22"/>
          <w:szCs w:val="22"/>
          <w:color w:val="auto"/>
        </w:rPr>
      </w:pPr>
    </w:p>
    <w:p>
      <w:pPr>
        <w:jc w:val="both"/>
        <w:ind w:left="760" w:hanging="331"/>
        <w:spacing w:after="0" w:line="250" w:lineRule="auto"/>
        <w:tabs>
          <w:tab w:leader="none" w:pos="7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holds is inaccurate. In certain</w:t>
      </w:r>
    </w:p>
    <w:p>
      <w:pPr>
        <w:spacing w:after="0" w:line="200" w:lineRule="exact"/>
        <w:rPr>
          <w:sz w:val="20"/>
          <w:szCs w:val="20"/>
          <w:color w:val="auto"/>
        </w:rPr>
      </w:pPr>
    </w:p>
    <w:p>
      <w:pPr>
        <w:spacing w:after="0" w:line="23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0220"/>
          </w:cols>
          <w:pgMar w:left="1440" w:top="591" w:right="239" w:bottom="1440" w:gutter="0" w:footer="0" w:header="0"/>
        </w:sectPr>
      </w:pPr>
    </w:p>
    <w:bookmarkStart w:id="64" w:name="page65"/>
    <w:bookmarkEnd w:id="64"/>
    <w:p>
      <w:pPr>
        <w:ind w:left="1960"/>
        <w:spacing w:after="0"/>
        <w:rPr>
          <w:sz w:val="20"/>
          <w:szCs w:val="20"/>
          <w:color w:val="auto"/>
        </w:rPr>
      </w:pPr>
      <w:r>
        <w:rPr>
          <w:rFonts w:ascii="Arial" w:cs="Arial" w:eastAsia="Arial" w:hAnsi="Arial"/>
          <w:sz w:val="19"/>
          <w:szCs w:val="19"/>
          <w:color w:val="auto"/>
        </w:rPr>
        <w:t>circumstances, the Grantee may also request that the Relevant TriMas Companies restrict their processing;</w:t>
      </w:r>
    </w:p>
    <w:p>
      <w:pPr>
        <w:spacing w:after="0" w:line="254" w:lineRule="exact"/>
        <w:rPr>
          <w:sz w:val="20"/>
          <w:szCs w:val="20"/>
          <w:color w:val="auto"/>
        </w:rPr>
      </w:pPr>
    </w:p>
    <w:p>
      <w:pPr>
        <w:jc w:val="both"/>
        <w:ind w:left="1960" w:hanging="331"/>
        <w:spacing w:after="0" w:line="250" w:lineRule="auto"/>
        <w:tabs>
          <w:tab w:leader="none" w:pos="1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88" w:lineRule="exact"/>
        <w:rPr>
          <w:rFonts w:ascii="Arial" w:cs="Arial" w:eastAsia="Arial" w:hAnsi="Arial"/>
          <w:sz w:val="22"/>
          <w:szCs w:val="22"/>
          <w:color w:val="auto"/>
        </w:rPr>
      </w:pPr>
    </w:p>
    <w:p>
      <w:pPr>
        <w:jc w:val="both"/>
        <w:ind w:left="1960" w:hanging="331"/>
        <w:spacing w:after="0" w:line="248" w:lineRule="auto"/>
        <w:tabs>
          <w:tab w:leader="none" w:pos="1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192" w:lineRule="exact"/>
        <w:rPr>
          <w:rFonts w:ascii="Arial" w:cs="Arial" w:eastAsia="Arial" w:hAnsi="Arial"/>
          <w:sz w:val="22"/>
          <w:szCs w:val="22"/>
          <w:color w:val="auto"/>
        </w:rPr>
      </w:pPr>
    </w:p>
    <w:p>
      <w:pPr>
        <w:jc w:val="both"/>
        <w:ind w:left="1960" w:hanging="331"/>
        <w:spacing w:after="0" w:line="250" w:lineRule="auto"/>
        <w:tabs>
          <w:tab w:leader="none" w:pos="1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88"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Arial" w:cs="Arial" w:eastAsia="Arial" w:hAnsi="Arial"/>
          <w:sz w:val="21"/>
          <w:szCs w:val="21"/>
          <w:u w:val="single" w:color="auto"/>
          <w:color w:val="0000FF"/>
        </w:rPr>
        <w:t>https://ico.org.uk/concerns/</w:t>
      </w:r>
      <w:r>
        <w:rPr>
          <w:rFonts w:ascii="Arial" w:cs="Arial" w:eastAsia="Arial" w:hAnsi="Arial"/>
          <w:sz w:val="21"/>
          <w:szCs w:val="2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II.B.17 is added to the Agreement to read as follows:</w:t>
      </w:r>
    </w:p>
    <w:p>
      <w:pPr>
        <w:spacing w:after="0" w:line="22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420"/>
          </w:cols>
          <w:pgMar w:left="240" w:top="59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meanings as defined in the Plan.</w:t>
      </w:r>
    </w:p>
    <w:p>
      <w:pPr>
        <w:spacing w:after="0" w:line="169"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AWARD</w:t>
      </w:r>
    </w:p>
    <w:p>
      <w:pPr>
        <w:sectPr>
          <w:pgSz w:w="11900" w:h="16838" w:orient="portrait"/>
          <w:cols w:equalWidth="0" w:num="1">
            <w:col w:w="11420"/>
          </w:cols>
          <w:pgMar w:left="240" w:top="625" w:right="239" w:bottom="1440" w:gutter="0" w:footer="0" w:header="0"/>
        </w:sect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[specify Grantee’s name]</w:t>
      </w:r>
    </w:p>
    <w:p>
      <w:pPr>
        <w:spacing w:after="0" w:line="73"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ind w:left="42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 of [enter date]</w:t>
      </w:r>
    </w:p>
    <w:p>
      <w:pPr>
        <w:spacing w:after="0" w:line="73"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ind w:left="42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[grant date]</w:t>
      </w:r>
    </w:p>
    <w:p>
      <w:pPr>
        <w:spacing w:after="0" w:line="73"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ind w:left="42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Restricted Stock Units]</w:t>
      </w:r>
    </w:p>
    <w:p>
      <w:pPr>
        <w:spacing w:after="0" w:line="200"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spacing w:after="0" w:line="116"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jc w:val="both"/>
        <w:ind w:firstLine="648"/>
        <w:spacing w:after="0" w:line="298"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granted to Grantee (who, pursuant to this Award is a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the number of Restricted Stock Units set forth above, subject to adjustment as provided in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42" w:lineRule="exact"/>
        <w:rPr>
          <w:rFonts w:ascii="Arial" w:cs="Arial" w:eastAsia="Arial" w:hAnsi="Arial"/>
          <w:sz w:val="22"/>
          <w:szCs w:val="22"/>
          <w:b w:val="1"/>
          <w:bCs w:val="1"/>
          <w:color w:val="auto"/>
        </w:rPr>
      </w:pPr>
    </w:p>
    <w:p>
      <w:pPr>
        <w:ind w:left="1680" w:hanging="375"/>
        <w:spacing w:after="0"/>
        <w:tabs>
          <w:tab w:leader="none" w:pos="1680" w:val="left"/>
        </w:tabs>
        <w:numPr>
          <w:ilvl w:val="2"/>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5"/>
        <w:spacing w:after="0" w:line="256" w:lineRule="auto"/>
        <w:tabs>
          <w:tab w:leader="none" w:pos="2196"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substantially equal</w:t>
      </w:r>
      <w:r>
        <w:rPr>
          <w:rFonts w:ascii="Arial" w:cs="Arial" w:eastAsia="Arial" w:hAnsi="Arial"/>
          <w:sz w:val="22"/>
          <w:szCs w:val="22"/>
          <w:b w:val="1"/>
          <w:bCs w:val="1"/>
          <w:color w:val="auto"/>
        </w:rPr>
        <w:t xml:space="preserve"> </w:t>
      </w:r>
      <w:r>
        <w:rPr>
          <w:rFonts w:ascii="Arial" w:cs="Arial" w:eastAsia="Arial" w:hAnsi="Arial"/>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420"/>
          </w:cols>
          <w:pgMar w:left="240" w:top="625" w:right="239" w:bottom="1440" w:gutter="0" w:footer="0" w:header="0"/>
          <w:type w:val="continuous"/>
        </w:sectPr>
      </w:pPr>
    </w:p>
    <w:bookmarkStart w:id="66" w:name="page67"/>
    <w:bookmarkEnd w:id="66"/>
    <w:p>
      <w:pPr>
        <w:ind w:left="1000" w:hanging="895"/>
        <w:spacing w:after="0"/>
        <w:tabs>
          <w:tab w:leader="none" w:pos="100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19" w:lineRule="exact"/>
        <w:rPr>
          <w:rFonts w:ascii="Arial" w:cs="Arial" w:eastAsia="Arial" w:hAnsi="Arial"/>
          <w:sz w:val="22"/>
          <w:szCs w:val="22"/>
          <w:color w:val="auto"/>
        </w:rPr>
      </w:pPr>
    </w:p>
    <w:p>
      <w:pPr>
        <w:jc w:val="both"/>
        <w:ind w:left="100" w:firstLine="653"/>
        <w:spacing w:after="0" w:line="259" w:lineRule="auto"/>
        <w:tabs>
          <w:tab w:leader="none" w:pos="1195" w:val="left"/>
        </w:tabs>
        <w:numPr>
          <w:ilvl w:val="1"/>
          <w:numId w:val="53"/>
        </w:numPr>
        <w:rPr>
          <w:rFonts w:ascii="Arial" w:cs="Arial" w:eastAsia="Arial" w:hAnsi="Arial"/>
          <w:sz w:val="21"/>
          <w:szCs w:val="21"/>
          <w:color w:val="auto"/>
        </w:rPr>
      </w:pPr>
      <w:r>
        <w:rPr>
          <w:rFonts w:ascii="Arial" w:cs="Arial" w:eastAsia="Arial" w:hAnsi="Arial"/>
          <w:sz w:val="21"/>
          <w:szCs w:val="21"/>
          <w:b w:val="1"/>
          <w:bCs w:val="1"/>
          <w:color w:val="auto"/>
        </w:rPr>
        <w:t>Voluntary Termination; Termination for Cause</w:t>
      </w:r>
      <w:r>
        <w:rPr>
          <w:rFonts w:ascii="Arial" w:cs="Arial" w:eastAsia="Arial" w:hAnsi="Arial"/>
          <w:sz w:val="21"/>
          <w:szCs w:val="21"/>
          <w:color w:val="auto"/>
        </w:rPr>
        <w:t>. Any unvested Restricted Stock Units subject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Award will be canceled and forfeited if Grantee voluntarily terminates as a Service Provider (other than for Good Reason as provided below), or if Grantee’s status as a Service Provider is involuntarily terminated by the Company or a Subsidiary for Cause.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0" w:lineRule="exact"/>
        <w:rPr>
          <w:rFonts w:ascii="Arial" w:cs="Arial" w:eastAsia="Arial" w:hAnsi="Arial"/>
          <w:sz w:val="21"/>
          <w:szCs w:val="21"/>
          <w:color w:val="auto"/>
        </w:rPr>
      </w:pPr>
    </w:p>
    <w:p>
      <w:pPr>
        <w:jc w:val="both"/>
        <w:ind w:left="100" w:firstLine="653"/>
        <w:spacing w:after="0" w:line="252" w:lineRule="auto"/>
        <w:tabs>
          <w:tab w:leader="none" w:pos="1282" w:val="left"/>
        </w:tabs>
        <w:numPr>
          <w:ilvl w:val="1"/>
          <w:numId w:val="53"/>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0" w:lineRule="exact"/>
        <w:rPr>
          <w:rFonts w:ascii="Arial" w:cs="Arial" w:eastAsia="Arial" w:hAnsi="Arial"/>
          <w:sz w:val="22"/>
          <w:szCs w:val="22"/>
          <w:color w:val="auto"/>
        </w:rPr>
      </w:pPr>
    </w:p>
    <w:p>
      <w:pPr>
        <w:jc w:val="both"/>
        <w:ind w:left="100" w:firstLine="653"/>
        <w:spacing w:after="0" w:line="261" w:lineRule="auto"/>
        <w:tabs>
          <w:tab w:leader="none" w:pos="1302" w:val="left"/>
        </w:tabs>
        <w:numPr>
          <w:ilvl w:val="1"/>
          <w:numId w:val="53"/>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in Control</w:t>
      </w:r>
      <w:r>
        <w:rPr>
          <w:rFonts w:ascii="Arial" w:cs="Arial" w:eastAsia="Arial" w:hAnsi="Arial"/>
          <w:sz w:val="21"/>
          <w:szCs w:val="21"/>
          <w:color w:val="auto"/>
        </w:rPr>
        <w:t>. If Grantee has a Qualifying Termination that</w:t>
      </w:r>
      <w:r>
        <w:rPr>
          <w:rFonts w:ascii="Arial" w:cs="Arial" w:eastAsia="Arial" w:hAnsi="Arial"/>
          <w:sz w:val="21"/>
          <w:szCs w:val="21"/>
          <w:b w:val="1"/>
          <w:bCs w:val="1"/>
          <w:color w:val="auto"/>
        </w:rPr>
        <w:t xml:space="preserve"> </w:t>
      </w:r>
      <w:r>
        <w:rPr>
          <w:rFonts w:ascii="Arial" w:cs="Arial" w:eastAsia="Arial" w:hAnsi="Arial"/>
          <w:sz w:val="21"/>
          <w:szCs w:val="21"/>
          <w:color w:val="auto"/>
        </w:rPr>
        <w:t>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74" w:lineRule="exact"/>
        <w:rPr>
          <w:rFonts w:ascii="Arial" w:cs="Arial" w:eastAsia="Arial" w:hAnsi="Arial"/>
          <w:sz w:val="21"/>
          <w:szCs w:val="21"/>
          <w:color w:val="auto"/>
        </w:rPr>
      </w:pPr>
    </w:p>
    <w:p>
      <w:pPr>
        <w:jc w:val="both"/>
        <w:ind w:left="100" w:firstLine="653"/>
        <w:spacing w:after="0" w:line="256" w:lineRule="auto"/>
        <w:tabs>
          <w:tab w:leader="none" w:pos="1425" w:val="left"/>
        </w:tabs>
        <w:numPr>
          <w:ilvl w:val="1"/>
          <w:numId w:val="53"/>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portion of the Restricted Stock Units, with the pro-rata portion determined in accordance with Section II.A.1(b)(iii).</w:t>
      </w:r>
    </w:p>
    <w:p>
      <w:pPr>
        <w:spacing w:after="0" w:line="176" w:lineRule="exact"/>
        <w:rPr>
          <w:rFonts w:ascii="Arial" w:cs="Arial" w:eastAsia="Arial" w:hAnsi="Arial"/>
          <w:sz w:val="22"/>
          <w:szCs w:val="22"/>
          <w:color w:val="auto"/>
        </w:rPr>
      </w:pPr>
    </w:p>
    <w:p>
      <w:pPr>
        <w:jc w:val="both"/>
        <w:ind w:left="100" w:firstLine="653"/>
        <w:spacing w:after="0" w:line="256" w:lineRule="auto"/>
        <w:tabs>
          <w:tab w:leader="none" w:pos="1243" w:val="left"/>
        </w:tabs>
        <w:numPr>
          <w:ilvl w:val="1"/>
          <w:numId w:val="53"/>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vesting of any portion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Restricted Stock Units subject to this Award, such unvested Restricted Stock Units shall vest in accordance with this Section II.A.1(b)(v).</w:t>
      </w:r>
    </w:p>
    <w:p>
      <w:pPr>
        <w:spacing w:after="0" w:line="182" w:lineRule="exact"/>
        <w:rPr>
          <w:rFonts w:ascii="Arial" w:cs="Arial" w:eastAsia="Arial" w:hAnsi="Arial"/>
          <w:sz w:val="22"/>
          <w:szCs w:val="22"/>
          <w:color w:val="auto"/>
        </w:rPr>
      </w:pPr>
    </w:p>
    <w:p>
      <w:pPr>
        <w:jc w:val="both"/>
        <w:ind w:left="980" w:firstLine="651"/>
        <w:spacing w:after="0" w:line="253" w:lineRule="auto"/>
        <w:tabs>
          <w:tab w:leader="none" w:pos="2333" w:val="left"/>
        </w:tabs>
        <w:numPr>
          <w:ilvl w:val="2"/>
          <w:numId w:val="53"/>
        </w:numPr>
        <w:rPr>
          <w:rFonts w:ascii="Arial" w:cs="Arial" w:eastAsia="Arial" w:hAnsi="Arial"/>
          <w:sz w:val="22"/>
          <w:szCs w:val="22"/>
          <w:color w:val="auto"/>
        </w:rPr>
      </w:pPr>
      <w:r>
        <w:rPr>
          <w:rFonts w:ascii="Arial" w:cs="Arial" w:eastAsia="Arial" w:hAnsi="Arial"/>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w:t>
      </w: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625" w:right="239" w:bottom="1440" w:gutter="0" w:footer="0" w:header="0"/>
        </w:sectPr>
      </w:pPr>
    </w:p>
    <w:bookmarkStart w:id="67" w:name="page68"/>
    <w:bookmarkEnd w:id="67"/>
    <w:p>
      <w:pPr>
        <w:jc w:val="both"/>
        <w:ind w:left="980"/>
        <w:spacing w:after="0" w:line="312" w:lineRule="auto"/>
        <w:rPr>
          <w:sz w:val="20"/>
          <w:szCs w:val="20"/>
          <w:color w:val="auto"/>
        </w:rPr>
      </w:pPr>
      <w:r>
        <w:rPr>
          <w:rFonts w:ascii="Arial" w:cs="Arial" w:eastAsia="Arial" w:hAnsi="Arial"/>
          <w:sz w:val="19"/>
          <w:szCs w:val="19"/>
          <w:color w:val="auto"/>
        </w:rPr>
        <w:t>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34" w:lineRule="exact"/>
        <w:rPr>
          <w:sz w:val="20"/>
          <w:szCs w:val="20"/>
          <w:color w:val="auto"/>
        </w:rPr>
      </w:pPr>
    </w:p>
    <w:p>
      <w:pPr>
        <w:jc w:val="both"/>
        <w:ind w:left="980" w:firstLine="651"/>
        <w:spacing w:after="0" w:line="286" w:lineRule="auto"/>
        <w:tabs>
          <w:tab w:leader="none" w:pos="22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59" w:lineRule="exact"/>
        <w:rPr>
          <w:rFonts w:ascii="Arial" w:cs="Arial" w:eastAsia="Arial" w:hAnsi="Arial"/>
          <w:sz w:val="19"/>
          <w:szCs w:val="19"/>
          <w:color w:val="auto"/>
        </w:rPr>
      </w:pPr>
    </w:p>
    <w:p>
      <w:pPr>
        <w:jc w:val="both"/>
        <w:ind w:left="980" w:firstLine="651"/>
        <w:spacing w:after="0" w:line="297" w:lineRule="auto"/>
        <w:tabs>
          <w:tab w:leader="none" w:pos="2146"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w:t>
      </w:r>
    </w:p>
    <w:p>
      <w:pPr>
        <w:spacing w:after="0" w:line="147" w:lineRule="exact"/>
        <w:rPr>
          <w:rFonts w:ascii="Arial" w:cs="Arial" w:eastAsia="Arial" w:hAnsi="Arial"/>
          <w:sz w:val="19"/>
          <w:szCs w:val="19"/>
          <w:color w:val="auto"/>
        </w:rPr>
      </w:pPr>
    </w:p>
    <w:p>
      <w:pPr>
        <w:jc w:val="both"/>
        <w:ind w:left="980" w:firstLine="651"/>
        <w:spacing w:after="0" w:line="302" w:lineRule="auto"/>
        <w:tabs>
          <w:tab w:leader="none" w:pos="22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631" w:right="239" w:bottom="1440" w:gutter="0" w:footer="0" w:header="0"/>
        </w:sectPr>
      </w:pPr>
    </w:p>
    <w:bookmarkStart w:id="68" w:name="page69"/>
    <w:bookmarkEnd w:id="68"/>
    <w:p>
      <w:pPr>
        <w:jc w:val="both"/>
        <w:ind w:left="660" w:right="20"/>
        <w:spacing w:after="0" w:line="253" w:lineRule="auto"/>
        <w:rPr>
          <w:sz w:val="20"/>
          <w:szCs w:val="20"/>
          <w:color w:val="auto"/>
        </w:rPr>
      </w:pPr>
      <w:r>
        <w:rPr>
          <w:rFonts w:ascii="Arial" w:cs="Arial" w:eastAsia="Arial" w:hAnsi="Arial"/>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0" w:lineRule="exact"/>
        <w:rPr>
          <w:sz w:val="20"/>
          <w:szCs w:val="20"/>
          <w:color w:val="auto"/>
        </w:rPr>
      </w:pPr>
    </w:p>
    <w:p>
      <w:pPr>
        <w:ind w:left="1680" w:hanging="375"/>
        <w:spacing w:after="0"/>
        <w:tabs>
          <w:tab w:leader="none" w:pos="16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5"/>
        <w:spacing w:after="0" w:line="315" w:lineRule="auto"/>
        <w:tabs>
          <w:tab w:leader="none" w:pos="176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 Section II.A.2(b) below, and as soon as administratively practicable following (but no later</w:t>
      </w:r>
      <w:r>
        <w:rPr>
          <w:rFonts w:ascii="Arial" w:cs="Arial" w:eastAsia="Arial" w:hAnsi="Arial"/>
          <w:sz w:val="19"/>
          <w:szCs w:val="19"/>
          <w:b w:val="1"/>
          <w:bCs w:val="1"/>
          <w:color w:val="auto"/>
        </w:rPr>
        <w:t xml:space="preserve"> </w:t>
      </w:r>
      <w:r>
        <w:rPr>
          <w:rFonts w:ascii="Arial" w:cs="Arial" w:eastAsia="Arial" w:hAnsi="Arial"/>
          <w:sz w:val="19"/>
          <w:szCs w:val="19"/>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25" w:lineRule="exact"/>
        <w:rPr>
          <w:rFonts w:ascii="Arial" w:cs="Arial" w:eastAsia="Arial" w:hAnsi="Arial"/>
          <w:sz w:val="19"/>
          <w:szCs w:val="19"/>
          <w:color w:val="auto"/>
        </w:rPr>
      </w:pPr>
    </w:p>
    <w:p>
      <w:pPr>
        <w:ind w:left="660" w:firstLine="645"/>
        <w:spacing w:after="0" w:line="293" w:lineRule="auto"/>
        <w:tabs>
          <w:tab w:leader="none" w:pos="1830"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Other Payment Events</w:t>
      </w:r>
      <w:r>
        <w:rPr>
          <w:rFonts w:ascii="Arial" w:cs="Arial" w:eastAsia="Arial" w:hAnsi="Arial"/>
          <w:sz w:val="21"/>
          <w:szCs w:val="21"/>
          <w:color w:val="auto"/>
        </w:rPr>
        <w:t>. Notwithstanding Section II.A.2(a), to the extent that the Restricted Stock Units are</w:t>
      </w:r>
      <w:r>
        <w:rPr>
          <w:rFonts w:ascii="Arial" w:cs="Arial" w:eastAsia="Arial" w:hAnsi="Arial"/>
          <w:sz w:val="21"/>
          <w:szCs w:val="21"/>
          <w:b w:val="1"/>
          <w:bCs w:val="1"/>
          <w:color w:val="auto"/>
        </w:rPr>
        <w:t xml:space="preserve"> </w:t>
      </w:r>
      <w:r>
        <w:rPr>
          <w:rFonts w:ascii="Arial" w:cs="Arial" w:eastAsia="Arial" w:hAnsi="Arial"/>
          <w:sz w:val="21"/>
          <w:szCs w:val="21"/>
          <w:color w:val="auto"/>
        </w:rPr>
        <w:t>vested on the dates set forth below, payment with respect to the Restricted Stock Units will be made as follows:</w:t>
      </w:r>
    </w:p>
    <w:p>
      <w:pPr>
        <w:spacing w:after="0" w:line="145" w:lineRule="exact"/>
        <w:rPr>
          <w:rFonts w:ascii="Arial" w:cs="Arial" w:eastAsia="Arial" w:hAnsi="Arial"/>
          <w:sz w:val="21"/>
          <w:szCs w:val="21"/>
          <w:color w:val="auto"/>
        </w:rPr>
      </w:pPr>
    </w:p>
    <w:p>
      <w:pPr>
        <w:jc w:val="both"/>
        <w:ind w:left="1300" w:firstLine="558"/>
        <w:spacing w:after="0" w:line="248" w:lineRule="auto"/>
        <w:tabs>
          <w:tab w:leader="none" w:pos="24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to the extent the Restricted Stock Units are vested as a result of Section II.A.1(b) (and have not previously been settled) on the date of Grantee’s separation from service (within the meaning of Section 409A(a)(2) (A)(i) of the Code), the Company shall issue Grantee one share of Common Stock for each vested Restricted Stock Unit as soon as practicable following (but no later than thirty (30) days following) the date of such separation from service; and</w:t>
      </w:r>
    </w:p>
    <w:p>
      <w:pPr>
        <w:spacing w:after="0" w:line="192" w:lineRule="exact"/>
        <w:rPr>
          <w:rFonts w:ascii="Arial" w:cs="Arial" w:eastAsia="Arial" w:hAnsi="Arial"/>
          <w:sz w:val="22"/>
          <w:szCs w:val="22"/>
          <w:color w:val="auto"/>
        </w:rPr>
      </w:pPr>
    </w:p>
    <w:p>
      <w:pPr>
        <w:jc w:val="both"/>
        <w:ind w:left="1300" w:firstLine="558"/>
        <w:spacing w:after="0" w:line="259" w:lineRule="auto"/>
        <w:tabs>
          <w:tab w:leader="none" w:pos="2484" w:val="left"/>
        </w:tabs>
        <w:numPr>
          <w:ilvl w:val="1"/>
          <w:numId w:val="56"/>
        </w:numPr>
        <w:rPr>
          <w:rFonts w:ascii="Arial" w:cs="Arial" w:eastAsia="Arial" w:hAnsi="Arial"/>
          <w:sz w:val="21"/>
          <w:szCs w:val="21"/>
          <w:color w:val="auto"/>
        </w:rPr>
      </w:pPr>
      <w:r>
        <w:rPr>
          <w:rFonts w:ascii="Arial" w:cs="Arial" w:eastAsia="Arial" w:hAnsi="Arial"/>
          <w:sz w:val="21"/>
          <w:szCs w:val="21"/>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II.A.2(a) or II.A.2(b)(1) as though such Change in Control had not occurred.</w:t>
      </w:r>
    </w:p>
    <w:p>
      <w:pPr>
        <w:spacing w:after="0" w:line="178" w:lineRule="exact"/>
        <w:rPr>
          <w:sz w:val="20"/>
          <w:szCs w:val="20"/>
          <w:color w:val="auto"/>
        </w:rPr>
      </w:pPr>
    </w:p>
    <w:p>
      <w:pPr>
        <w:jc w:val="both"/>
        <w:ind w:firstLine="1305"/>
        <w:spacing w:after="0" w:line="259" w:lineRule="auto"/>
        <w:tabs>
          <w:tab w:leader="none" w:pos="1675"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Restricted Stock Unit equal to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of each 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69" w:name="page70"/>
    <w:bookmarkEnd w:id="69"/>
    <w:p>
      <w:pPr>
        <w:ind w:firstLine="1305"/>
        <w:spacing w:after="0" w:line="350" w:lineRule="auto"/>
        <w:tabs>
          <w:tab w:leader="none" w:pos="1769" w:val="left"/>
        </w:tabs>
        <w:numPr>
          <w:ilvl w:val="1"/>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firstLine="1305"/>
        <w:spacing w:after="0" w:line="269" w:lineRule="auto"/>
        <w:tabs>
          <w:tab w:leader="none" w:pos="1729"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 of the Plan.</w:t>
      </w:r>
    </w:p>
    <w:p>
      <w:pPr>
        <w:spacing w:after="0" w:line="162" w:lineRule="exact"/>
        <w:rPr>
          <w:rFonts w:ascii="Arial" w:cs="Arial" w:eastAsia="Arial" w:hAnsi="Arial"/>
          <w:sz w:val="22"/>
          <w:szCs w:val="22"/>
          <w:b w:val="1"/>
          <w:bCs w:val="1"/>
          <w:color w:val="auto"/>
        </w:rPr>
      </w:pPr>
    </w:p>
    <w:p>
      <w:pPr>
        <w:ind w:left="1080" w:hanging="424"/>
        <w:spacing w:after="0"/>
        <w:tabs>
          <w:tab w:leader="none" w:pos="10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52" w:lineRule="auto"/>
        <w:tabs>
          <w:tab w:leader="none" w:pos="1715"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firstLine="1305"/>
        <w:spacing w:after="0" w:line="257" w:lineRule="auto"/>
        <w:tabs>
          <w:tab w:leader="none" w:pos="1742" w:val="left"/>
        </w:tabs>
        <w:numPr>
          <w:ilvl w:val="1"/>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that the Company is required to withhold federal, state, local or foreign taxes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may elect that (1) the Company will withhold shares of Common Stock having a value equal to the amount required to be withheld or (2) Grantee will pay to the Company an amount in cash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4" w:lineRule="exact"/>
        <w:rPr>
          <w:rFonts w:ascii="Arial" w:cs="Arial" w:eastAsia="Arial" w:hAnsi="Arial"/>
          <w:sz w:val="21"/>
          <w:szCs w:val="21"/>
          <w:b w:val="1"/>
          <w:bCs w:val="1"/>
          <w:color w:val="auto"/>
        </w:rPr>
      </w:pPr>
    </w:p>
    <w:p>
      <w:pPr>
        <w:jc w:val="both"/>
        <w:ind w:firstLine="1305"/>
        <w:spacing w:after="0" w:line="267" w:lineRule="auto"/>
        <w:tabs>
          <w:tab w:leader="none" w:pos="1783" w:val="left"/>
        </w:tabs>
        <w:numPr>
          <w:ilvl w:val="1"/>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86"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70" w:name="page71"/>
    <w:bookmarkEnd w:id="70"/>
    <w:p>
      <w:pPr>
        <w:jc w:val="both"/>
        <w:ind w:left="660" w:firstLine="645"/>
        <w:spacing w:after="0" w:line="264" w:lineRule="auto"/>
        <w:tabs>
          <w:tab w:leader="none" w:pos="1803"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0" w:lineRule="exact"/>
        <w:rPr>
          <w:rFonts w:ascii="Arial" w:cs="Arial" w:eastAsia="Arial" w:hAnsi="Arial"/>
          <w:sz w:val="21"/>
          <w:szCs w:val="21"/>
          <w:color w:val="auto"/>
        </w:rPr>
      </w:pPr>
    </w:p>
    <w:p>
      <w:pPr>
        <w:jc w:val="both"/>
        <w:ind w:left="1300" w:firstLine="653"/>
        <w:spacing w:after="0" w:line="247" w:lineRule="auto"/>
        <w:tabs>
          <w:tab w:leader="none" w:pos="2470" w:val="left"/>
        </w:tabs>
        <w:numPr>
          <w:ilvl w:val="1"/>
          <w:numId w:val="61"/>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61"/>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61"/>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2" w:lineRule="auto"/>
        <w:tabs>
          <w:tab w:leader="none" w:pos="2470" w:val="left"/>
        </w:tabs>
        <w:numPr>
          <w:ilvl w:val="1"/>
          <w:numId w:val="61"/>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1"/>
          <w:numId w:val="61"/>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71" w:name="page72"/>
    <w:bookmarkEnd w:id="71"/>
    <w:p>
      <w:pPr>
        <w:jc w:val="both"/>
        <w:ind w:firstLine="1305"/>
        <w:spacing w:after="0" w:line="248" w:lineRule="auto"/>
        <w:tabs>
          <w:tab w:leader="none" w:pos="1675"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it is intended that this Agreement and the Plan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87" w:lineRule="exact"/>
        <w:rPr>
          <w:rFonts w:ascii="Arial" w:cs="Arial" w:eastAsia="Arial" w:hAnsi="Arial"/>
          <w:sz w:val="22"/>
          <w:szCs w:val="22"/>
          <w:b w:val="1"/>
          <w:bCs w:val="1"/>
          <w:color w:val="auto"/>
        </w:rPr>
      </w:pPr>
    </w:p>
    <w:p>
      <w:pPr>
        <w:jc w:val="both"/>
        <w:ind w:firstLine="1305"/>
        <w:spacing w:after="0" w:line="249" w:lineRule="auto"/>
        <w:tabs>
          <w:tab w:leader="none" w:pos="1742"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742"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64" w:lineRule="auto"/>
        <w:tabs>
          <w:tab w:leader="none" w:pos="1702"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0" w:lineRule="exact"/>
        <w:rPr>
          <w:rFonts w:ascii="Arial" w:cs="Arial" w:eastAsia="Arial" w:hAnsi="Arial"/>
          <w:sz w:val="21"/>
          <w:szCs w:val="21"/>
          <w:b w:val="1"/>
          <w:bCs w:val="1"/>
          <w:color w:val="auto"/>
        </w:rPr>
      </w:pPr>
    </w:p>
    <w:p>
      <w:pPr>
        <w:ind w:left="1680" w:hanging="375"/>
        <w:spacing w:after="0"/>
        <w:tabs>
          <w:tab w:leader="none" w:pos="168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26" w:lineRule="exact"/>
        <w:rPr>
          <w:sz w:val="20"/>
          <w:szCs w:val="20"/>
          <w:color w:val="auto"/>
        </w:rPr>
      </w:pPr>
    </w:p>
    <w:p>
      <w:pPr>
        <w:ind w:left="660" w:firstLine="645"/>
        <w:spacing w:after="0" w:line="343" w:lineRule="auto"/>
        <w:tabs>
          <w:tab w:leader="none" w:pos="189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72" w:name="page73"/>
    <w:bookmarkEnd w:id="72"/>
    <w:p>
      <w:pPr>
        <w:ind w:left="1860" w:hanging="555"/>
        <w:spacing w:after="0"/>
        <w:tabs>
          <w:tab w:leader="none" w:pos="18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all decisions with respect to future restricted stock unit grants, if any, will be at the sole discretion of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Committee;</w:t>
      </w:r>
    </w:p>
    <w:p>
      <w:pPr>
        <w:spacing w:after="0" w:line="201" w:lineRule="exact"/>
        <w:rPr>
          <w:rFonts w:ascii="Arial" w:cs="Arial" w:eastAsia="Arial" w:hAnsi="Arial"/>
          <w:sz w:val="21"/>
          <w:szCs w:val="21"/>
          <w:color w:val="auto"/>
        </w:rPr>
      </w:pPr>
    </w:p>
    <w:p>
      <w:pPr>
        <w:ind w:left="1780" w:hanging="475"/>
        <w:spacing w:after="0"/>
        <w:tabs>
          <w:tab w:leader="none" w:pos="17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right="20" w:firstLine="645"/>
        <w:spacing w:after="0" w:line="253" w:lineRule="auto"/>
        <w:tabs>
          <w:tab w:leader="none" w:pos="1818"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821"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71" w:val="left"/>
        </w:tabs>
        <w:numPr>
          <w:ilvl w:val="0"/>
          <w:numId w:val="64"/>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61" w:lineRule="auto"/>
        <w:tabs>
          <w:tab w:leader="none" w:pos="1728"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0" w:lineRule="exact"/>
        <w:rPr>
          <w:rFonts w:ascii="Arial" w:cs="Arial" w:eastAsia="Arial" w:hAnsi="Arial"/>
          <w:sz w:val="21"/>
          <w:szCs w:val="21"/>
          <w:color w:val="auto"/>
        </w:rPr>
      </w:pPr>
    </w:p>
    <w:p>
      <w:pPr>
        <w:jc w:val="both"/>
        <w:ind w:left="660" w:firstLine="645"/>
        <w:spacing w:after="0" w:line="297" w:lineRule="auto"/>
        <w:tabs>
          <w:tab w:leader="none" w:pos="1782"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firstLine="1305"/>
        <w:spacing w:after="0" w:line="264" w:lineRule="auto"/>
        <w:tabs>
          <w:tab w:leader="none" w:pos="1877"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Non-U.S. Addendum</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provisions in this Agreement, the Restricted Stock Units shall</w:t>
      </w:r>
      <w:r>
        <w:rPr>
          <w:rFonts w:ascii="Arial" w:cs="Arial" w:eastAsia="Arial" w:hAnsi="Arial"/>
          <w:sz w:val="21"/>
          <w:szCs w:val="21"/>
          <w:b w:val="1"/>
          <w:bCs w:val="1"/>
          <w:color w:val="auto"/>
        </w:rPr>
        <w:t xml:space="preserve"> </w:t>
      </w:r>
      <w:r>
        <w:rPr>
          <w:rFonts w:ascii="Arial" w:cs="Arial" w:eastAsia="Arial" w:hAnsi="Arial"/>
          <w:sz w:val="21"/>
          <w:szCs w:val="21"/>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73" w:name="page74"/>
    <w:bookmarkEnd w:id="73"/>
    <w:p>
      <w:pPr>
        <w:ind w:right="20"/>
        <w:spacing w:after="0" w:line="263" w:lineRule="auto"/>
        <w:rPr>
          <w:sz w:val="20"/>
          <w:szCs w:val="20"/>
          <w:color w:val="auto"/>
        </w:rPr>
      </w:pPr>
      <w:r>
        <w:rPr>
          <w:rFonts w:ascii="Arial" w:cs="Arial" w:eastAsia="Arial" w:hAnsi="Arial"/>
          <w:sz w:val="22"/>
          <w:szCs w:val="22"/>
          <w:color w:val="auto"/>
        </w:rPr>
        <w:t>local law or facilitate the administration of the Plan. The Non-U.S. Addendum attached hereto as Appendix B constitutes part of this Agreement.</w:t>
      </w:r>
    </w:p>
    <w:p>
      <w:pPr>
        <w:spacing w:after="0" w:line="169" w:lineRule="exact"/>
        <w:rPr>
          <w:sz w:val="20"/>
          <w:szCs w:val="20"/>
          <w:color w:val="auto"/>
        </w:rPr>
      </w:pPr>
    </w:p>
    <w:p>
      <w:pPr>
        <w:jc w:val="both"/>
        <w:ind w:firstLine="1305"/>
        <w:spacing w:after="0" w:line="249" w:lineRule="auto"/>
        <w:tabs>
          <w:tab w:leader="none" w:pos="1865"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891"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0" w:lineRule="exact"/>
        <w:rPr>
          <w:sz w:val="20"/>
          <w:szCs w:val="20"/>
          <w:color w:val="auto"/>
        </w:rPr>
      </w:pPr>
    </w:p>
    <w:p>
      <w:pPr>
        <w:ind w:right="20" w:firstLine="1305"/>
        <w:spacing w:after="0" w:line="269" w:lineRule="auto"/>
        <w:tabs>
          <w:tab w:leader="none" w:pos="1796"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62" w:lineRule="exact"/>
        <w:rPr>
          <w:sz w:val="20"/>
          <w:szCs w:val="20"/>
          <w:color w:val="auto"/>
        </w:rPr>
      </w:pPr>
    </w:p>
    <w:p>
      <w:pPr>
        <w:jc w:val="both"/>
        <w:ind w:firstLine="1305"/>
        <w:spacing w:after="0" w:line="286" w:lineRule="auto"/>
        <w:tabs>
          <w:tab w:leader="none" w:pos="1796"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 Policy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of Common Stock issued to Grantee in settlement of the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(plus dividend equivalent payments) shall be subject to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specifically to implement Section 10D of the Exchange Act and any applicable rules or regulations promulgated thereunder (including applicable rules and regulations of 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national securities exchange on which the Common Stock may be traded) (the “Compensation Recovery Policy”), and</w:t>
      </w:r>
    </w:p>
    <w:p>
      <w:pPr>
        <w:spacing w:after="0" w:line="15" w:lineRule="exact"/>
        <w:rPr>
          <w:sz w:val="20"/>
          <w:szCs w:val="20"/>
          <w:color w:val="auto"/>
        </w:rPr>
      </w:pPr>
    </w:p>
    <w:p>
      <w:pPr>
        <w:ind w:firstLine="8"/>
        <w:spacing w:after="0" w:line="246" w:lineRule="auto"/>
        <w:tabs>
          <w:tab w:leader="none" w:pos="355" w:val="left"/>
        </w:tabs>
        <w:numPr>
          <w:ilvl w:val="0"/>
          <w:numId w:val="69"/>
        </w:numPr>
        <w:rPr>
          <w:rFonts w:ascii="Arial" w:cs="Arial" w:eastAsia="Arial" w:hAnsi="Arial"/>
          <w:sz w:val="22"/>
          <w:szCs w:val="22"/>
          <w:color w:val="auto"/>
        </w:rPr>
      </w:pPr>
      <w:r>
        <w:rPr>
          <w:rFonts w:ascii="Arial" w:cs="Arial" w:eastAsia="Arial" w:hAnsi="Arial"/>
          <w:sz w:val="22"/>
          <w:szCs w:val="22"/>
          <w:color w:val="auto"/>
        </w:rPr>
        <w:t>applicable provisions of this Agreement shall be deemed superseded by and subject to the terms and conditions of the Compensation Recovery Policy from and after the effective date thereof.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74" w:name="page75"/>
    <w:bookmarkEnd w:id="74"/>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6380" w:type="dxa"/>
            <w:vAlign w:val="bottom"/>
            <w:gridSpan w:val="3"/>
          </w:tcPr>
          <w:p>
            <w:pPr>
              <w:ind w:left="80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900" w:type="dxa"/>
            <w:vAlign w:val="bottom"/>
          </w:tcPr>
          <w:p>
            <w:pPr>
              <w:spacing w:after="0"/>
              <w:rPr>
                <w:sz w:val="20"/>
                <w:szCs w:val="20"/>
                <w:color w:val="auto"/>
              </w:rPr>
            </w:pPr>
            <w:r>
              <w:rPr>
                <w:rFonts w:ascii="Arial" w:cs="Arial" w:eastAsia="Arial" w:hAnsi="Arial"/>
                <w:sz w:val="22"/>
                <w:szCs w:val="22"/>
                <w:color w:val="auto"/>
              </w:rPr>
              <w:t>Dated as of: [grant date]</w:t>
            </w:r>
          </w:p>
        </w:tc>
        <w:tc>
          <w:tcPr>
            <w:tcW w:w="6380" w:type="dxa"/>
            <w:vAlign w:val="bottom"/>
            <w:gridSpan w:val="3"/>
          </w:tcPr>
          <w:p>
            <w:pPr>
              <w:ind w:left="2120"/>
              <w:spacing w:after="0"/>
              <w:rPr>
                <w:sz w:val="20"/>
                <w:szCs w:val="20"/>
                <w:color w:val="auto"/>
              </w:rPr>
            </w:pPr>
            <w:r>
              <w:rPr>
                <w:rFonts w:ascii="Arial" w:cs="Arial" w:eastAsia="Arial" w:hAnsi="Arial"/>
                <w:sz w:val="22"/>
                <w:szCs w:val="22"/>
                <w:color w:val="auto"/>
              </w:rPr>
              <w:t>By:  /s/ Joshua A. Sherbin</w:t>
            </w:r>
          </w:p>
        </w:tc>
      </w:tr>
      <w:tr>
        <w:trPr>
          <w:trHeight w:val="20"/>
        </w:trPr>
        <w:tc>
          <w:tcPr>
            <w:tcW w:w="2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2"/>
        </w:trPr>
        <w:tc>
          <w:tcPr>
            <w:tcW w:w="2900" w:type="dxa"/>
            <w:vAlign w:val="bottom"/>
          </w:tcPr>
          <w:p>
            <w:pPr>
              <w:spacing w:after="0"/>
              <w:rPr>
                <w:sz w:val="21"/>
                <w:szCs w:val="21"/>
                <w:color w:val="auto"/>
              </w:rPr>
            </w:pPr>
          </w:p>
        </w:tc>
        <w:tc>
          <w:tcPr>
            <w:tcW w:w="6380" w:type="dxa"/>
            <w:vAlign w:val="bottom"/>
            <w:gridSpan w:val="3"/>
          </w:tcPr>
          <w:p>
            <w:pPr>
              <w:ind w:left="2120"/>
              <w:spacing w:after="0" w:line="242" w:lineRule="exact"/>
              <w:rPr>
                <w:sz w:val="20"/>
                <w:szCs w:val="20"/>
                <w:color w:val="auto"/>
              </w:rPr>
            </w:pPr>
            <w:r>
              <w:rPr>
                <w:rFonts w:ascii="Arial" w:cs="Arial" w:eastAsia="Arial" w:hAnsi="Arial"/>
                <w:sz w:val="22"/>
                <w:szCs w:val="22"/>
                <w:color w:val="auto"/>
              </w:rPr>
              <w:t>Name: Joshua A. Sherbin</w:t>
            </w:r>
          </w:p>
        </w:tc>
      </w:tr>
      <w:tr>
        <w:trPr>
          <w:trHeight w:val="275"/>
        </w:trPr>
        <w:tc>
          <w:tcPr>
            <w:tcW w:w="2900" w:type="dxa"/>
            <w:vAlign w:val="bottom"/>
          </w:tcPr>
          <w:p>
            <w:pPr>
              <w:spacing w:after="0"/>
              <w:rPr>
                <w:sz w:val="23"/>
                <w:szCs w:val="23"/>
                <w:color w:val="auto"/>
              </w:rPr>
            </w:pPr>
          </w:p>
        </w:tc>
        <w:tc>
          <w:tcPr>
            <w:tcW w:w="6380" w:type="dxa"/>
            <w:vAlign w:val="bottom"/>
            <w:gridSpan w:val="3"/>
          </w:tcPr>
          <w:p>
            <w:pPr>
              <w:ind w:left="212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214" w:lineRule="exact"/>
        <w:rPr>
          <w:sz w:val="20"/>
          <w:szCs w:val="20"/>
          <w:color w:val="auto"/>
        </w:rPr>
      </w:pPr>
    </w:p>
    <w:p>
      <w:pPr>
        <w:ind w:left="1300" w:right="20" w:hanging="644"/>
        <w:spacing w:after="0" w:line="263"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1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21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ectPr>
          <w:pgSz w:w="11900" w:h="16838" w:orient="portrait"/>
          <w:cols w:equalWidth="0" w:num="1">
            <w:col w:w="11420"/>
          </w:cols>
          <w:pgMar w:left="240" w:top="625" w:right="239" w:bottom="1440" w:gutter="0" w:footer="0" w:header="0"/>
        </w:sectPr>
      </w:pPr>
    </w:p>
    <w:bookmarkStart w:id="76" w:name="page77"/>
    <w:bookmarkEnd w:id="76"/>
    <w:p>
      <w:pPr>
        <w:jc w:val="both"/>
        <w:ind w:left="660"/>
        <w:spacing w:after="0" w:line="287"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95"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at the time of such termination.</w:t>
      </w: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(a)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68" w:lineRule="exact"/>
        <w:rPr>
          <w:sz w:val="20"/>
          <w:szCs w:val="20"/>
          <w:color w:val="auto"/>
        </w:rPr>
      </w:pPr>
    </w:p>
    <w:p>
      <w:pPr>
        <w:ind w:left="1140" w:hanging="484"/>
        <w:spacing w:after="0"/>
        <w:tabs>
          <w:tab w:leader="none" w:pos="11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19" w:lineRule="exact"/>
        <w:rPr>
          <w:rFonts w:ascii="Arial" w:cs="Arial" w:eastAsia="Arial" w:hAnsi="Arial"/>
          <w:sz w:val="22"/>
          <w:szCs w:val="22"/>
          <w:color w:val="auto"/>
        </w:rPr>
      </w:pPr>
    </w:p>
    <w:p>
      <w:pPr>
        <w:ind w:left="1260" w:hanging="604"/>
        <w:spacing w:after="0"/>
        <w:tabs>
          <w:tab w:leader="none" w:pos="12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480" w:hanging="472"/>
        <w:spacing w:after="0"/>
        <w:tabs>
          <w:tab w:leader="none" w:pos="4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by Grantee without Good Reason.</w:t>
      </w:r>
    </w:p>
    <w:p>
      <w:pPr>
        <w:sectPr>
          <w:pgSz w:w="11900" w:h="16838" w:orient="portrait"/>
          <w:cols w:equalWidth="0" w:num="1">
            <w:col w:w="11420"/>
          </w:cols>
          <w:pgMar w:left="240" w:top="631" w:right="239" w:bottom="1440" w:gutter="0" w:footer="0" w:header="0"/>
        </w:sectPr>
      </w:pPr>
    </w:p>
    <w:bookmarkStart w:id="77" w:name="page78"/>
    <w:bookmarkEnd w:id="77"/>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termination of Grantee’s status as a Service Provider with the consent of the Committee after attaining age 55 and five years of service with the Company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means an individual actively providing services to the Company or a Subsidiary.</w:t>
      </w:r>
    </w:p>
    <w:p>
      <w:pPr>
        <w:sectPr>
          <w:pgSz w:w="11900" w:h="16838" w:orient="portrait"/>
          <w:cols w:equalWidth="0" w:num="1">
            <w:col w:w="11420"/>
          </w:cols>
          <w:pgMar w:left="240" w:top="6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right="60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2017 Equity and Incentive Compensation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ind w:right="240"/>
        <w:spacing w:after="0" w:line="252"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purposes of the Agreement and notwithstanding the definition of “Retirement” in Appendix A hereto,</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shall mean the termination of Grantee’s services with the Company or a Subsidiary in circumstances determined by the Committee (in its reasonable discretion, provided that, for the avoidance of doubt, the Committee shall not be obliged to exercise its discretion in favor of the Grantee) to be retirement.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“Grantee shall be notionally credited with cash per Restricted Stock Unit equal to the amount of each cash dividend paid by the Company (if any) to holders of Common Stock generally with a record 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 vesting, payment or forfeitability) as apply to the Restricted Stock Units based on which the dividend equivalents were notionally</w:t>
      </w:r>
    </w:p>
    <w:p>
      <w:pPr>
        <w:sectPr>
          <w:pgSz w:w="11900" w:h="16838" w:orient="portrait"/>
          <w:cols w:equalWidth="0" w:num="1">
            <w:col w:w="11420"/>
          </w:cols>
          <w:pgMar w:left="240" w:top="625" w:right="239" w:bottom="1440" w:gutter="0" w:footer="0" w:header="0"/>
        </w:sectPr>
      </w:pPr>
    </w:p>
    <w:bookmarkStart w:id="79" w:name="page80"/>
    <w:bookmarkEnd w:id="79"/>
    <w:p>
      <w:pPr>
        <w:jc w:val="both"/>
        <w:ind w:left="660"/>
        <w:spacing w:after="0" w:line="246" w:lineRule="auto"/>
        <w:rPr>
          <w:sz w:val="20"/>
          <w:szCs w:val="20"/>
          <w:color w:val="auto"/>
        </w:rPr>
      </w:pPr>
      <w:r>
        <w:rPr>
          <w:rFonts w:ascii="Arial" w:cs="Arial" w:eastAsia="Arial" w:hAnsi="Arial"/>
          <w:sz w:val="22"/>
          <w:szCs w:val="22"/>
          <w:color w:val="auto"/>
        </w:rPr>
        <w:t>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this Award shall lapse and any unvested Restricted Stock Units subject to this Award shall be forfeited if a bankruptcy order is made in respect of Grantee.”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Company,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w:t>
      </w:r>
    </w:p>
    <w:p>
      <w:pPr>
        <w:sectPr>
          <w:pgSz w:w="11900" w:h="16838" w:orient="portrait"/>
          <w:cols w:equalWidth="0" w:num="1">
            <w:col w:w="11420"/>
          </w:cols>
          <w:pgMar w:left="240" w:top="631" w:right="239" w:bottom="1440" w:gutter="0" w:footer="0" w:header="0"/>
        </w:sectPr>
      </w:pPr>
    </w:p>
    <w:bookmarkStart w:id="80" w:name="page81"/>
    <w:bookmarkEnd w:id="80"/>
    <w:p>
      <w:pPr>
        <w:jc w:val="both"/>
        <w:ind w:left="660"/>
        <w:spacing w:after="0" w:line="289" w:lineRule="auto"/>
        <w:rPr>
          <w:sz w:val="20"/>
          <w:szCs w:val="20"/>
          <w:color w:val="auto"/>
        </w:rPr>
      </w:pPr>
      <w:r>
        <w:rPr>
          <w:rFonts w:ascii="Arial" w:cs="Arial" w:eastAsia="Arial" w:hAnsi="Arial"/>
          <w:sz w:val="19"/>
          <w:szCs w:val="19"/>
          <w:color w:val="auto"/>
        </w:rPr>
        <w:t>to pay any amount so notified to him or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II.B.14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II.B.15 is added to the Agreement to read as follows:</w:t>
      </w:r>
    </w:p>
    <w:p>
      <w:pPr>
        <w:spacing w:after="0" w:line="266"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controller in relation to such personal data.</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Categories of Personal Data</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categories of personal data that we will process in connection with the Plan are the Grantee’s:</w:t>
      </w:r>
    </w:p>
    <w:p>
      <w:pPr>
        <w:spacing w:after="0" w:line="220" w:lineRule="exact"/>
        <w:rPr>
          <w:sz w:val="20"/>
          <w:szCs w:val="20"/>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name;</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date of birth;</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job title;</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home address (and, if different, mailing address) and postal code;</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telephone number;</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social insurance, national insurance, US taxpayer and/or foreign tax identification number;</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salary;</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country of citizenship and nationality;</w:t>
      </w:r>
    </w:p>
    <w:p>
      <w:pPr>
        <w:sectPr>
          <w:pgSz w:w="11900" w:h="16838" w:orient="portrait"/>
          <w:cols w:equalWidth="0" w:num="1">
            <w:col w:w="11420"/>
          </w:cols>
          <w:pgMar w:left="240" w:top="631" w:right="239" w:bottom="1440" w:gutter="0" w:footer="0" w:header="0"/>
        </w:sectPr>
      </w:pPr>
    </w:p>
    <w:bookmarkStart w:id="81" w:name="page82"/>
    <w:bookmarkEnd w:id="81"/>
    <w:p>
      <w:pPr>
        <w:ind w:left="760" w:hanging="331"/>
        <w:spacing w:after="0"/>
        <w:tabs>
          <w:tab w:leader="none" w:pos="7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Common Stock or directorships held in the any of the Relevant TriMas Companies;</w:t>
      </w:r>
    </w:p>
    <w:p>
      <w:pPr>
        <w:spacing w:after="0" w:line="219"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details of all awards or any other entitlement to Common Stock awarded, cancelled, exercised, vested, unvested or outstanding in Grantee’s favour; and</w:t>
      </w:r>
    </w:p>
    <w:p>
      <w:pPr>
        <w:spacing w:after="0" w:line="174"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reference number (where relevant to link the Grantee’s benefits under the Plan to other documentation issued to or from the US Department of the Treasury Internal Revenue Service).</w:t>
      </w:r>
    </w:p>
    <w:p>
      <w:pPr>
        <w:spacing w:after="0" w:line="175" w:lineRule="exact"/>
        <w:rPr>
          <w:sz w:val="20"/>
          <w:szCs w:val="20"/>
          <w:color w:val="auto"/>
        </w:rPr>
      </w:pPr>
    </w:p>
    <w:p>
      <w:pPr>
        <w:ind w:left="100"/>
        <w:spacing w:after="0" w:line="263" w:lineRule="auto"/>
        <w:rPr>
          <w:sz w:val="20"/>
          <w:szCs w:val="20"/>
          <w:color w:val="auto"/>
        </w:rPr>
      </w:pPr>
      <w:r>
        <w:rPr>
          <w:rFonts w:ascii="Arial" w:cs="Arial" w:eastAsia="Arial" w:hAnsi="Arial"/>
          <w:sz w:val="22"/>
          <w:szCs w:val="22"/>
          <w:color w:val="auto"/>
        </w:rPr>
        <w:t>The processing of the personal data set out above is mandatory in order for the Relevant TriMas Companies to provide and administer the Plan.</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Purposes of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process the Grantee’s personal data for the purposes of:</w:t>
      </w:r>
    </w:p>
    <w:p>
      <w:pPr>
        <w:spacing w:after="0" w:line="220" w:lineRule="exact"/>
        <w:rPr>
          <w:sz w:val="20"/>
          <w:szCs w:val="20"/>
          <w:color w:val="auto"/>
        </w:rPr>
      </w:pPr>
    </w:p>
    <w:p>
      <w:pPr>
        <w:ind w:left="760" w:hanging="331"/>
        <w:spacing w:after="0" w:line="263" w:lineRule="auto"/>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administering and maintaining the Plan relating to the Grantee and records associated with the Plan (including maintaining a database of Participants in the Plan);</w:t>
      </w:r>
    </w:p>
    <w:p>
      <w:pPr>
        <w:spacing w:after="0" w:line="174"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85"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 in the United Kingdom as required by law;</w:t>
      </w:r>
    </w:p>
    <w:p>
      <w:pPr>
        <w:spacing w:after="0" w:line="174"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5" w:lineRule="exact"/>
        <w:rPr>
          <w:rFonts w:ascii="Arial" w:cs="Arial" w:eastAsia="Arial" w:hAnsi="Arial"/>
          <w:sz w:val="22"/>
          <w:szCs w:val="22"/>
          <w:color w:val="auto"/>
        </w:rPr>
      </w:pPr>
    </w:p>
    <w:p>
      <w:pPr>
        <w:ind w:left="760" w:hanging="331"/>
        <w:spacing w:after="0"/>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obtaining legal and other professional advice; and</w:t>
      </w:r>
    </w:p>
    <w:p>
      <w:pPr>
        <w:spacing w:after="0" w:line="219" w:lineRule="exact"/>
        <w:rPr>
          <w:rFonts w:ascii="Arial" w:cs="Arial" w:eastAsia="Arial" w:hAnsi="Arial"/>
          <w:sz w:val="22"/>
          <w:szCs w:val="22"/>
          <w:color w:val="auto"/>
        </w:rPr>
      </w:pPr>
    </w:p>
    <w:p>
      <w:pPr>
        <w:ind w:left="760" w:hanging="331"/>
        <w:spacing w:after="0"/>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establishing, exercising or defending legal rights.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Legal Basis for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processing of the Grantee’s personal data:</w:t>
      </w:r>
    </w:p>
    <w:p>
      <w:pPr>
        <w:spacing w:after="0" w:line="220" w:lineRule="exact"/>
        <w:rPr>
          <w:sz w:val="20"/>
          <w:szCs w:val="20"/>
          <w:color w:val="auto"/>
        </w:rPr>
      </w:pPr>
    </w:p>
    <w:p>
      <w:pPr>
        <w:ind w:left="760" w:hanging="331"/>
        <w:spacing w:after="0" w:line="263" w:lineRule="auto"/>
        <w:tabs>
          <w:tab w:leader="none" w:pos="7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relation to the information provided to HM Revenue and Customs in the United Kingdom and the Department of the Treasury Internal Revenue</w:t>
      </w:r>
    </w:p>
    <w:p>
      <w:pPr>
        <w:sectPr>
          <w:pgSz w:w="11900" w:h="16838" w:orient="portrait"/>
          <w:cols w:equalWidth="0" w:num="1">
            <w:col w:w="10220"/>
          </w:cols>
          <w:pgMar w:left="1440" w:top="631" w:right="239" w:bottom="1440" w:gutter="0" w:footer="0" w:header="0"/>
        </w:sectPr>
      </w:pPr>
    </w:p>
    <w:bookmarkStart w:id="82" w:name="page83"/>
    <w:bookmarkEnd w:id="82"/>
    <w:p>
      <w:pPr>
        <w:ind w:left="760" w:right="20"/>
        <w:spacing w:after="0" w:line="263" w:lineRule="auto"/>
        <w:rPr>
          <w:sz w:val="20"/>
          <w:szCs w:val="20"/>
          <w:color w:val="auto"/>
        </w:rPr>
      </w:pPr>
      <w:r>
        <w:rPr>
          <w:rFonts w:ascii="Arial" w:cs="Arial" w:eastAsia="Arial" w:hAnsi="Arial"/>
          <w:sz w:val="22"/>
          <w:szCs w:val="22"/>
          <w:color w:val="auto"/>
        </w:rPr>
        <w:t>Service in the United States of America, is necessary for compliance with a legal obligation to which the Relevant TriMas Companies are subject;</w:t>
      </w:r>
    </w:p>
    <w:p>
      <w:pPr>
        <w:spacing w:after="0" w:line="175" w:lineRule="exact"/>
        <w:rPr>
          <w:sz w:val="20"/>
          <w:szCs w:val="20"/>
          <w:color w:val="auto"/>
        </w:rPr>
      </w:pPr>
    </w:p>
    <w:p>
      <w:pPr>
        <w:jc w:val="both"/>
        <w:ind w:left="760" w:hanging="331"/>
        <w:spacing w:after="0" w:line="250" w:lineRule="auto"/>
        <w:tabs>
          <w:tab w:leader="none" w:pos="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88"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respect of all other personal data set out above, is necessary for the performance of the Restricted Stock Units Agreement between the Grantee and TriMas Corporation.</w:t>
      </w:r>
    </w:p>
    <w:p>
      <w:pPr>
        <w:spacing w:after="0" w:line="175"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Relevant TriMas Companies will also process the Grantee’s personal data as necessary to comply with any legal obligations to which the Relevant TriMas Companies are subject.</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Sharing Personal Data with Third Parties</w:t>
      </w:r>
    </w:p>
    <w:p>
      <w:pPr>
        <w:spacing w:after="0" w:line="226"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5"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0" w:lineRule="exact"/>
        <w:rPr>
          <w:sz w:val="20"/>
          <w:szCs w:val="20"/>
          <w:color w:val="auto"/>
        </w:rPr>
      </w:pPr>
    </w:p>
    <w:p>
      <w:pPr>
        <w:jc w:val="both"/>
        <w:ind w:left="100"/>
        <w:spacing w:after="0" w:line="290" w:lineRule="auto"/>
        <w:rPr>
          <w:sz w:val="20"/>
          <w:szCs w:val="20"/>
          <w:color w:val="auto"/>
        </w:rPr>
      </w:pPr>
      <w:r>
        <w:rPr>
          <w:rFonts w:ascii="Arial" w:cs="Arial" w:eastAsia="Arial" w:hAnsi="Arial"/>
          <w:sz w:val="19"/>
          <w:szCs w:val="19"/>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1-800-844-9354 (Domestic) or 1-800-544-0275 (International), and (3) by logging into Grantee’s Fidelity account at </w:t>
      </w:r>
      <w:r>
        <w:rPr>
          <w:rFonts w:ascii="Arial" w:cs="Arial" w:eastAsia="Arial" w:hAnsi="Arial"/>
          <w:sz w:val="19"/>
          <w:szCs w:val="19"/>
          <w:u w:val="single" w:color="auto"/>
          <w:color w:val="0000FF"/>
        </w:rPr>
        <w:t>www.netbenefits.fidelity.com</w:t>
      </w:r>
      <w:r>
        <w:rPr>
          <w:rFonts w:ascii="Arial" w:cs="Arial" w:eastAsia="Arial" w:hAnsi="Arial"/>
          <w:sz w:val="19"/>
          <w:szCs w:val="19"/>
          <w:color w:val="auto"/>
        </w:rPr>
        <w:t xml:space="preserve"> and visiting the Plan &amp; Grant Documents section of the Grantee’s account.</w:t>
      </w:r>
    </w:p>
    <w:p>
      <w:pPr>
        <w:spacing w:after="0" w:line="157"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In the event that the Relevant TriMas Companies sell any part(s) of their business and/or assets, they will also disclose the Grantee’s personal data to actual or potential</w:t>
      </w:r>
    </w:p>
    <w:p>
      <w:pPr>
        <w:sectPr>
          <w:pgSz w:w="11900" w:h="16838" w:orient="portrait"/>
          <w:cols w:equalWidth="0" w:num="1">
            <w:col w:w="10220"/>
          </w:cols>
          <w:pgMar w:left="1440" w:top="631" w:right="239" w:bottom="1440" w:gutter="0" w:footer="0" w:header="0"/>
        </w:sectPr>
      </w:pPr>
    </w:p>
    <w:bookmarkStart w:id="83" w:name="page84"/>
    <w:bookmarkEnd w:id="83"/>
    <w:p>
      <w:pPr>
        <w:ind w:left="100"/>
        <w:spacing w:after="0" w:line="263" w:lineRule="auto"/>
        <w:rPr>
          <w:sz w:val="20"/>
          <w:szCs w:val="20"/>
          <w:color w:val="auto"/>
        </w:rPr>
      </w:pPr>
      <w:r>
        <w:rPr>
          <w:rFonts w:ascii="Arial" w:cs="Arial" w:eastAsia="Arial" w:hAnsi="Arial"/>
          <w:sz w:val="22"/>
          <w:szCs w:val="22"/>
          <w:color w:val="auto"/>
        </w:rPr>
        <w:t>purchasers of parts of its business or assets, and their respective advisers and insurers for the potential purchaser’s legitimate interests of:</w:t>
      </w:r>
    </w:p>
    <w:p>
      <w:pPr>
        <w:spacing w:after="0" w:line="175" w:lineRule="exact"/>
        <w:rPr>
          <w:sz w:val="20"/>
          <w:szCs w:val="20"/>
          <w:color w:val="auto"/>
        </w:rPr>
      </w:pPr>
    </w:p>
    <w:p>
      <w:pPr>
        <w:ind w:left="760" w:hanging="331"/>
        <w:spacing w:after="0"/>
        <w:tabs>
          <w:tab w:leader="none" w:pos="7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enabling potential purchasers to complete due diligence on, and value, the business and/or assets;</w:t>
      </w:r>
    </w:p>
    <w:p>
      <w:pPr>
        <w:spacing w:after="0" w:line="231" w:lineRule="exact"/>
        <w:rPr>
          <w:rFonts w:ascii="Arial" w:cs="Arial" w:eastAsia="Arial" w:hAnsi="Arial"/>
          <w:sz w:val="21"/>
          <w:szCs w:val="21"/>
          <w:color w:val="auto"/>
        </w:rPr>
      </w:pPr>
    </w:p>
    <w:p>
      <w:pPr>
        <w:ind w:left="760" w:hanging="331"/>
        <w:spacing w:after="0" w:line="263" w:lineRule="auto"/>
        <w:tabs>
          <w:tab w:leader="none" w:pos="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transferring the personal data in connection with any relevant sale and the transfer of the Relevant TriMas Company’s contractual rights and/or obligations; and</w:t>
      </w:r>
    </w:p>
    <w:p>
      <w:pPr>
        <w:spacing w:after="0" w:line="174" w:lineRule="exact"/>
        <w:rPr>
          <w:rFonts w:ascii="Arial" w:cs="Arial" w:eastAsia="Arial" w:hAnsi="Arial"/>
          <w:sz w:val="22"/>
          <w:szCs w:val="22"/>
          <w:color w:val="auto"/>
        </w:rPr>
      </w:pPr>
    </w:p>
    <w:p>
      <w:pPr>
        <w:ind w:left="760" w:hanging="331"/>
        <w:spacing w:after="0"/>
        <w:tabs>
          <w:tab w:leader="none" w:pos="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use of such personal data by a purchaser for the operation of its business.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also share the Grantee’s personal data with:</w:t>
      </w:r>
    </w:p>
    <w:p>
      <w:pPr>
        <w:spacing w:after="0" w:line="220" w:lineRule="exact"/>
        <w:rPr>
          <w:sz w:val="20"/>
          <w:szCs w:val="20"/>
          <w:color w:val="auto"/>
        </w:rPr>
      </w:pPr>
    </w:p>
    <w:p>
      <w:pPr>
        <w:ind w:left="760" w:hanging="331"/>
        <w:spacing w:after="0"/>
        <w:tabs>
          <w:tab w:leader="none" w:pos="7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its professional advisors, auditors, service providers;</w:t>
      </w:r>
    </w:p>
    <w:p>
      <w:pPr>
        <w:spacing w:after="0" w:line="219"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5" w:lineRule="exact"/>
        <w:rPr>
          <w:rFonts w:ascii="Arial" w:cs="Arial" w:eastAsia="Arial" w:hAnsi="Arial"/>
          <w:sz w:val="22"/>
          <w:szCs w:val="22"/>
          <w:color w:val="auto"/>
        </w:rPr>
      </w:pPr>
    </w:p>
    <w:p>
      <w:pPr>
        <w:jc w:val="both"/>
        <w:ind w:left="760" w:hanging="331"/>
        <w:spacing w:after="0" w:line="312" w:lineRule="auto"/>
        <w:tabs>
          <w:tab w:leader="none" w:pos="7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Retention of Personal Data</w:t>
      </w:r>
    </w:p>
    <w:p>
      <w:pPr>
        <w:spacing w:after="0" w:line="226"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The Relevant TriMas Companies will retain the Grantee’s personal data for the duration of the Plan and for a further period of eight years after the Grantee ceases to be a member of the Plan.</w:t>
      </w:r>
    </w:p>
    <w:p>
      <w:pPr>
        <w:spacing w:after="0" w:line="17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The Grantee’s Rights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In order to control the use of their personal data, each Grantee has the following controls over their personal data:</w:t>
      </w:r>
    </w:p>
    <w:p>
      <w:pPr>
        <w:spacing w:after="0" w:line="254" w:lineRule="exact"/>
        <w:rPr>
          <w:sz w:val="20"/>
          <w:szCs w:val="20"/>
          <w:color w:val="auto"/>
        </w:rPr>
      </w:pPr>
    </w:p>
    <w:p>
      <w:pPr>
        <w:ind w:left="760" w:hanging="331"/>
        <w:spacing w:after="0" w:line="263" w:lineRule="auto"/>
        <w:tabs>
          <w:tab w:leader="none" w:pos="7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Each Grantee may request access to or copies of the personal data that the Relevant TriMas Companies hold about them by contacting their local human resources representative;</w:t>
      </w:r>
    </w:p>
    <w:p>
      <w:pPr>
        <w:spacing w:after="0" w:line="174"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Grantee believes that any information the Relevant TriMas Companies hold about them is incorrect or incomplete, the Grantee should contact their</w:t>
      </w:r>
    </w:p>
    <w:p>
      <w:pPr>
        <w:sectPr>
          <w:pgSz w:w="11900" w:h="16838" w:orient="portrait"/>
          <w:cols w:equalWidth="0" w:num="1">
            <w:col w:w="10220"/>
          </w:cols>
          <w:pgMar w:left="1440" w:top="631" w:right="239" w:bottom="1440" w:gutter="0" w:footer="0" w:header="0"/>
        </w:sectPr>
      </w:pPr>
    </w:p>
    <w:bookmarkStart w:id="84" w:name="page85"/>
    <w:bookmarkEnd w:id="84"/>
    <w:p>
      <w:pPr>
        <w:jc w:val="both"/>
        <w:ind w:left="1960"/>
        <w:spacing w:after="0" w:line="250" w:lineRule="auto"/>
        <w:rPr>
          <w:sz w:val="20"/>
          <w:szCs w:val="20"/>
          <w:color w:val="auto"/>
        </w:rPr>
      </w:pPr>
      <w:r>
        <w:rPr>
          <w:rFonts w:ascii="Arial" w:cs="Arial" w:eastAsia="Arial" w:hAnsi="Arial"/>
          <w:sz w:val="22"/>
          <w:szCs w:val="22"/>
          <w:color w:val="auto"/>
        </w:rPr>
        <w:t>local human resources representative as soon as possible. The Relevant TriMas Companies will take steps to seek to correct or update any information if they are satisfied that the information they holds is inaccurate. In certain circumstances, the Grantee may also request that the Relevant TriMas Companies restrict their processing;</w:t>
      </w:r>
    </w:p>
    <w:p>
      <w:pPr>
        <w:spacing w:after="0" w:line="188" w:lineRule="exact"/>
        <w:rPr>
          <w:sz w:val="20"/>
          <w:szCs w:val="20"/>
          <w:color w:val="auto"/>
        </w:rPr>
      </w:pPr>
    </w:p>
    <w:p>
      <w:pPr>
        <w:jc w:val="both"/>
        <w:ind w:left="1960" w:hanging="331"/>
        <w:spacing w:after="0" w:line="250" w:lineRule="auto"/>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88" w:lineRule="exact"/>
        <w:rPr>
          <w:rFonts w:ascii="Arial" w:cs="Arial" w:eastAsia="Arial" w:hAnsi="Arial"/>
          <w:sz w:val="22"/>
          <w:szCs w:val="22"/>
          <w:color w:val="auto"/>
        </w:rPr>
      </w:pPr>
    </w:p>
    <w:p>
      <w:pPr>
        <w:jc w:val="both"/>
        <w:ind w:left="1960" w:hanging="331"/>
        <w:spacing w:after="0" w:line="248" w:lineRule="auto"/>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192" w:lineRule="exact"/>
        <w:rPr>
          <w:rFonts w:ascii="Arial" w:cs="Arial" w:eastAsia="Arial" w:hAnsi="Arial"/>
          <w:sz w:val="22"/>
          <w:szCs w:val="22"/>
          <w:color w:val="auto"/>
        </w:rPr>
      </w:pPr>
    </w:p>
    <w:p>
      <w:pPr>
        <w:jc w:val="both"/>
        <w:ind w:left="1960" w:hanging="331"/>
        <w:spacing w:after="0" w:line="250" w:lineRule="auto"/>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Arial" w:cs="Arial" w:eastAsia="Arial" w:hAnsi="Arial"/>
          <w:sz w:val="19"/>
          <w:szCs w:val="19"/>
          <w:u w:val="single" w:color="auto"/>
          <w:color w:val="0000FF"/>
        </w:rPr>
        <w:t>https://ico.org.uk/concerns/</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II.B.16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ectPr>
          <w:pgSz w:w="11900" w:h="16838" w:orient="portrait"/>
          <w:cols w:equalWidth="0" w:num="1">
            <w:col w:w="11420"/>
          </w:cols>
          <w:pgMar w:left="240" w:top="63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Restricted Stock Units Award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To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80" w:lineRule="exact"/>
        <w:rPr>
          <w:sz w:val="20"/>
          <w:szCs w:val="20"/>
          <w:color w:val="auto"/>
        </w:rPr>
      </w:pPr>
    </w:p>
    <w:p>
      <w:pPr>
        <w:ind w:left="360" w:hanging="352"/>
        <w:spacing w:after="0"/>
        <w:tabs>
          <w:tab w:leader="none" w:pos="3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AWARD</w:t>
      </w:r>
    </w:p>
    <w:p>
      <w:pPr>
        <w:sectPr>
          <w:pgSz w:w="11900" w:h="16838" w:orient="portrait"/>
          <w:cols w:equalWidth="0" w:num="1">
            <w:col w:w="11420"/>
          </w:cols>
          <w:pgMar w:left="240" w:top="841" w:right="239" w:bottom="1440" w:gutter="0" w:footer="0" w:header="0"/>
        </w:sect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[specify Grantee’s name]</w:t>
      </w:r>
    </w:p>
    <w:p>
      <w:pPr>
        <w:spacing w:after="0" w:line="73" w:lineRule="exact"/>
        <w:rPr>
          <w:sz w:val="20"/>
          <w:szCs w:val="20"/>
          <w:color w:val="auto"/>
        </w:rPr>
      </w:pPr>
    </w:p>
    <w:p>
      <w:pPr>
        <w:sectPr>
          <w:pgSz w:w="11900" w:h="16838" w:orient="portrait"/>
          <w:cols w:equalWidth="0" w:num="2">
            <w:col w:w="5780" w:space="720"/>
            <w:col w:w="4920"/>
          </w:cols>
          <w:pgMar w:left="240" w:top="841" w:right="239" w:bottom="1440" w:gutter="0" w:footer="0" w:header="0"/>
          <w:type w:val="continuous"/>
        </w:sectPr>
      </w:pPr>
    </w:p>
    <w:p>
      <w:pPr>
        <w:ind w:left="42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 of [enter date]</w:t>
      </w:r>
    </w:p>
    <w:p>
      <w:pPr>
        <w:spacing w:after="0" w:line="73" w:lineRule="exact"/>
        <w:rPr>
          <w:sz w:val="20"/>
          <w:szCs w:val="20"/>
          <w:color w:val="auto"/>
        </w:rPr>
      </w:pPr>
    </w:p>
    <w:p>
      <w:pPr>
        <w:sectPr>
          <w:pgSz w:w="11900" w:h="16838" w:orient="portrait"/>
          <w:cols w:equalWidth="0" w:num="2">
            <w:col w:w="5780" w:space="720"/>
            <w:col w:w="4920"/>
          </w:cols>
          <w:pgMar w:left="240" w:top="841" w:right="239" w:bottom="1440" w:gutter="0" w:footer="0" w:header="0"/>
          <w:type w:val="continuous"/>
        </w:sectPr>
      </w:pPr>
    </w:p>
    <w:p>
      <w:pPr>
        <w:ind w:left="42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May 1, 2018</w:t>
      </w:r>
    </w:p>
    <w:p>
      <w:pPr>
        <w:spacing w:after="0" w:line="73" w:lineRule="exact"/>
        <w:rPr>
          <w:sz w:val="20"/>
          <w:szCs w:val="20"/>
          <w:color w:val="auto"/>
        </w:rPr>
      </w:pPr>
    </w:p>
    <w:p>
      <w:pPr>
        <w:sectPr>
          <w:pgSz w:w="11900" w:h="16838" w:orient="portrait"/>
          <w:cols w:equalWidth="0" w:num="2">
            <w:col w:w="5780" w:space="720"/>
            <w:col w:w="4920"/>
          </w:cols>
          <w:pgMar w:left="240" w:top="841" w:right="239" w:bottom="1440" w:gutter="0" w:footer="0" w:header="0"/>
          <w:type w:val="continuous"/>
        </w:sectPr>
      </w:pPr>
    </w:p>
    <w:p>
      <w:pPr>
        <w:ind w:left="42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Restricted Stock Units]</w:t>
      </w:r>
    </w:p>
    <w:p>
      <w:pPr>
        <w:spacing w:after="0" w:line="200" w:lineRule="exact"/>
        <w:rPr>
          <w:sz w:val="20"/>
          <w:szCs w:val="20"/>
          <w:color w:val="auto"/>
        </w:rPr>
      </w:pPr>
    </w:p>
    <w:p>
      <w:pPr>
        <w:sectPr>
          <w:pgSz w:w="11900" w:h="16838" w:orient="portrait"/>
          <w:cols w:equalWidth="0" w:num="2">
            <w:col w:w="5780" w:space="720"/>
            <w:col w:w="4920"/>
          </w:cols>
          <w:pgMar w:left="240" w:top="841" w:right="239" w:bottom="1440" w:gutter="0" w:footer="0" w:header="0"/>
          <w:type w:val="continuous"/>
        </w:sectPr>
      </w:pPr>
    </w:p>
    <w:p>
      <w:pPr>
        <w:spacing w:after="0" w:line="332"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20" w:lineRule="exact"/>
        <w:rPr>
          <w:sz w:val="20"/>
          <w:szCs w:val="20"/>
          <w:color w:val="auto"/>
        </w:rPr>
      </w:pPr>
    </w:p>
    <w:p>
      <w:pPr>
        <w:jc w:val="both"/>
        <w:ind w:firstLine="8"/>
        <w:spacing w:after="0" w:line="264" w:lineRule="auto"/>
        <w:tabs>
          <w:tab w:leader="none" w:pos="467"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has granted to Grantee (who, pursuant to this Award is a Participant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the number of Restricted Stock Units set forth above, subject to adjustment as provided in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70" w:lineRule="exact"/>
        <w:rPr>
          <w:rFonts w:ascii="Arial" w:cs="Arial" w:eastAsia="Arial" w:hAnsi="Arial"/>
          <w:sz w:val="21"/>
          <w:szCs w:val="21"/>
          <w:b w:val="1"/>
          <w:bCs w:val="1"/>
          <w:color w:val="auto"/>
        </w:rPr>
      </w:pPr>
    </w:p>
    <w:p>
      <w:pPr>
        <w:ind w:left="1040" w:hanging="384"/>
        <w:spacing w:after="0"/>
        <w:tabs>
          <w:tab w:leader="none" w:pos="1040" w:val="left"/>
        </w:tabs>
        <w:numPr>
          <w:ilvl w:val="1"/>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660" w:firstLine="645"/>
        <w:spacing w:after="0" w:line="269" w:lineRule="auto"/>
        <w:tabs>
          <w:tab w:leader="none" w:pos="2196" w:val="left"/>
        </w:tabs>
        <w:numPr>
          <w:ilvl w:val="2"/>
          <w:numId w:val="86"/>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full on the first anniversary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of Grant (the “Vesting Date”), subject generally</w:t>
      </w:r>
    </w:p>
    <w:p>
      <w:pPr>
        <w:sectPr>
          <w:pgSz w:w="11900" w:h="16838" w:orient="portrait"/>
          <w:cols w:equalWidth="0" w:num="1">
            <w:col w:w="11420"/>
          </w:cols>
          <w:pgMar w:left="240" w:top="841" w:right="239" w:bottom="1440" w:gutter="0" w:footer="0" w:header="0"/>
          <w:type w:val="continuous"/>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to Grantee’s continued status as a Service Provider through such Vesting Date. In particular, this Award is subject to Section 18(c) of the Plan.</w:t>
      </w:r>
    </w:p>
    <w:p>
      <w:pPr>
        <w:spacing w:after="0" w:line="169" w:lineRule="exact"/>
        <w:rPr>
          <w:sz w:val="20"/>
          <w:szCs w:val="20"/>
          <w:color w:val="auto"/>
        </w:rPr>
      </w:pPr>
    </w:p>
    <w:p>
      <w:pPr>
        <w:jc w:val="both"/>
        <w:ind w:firstLine="645"/>
        <w:spacing w:after="0" w:line="248" w:lineRule="auto"/>
        <w:tabs>
          <w:tab w:leader="none" w:pos="1549"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Any unvested Restricted Stock Units subject to this Award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canceled and forfeited if Grantee terminates as a Service Provider, or if Grantee’s status as a Service Provider is terminated by the Company, for any reason before the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187" w:lineRule="exact"/>
        <w:rPr>
          <w:rFonts w:ascii="Arial" w:cs="Arial" w:eastAsia="Arial" w:hAnsi="Arial"/>
          <w:sz w:val="22"/>
          <w:szCs w:val="22"/>
          <w:color w:val="auto"/>
        </w:rPr>
      </w:pPr>
    </w:p>
    <w:p>
      <w:pPr>
        <w:jc w:val="both"/>
        <w:ind w:firstLine="645"/>
        <w:spacing w:after="0" w:line="264" w:lineRule="auto"/>
        <w:tabs>
          <w:tab w:leader="none" w:pos="1536" w:val="left"/>
        </w:tabs>
        <w:numPr>
          <w:ilvl w:val="0"/>
          <w:numId w:val="87"/>
        </w:numPr>
        <w:rPr>
          <w:rFonts w:ascii="Arial" w:cs="Arial" w:eastAsia="Arial" w:hAnsi="Arial"/>
          <w:sz w:val="21"/>
          <w:szCs w:val="21"/>
          <w:color w:val="auto"/>
        </w:rPr>
      </w:pPr>
      <w:r>
        <w:rPr>
          <w:rFonts w:ascii="Arial" w:cs="Arial" w:eastAsia="Arial" w:hAnsi="Arial"/>
          <w:sz w:val="21"/>
          <w:szCs w:val="21"/>
          <w:b w:val="1"/>
          <w:bCs w:val="1"/>
          <w:color w:val="auto"/>
        </w:rPr>
        <w:t>Disability Definition</w:t>
      </w:r>
      <w:r>
        <w:rPr>
          <w:rFonts w:ascii="Arial" w:cs="Arial" w:eastAsia="Arial" w:hAnsi="Arial"/>
          <w:sz w:val="21"/>
          <w:szCs w:val="21"/>
          <w:color w:val="auto"/>
        </w:rPr>
        <w:t>. For purposes of this Agreement, “Disability” (and similar terms) means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6" w:lineRule="exact"/>
        <w:rPr>
          <w:rFonts w:ascii="Arial" w:cs="Arial" w:eastAsia="Arial" w:hAnsi="Arial"/>
          <w:sz w:val="21"/>
          <w:szCs w:val="21"/>
          <w:color w:val="auto"/>
        </w:rPr>
      </w:pPr>
    </w:p>
    <w:p>
      <w:pPr>
        <w:ind w:left="640" w:firstLine="653"/>
        <w:spacing w:after="0" w:line="263" w:lineRule="auto"/>
        <w:tabs>
          <w:tab w:leader="none" w:pos="1810" w:val="left"/>
        </w:tabs>
        <w:numPr>
          <w:ilvl w:val="1"/>
          <w:numId w:val="87"/>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15" w:lineRule="exact"/>
        <w:rPr>
          <w:rFonts w:ascii="Arial" w:cs="Arial" w:eastAsia="Arial" w:hAnsi="Arial"/>
          <w:sz w:val="22"/>
          <w:szCs w:val="22"/>
          <w:color w:val="auto"/>
        </w:rPr>
      </w:pPr>
    </w:p>
    <w:p>
      <w:pPr>
        <w:ind w:left="640" w:firstLine="653"/>
        <w:spacing w:after="0" w:line="287" w:lineRule="auto"/>
        <w:tabs>
          <w:tab w:leader="none" w:pos="1756" w:val="left"/>
        </w:tabs>
        <w:numPr>
          <w:ilvl w:val="1"/>
          <w:numId w:val="87"/>
        </w:numPr>
        <w:rPr>
          <w:rFonts w:ascii="Arial" w:cs="Arial" w:eastAsia="Arial" w:hAnsi="Arial"/>
          <w:sz w:val="21"/>
          <w:szCs w:val="21"/>
          <w:color w:val="auto"/>
        </w:rPr>
      </w:pPr>
      <w:r>
        <w:rPr>
          <w:rFonts w:ascii="Arial" w:cs="Arial" w:eastAsia="Arial" w:hAnsi="Arial"/>
          <w:sz w:val="21"/>
          <w:szCs w:val="21"/>
          <w:color w:val="auto"/>
        </w:rPr>
        <w:t>resulted from an intentionally self-inflicted injury or an addiction to drugs, alcohol, or substances which are not administered under the direction of a licensed physician as part of a medical treatment plan; or</w:t>
      </w:r>
    </w:p>
    <w:p>
      <w:pPr>
        <w:spacing w:after="0" w:line="192" w:lineRule="exact"/>
        <w:rPr>
          <w:rFonts w:ascii="Arial" w:cs="Arial" w:eastAsia="Arial" w:hAnsi="Arial"/>
          <w:sz w:val="21"/>
          <w:szCs w:val="21"/>
          <w:color w:val="auto"/>
        </w:rPr>
      </w:pPr>
    </w:p>
    <w:p>
      <w:pPr>
        <w:jc w:val="both"/>
        <w:ind w:left="640" w:firstLine="653"/>
        <w:spacing w:after="0" w:line="253" w:lineRule="auto"/>
        <w:tabs>
          <w:tab w:leader="none" w:pos="1905" w:val="left"/>
        </w:tabs>
        <w:numPr>
          <w:ilvl w:val="1"/>
          <w:numId w:val="87"/>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w:t>
      </w:r>
    </w:p>
    <w:p>
      <w:pPr>
        <w:spacing w:after="0" w:line="21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847"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9"/>
          <w:szCs w:val="19"/>
          <w:color w:val="auto"/>
        </w:rPr>
        <w:t>by the Committee or the Company, then in any such event Grantee shall be deemed to have recovered from such Disability.</w:t>
      </w:r>
    </w:p>
    <w:p>
      <w:pPr>
        <w:spacing w:after="0" w:line="289" w:lineRule="exact"/>
        <w:rPr>
          <w:sz w:val="20"/>
          <w:szCs w:val="20"/>
          <w:color w:val="auto"/>
        </w:rPr>
      </w:pPr>
    </w:p>
    <w:p>
      <w:pPr>
        <w:ind w:left="660" w:right="320" w:firstLine="645"/>
        <w:spacing w:after="0" w:line="256" w:lineRule="auto"/>
        <w:tabs>
          <w:tab w:leader="none" w:pos="2209" w:val="left"/>
        </w:tabs>
        <w:numPr>
          <w:ilvl w:val="2"/>
          <w:numId w:val="88"/>
        </w:numPr>
        <w:rPr>
          <w:rFonts w:ascii="Arial" w:cs="Arial" w:eastAsia="Arial" w:hAnsi="Arial"/>
          <w:sz w:val="22"/>
          <w:szCs w:val="22"/>
          <w:color w:val="auto"/>
        </w:rPr>
      </w:pPr>
      <w:r>
        <w:rPr>
          <w:rFonts w:ascii="Arial" w:cs="Arial" w:eastAsia="Arial" w:hAnsi="Arial"/>
          <w:sz w:val="22"/>
          <w:szCs w:val="22"/>
          <w:b w:val="1"/>
          <w:bCs w:val="1"/>
          <w:color w:val="auto"/>
        </w:rPr>
        <w:t>Retirement Definition</w:t>
      </w:r>
      <w:r>
        <w:rPr>
          <w:rFonts w:ascii="Arial" w:cs="Arial" w:eastAsia="Arial" w:hAnsi="Arial"/>
          <w:sz w:val="22"/>
          <w:szCs w:val="22"/>
          <w:color w:val="auto"/>
        </w:rPr>
        <w:t>. For purposes of this Agreement, “Retirement” means termination of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status as a Service Provider with the consent of the Committee after attaining age 55 and five years of service with the Company and its Subsidiaries.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60" w:firstLine="645"/>
        <w:spacing w:after="0" w:line="256" w:lineRule="auto"/>
        <w:tabs>
          <w:tab w:leader="none" w:pos="2196" w:val="left"/>
        </w:tabs>
        <w:numPr>
          <w:ilvl w:val="2"/>
          <w:numId w:val="89"/>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thirty (30) days following) the Vesting Date, the Company shall issue Grantee one share of Common Stock for each vested Restricted Stock Unit.</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2209" w:val="left"/>
        </w:tabs>
        <w:numPr>
          <w:ilvl w:val="2"/>
          <w:numId w:val="89"/>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are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86" w:lineRule="exact"/>
        <w:rPr>
          <w:rFonts w:ascii="Arial" w:cs="Arial" w:eastAsia="Arial" w:hAnsi="Arial"/>
          <w:sz w:val="22"/>
          <w:szCs w:val="22"/>
          <w:color w:val="auto"/>
        </w:rPr>
      </w:pPr>
    </w:p>
    <w:p>
      <w:pPr>
        <w:jc w:val="both"/>
        <w:ind w:left="80" w:firstLine="644"/>
        <w:spacing w:after="0" w:line="259" w:lineRule="auto"/>
        <w:tabs>
          <w:tab w:leader="none" w:pos="1174" w:val="left"/>
        </w:tabs>
        <w:numPr>
          <w:ilvl w:val="1"/>
          <w:numId w:val="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Restricted Stock Unit equal to the amount of</w:t>
      </w:r>
      <w:r>
        <w:rPr>
          <w:rFonts w:ascii="Arial" w:cs="Arial" w:eastAsia="Arial" w:hAnsi="Arial"/>
          <w:sz w:val="21"/>
          <w:szCs w:val="21"/>
          <w:b w:val="1"/>
          <w:bCs w:val="1"/>
          <w:color w:val="auto"/>
        </w:rPr>
        <w:t xml:space="preserve"> </w:t>
      </w:r>
      <w:r>
        <w:rPr>
          <w:rFonts w:ascii="Arial" w:cs="Arial" w:eastAsia="Arial" w:hAnsi="Arial"/>
          <w:sz w:val="21"/>
          <w:szCs w:val="21"/>
          <w:color w:val="auto"/>
        </w:rPr>
        <w:t>each 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0" w:lineRule="exact"/>
        <w:rPr>
          <w:rFonts w:ascii="Arial" w:cs="Arial" w:eastAsia="Arial" w:hAnsi="Arial"/>
          <w:sz w:val="21"/>
          <w:szCs w:val="21"/>
          <w:b w:val="1"/>
          <w:bCs w:val="1"/>
          <w:color w:val="auto"/>
        </w:rPr>
      </w:pPr>
    </w:p>
    <w:p>
      <w:pPr>
        <w:ind w:left="80" w:firstLine="644"/>
        <w:spacing w:after="0" w:line="293" w:lineRule="auto"/>
        <w:tabs>
          <w:tab w:leader="none" w:pos="1106" w:val="left"/>
        </w:tabs>
        <w:numPr>
          <w:ilvl w:val="1"/>
          <w:numId w:val="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Shareholder</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not have any rights of a stockholder (including voting and dividend rights)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Restricted Stock Units covered by this Award (except as otherwise provided in Section II.A.3).</w:t>
      </w:r>
    </w:p>
    <w:p>
      <w:pPr>
        <w:spacing w:after="0" w:line="140" w:lineRule="exact"/>
        <w:rPr>
          <w:sz w:val="20"/>
          <w:szCs w:val="20"/>
          <w:color w:val="auto"/>
        </w:rPr>
      </w:pPr>
    </w:p>
    <w:p>
      <w:pPr>
        <w:ind w:firstLine="656"/>
        <w:spacing w:after="0" w:line="269" w:lineRule="auto"/>
        <w:tabs>
          <w:tab w:leader="none" w:pos="1067" w:val="left"/>
        </w:tabs>
        <w:numPr>
          <w:ilvl w:val="1"/>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11 of the Plan.</w:t>
      </w:r>
    </w:p>
    <w:p>
      <w:pPr>
        <w:spacing w:after="0" w:line="162" w:lineRule="exact"/>
        <w:rPr>
          <w:rFonts w:ascii="Arial" w:cs="Arial" w:eastAsia="Arial" w:hAnsi="Arial"/>
          <w:sz w:val="22"/>
          <w:szCs w:val="22"/>
          <w:b w:val="1"/>
          <w:bCs w:val="1"/>
          <w:color w:val="auto"/>
        </w:rPr>
      </w:pPr>
    </w:p>
    <w:p>
      <w:pPr>
        <w:ind w:left="420" w:hanging="412"/>
        <w:spacing w:after="0"/>
        <w:tabs>
          <w:tab w:leader="none" w:pos="42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067" w:val="left"/>
        </w:tabs>
        <w:numPr>
          <w:ilvl w:val="1"/>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be sold, pledged, assigned, hypothecated,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22"/>
          <w:szCs w:val="22"/>
          <w:color w:val="auto"/>
        </w:rPr>
        <w:t>transferred, or disposed of in any manner other than by will or by the laws of descent or distribution. The terms of this Award are binding on the executors, administrators, heirs, successors and assigns of Grantee.</w:t>
      </w:r>
    </w:p>
    <w:p>
      <w:pPr>
        <w:spacing w:after="0" w:line="169" w:lineRule="exact"/>
        <w:rPr>
          <w:sz w:val="20"/>
          <w:szCs w:val="20"/>
          <w:color w:val="auto"/>
        </w:rPr>
      </w:pPr>
    </w:p>
    <w:p>
      <w:pPr>
        <w:jc w:val="both"/>
        <w:ind w:firstLine="656"/>
        <w:spacing w:after="0" w:line="256" w:lineRule="auto"/>
        <w:tabs>
          <w:tab w:leader="none" w:pos="104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is responsible for the payment of any and all taxes that arise with respect to this Award. Grantee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tender sufficient funds to satisfy any applicable taxes arising in connection with the vesting of the Restricted Stock Units (or other applicable events) under this Award.</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053"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Company agree that any disagreement, dispute, controversy, or claim arising out</w:t>
      </w:r>
      <w:r>
        <w:rPr>
          <w:rFonts w:ascii="Arial" w:cs="Arial" w:eastAsia="Arial" w:hAnsi="Arial"/>
          <w:sz w:val="22"/>
          <w:szCs w:val="22"/>
          <w:b w:val="1"/>
          <w:bCs w:val="1"/>
          <w:color w:val="auto"/>
        </w:rPr>
        <w:t xml:space="preserve"> </w:t>
      </w:r>
      <w:r>
        <w:rPr>
          <w:rFonts w:ascii="Arial" w:cs="Arial" w:eastAsia="Arial" w:hAnsi="Arial"/>
          <w:sz w:val="22"/>
          <w:szCs w:val="22"/>
          <w:color w:val="auto"/>
        </w:rPr>
        <w:t>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80" w:lineRule="exact"/>
        <w:rPr>
          <w:rFonts w:ascii="Arial" w:cs="Arial" w:eastAsia="Arial" w:hAnsi="Arial"/>
          <w:sz w:val="22"/>
          <w:szCs w:val="22"/>
          <w:b w:val="1"/>
          <w:bCs w:val="1"/>
          <w:color w:val="auto"/>
        </w:rPr>
      </w:pPr>
    </w:p>
    <w:p>
      <w:pPr>
        <w:jc w:val="both"/>
        <w:ind w:left="560" w:firstLine="650"/>
        <w:spacing w:after="0" w:line="256" w:lineRule="auto"/>
        <w:tabs>
          <w:tab w:leader="none" w:pos="2177" w:val="left"/>
        </w:tabs>
        <w:numPr>
          <w:ilvl w:val="1"/>
          <w:numId w:val="92"/>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560" w:firstLine="650"/>
        <w:spacing w:after="0" w:line="264" w:lineRule="auto"/>
        <w:tabs>
          <w:tab w:leader="none" w:pos="2189" w:val="left"/>
        </w:tabs>
        <w:numPr>
          <w:ilvl w:val="1"/>
          <w:numId w:val="92"/>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0" w:lineRule="exact"/>
        <w:rPr>
          <w:rFonts w:ascii="Arial" w:cs="Arial" w:eastAsia="Arial" w:hAnsi="Arial"/>
          <w:sz w:val="21"/>
          <w:szCs w:val="21"/>
          <w:color w:val="auto"/>
        </w:rPr>
      </w:pPr>
    </w:p>
    <w:p>
      <w:pPr>
        <w:jc w:val="both"/>
        <w:ind w:left="1300" w:firstLine="653"/>
        <w:spacing w:after="0" w:line="247" w:lineRule="auto"/>
        <w:tabs>
          <w:tab w:leader="none" w:pos="2470" w:val="left"/>
        </w:tabs>
        <w:numPr>
          <w:ilvl w:val="2"/>
          <w:numId w:val="92"/>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2"/>
          <w:numId w:val="92"/>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315" w:lineRule="auto"/>
        <w:tabs>
          <w:tab w:leader="none" w:pos="2470" w:val="left"/>
        </w:tabs>
        <w:numPr>
          <w:ilvl w:val="2"/>
          <w:numId w:val="92"/>
        </w:numPr>
        <w:rPr>
          <w:rFonts w:ascii="Arial" w:cs="Arial" w:eastAsia="Arial" w:hAnsi="Arial"/>
          <w:sz w:val="19"/>
          <w:szCs w:val="19"/>
          <w:color w:val="auto"/>
        </w:rPr>
      </w:pPr>
      <w:r>
        <w:rPr>
          <w:rFonts w:ascii="Arial" w:cs="Arial" w:eastAsia="Arial" w:hAnsi="Arial"/>
          <w:sz w:val="19"/>
          <w:szCs w:val="19"/>
          <w:b w:val="1"/>
          <w:bCs w:val="1"/>
          <w:color w:val="auto"/>
        </w:rPr>
        <w:t>Procedure</w:t>
      </w:r>
      <w:r>
        <w:rPr>
          <w:rFonts w:ascii="Arial" w:cs="Arial" w:eastAsia="Arial" w:hAnsi="Arial"/>
          <w:sz w:val="19"/>
          <w:szCs w:val="19"/>
          <w:color w:val="auto"/>
        </w:rPr>
        <w:t>. At any oral hearing of evidence in connection with the arbitration, each party or its legal</w:t>
      </w:r>
      <w:r>
        <w:rPr>
          <w:rFonts w:ascii="Arial" w:cs="Arial" w:eastAsia="Arial" w:hAnsi="Arial"/>
          <w:sz w:val="19"/>
          <w:szCs w:val="19"/>
          <w:b w:val="1"/>
          <w:bCs w:val="1"/>
          <w:color w:val="auto"/>
        </w:rPr>
        <w:t xml:space="preserve"> </w:t>
      </w:r>
      <w:r>
        <w:rPr>
          <w:rFonts w:ascii="Arial" w:cs="Arial" w:eastAsia="Arial" w:hAnsi="Arial"/>
          <w:sz w:val="19"/>
          <w:szCs w:val="19"/>
          <w:color w:val="auto"/>
        </w:rPr>
        <w:t>counsel will have the right to examine its witnesses and cross-examine the witnesses of any opposing party. No evidence of any witness may be presented in any form unless the opposing party or parties has the opportunity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89" w:name="page90"/>
    <w:bookmarkEnd w:id="89"/>
    <w:p>
      <w:pPr>
        <w:ind w:left="1300"/>
        <w:spacing w:after="0" w:line="263" w:lineRule="auto"/>
        <w:rPr>
          <w:sz w:val="20"/>
          <w:szCs w:val="20"/>
          <w:color w:val="auto"/>
        </w:rPr>
      </w:pPr>
      <w:r>
        <w:rPr>
          <w:rFonts w:ascii="Arial" w:cs="Arial" w:eastAsia="Arial" w:hAnsi="Arial"/>
          <w:sz w:val="22"/>
          <w:szCs w:val="22"/>
          <w:color w:val="auto"/>
        </w:rPr>
        <w:t>to cross-examine the witness, except under extraordinary circumstances in which the arbitrator determines that the interests of justice require a different procedure.</w:t>
      </w:r>
    </w:p>
    <w:p>
      <w:pPr>
        <w:spacing w:after="0" w:line="169" w:lineRule="exact"/>
        <w:rPr>
          <w:sz w:val="20"/>
          <w:szCs w:val="20"/>
          <w:color w:val="auto"/>
        </w:rPr>
      </w:pPr>
    </w:p>
    <w:p>
      <w:pPr>
        <w:jc w:val="both"/>
        <w:ind w:left="1300" w:firstLine="653"/>
        <w:spacing w:after="0" w:line="252" w:lineRule="auto"/>
        <w:tabs>
          <w:tab w:leader="none" w:pos="2470"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jc w:val="both"/>
        <w:ind w:firstLine="656"/>
        <w:spacing w:after="0" w:line="298" w:lineRule="auto"/>
        <w:tabs>
          <w:tab w:leader="none" w:pos="104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 of the Code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Grantee).</w:t>
      </w:r>
    </w:p>
    <w:p>
      <w:pPr>
        <w:spacing w:after="0" w:line="142" w:lineRule="exact"/>
        <w:rPr>
          <w:rFonts w:ascii="Arial" w:cs="Arial" w:eastAsia="Arial" w:hAnsi="Arial"/>
          <w:sz w:val="19"/>
          <w:szCs w:val="19"/>
          <w:b w:val="1"/>
          <w:bCs w:val="1"/>
          <w:color w:val="auto"/>
        </w:rPr>
      </w:pPr>
    </w:p>
    <w:p>
      <w:pPr>
        <w:jc w:val="both"/>
        <w:ind w:firstLine="656"/>
        <w:spacing w:after="0" w:line="256" w:lineRule="auto"/>
        <w:tabs>
          <w:tab w:leader="none" w:pos="108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Company or any Subsidiary of the Company, which are hereby expressly reserved.</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29"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ind w:firstLine="656"/>
        <w:spacing w:after="0" w:line="269" w:lineRule="auto"/>
        <w:tabs>
          <w:tab w:leader="none" w:pos="1053"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62" w:lineRule="exact"/>
        <w:rPr>
          <w:rFonts w:ascii="Arial" w:cs="Arial" w:eastAsia="Arial" w:hAnsi="Arial"/>
          <w:sz w:val="22"/>
          <w:szCs w:val="22"/>
          <w:b w:val="1"/>
          <w:bCs w:val="1"/>
          <w:color w:val="auto"/>
        </w:rPr>
      </w:pPr>
    </w:p>
    <w:p>
      <w:pPr>
        <w:ind w:firstLine="656"/>
        <w:spacing w:after="0" w:line="269" w:lineRule="auto"/>
        <w:tabs>
          <w:tab w:leader="none" w:pos="108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Company may, in its sole discretion, deliver any documents related to the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and Grantee’s participation in the Plan, or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90" w:name="page91"/>
    <w:bookmarkEnd w:id="90"/>
    <w:p>
      <w:pPr>
        <w:jc w:val="both"/>
        <w:spacing w:after="0" w:line="250" w:lineRule="auto"/>
        <w:rPr>
          <w:sz w:val="20"/>
          <w:szCs w:val="20"/>
          <w:color w:val="auto"/>
        </w:rPr>
      </w:pPr>
      <w:r>
        <w:rPr>
          <w:rFonts w:ascii="Arial" w:cs="Arial" w:eastAsia="Arial" w:hAnsi="Arial"/>
          <w:sz w:val="22"/>
          <w:szCs w:val="22"/>
          <w:color w:val="auto"/>
        </w:rPr>
        <w:t>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2" w:lineRule="exact"/>
        <w:rPr>
          <w:sz w:val="20"/>
          <w:szCs w:val="20"/>
          <w:color w:val="auto"/>
        </w:rPr>
      </w:pPr>
    </w:p>
    <w:p>
      <w:pPr>
        <w:jc w:val="both"/>
        <w:ind w:firstLine="656"/>
        <w:spacing w:after="0" w:line="249" w:lineRule="auto"/>
        <w:tabs>
          <w:tab w:leader="none" w:pos="1067"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Any amendment to the Plan shall be deemed to be an amendment to this Agreement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7" w:lineRule="exact"/>
        <w:rPr>
          <w:sz w:val="20"/>
          <w:szCs w:val="20"/>
          <w:color w:val="auto"/>
        </w:rPr>
      </w:pPr>
    </w:p>
    <w:p>
      <w:pPr>
        <w:jc w:val="both"/>
        <w:ind w:firstLine="656"/>
        <w:spacing w:after="0" w:line="252" w:lineRule="auto"/>
        <w:tabs>
          <w:tab w:leader="none" w:pos="1053"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color w:val="auto"/>
        </w:rPr>
        <w:t>. This Agreement is subject to the terms and conditions of the Plan. In the event of any inconsistency</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91" w:name="page92"/>
    <w:bookmarkEnd w:id="91"/>
    <w:p>
      <w:pPr>
        <w:jc w:val="both"/>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6380" w:type="dxa"/>
            <w:vAlign w:val="bottom"/>
            <w:gridSpan w:val="3"/>
          </w:tcPr>
          <w:p>
            <w:pPr>
              <w:ind w:left="80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900" w:type="dxa"/>
            <w:vAlign w:val="bottom"/>
          </w:tcPr>
          <w:p>
            <w:pPr>
              <w:spacing w:after="0"/>
              <w:rPr>
                <w:sz w:val="20"/>
                <w:szCs w:val="20"/>
                <w:color w:val="auto"/>
              </w:rPr>
            </w:pPr>
            <w:r>
              <w:rPr>
                <w:rFonts w:ascii="Arial" w:cs="Arial" w:eastAsia="Arial" w:hAnsi="Arial"/>
                <w:sz w:val="22"/>
                <w:szCs w:val="22"/>
                <w:color w:val="auto"/>
              </w:rPr>
              <w:t>Dated as of: [grant date]</w:t>
            </w:r>
          </w:p>
        </w:tc>
        <w:tc>
          <w:tcPr>
            <w:tcW w:w="6380" w:type="dxa"/>
            <w:vAlign w:val="bottom"/>
            <w:gridSpan w:val="3"/>
          </w:tcPr>
          <w:p>
            <w:pPr>
              <w:ind w:left="2120"/>
              <w:spacing w:after="0"/>
              <w:rPr>
                <w:sz w:val="20"/>
                <w:szCs w:val="20"/>
                <w:color w:val="auto"/>
              </w:rPr>
            </w:pPr>
            <w:r>
              <w:rPr>
                <w:rFonts w:ascii="Arial" w:cs="Arial" w:eastAsia="Arial" w:hAnsi="Arial"/>
                <w:sz w:val="22"/>
                <w:szCs w:val="22"/>
                <w:color w:val="auto"/>
              </w:rPr>
              <w:t>By:  /s/ Joshua A. Sherbin</w:t>
            </w:r>
          </w:p>
        </w:tc>
      </w:tr>
      <w:tr>
        <w:trPr>
          <w:trHeight w:val="20"/>
        </w:trPr>
        <w:tc>
          <w:tcPr>
            <w:tcW w:w="2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42"/>
        </w:trPr>
        <w:tc>
          <w:tcPr>
            <w:tcW w:w="2900" w:type="dxa"/>
            <w:vAlign w:val="bottom"/>
          </w:tcPr>
          <w:p>
            <w:pPr>
              <w:spacing w:after="0"/>
              <w:rPr>
                <w:sz w:val="21"/>
                <w:szCs w:val="21"/>
                <w:color w:val="auto"/>
              </w:rPr>
            </w:pPr>
          </w:p>
        </w:tc>
        <w:tc>
          <w:tcPr>
            <w:tcW w:w="6380" w:type="dxa"/>
            <w:vAlign w:val="bottom"/>
            <w:gridSpan w:val="3"/>
          </w:tcPr>
          <w:p>
            <w:pPr>
              <w:ind w:left="2120"/>
              <w:spacing w:after="0" w:line="242" w:lineRule="exact"/>
              <w:rPr>
                <w:sz w:val="20"/>
                <w:szCs w:val="20"/>
                <w:color w:val="auto"/>
              </w:rPr>
            </w:pPr>
            <w:r>
              <w:rPr>
                <w:rFonts w:ascii="Arial" w:cs="Arial" w:eastAsia="Arial" w:hAnsi="Arial"/>
                <w:sz w:val="22"/>
                <w:szCs w:val="22"/>
                <w:color w:val="auto"/>
              </w:rPr>
              <w:t>Name: Joshua A. Sherbin</w:t>
            </w:r>
          </w:p>
        </w:tc>
      </w:tr>
      <w:tr>
        <w:trPr>
          <w:trHeight w:val="275"/>
        </w:trPr>
        <w:tc>
          <w:tcPr>
            <w:tcW w:w="2900" w:type="dxa"/>
            <w:vAlign w:val="bottom"/>
          </w:tcPr>
          <w:p>
            <w:pPr>
              <w:spacing w:after="0"/>
              <w:rPr>
                <w:sz w:val="23"/>
                <w:szCs w:val="23"/>
                <w:color w:val="auto"/>
              </w:rPr>
            </w:pPr>
          </w:p>
        </w:tc>
        <w:tc>
          <w:tcPr>
            <w:tcW w:w="6380" w:type="dxa"/>
            <w:vAlign w:val="bottom"/>
            <w:gridSpan w:val="3"/>
          </w:tcPr>
          <w:p>
            <w:pPr>
              <w:ind w:left="212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2018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2018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x"/>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1)"/>
      <w:numFmt w:val="lowerLetter"/>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lowerLetter"/>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lowerLetter"/>
      <w:start w:val="1"/>
    </w:lvl>
  </w:abstractNum>
  <w:abstractNum w:abstractNumId="11">
    <w:nsid w:val="275AC794"/>
    <w:multiLevelType w:val="hybridMultilevel"/>
    <w:lvl w:ilvl="0">
      <w:lvlJc w:val="left"/>
      <w:lvlText w:val="%1."/>
      <w:numFmt w:val="upperLetter"/>
      <w:start w:val="35"/>
    </w:lvl>
    <w:lvl w:ilvl="1">
      <w:lvlJc w:val="left"/>
      <w:lvlText w:val="%2"/>
      <w:numFmt w:val="upperLetter"/>
      <w:start w:val="1"/>
    </w:lvl>
  </w:abstractNum>
  <w:abstractNum w:abstractNumId="12">
    <w:nsid w:val="39386575"/>
    <w:multiLevelType w:val="hybridMultilevel"/>
    <w:lvl w:ilvl="0">
      <w:lvlJc w:val="left"/>
      <w:lvlText w:val="%1."/>
      <w:numFmt w:val="decimal"/>
      <w:start w:val="1"/>
    </w:lvl>
    <w:lvl w:ilvl="1">
      <w:lvlJc w:val="left"/>
      <w:lvlText w:val="(%2)"/>
      <w:numFmt w:val="lowerLetter"/>
      <w:start w:val="1"/>
    </w:lvl>
  </w:abstractNum>
  <w:abstractNum w:abstractNumId="13">
    <w:nsid w:val="1CF10FD8"/>
    <w:multiLevelType w:val="hybridMultilevel"/>
    <w:lvl w:ilvl="0">
      <w:lvlJc w:val="left"/>
      <w:lvlText w:val="(%1)"/>
      <w:numFmt w:val="lowerLetter"/>
      <w:start w:val="2"/>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2"/>
    </w:lvl>
  </w:abstractNum>
  <w:abstractNum w:abstractNumId="16">
    <w:nsid w:val="47398C89"/>
    <w:multiLevelType w:val="hybridMultilevel"/>
    <w:lvl w:ilvl="0">
      <w:lvlJc w:val="left"/>
      <w:lvlText w:val="%1."/>
      <w:numFmt w:val="decimal"/>
      <w:start w:val="7"/>
    </w:lvl>
  </w:abstractNum>
  <w:abstractNum w:abstractNumId="17">
    <w:nsid w:val="354FE9F9"/>
    <w:multiLevelType w:val="hybridMultilevel"/>
    <w:lvl w:ilvl="0">
      <w:lvlJc w:val="left"/>
      <w:lvlText w:val="(%1)"/>
      <w:numFmt w:val="lowerLetter"/>
      <w:start w:val="1"/>
    </w:lvl>
  </w:abstractNum>
  <w:abstractNum w:abstractNumId="18">
    <w:nsid w:val="15B5AF5C"/>
    <w:multiLevelType w:val="hybridMultilevel"/>
    <w:lvl w:ilvl="0">
      <w:lvlJc w:val="left"/>
      <w:lvlText w:val="(%1)"/>
      <w:numFmt w:val="lowerLetter"/>
      <w:start w:val="2"/>
    </w:lvl>
  </w:abstractNum>
  <w:abstractNum w:abstractNumId="19">
    <w:nsid w:val="741226BB"/>
    <w:multiLevelType w:val="hybridMultilevel"/>
    <w:lvl w:ilvl="0">
      <w:lvlJc w:val="left"/>
      <w:lvlText w:val="%1."/>
      <w:numFmt w:val="upperLetter"/>
      <w:start w:val="2"/>
    </w:lvl>
    <w:lvl w:ilvl="1">
      <w:lvlJc w:val="left"/>
      <w:lvlText w:val="%2."/>
      <w:numFmt w:val="decimal"/>
      <w:start w:val="1"/>
    </w:lvl>
  </w:abstractNum>
  <w:abstractNum w:abstractNumId="20">
    <w:nsid w:val="D34B6A8"/>
    <w:multiLevelType w:val="hybridMultilevel"/>
    <w:lvl w:ilvl="0">
      <w:lvlJc w:val="left"/>
      <w:lvlText w:val="%1."/>
      <w:numFmt w:val="decimal"/>
      <w:start w:val="3"/>
    </w:lvl>
  </w:abstractNum>
  <w:abstractNum w:abstractNumId="21">
    <w:nsid w:val="10233C99"/>
    <w:multiLevelType w:val="hybridMultilevel"/>
    <w:lvl w:ilvl="0">
      <w:lvlJc w:val="left"/>
      <w:lvlText w:val="(%1)"/>
      <w:numFmt w:val="lowerLetter"/>
      <w:start w:val="1"/>
    </w:lvl>
    <w:lvl w:ilvl="1">
      <w:lvlJc w:val="left"/>
      <w:lvlText w:val="(%2)"/>
      <w:numFmt w:val="decimal"/>
      <w:start w:val="1"/>
    </w:lvl>
  </w:abstractNum>
  <w:abstractNum w:abstractNumId="22">
    <w:nsid w:val="3F6AB60F"/>
    <w:multiLevelType w:val="hybridMultilevel"/>
    <w:lvl w:ilvl="0">
      <w:lvlJc w:val="left"/>
      <w:lvlText w:val="(%1)"/>
      <w:numFmt w:val="decimal"/>
      <w:start w:val="5"/>
    </w:lvl>
  </w:abstractNum>
  <w:abstractNum w:abstractNumId="23">
    <w:nsid w:val="61574095"/>
    <w:multiLevelType w:val="hybridMultilevel"/>
    <w:lvl w:ilvl="0">
      <w:lvlJc w:val="left"/>
      <w:lvlText w:val="%1."/>
      <w:numFmt w:val="decimal"/>
      <w:start w:val="4"/>
    </w:lvl>
  </w:abstractNum>
  <w:abstractNum w:abstractNumId="24">
    <w:nsid w:val="7E0C57B1"/>
    <w:multiLevelType w:val="hybridMultilevel"/>
    <w:lvl w:ilvl="0">
      <w:lvlJc w:val="left"/>
      <w:lvlText w:val="%1."/>
      <w:numFmt w:val="decimal"/>
      <w:start w:val="9"/>
    </w:lvl>
  </w:abstractNum>
  <w:abstractNum w:abstractNumId="25">
    <w:nsid w:val="77AE35EB"/>
    <w:multiLevelType w:val="hybridMultilevel"/>
    <w:lvl w:ilvl="0">
      <w:lvlJc w:val="left"/>
      <w:lvlText w:val="(%1)"/>
      <w:numFmt w:val="lowerLetter"/>
      <w:start w:val="1"/>
    </w:lvl>
  </w:abstractNum>
  <w:abstractNum w:abstractNumId="26">
    <w:nsid w:val="579BE4F1"/>
    <w:multiLevelType w:val="hybridMultilevel"/>
    <w:lvl w:ilvl="0">
      <w:lvlJc w:val="left"/>
      <w:lvlText w:val="(%1)"/>
      <w:numFmt w:val="lowerLetter"/>
      <w:start w:val="10"/>
    </w:lvl>
    <w:lvl w:ilvl="1">
      <w:lvlJc w:val="left"/>
      <w:lvlText w:val="%2."/>
      <w:numFmt w:val="decimal"/>
      <w:start w:val="11"/>
    </w:lvl>
  </w:abstractNum>
  <w:abstractNum w:abstractNumId="27">
    <w:nsid w:val="310C50B3"/>
    <w:multiLevelType w:val="hybridMultilevel"/>
    <w:lvl w:ilvl="0">
      <w:lvlJc w:val="left"/>
      <w:lvlText w:val="%1."/>
      <w:numFmt w:val="decimal"/>
      <w:start w:val="12"/>
    </w:lvl>
  </w:abstractNum>
  <w:abstractNum w:abstractNumId="28">
    <w:nsid w:val="5FF87E05"/>
    <w:multiLevelType w:val="hybridMultilevel"/>
    <w:lvl w:ilvl="0">
      <w:lvlJc w:val="left"/>
      <w:lvlText w:val="%1."/>
      <w:numFmt w:val="decimal"/>
      <w:start w:val="1"/>
    </w:lvl>
    <w:lvl w:ilvl="1">
      <w:lvlJc w:val="left"/>
      <w:lvlText w:val="(%2)"/>
      <w:numFmt w:val="upperLetter"/>
      <w:start w:val="1"/>
    </w:lvl>
  </w:abstractNum>
  <w:abstractNum w:abstractNumId="29">
    <w:nsid w:val="2F305DEF"/>
    <w:multiLevelType w:val="hybridMultilevel"/>
    <w:lvl w:ilvl="0">
      <w:lvlJc w:val="left"/>
      <w:lvlText w:val="%1"/>
      <w:numFmt w:val="decimal"/>
      <w:start w:val="1"/>
    </w:lvl>
    <w:lvl w:ilvl="1">
      <w:lvlJc w:val="left"/>
      <w:lvlText w:val="(%2)"/>
      <w:numFmt w:val="upperLetter"/>
      <w:start w:val="4"/>
    </w:lvl>
  </w:abstractNum>
  <w:abstractNum w:abstractNumId="30">
    <w:nsid w:val="25A70BF7"/>
    <w:multiLevelType w:val="hybridMultilevel"/>
    <w:lvl w:ilvl="0">
      <w:lvlJc w:val="left"/>
      <w:lvlText w:val="%1."/>
      <w:numFmt w:val="decimal"/>
      <w:start w:val="5"/>
    </w:lvl>
    <w:lvl w:ilvl="1">
      <w:lvlJc w:val="left"/>
      <w:lvlText w:val="%2"/>
      <w:numFmt w:val="upperLetter"/>
      <w:start w:val="1"/>
    </w:lvl>
  </w:abstractNum>
  <w:abstractNum w:abstractNumId="31">
    <w:nsid w:val="1DBABF00"/>
    <w:multiLevelType w:val="hybridMultilevel"/>
    <w:lvl w:ilvl="0">
      <w:lvlJc w:val="left"/>
      <w:lvlText w:val="%1."/>
      <w:numFmt w:val="decimal"/>
      <w:start w:val="5"/>
    </w:lvl>
  </w:abstractNum>
  <w:abstractNum w:abstractNumId="32">
    <w:nsid w:val="4AD084E9"/>
    <w:multiLevelType w:val="hybridMultilevel"/>
    <w:lvl w:ilvl="0">
      <w:lvlJc w:val="left"/>
      <w:lvlText w:val="%1"/>
      <w:numFmt w:val="decimal"/>
      <w:start w:val="1"/>
    </w:lvl>
    <w:lvl w:ilvl="1">
      <w:lvlJc w:val="left"/>
      <w:lvlText w:val="(%2)"/>
      <w:numFmt w:val="upperLetter"/>
      <w:start w:val="1"/>
    </w:lvl>
  </w:abstractNum>
  <w:abstractNum w:abstractNumId="33">
    <w:nsid w:val="1F48EAA1"/>
    <w:multiLevelType w:val="hybridMultilevel"/>
    <w:lvl w:ilvl="0">
      <w:lvlJc w:val="left"/>
      <w:lvlText w:val="%1."/>
      <w:numFmt w:val="decimal"/>
      <w:start w:val="6"/>
    </w:lvl>
    <w:lvl w:ilvl="1">
      <w:lvlJc w:val="left"/>
      <w:lvlText w:val="%2"/>
      <w:numFmt w:val="upperLetter"/>
      <w:start w:val="1"/>
    </w:lvl>
  </w:abstractNum>
  <w:abstractNum w:abstractNumId="34">
    <w:nsid w:val="1381823A"/>
    <w:multiLevelType w:val="hybridMultilevel"/>
    <w:lvl w:ilvl="0">
      <w:lvlJc w:val="left"/>
      <w:lvlText w:val="%1."/>
      <w:numFmt w:val="decimal"/>
      <w:start w:val="7"/>
    </w:lvl>
    <w:lvl w:ilvl="1">
      <w:lvlJc w:val="left"/>
      <w:lvlText w:val="(%2)"/>
      <w:numFmt w:val="upperLetter"/>
      <w:start w:val="1"/>
    </w:lvl>
  </w:abstractNum>
  <w:abstractNum w:abstractNumId="35">
    <w:nsid w:val="5DB70AE5"/>
    <w:multiLevelType w:val="hybridMultilevel"/>
    <w:lvl w:ilvl="0">
      <w:lvlJc w:val="left"/>
      <w:lvlText w:val="(%1)"/>
      <w:numFmt w:val="upperLetter"/>
      <w:start w:val="3"/>
    </w:lvl>
  </w:abstractNum>
  <w:abstractNum w:abstractNumId="36">
    <w:nsid w:val="100F8FCA"/>
    <w:multiLevelType w:val="hybridMultilevel"/>
    <w:lvl w:ilvl="0">
      <w:lvlJc w:val="left"/>
      <w:lvlText w:val="(%1)"/>
      <w:numFmt w:val="lowerLetter"/>
      <w:start w:val="1"/>
    </w:lvl>
  </w:abstractNum>
  <w:abstractNum w:abstractNumId="37">
    <w:nsid w:val="6590700B"/>
    <w:multiLevelType w:val="hybridMultilevel"/>
    <w:lvl w:ilvl="0">
      <w:lvlJc w:val="left"/>
      <w:lvlText w:val="(%1)"/>
      <w:numFmt w:val="lowerLetter"/>
      <w:start w:val="1"/>
    </w:lvl>
  </w:abstractNum>
  <w:abstractNum w:abstractNumId="38">
    <w:nsid w:val="15014ACB"/>
    <w:multiLevelType w:val="hybridMultilevel"/>
    <w:lvl w:ilvl="0">
      <w:lvlJc w:val="left"/>
      <w:lvlText w:val="(%1)"/>
      <w:numFmt w:val="lowerRoman"/>
      <w:start w:val="1"/>
    </w:lvl>
  </w:abstractNum>
  <w:abstractNum w:abstractNumId="39">
    <w:nsid w:val="5F5E7FD0"/>
    <w:multiLevelType w:val="hybridMultilevel"/>
    <w:lvl w:ilvl="0">
      <w:lvlJc w:val="left"/>
      <w:lvlText w:val="(%1)"/>
      <w:numFmt w:val="lowerRoman"/>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1."/>
      <w:numFmt w:val="upperLetter"/>
      <w:start w:val="9"/>
    </w:lvl>
  </w:abstractNum>
  <w:abstractNum w:abstractNumId="50">
    <w:nsid w:val="51D9C56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
    <w:nsid w:val="11447B73"/>
    <w:multiLevelType w:val="hybridMultilevel"/>
    <w:lvl w:ilvl="0">
      <w:lvlJc w:val="left"/>
      <w:lvlText w:val="(%1)"/>
      <w:numFmt w:val="upperLetter"/>
      <w:start w:val="2"/>
    </w:lvl>
  </w:abstractNum>
  <w:abstractNum w:abstractNumId="54">
    <w:nsid w:val="42963E5A"/>
    <w:multiLevelType w:val="hybridMultilevel"/>
    <w:lvl w:ilvl="0">
      <w:lvlJc w:val="left"/>
      <w:lvlText w:val="%1."/>
      <w:numFmt w:val="decimal"/>
      <w:start w:val="2"/>
    </w:lvl>
  </w:abstractNum>
  <w:abstractNum w:abstractNumId="55">
    <w:nsid w:val="A0382C5"/>
    <w:multiLevelType w:val="hybridMultilevel"/>
    <w:lvl w:ilvl="0">
      <w:lvlJc w:val="left"/>
      <w:lvlText w:val="(%1)"/>
      <w:numFmt w:val="lowerLetter"/>
      <w:start w:val="1"/>
    </w:lvl>
    <w:lvl w:ilvl="1">
      <w:lvlJc w:val="left"/>
      <w:lvlText w:val="(%2)"/>
      <w:numFmt w:val="decimal"/>
      <w:start w:val="1"/>
    </w:lvl>
  </w:abstractNum>
  <w:abstractNum w:abstractNumId="56">
    <w:nsid w:val="8F2B15E"/>
    <w:multiLevelType w:val="hybridMultilevel"/>
    <w:lvl w:ilvl="0">
      <w:lvlJc w:val="left"/>
      <w:lvlText w:val="%1."/>
      <w:numFmt w:val="decimal"/>
      <w:start w:val="3"/>
    </w:lvl>
  </w:abstractNum>
  <w:abstractNum w:abstractNumId="57">
    <w:nsid w:val="1A32234B"/>
    <w:multiLevelType w:val="hybridMultilevel"/>
    <w:lvl w:ilvl="0">
      <w:lvlJc w:val="left"/>
      <w:lvlText w:val="%1"/>
      <w:numFmt w:val="upperLetter"/>
      <w:start w:val="1"/>
    </w:lvl>
    <w:lvl w:ilvl="1">
      <w:lvlJc w:val="left"/>
      <w:lvlText w:val="%2."/>
      <w:numFmt w:val="decimal"/>
      <w:start w:val="4"/>
    </w:lvl>
  </w:abstractNum>
  <w:abstractNum w:abstractNumId="58">
    <w:nsid w:val="3B0FD379"/>
    <w:multiLevelType w:val="hybridMultilevel"/>
    <w:lvl w:ilvl="0">
      <w:lvlJc w:val="left"/>
      <w:lvlText w:val="%1."/>
      <w:numFmt w:val="upperLetter"/>
      <w:start w:val="2"/>
    </w:lvl>
    <w:lvl w:ilvl="1">
      <w:lvlJc w:val="left"/>
      <w:lvlText w:val="%2."/>
      <w:numFmt w:val="decimal"/>
      <w:start w:val="1"/>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2"/>
    </w:lvl>
    <w:lvl w:ilvl="1">
      <w:lvlJc w:val="left"/>
      <w:lvlText w:val="(%2)"/>
      <w:numFmt w:val="decimal"/>
      <w:start w:val="1"/>
    </w:lvl>
  </w:abstractNum>
  <w:abstractNum w:abstractNumId="61">
    <w:nsid w:val="60B6DF70"/>
    <w:multiLevelType w:val="hybridMultilevel"/>
    <w:lvl w:ilvl="0">
      <w:lvlJc w:val="left"/>
      <w:lvlText w:val="%1."/>
      <w:numFmt w:val="decimal"/>
      <w:start w:val="4"/>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3"/>
    </w:lvl>
  </w:abstractNum>
  <w:abstractNum w:abstractNumId="64">
    <w:nsid w:val="7FFFCA11"/>
    <w:multiLevelType w:val="hybridMultilevel"/>
    <w:lvl w:ilvl="0">
      <w:lvlJc w:val="left"/>
      <w:lvlText w:val="%1."/>
      <w:numFmt w:val="decimal"/>
      <w:start w:val="10"/>
    </w:lvl>
  </w:abstractNum>
  <w:abstractNum w:abstractNumId="65">
    <w:nsid w:val="1A27709E"/>
    <w:multiLevelType w:val="hybridMultilevel"/>
    <w:lvl w:ilvl="0">
      <w:lvlJc w:val="left"/>
      <w:lvlText w:val="%1."/>
      <w:numFmt w:val="decimal"/>
      <w:start w:val="11"/>
    </w:lvl>
  </w:abstractNum>
  <w:abstractNum w:abstractNumId="66">
    <w:nsid w:val="71EA1109"/>
    <w:multiLevelType w:val="hybridMultilevel"/>
    <w:lvl w:ilvl="0">
      <w:lvlJc w:val="left"/>
      <w:lvlText w:val="%1"/>
      <w:numFmt w:val="decimal"/>
      <w:start w:val="13"/>
    </w:lvl>
  </w:abstractNum>
  <w:abstractNum w:abstractNumId="67">
    <w:nsid w:val="100F59DC"/>
    <w:multiLevelType w:val="hybridMultilevel"/>
    <w:lvl w:ilvl="0">
      <w:lvlJc w:val="left"/>
      <w:lvlText w:val="%1."/>
      <w:numFmt w:val="decimal"/>
      <w:start w:val="14"/>
    </w:lvl>
  </w:abstractNum>
  <w:abstractNum w:abstractNumId="68">
    <w:nsid w:val="7FB7E0AA"/>
    <w:multiLevelType w:val="hybridMultilevel"/>
    <w:lvl w:ilvl="0">
      <w:lvlJc w:val="left"/>
      <w:lvlText w:val="(%1)"/>
      <w:numFmt w:val="lowerLetter"/>
      <w:start w:val="2"/>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lowerLetter"/>
      <w:start w:val="1"/>
    </w:lvl>
    <w:lvl w:ilvl="1">
      <w:lvlJc w:val="left"/>
      <w:lvlText w:val="(%2)"/>
      <w:numFmt w:val="lowerRoman"/>
      <w:start w:val="1"/>
    </w:lvl>
  </w:abstractNum>
  <w:abstractNum w:abstractNumId="72">
    <w:nsid w:val="885E1B"/>
    <w:multiLevelType w:val="hybridMultilevel"/>
    <w:lvl w:ilvl="0">
      <w:lvlJc w:val="left"/>
      <w:lvlText w:val="(%1)"/>
      <w:numFmt w:val="lowerLetter"/>
      <w:start w:val="2"/>
    </w:lvl>
    <w:lvl w:ilvl="1">
      <w:lvlJc w:val="left"/>
      <w:lvlText w:val="%2"/>
      <w:numFmt w:val="lowerRoman"/>
      <w:start w:val="1"/>
    </w:lvl>
  </w:abstractNum>
  <w:abstractNum w:abstractNumId="73">
    <w:nsid w:val="76272110"/>
    <w:multiLevelType w:val="hybridMultilevel"/>
    <w:lvl w:ilvl="0">
      <w:lvlJc w:val="left"/>
      <w:lvlText w:val="(%1)"/>
      <w:numFmt w:val="lowerRoman"/>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1."/>
      <w:numFmt w:val="upperLetter"/>
      <w:start w:val="9"/>
    </w:lvl>
  </w:abstractNum>
  <w:abstractNum w:abstractNumId="84">
    <w:nsid w:val="57FC4FBB"/>
    <w:multiLevelType w:val="hybridMultilevel"/>
    <w:lvl w:ilvl="0">
      <w:lvlJc w:val="left"/>
      <w:lvlText w:val="%1."/>
      <w:numFmt w:val="upperLetter"/>
      <w:start w:val="35"/>
    </w:lvl>
  </w:abstractNum>
  <w:abstractNum w:abstractNumId="85">
    <w:nsid w:val="CC1016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6">
    <w:nsid w:val="43F18422"/>
    <w:multiLevelType w:val="hybridMultilevel"/>
    <w:lvl w:ilvl="0">
      <w:lvlJc w:val="left"/>
      <w:lvlText w:val="(%1)"/>
      <w:numFmt w:val="lowerLetter"/>
      <w:start w:val="2"/>
    </w:lvl>
    <w:lvl w:ilvl="1">
      <w:lvlJc w:val="left"/>
      <w:lvlText w:val="(%2)"/>
      <w:numFmt w:val="decimal"/>
      <w:start w:val="1"/>
    </w:lvl>
  </w:abstractNum>
  <w:abstractNum w:abstractNumId="87">
    <w:nsid w:val="60EF011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88">
    <w:nsid w:val="26F324BA"/>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89">
    <w:nsid w:val="7F01579B"/>
    <w:multiLevelType w:val="hybridMultilevel"/>
    <w:lvl w:ilvl="0">
      <w:lvlJc w:val="left"/>
      <w:lvlText w:val="%1"/>
      <w:numFmt w:val="upperLetter"/>
      <w:start w:val="1"/>
    </w:lvl>
    <w:lvl w:ilvl="1">
      <w:lvlJc w:val="left"/>
      <w:lvlText w:val="%2."/>
      <w:numFmt w:val="decimal"/>
      <w:start w:val="5"/>
    </w:lvl>
  </w:abstractNum>
  <w:abstractNum w:abstractNumId="90">
    <w:nsid w:val="49DA307D"/>
    <w:multiLevelType w:val="hybridMultilevel"/>
    <w:lvl w:ilvl="0">
      <w:lvlJc w:val="left"/>
      <w:lvlText w:val="%1."/>
      <w:numFmt w:val="upperLetter"/>
      <w:start w:val="2"/>
    </w:lvl>
    <w:lvl w:ilvl="1">
      <w:lvlJc w:val="left"/>
      <w:lvlText w:val="%2."/>
      <w:numFmt w:val="decimal"/>
      <w:start w:val="1"/>
    </w:lvl>
  </w:abstractNum>
  <w:abstractNum w:abstractNumId="91">
    <w:nsid w:val="7055A5F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2">
    <w:nsid w:val="5FB8370B"/>
    <w:multiLevelType w:val="hybridMultilevel"/>
    <w:lvl w:ilvl="0">
      <w:lvlJc w:val="left"/>
      <w:lvlText w:val="(%1)"/>
      <w:numFmt w:val="decimal"/>
      <w:start w:val="4"/>
    </w:lvl>
  </w:abstractNum>
  <w:abstractNum w:abstractNumId="93">
    <w:nsid w:val="50801EE1"/>
    <w:multiLevelType w:val="hybridMultilevel"/>
    <w:lvl w:ilvl="0">
      <w:lvlJc w:val="left"/>
      <w:lvlText w:val="%1."/>
      <w:numFmt w:val="decimal"/>
      <w:start w:val="4"/>
    </w:lvl>
  </w:abstractNum>
  <w:abstractNum w:abstractNumId="94">
    <w:nsid w:val="488AC1A"/>
    <w:multiLevelType w:val="hybridMultilevel"/>
    <w:lvl w:ilvl="0">
      <w:lvlJc w:val="left"/>
      <w:lvlText w:val="%1."/>
      <w:numFmt w:val="decimal"/>
      <w:start w:val="8"/>
    </w:lvl>
  </w:abstractNum>
  <w:abstractNum w:abstractNumId="95">
    <w:nsid w:val="5FB8011C"/>
    <w:multiLevelType w:val="hybridMultilevel"/>
    <w:lvl w:ilvl="0">
      <w:lvlJc w:val="left"/>
      <w:lvlText w:val="%1."/>
      <w:numFmt w:val="decimal"/>
      <w:start w:val="8"/>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Archives/edgar/data/842633/000110465907058776/a07-19157_1ex3d1.htm" TargetMode="External"/><Relationship Id="rId9"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2019-12-28T20:34:20Z</dcterms:created>
  <dcterms:modified xsi:type="dcterms:W3CDTF">2019-12-28T20:34:20Z</dcterms:modified>
</cp:coreProperties>
</file>