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5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(Mark One)</w:t>
      </w:r>
    </w:p>
    <w:p>
      <w:pPr>
        <w:ind w:left="1820" w:hanging="995"/>
        <w:spacing w:after="0" w:line="227" w:lineRule="auto"/>
        <w:tabs>
          <w:tab w:leader="none" w:pos="1820" w:val="left"/>
        </w:tabs>
        <w:numPr>
          <w:ilvl w:val="0"/>
          <w:numId w:val="1"/>
        </w:numPr>
        <w:rPr>
          <w:rFonts w:ascii="MS PGothic" w:cs="MS PGothic" w:eastAsia="MS PGothic" w:hAnsi="MS PGothic"/>
          <w:sz w:val="58"/>
          <w:szCs w:val="58"/>
          <w:color w:val="auto"/>
          <w:vertAlign w:val="superscript"/>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19"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7"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Or</w:t>
      </w:r>
    </w:p>
    <w:p>
      <w:pPr>
        <w:ind w:left="1820" w:hanging="995"/>
        <w:spacing w:after="0" w:line="224" w:lineRule="auto"/>
        <w:tabs>
          <w:tab w:leader="none" w:pos="1820" w:val="left"/>
        </w:tabs>
        <w:numPr>
          <w:ilvl w:val="0"/>
          <w:numId w:val="2"/>
        </w:numPr>
        <w:rPr>
          <w:rFonts w:ascii="MS PGothic" w:cs="MS PGothic" w:eastAsia="MS PGothic" w:hAnsi="MS PGothic"/>
          <w:sz w:val="58"/>
          <w:szCs w:val="58"/>
          <w:color w:val="auto"/>
          <w:vertAlign w:val="superscript"/>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17" w:lineRule="exact"/>
        <w:rPr>
          <w:sz w:val="24"/>
          <w:szCs w:val="24"/>
          <w:color w:val="auto"/>
        </w:rPr>
      </w:pPr>
    </w:p>
    <w:p>
      <w:pPr>
        <w:ind w:left="3520"/>
        <w:spacing w:after="0"/>
        <w:tabs>
          <w:tab w:leader="none" w:pos="6700" w:val="left"/>
          <w:tab w:leader="none" w:pos="7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3751580</wp:posOffset>
            </wp:positionH>
            <wp:positionV relativeFrom="paragraph">
              <wp:posOffset>-20320</wp:posOffset>
            </wp:positionV>
            <wp:extent cx="11233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001-10716</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TRIMAS CORPORATION</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0" w:lineRule="exact"/>
        <w:rPr>
          <w:sz w:val="24"/>
          <w:szCs w:val="24"/>
          <w:color w:val="auto"/>
        </w:rPr>
      </w:pPr>
    </w:p>
    <w:tbl>
      <w:tblPr>
        <w:tblLayout w:type="fixed"/>
        <w:tblInd w:w="3100" w:type="dxa"/>
        <w:tblCellMar>
          <w:top w:w="0" w:type="dxa"/>
          <w:left w:w="0" w:type="dxa"/>
          <w:bottom w:w="0" w:type="dxa"/>
          <w:right w:w="0" w:type="dxa"/>
        </w:tblCellMar>
      </w:tblPr>
      <w:tr>
        <w:trPr>
          <w:trHeight w:val="233"/>
        </w:trPr>
        <w:tc>
          <w:tcPr>
            <w:tcW w:w="27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0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38-2687639</w:t>
            </w:r>
          </w:p>
        </w:tc>
      </w:tr>
      <w:tr>
        <w:trPr>
          <w:trHeight w:val="180"/>
        </w:trPr>
        <w:tc>
          <w:tcPr>
            <w:tcW w:w="2720" w:type="dxa"/>
            <w:vAlign w:val="bottom"/>
          </w:tcPr>
          <w:p>
            <w:pPr>
              <w:jc w:val="center"/>
              <w:ind w:right="450"/>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900" w:type="dxa"/>
            <w:vAlign w:val="bottom"/>
          </w:tcPr>
          <w:p>
            <w:pPr>
              <w:jc w:val="center"/>
              <w:ind w:left="47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7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9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38505 Woodward Avenue, Suite 200</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Bloomfield Hills, Michigan 48304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(248) 631-5450</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128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6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50"/>
        </w:trPr>
        <w:tc>
          <w:tcPr>
            <w:tcW w:w="372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TRS</w:t>
            </w:r>
          </w:p>
        </w:tc>
        <w:tc>
          <w:tcPr>
            <w:tcW w:w="1020" w:type="dxa"/>
            <w:vAlign w:val="bottom"/>
          </w:tcPr>
          <w:p>
            <w:pPr>
              <w:spacing w:after="0"/>
              <w:rPr>
                <w:sz w:val="21"/>
                <w:szCs w:val="21"/>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57" w:lineRule="exact"/>
        <w:rPr>
          <w:sz w:val="24"/>
          <w:szCs w:val="24"/>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w:t>
      </w:r>
    </w:p>
    <w:p>
      <w:pPr>
        <w:spacing w:after="0" w:line="35" w:lineRule="exact"/>
        <w:rPr>
          <w:sz w:val="24"/>
          <w:szCs w:val="24"/>
          <w:color w:val="auto"/>
        </w:rPr>
      </w:pPr>
    </w:p>
    <w:p>
      <w:pPr>
        <w:jc w:val="both"/>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w:t>
      </w:r>
    </w:p>
    <w:p>
      <w:pPr>
        <w:spacing w:after="0" w:line="3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9" w:lineRule="exact"/>
        <w:rPr>
          <w:sz w:val="24"/>
          <w:szCs w:val="24"/>
          <w:color w:val="auto"/>
        </w:rPr>
      </w:pPr>
    </w:p>
    <w:tbl>
      <w:tblPr>
        <w:tblLayout w:type="fixed"/>
        <w:tblInd w:w="1600" w:type="dxa"/>
        <w:tblCellMar>
          <w:top w:w="0" w:type="dxa"/>
          <w:left w:w="0" w:type="dxa"/>
          <w:bottom w:w="0" w:type="dxa"/>
          <w:right w:w="0" w:type="dxa"/>
        </w:tblCellMar>
      </w:tblPr>
      <w:tr>
        <w:trPr>
          <w:trHeight w:val="362"/>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4"/>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5"/>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4"/>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5"/>
        </w:trPr>
        <w:tc>
          <w:tcPr>
            <w:tcW w:w="2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4"/>
        </w:trPr>
        <w:tc>
          <w:tcPr>
            <w:tcW w:w="23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jc w:val="both"/>
        <w:ind w:right="1840"/>
        <w:spacing w:after="0" w:line="30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April 23, 2024, the number of outstanding shares of the Registrant's common stock, $0.01 par value, was 40,733,302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0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60" w:type="dxa"/>
            <w:vAlign w:val="bottom"/>
            <w:gridSpan w:val="13"/>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8"/>
              </w:rPr>
              <w:t>TriMas Corporation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60" w:type="dxa"/>
            <w:vAlign w:val="bottom"/>
            <w:gridSpan w:val="11"/>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4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772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Forward-Looking Statements</w:t>
            </w:r>
          </w:p>
        </w:tc>
        <w:tc>
          <w:tcPr>
            <w:tcW w:w="4560" w:type="dxa"/>
            <w:vAlign w:val="bottom"/>
            <w:gridSpan w:val="11"/>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6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Financial Statements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Balance Sheet as of March 31, 2024 and December 31, 2023</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 of Income for the Three Months Ended March 31, 2024 and 2023</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 of Comprehensive Income for the Three Months Ended March</w:t>
            </w:r>
          </w:p>
        </w:tc>
        <w:tc>
          <w:tcPr>
            <w:tcW w:w="240" w:type="dxa"/>
            <w:vAlign w:val="bottom"/>
            <w:gridSpan w:val="2"/>
          </w:tcPr>
          <w:p>
            <w:pPr>
              <w:spacing w:after="0"/>
              <w:rPr>
                <w:sz w:val="24"/>
                <w:szCs w:val="24"/>
                <w:color w:val="auto"/>
              </w:rPr>
            </w:pPr>
          </w:p>
        </w:tc>
        <w:tc>
          <w:tcPr>
            <w:tcW w:w="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3"/>
              </w:rPr>
              <w:t>31, 2024 and 2023</w:t>
            </w:r>
          </w:p>
        </w:tc>
        <w:tc>
          <w:tcPr>
            <w:tcW w:w="4960" w:type="dxa"/>
            <w:vAlign w:val="bottom"/>
            <w:tcBorders>
              <w:top w:val="single" w:sz="8" w:color="0000FF"/>
            </w:tcBorders>
            <w:gridSpan w:val="9"/>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 of Cash Flows for the Three Months Ended March 31, 2024 and</w:t>
            </w:r>
          </w:p>
        </w:tc>
        <w:tc>
          <w:tcPr>
            <w:tcW w:w="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top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88"/>
              </w:rPr>
              <w:t>2023</w:t>
            </w:r>
          </w:p>
        </w:tc>
        <w:tc>
          <w:tcPr>
            <w:tcW w:w="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 of Shareholders' Equity for the Three Months Ended March, 2024</w:t>
            </w:r>
          </w:p>
        </w:tc>
        <w:tc>
          <w:tcPr>
            <w:tcW w:w="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80" w:type="dxa"/>
            <w:vAlign w:val="bottom"/>
            <w:tcBorders>
              <w:top w:val="single" w:sz="8" w:color="0000FF"/>
            </w:tcBorders>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and 2023</w:t>
            </w:r>
          </w:p>
        </w:tc>
        <w:tc>
          <w:tcPr>
            <w:tcW w:w="18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520" w:type="dxa"/>
            <w:vAlign w:val="bottom"/>
            <w:gridSpan w:val="8"/>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20" w:type="dxa"/>
            <w:vAlign w:val="bottom"/>
            <w:gridSpan w:val="2"/>
          </w:tcPr>
          <w:p>
            <w:pPr>
              <w:spacing w:after="0"/>
              <w:rPr>
                <w:sz w:val="24"/>
                <w:szCs w:val="24"/>
                <w:color w:val="auto"/>
              </w:rPr>
            </w:pPr>
          </w:p>
        </w:tc>
        <w:tc>
          <w:tcPr>
            <w:tcW w:w="6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20" w:type="dxa"/>
            <w:vAlign w:val="bottom"/>
            <w:gridSpan w:val="2"/>
          </w:tcPr>
          <w:p>
            <w:pPr>
              <w:spacing w:after="0"/>
              <w:rPr>
                <w:sz w:val="24"/>
                <w:szCs w:val="24"/>
                <w:color w:val="auto"/>
              </w:rPr>
            </w:pPr>
          </w:p>
        </w:tc>
        <w:tc>
          <w:tcPr>
            <w:tcW w:w="6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6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0" w:type="dxa"/>
            <w:vAlign w:val="bottom"/>
          </w:tcPr>
          <w:p>
            <w:pPr>
              <w:spacing w:after="0"/>
              <w:rPr>
                <w:sz w:val="24"/>
                <w:szCs w:val="24"/>
                <w:color w:val="auto"/>
              </w:rPr>
            </w:pPr>
          </w:p>
        </w:tc>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500" w:type="dxa"/>
            <w:vAlign w:val="bottom"/>
          </w:tcPr>
          <w:p>
            <w:pPr>
              <w:spacing w:after="0"/>
              <w:rPr>
                <w:sz w:val="24"/>
                <w:szCs w:val="24"/>
                <w:color w:val="auto"/>
              </w:rPr>
            </w:pPr>
          </w:p>
        </w:tc>
        <w:tc>
          <w:tcPr>
            <w:tcW w:w="14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6280" w:type="dxa"/>
            <w:vAlign w:val="bottom"/>
            <w:gridSpan w:val="16"/>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6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1A.</w:t>
            </w:r>
          </w:p>
        </w:tc>
        <w:tc>
          <w:tcPr>
            <w:tcW w:w="420" w:type="dxa"/>
            <w:vAlign w:val="bottom"/>
            <w:gridSpan w:val="2"/>
          </w:tcPr>
          <w:p>
            <w:pPr>
              <w:spacing w:after="0"/>
              <w:rPr>
                <w:sz w:val="24"/>
                <w:szCs w:val="24"/>
                <w:color w:val="auto"/>
              </w:rPr>
            </w:pPr>
          </w:p>
        </w:tc>
        <w:tc>
          <w:tcPr>
            <w:tcW w:w="6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20" w:type="dxa"/>
            <w:vAlign w:val="bottom"/>
            <w:gridSpan w:val="2"/>
          </w:tcPr>
          <w:p>
            <w:pPr>
              <w:spacing w:after="0"/>
              <w:rPr>
                <w:sz w:val="24"/>
                <w:szCs w:val="24"/>
                <w:color w:val="auto"/>
              </w:rPr>
            </w:pPr>
          </w:p>
        </w:tc>
        <w:tc>
          <w:tcPr>
            <w:tcW w:w="6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6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436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6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90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6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5360" w:type="dxa"/>
            <w:vAlign w:val="bottom"/>
            <w:gridSpan w:val="1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6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w:t>
            </w:r>
            <w:r>
              <w:rPr>
                <w:rFonts w:ascii="Times New Roman" w:cs="Times New Roman" w:eastAsia="Times New Roman" w:hAnsi="Times New Roman"/>
                <w:sz w:val="18"/>
                <w:szCs w:val="18"/>
                <w:color w:val="0033CC"/>
              </w:rPr>
              <w:t>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33CC"/>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108" w:right="1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subject to numerous assumptions, risks and uncertainties which could materially affect our business, financial condition or future results including, but not limited to: general economic and currency conditions; competitive factors; market demand; our ability to realize our business strategies; our ability to identify attractive acquisition candidates, successfully integrate acquired operations or realize the intended benefits of such acquisitions; pressures on our supply chain, including availability of raw materials and inflationary pressures on raw material and energy costs, and customers; the performance of our subcontractors and suppliers; risks and uncertainties associated with intangible assets, including goodwill or other intangible asset impairment charges; risks associated with a concentrated customer base; information technology and other cyber-related risks; risks related to our international operations, including, but not limited to, risks relating to tensions between the United States and China; government and regulatory actions, including, without limitation, climate change legislation and other environmental regulations, as well as the impact of tariffs, quotas and surcharges; changes to fiscal and tax policies; intellectual property factors; uncertainties associated with our ability to meet customers’ and suppliers’ sustainability and environmental, social and governance ("ESG") goals and achieve our sustainability and ESG goals in alignment with our own announced targets; litigation; contingent liabilities relating to acquisition activities; interest rate volatility; our leverage; liabilities imposed by our debt instruments; labor disputes and shortages; the disruption of operations from catastrophic or extraordinary events, including, but not limited to, natural disasters, geopolitical conflicts and public health crises; the amount and timing of future dividends and/or share repurchases, which remain subject to Board approval and depend on market and other conditions; our future prospects; our ability to successfully complete the sale of our Arrow Engine business; and other risks that are discussed in Part I, Item 1A, "Risk Factors," in our Annual Report on Form 10-K for the year ended December 31, 2023 and elsewhere in this report.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disclose important factors that could cause our actual results to differ materially from our expectations implied by our forward-looking statements under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in our Annual Report on Form 10-K for the year ended December 31, 2023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Consolidated Financial Statements</w:t>
      </w:r>
    </w:p>
    <w:p>
      <w:pPr>
        <w:spacing w:after="0" w:line="34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6"/>
                <w:szCs w:val="16"/>
                <w:color w:val="auto"/>
              </w:rPr>
            </w:pPr>
          </w:p>
        </w:tc>
        <w:tc>
          <w:tcPr>
            <w:tcW w:w="142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7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780" w:type="dxa"/>
            <w:vAlign w:val="bottom"/>
            <w:shd w:val="clear" w:color="auto" w:fill="CCEEFF"/>
          </w:tcPr>
          <w:p>
            <w:pPr>
              <w:ind w:left="35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34,890</w:t>
            </w:r>
          </w:p>
        </w:tc>
      </w:tr>
      <w:tr>
        <w:trPr>
          <w:trHeight w:val="176"/>
        </w:trPr>
        <w:tc>
          <w:tcPr>
            <w:tcW w:w="77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Receivables, net of reserves of $4.9 million and $4.2 million as of March 31, 2024 and December 31,</w:t>
            </w: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2023, respectively</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148,030</w:t>
            </w:r>
          </w:p>
        </w:tc>
      </w:tr>
      <w:tr>
        <w:trPr>
          <w:trHeight w:val="230"/>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192,450</w:t>
            </w:r>
          </w:p>
        </w:tc>
      </w:tr>
      <w:tr>
        <w:trPr>
          <w:trHeight w:val="229"/>
        </w:trPr>
        <w:tc>
          <w:tcPr>
            <w:tcW w:w="7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22,010</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397,380</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329,990</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43,220</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363,770</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181,020</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10,230</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1,364,480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1,341,660</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7780" w:type="dxa"/>
            <w:vAlign w:val="bottom"/>
            <w:shd w:val="clear" w:color="auto" w:fill="CCEEFF"/>
          </w:tcPr>
          <w:p>
            <w:pPr>
              <w:ind w:left="24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91,910</w:t>
            </w:r>
          </w:p>
        </w:tc>
      </w:tr>
      <w:tr>
        <w:trPr>
          <w:trHeight w:val="230"/>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59,640</w:t>
            </w:r>
          </w:p>
        </w:tc>
      </w:tr>
      <w:tr>
        <w:trPr>
          <w:trHeight w:val="229"/>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159,450</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395,660</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39,690</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23,290</w:t>
            </w:r>
          </w:p>
        </w:tc>
      </w:tr>
      <w:tr>
        <w:trPr>
          <w:trHeight w:val="23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40,620</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658,710</w:t>
            </w:r>
          </w:p>
        </w:tc>
      </w:tr>
      <w:tr>
        <w:trPr>
          <w:trHeight w:val="155"/>
        </w:trPr>
        <w:tc>
          <w:tcPr>
            <w:tcW w:w="77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Preferred stock, $0.01 par: Authorized 100,000,000 shares;</w:t>
            </w: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4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None</w:t>
            </w:r>
          </w:p>
        </w:tc>
        <w:tc>
          <w:tcPr>
            <w:tcW w:w="24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Common stock, $0.01 par: Authorized 400,000,000 shares;</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5"/>
        </w:trPr>
        <w:tc>
          <w:tcPr>
            <w:tcW w:w="7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Issued and outstanding: 40,784,202 shares at March 31, 2024 and 41,202,110 shares at December 31,</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Paid-in capital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677,660</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r>
      <w:tr>
        <w:trPr>
          <w:trHeight w:val="23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682,950</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1,364,480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1,341,660</w:t>
            </w: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(Unaudited—dollars in thousands, except for per share amounts)</w:t>
      </w:r>
    </w:p>
    <w:p>
      <w:pPr>
        <w:spacing w:after="0" w:line="126"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4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84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215,460</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(167,770)</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47,690</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(37,700)</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0" w:type="dxa"/>
            <w:vAlign w:val="bottom"/>
          </w:tcPr>
          <w:p>
            <w:pPr>
              <w:spacing w:after="0"/>
              <w:rPr>
                <w:sz w:val="1"/>
                <w:szCs w:val="1"/>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 per share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41,018,049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41,543,625</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6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per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60" w:type="dxa"/>
            <w:vAlign w:val="bottom"/>
          </w:tcPr>
          <w:p>
            <w:pPr>
              <w:ind w:left="460"/>
              <w:spacing w:after="0" w:line="203" w:lineRule="exact"/>
              <w:rPr>
                <w:sz w:val="20"/>
                <w:szCs w:val="20"/>
                <w:color w:val="auto"/>
              </w:rPr>
            </w:pPr>
            <w:r>
              <w:rPr>
                <w:rFonts w:ascii="Times New Roman" w:cs="Times New Roman" w:eastAsia="Times New Roman" w:hAnsi="Times New Roman"/>
                <w:sz w:val="18"/>
                <w:szCs w:val="18"/>
                <w:color w:val="auto"/>
              </w:rPr>
              <w:t>Weighted average common shares—diluted</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41,322,014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41,802,037</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26"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4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84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w:t>
            </w: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Defined benefit plans (Note 16)</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w:t>
            </w: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instruments (Note 9)</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r>
      <w:tr>
        <w:trPr>
          <w:trHeight w:val="223"/>
        </w:trPr>
        <w:tc>
          <w:tcPr>
            <w:tcW w:w="8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w:t>
            </w:r>
          </w:p>
        </w:tc>
      </w:tr>
      <w:tr>
        <w:trPr>
          <w:trHeight w:val="248"/>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80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for) operating activities, net of acquisition impact: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dispositions of assets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issue costs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compensation expense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for losses on accounts receivable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in receivables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in inventories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Decrease in prepaid expenses and other assets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in accounts payable and accrued liabilities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provided by (used for) operating activities, net of acquisition impact</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0" w:type="dxa"/>
            <w:vAlign w:val="bottom"/>
          </w:tcPr>
          <w:p>
            <w:pPr>
              <w:spacing w:after="0"/>
              <w:rPr>
                <w:sz w:val="1"/>
                <w:szCs w:val="1"/>
                <w:color w:val="auto"/>
              </w:rPr>
            </w:pPr>
          </w:p>
        </w:tc>
      </w:tr>
      <w:tr>
        <w:trPr>
          <w:trHeight w:val="19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proceeds from disposition of property and equipment</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(52,570)</w:t>
            </w:r>
          </w:p>
        </w:tc>
        <w:tc>
          <w:tcPr>
            <w:tcW w:w="0" w:type="dxa"/>
            <w:vAlign w:val="bottom"/>
          </w:tcPr>
          <w:p>
            <w:pPr>
              <w:spacing w:after="0"/>
              <w:rPr>
                <w:sz w:val="1"/>
                <w:szCs w:val="1"/>
                <w:color w:val="auto"/>
              </w:rPr>
            </w:pPr>
          </w:p>
        </w:tc>
      </w:tr>
      <w:tr>
        <w:trPr>
          <w:trHeight w:val="194"/>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borrowings on revolving credit facilities</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of borrowings on revolving credit facilities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to purchase common stock</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 surrendered upon exercise and vesting of equity awards to cover taxes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provided by (used for)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0" w:type="dxa"/>
            <w:vAlign w:val="bottom"/>
          </w:tcPr>
          <w:p>
            <w:pPr>
              <w:spacing w:after="0"/>
              <w:rPr>
                <w:sz w:val="1"/>
                <w:szCs w:val="1"/>
                <w:color w:val="auto"/>
              </w:rPr>
            </w:pPr>
          </w:p>
        </w:tc>
      </w:tr>
      <w:tr>
        <w:trPr>
          <w:trHeight w:val="194"/>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Decrease for the period</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At beginning of period</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112,090</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80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paid for interest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paid for taxes</w:t>
            </w: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Consolidated Statement of Shareholders' Equity</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Three Months Ended March 31, 2024 and 2023</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ectPr>
          <w:pgSz w:w="11900" w:h="16838" w:orient="portrait"/>
          <w:cols w:equalWidth="0" w:num="1">
            <w:col w:w="11220"/>
          </w:cols>
          <w:pgMar w:left="320" w:top="121" w:right="359" w:bottom="1440" w:gutter="0" w:footer="0" w:header="0"/>
        </w:sectPr>
      </w:pP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00" w:type="dxa"/>
            <w:vAlign w:val="bottom"/>
          </w:tcPr>
          <w:p>
            <w:pPr>
              <w:spacing w:after="0"/>
              <w:rPr>
                <w:sz w:val="16"/>
                <w:szCs w:val="16"/>
                <w:color w:val="auto"/>
              </w:rPr>
            </w:pPr>
          </w:p>
        </w:tc>
      </w:tr>
      <w:tr>
        <w:trPr>
          <w:trHeight w:val="212"/>
        </w:trPr>
        <w:tc>
          <w:tcPr>
            <w:tcW w:w="4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00" w:type="dxa"/>
            <w:vAlign w:val="bottom"/>
          </w:tcPr>
          <w:p>
            <w:pPr>
              <w:spacing w:after="0"/>
              <w:rPr>
                <w:sz w:val="18"/>
                <w:szCs w:val="18"/>
                <w:color w:val="auto"/>
              </w:rPr>
            </w:pPr>
          </w:p>
        </w:tc>
      </w:tr>
      <w:tr>
        <w:trPr>
          <w:trHeight w:val="222"/>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Balances, December 31, 2023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common stock</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180"/>
        </w:trPr>
        <w:tc>
          <w:tcPr>
            <w:tcW w:w="43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38"/>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awards to cover taxes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r>
      <w:tr>
        <w:trPr>
          <w:trHeight w:val="2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r>
      <w:tr>
        <w:trPr>
          <w:trHeight w:val="22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Balances, March 31, 2024</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4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-1036320</wp:posOffset>
            </wp:positionV>
            <wp:extent cx="709803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-744855</wp:posOffset>
            </wp:positionV>
            <wp:extent cx="709803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26543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-334010</wp:posOffset>
            </wp:positionV>
            <wp:extent cx="709803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-1336675</wp:posOffset>
            </wp:positionV>
            <wp:extent cx="709803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20" w:type="dxa"/>
            <w:vAlign w:val="bottom"/>
          </w:tcPr>
          <w:p>
            <w:pPr>
              <w:spacing w:after="0"/>
              <w:rPr>
                <w:sz w:val="16"/>
                <w:szCs w:val="16"/>
                <w:color w:val="auto"/>
              </w:rPr>
            </w:pPr>
          </w:p>
        </w:tc>
      </w:tr>
      <w:tr>
        <w:trPr>
          <w:trHeight w:val="212"/>
        </w:trPr>
        <w:tc>
          <w:tcPr>
            <w:tcW w:w="4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tcPr>
          <w:p>
            <w:pPr>
              <w:spacing w:after="0"/>
              <w:rPr>
                <w:sz w:val="18"/>
                <w:szCs w:val="18"/>
                <w:color w:val="auto"/>
              </w:rPr>
            </w:pPr>
          </w:p>
        </w:tc>
      </w:tr>
      <w:tr>
        <w:trPr>
          <w:trHeight w:val="222"/>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Balances, December 31, 2022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180"/>
        </w:trPr>
        <w:tc>
          <w:tcPr>
            <w:tcW w:w="43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38"/>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awards to cover taxes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3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2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Balances, March 31, 2023</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-1036955</wp:posOffset>
            </wp:positionV>
            <wp:extent cx="709803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-745490</wp:posOffset>
            </wp:positionV>
            <wp:extent cx="709803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26543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-334010</wp:posOffset>
            </wp:positionV>
            <wp:extent cx="709803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-1336675</wp:posOffset>
            </wp:positionV>
            <wp:extent cx="709803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98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677,660</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682,950</w:t>
            </w:r>
          </w:p>
        </w:tc>
        <w:tc>
          <w:tcPr>
            <w:tcW w:w="0" w:type="dxa"/>
            <w:vAlign w:val="bottom"/>
          </w:tcPr>
          <w:p>
            <w:pPr>
              <w:spacing w:after="0"/>
              <w:rPr>
                <w:sz w:val="1"/>
                <w:szCs w:val="1"/>
                <w:color w:val="auto"/>
              </w:rPr>
            </w:pPr>
          </w:p>
        </w:tc>
      </w:tr>
      <w:tr>
        <w:trPr>
          <w:trHeight w:val="229"/>
        </w:trPr>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0" w:type="dxa"/>
            <w:vAlign w:val="bottom"/>
          </w:tcPr>
          <w:p>
            <w:pPr>
              <w:spacing w:after="0"/>
              <w:rPr>
                <w:sz w:val="1"/>
                <w:szCs w:val="1"/>
                <w:color w:val="auto"/>
              </w:rPr>
            </w:pPr>
          </w:p>
        </w:tc>
      </w:tr>
      <w:tr>
        <w:trPr>
          <w:trHeight w:val="229"/>
        </w:trPr>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34"/>
        </w:trPr>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(13,240)</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0" w:type="dxa"/>
            <w:vAlign w:val="bottom"/>
          </w:tcPr>
          <w:p>
            <w:pPr>
              <w:spacing w:after="0"/>
              <w:rPr>
                <w:sz w:val="1"/>
                <w:szCs w:val="1"/>
                <w:color w:val="auto"/>
              </w:rPr>
            </w:pPr>
          </w:p>
        </w:tc>
      </w:tr>
      <w:tr>
        <w:trPr>
          <w:trHeight w:val="414"/>
        </w:trPr>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(1,560)</w:t>
            </w:r>
          </w:p>
        </w:tc>
        <w:tc>
          <w:tcPr>
            <w:tcW w:w="22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29"/>
        </w:trPr>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4,570</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0" w:type="dxa"/>
            <w:vAlign w:val="bottom"/>
          </w:tcPr>
          <w:p>
            <w:pPr>
              <w:spacing w:after="0"/>
              <w:rPr>
                <w:sz w:val="1"/>
                <w:szCs w:val="1"/>
                <w:color w:val="auto"/>
              </w:rPr>
            </w:pPr>
          </w:p>
        </w:tc>
      </w:tr>
      <w:tr>
        <w:trPr>
          <w:trHeight w:val="234"/>
        </w:trPr>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23"/>
        </w:trPr>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667,430</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673,220</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-187960</wp:posOffset>
            </wp:positionV>
            <wp:extent cx="7886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-33655</wp:posOffset>
            </wp:positionV>
            <wp:extent cx="7886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-7620</wp:posOffset>
            </wp:positionV>
            <wp:extent cx="7886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00" w:type="dxa"/>
            <w:vAlign w:val="bottom"/>
            <w:vMerge w:val="restart"/>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100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696,160</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(36,130)</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651,830</w:t>
            </w:r>
          </w:p>
        </w:tc>
        <w:tc>
          <w:tcPr>
            <w:tcW w:w="0" w:type="dxa"/>
            <w:vAlign w:val="bottom"/>
          </w:tcPr>
          <w:p>
            <w:pPr>
              <w:spacing w:after="0"/>
              <w:rPr>
                <w:sz w:val="1"/>
                <w:szCs w:val="1"/>
                <w:color w:val="auto"/>
              </w:rPr>
            </w:pPr>
          </w:p>
        </w:tc>
      </w:tr>
      <w:tr>
        <w:trPr>
          <w:trHeight w:val="229"/>
        </w:trPr>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0" w:type="dxa"/>
            <w:vAlign w:val="bottom"/>
          </w:tcPr>
          <w:p>
            <w:pPr>
              <w:spacing w:after="0"/>
              <w:rPr>
                <w:sz w:val="1"/>
                <w:szCs w:val="1"/>
                <w:color w:val="auto"/>
              </w:rPr>
            </w:pPr>
          </w:p>
        </w:tc>
      </w:tr>
      <w:tr>
        <w:trPr>
          <w:trHeight w:val="230"/>
        </w:trPr>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0" w:type="dxa"/>
            <w:vAlign w:val="bottom"/>
          </w:tcPr>
          <w:p>
            <w:pPr>
              <w:spacing w:after="0"/>
              <w:rPr>
                <w:sz w:val="1"/>
                <w:szCs w:val="1"/>
                <w:color w:val="auto"/>
              </w:rPr>
            </w:pPr>
          </w:p>
        </w:tc>
      </w:tr>
      <w:tr>
        <w:trPr>
          <w:trHeight w:val="234"/>
        </w:trPr>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(10,400)</w:t>
            </w: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0" w:type="dxa"/>
            <w:vAlign w:val="bottom"/>
          </w:tcPr>
          <w:p>
            <w:pPr>
              <w:spacing w:after="0"/>
              <w:rPr>
                <w:sz w:val="1"/>
                <w:szCs w:val="1"/>
                <w:color w:val="auto"/>
              </w:rPr>
            </w:pPr>
          </w:p>
        </w:tc>
      </w:tr>
      <w:tr>
        <w:trPr>
          <w:trHeight w:val="414"/>
        </w:trPr>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(2,310)</w:t>
            </w:r>
          </w:p>
        </w:tc>
        <w:tc>
          <w:tcPr>
            <w:tcW w:w="14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0" w:type="dxa"/>
            <w:vAlign w:val="bottom"/>
          </w:tcPr>
          <w:p>
            <w:pPr>
              <w:spacing w:after="0"/>
              <w:rPr>
                <w:sz w:val="1"/>
                <w:szCs w:val="1"/>
                <w:color w:val="auto"/>
              </w:rPr>
            </w:pPr>
          </w:p>
        </w:tc>
      </w:tr>
      <w:tr>
        <w:trPr>
          <w:trHeight w:val="230"/>
        </w:trPr>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2,940</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0" w:type="dxa"/>
            <w:vAlign w:val="bottom"/>
          </w:tcPr>
          <w:p>
            <w:pPr>
              <w:spacing w:after="0"/>
              <w:rPr>
                <w:sz w:val="1"/>
                <w:szCs w:val="1"/>
                <w:color w:val="auto"/>
              </w:rPr>
            </w:pPr>
          </w:p>
        </w:tc>
      </w:tr>
      <w:tr>
        <w:trPr>
          <w:trHeight w:val="234"/>
        </w:trPr>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(1,660)</w:t>
            </w: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23"/>
        </w:trPr>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684,730</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648,760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-33655</wp:posOffset>
            </wp:positionV>
            <wp:extent cx="7886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-8255</wp:posOffset>
            </wp:positionV>
            <wp:extent cx="7886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-187960</wp:posOffset>
            </wp:positionV>
            <wp:extent cx="7886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20" w:space="240"/>
            <w:col w:w="516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TriMas Corporation ("TriMas" or the "Company"), and its consolidated subsidiaries, designs, engineers and manufactures innovative products under leading brand names for customers primarily in the consumer products, aerospace &amp; defense, and industrial markets.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The preparation of financial statements requires management of the Company to make estimates and assumptions that affect the reported amounts of assets and liabilities. Actual results may differ from such estimates and assumptions due to risks and uncertainties, including uncertainty and volatility in the current economic environment due to input cost inflation, supply chain disruptions, and shortages in global markets for commodities, logistics and labor. To the extent there are differences between these estimates and actual results, the Company's consolidated financial statements may be materially affected.</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Results of operations for interim periods are not necessarily indicative of results for the full year. The accompanying consolidated financial statements and notes thereto should be read in conjunction with the Company's 2023 Annual Report on Form 10-K.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New Accounting Pronouncements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("ASU 2023-09"), which requires enhanced jurisdictional disclosures for income taxes paid and requires the use of specific categories in the effective tax rate reconciliation as well as additional information for reconciling items that meet a quantitative threshold. ASU 2023-09 is effective for fiscal years beginning after December 15, 2024, with early adoption permitted. The Company is in the process of assessing the impact of adoption on its consolidated financial statements.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which requires disclosure of significant segment expenses and other segment items by reportable segment on an annual and interim basis, the title and position of chief operating decision maker ("CODM") and how the CODM uses reported measures in assessing segment performance, and also extends the requirement of annual disclosures currently required by Topic 280 to interim periods. ASU 2023-07 is effective for fiscal years beginning after December 15, 2023, and interim periods within fiscal years beginning after December 15, 2024, with early adoption permitted. The Company is in the process of assessing the impact of adoption on its consolidated financial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disaggregated net sales by primary market served (dollars in thousands):</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Customer Markets</w:t>
            </w:r>
          </w:p>
        </w:tc>
        <w:tc>
          <w:tcPr>
            <w:tcW w:w="280" w:type="dxa"/>
            <w:vAlign w:val="bottom"/>
          </w:tcPr>
          <w:p>
            <w:pPr>
              <w:spacing w:after="0"/>
              <w:rPr>
                <w:sz w:val="18"/>
                <w:szCs w:val="18"/>
                <w:color w:val="auto"/>
              </w:rPr>
            </w:pPr>
          </w:p>
        </w:tc>
        <w:tc>
          <w:tcPr>
            <w:tcW w:w="124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Products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103,580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95,290</w:t>
            </w:r>
          </w:p>
        </w:tc>
      </w:tr>
      <w:tr>
        <w:trPr>
          <w:trHeight w:val="229"/>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49,990</w:t>
            </w:r>
          </w:p>
        </w:tc>
      </w:tr>
      <w:tr>
        <w:trPr>
          <w:trHeight w:val="23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70,180</w:t>
            </w:r>
          </w:p>
        </w:tc>
      </w:tr>
      <w:tr>
        <w:trPr>
          <w:trHeight w:val="223"/>
        </w:trPr>
        <w:tc>
          <w:tcPr>
            <w:tcW w:w="8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227,100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215,460</w:t>
            </w:r>
          </w:p>
        </w:tc>
      </w:tr>
      <w:tr>
        <w:trPr>
          <w:trHeight w:val="21"/>
        </w:trPr>
        <w:tc>
          <w:tcPr>
            <w:tcW w:w="7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Packaging segment earns revenues from the consumer products (comprised of the beauty and personal care, food and beverage, home care, pharmaceutical, nutraceutical and medical submarkets) and industrial markets. The Aerospace segment earns revenues from the aerospace &amp; defense market (comprised of commercial, regional and business jet, and military submarkets). The Specialty Products segment earns revenues from a variety of submarkets within the industrial market.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Acquisitions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21, 2023, the Company acquired Weldmac Manufacturing Company ("Weldmac") for a purchase price of $34.0 million, with additional contingent consideration ranging from zero to $10 million based on achievement of earnings targets, as defined in the purchase agreement. The fair value of assets acquired and liabilities assumed included $23.7 million of property and equipment, $20.3 million of net working capital and $10 million of contingent consideration liability, with such estimate representing the Company's best estimate of fair value of contingent consideration based on Level 3 inputs under the fair value hierarchy, as defined. Located in El Cajon, California, and reported in the Company's Aerospace segment, Weldmac is a designer and manufacturer of complex metal fabricated components and assemblies for the aerospace, defense and space launch end markets and historically generated $33 million in annual revenue. On July 10, 2023, the Company made a cash payment of $5.5 million as additional consideration for the purchase of Weldmac based on achievement of earnings targets, as defined in the purchase agreement. The remaining possible contingent consideration ranges from zero to $4.5 million, based on achievement of 2023 earnings targets, as defined in the purchase agreement. At March 31, 2024, the Company believes it is probable the maximum contingent consideration will be earned.</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 2023, the Company acquired Aarts Packaging B.V. ("Aarts"), a luxury packaging solutions provider for beauty and lifestyle brands, as well as for customers in the food and life sciences end markets, for a purchase price of $37.8 million, net of cash acquired. The fair value of assets acquired and liabilities assumed included $20.4 million of goodwill, $10.9 million of intangible assets, $8.5 million of property and equipment, $7.4 million of net working capital, $3.9 million of net deferred tax liabilities and $5.5 million of other liabilities. Aarts, which is reported in the Company's Packaging segment, is located in Waalwijk, The Netherlands, and historically generated €23 million in annual revenue.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Other Intangible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three months ended March 31, 2024 are summarized as follows (dollars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22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Aerospace</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Specialty Products</w:t>
            </w:r>
          </w:p>
        </w:tc>
        <w:tc>
          <w:tcPr>
            <w:tcW w:w="320" w:type="dxa"/>
            <w:vAlign w:val="bottom"/>
          </w:tcPr>
          <w:p>
            <w:pPr>
              <w:spacing w:after="0"/>
              <w:rPr>
                <w:sz w:val="18"/>
                <w:szCs w:val="18"/>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287,350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363,770</w:t>
            </w: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r>
      <w:tr>
        <w:trPr>
          <w:trHeight w:val="248"/>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361,260</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amortizes its other intangible assets over periods ranging from one to 30 years. The gross carrying amounts and accumulated amortization of the Company's other intangibles are summarized below (dollars in thousands):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220" w:type="dxa"/>
            <w:vAlign w:val="bottom"/>
          </w:tcPr>
          <w:p>
            <w:pPr>
              <w:spacing w:after="0"/>
              <w:rPr>
                <w:sz w:val="18"/>
                <w:szCs w:val="18"/>
                <w:color w:val="auto"/>
              </w:rPr>
            </w:pPr>
          </w:p>
        </w:tc>
        <w:tc>
          <w:tcPr>
            <w:tcW w:w="3300" w:type="dxa"/>
            <w:vAlign w:val="bottom"/>
            <w:gridSpan w:val="4"/>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0" w:type="dxa"/>
            <w:vAlign w:val="bottom"/>
          </w:tcPr>
          <w:p>
            <w:pPr>
              <w:spacing w:after="0"/>
              <w:rPr>
                <w:sz w:val="1"/>
                <w:szCs w:val="1"/>
                <w:color w:val="auto"/>
              </w:rPr>
            </w:pPr>
          </w:p>
        </w:tc>
      </w:tr>
      <w:tr>
        <w:trPr>
          <w:trHeight w:val="158"/>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Category by Useful Life</w:t>
            </w: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214"/>
        </w:trPr>
        <w:tc>
          <w:tcPr>
            <w:tcW w:w="4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8"/>
                <w:szCs w:val="18"/>
                <w:color w:val="auto"/>
              </w:rPr>
            </w:pPr>
          </w:p>
        </w:tc>
        <w:tc>
          <w:tcPr>
            <w:tcW w:w="14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25"/>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Customer relationships, 5 – 12 years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140,430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141,260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(89,020)</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 15 – 25 years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129,660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129,830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(80,600)</w:t>
            </w:r>
          </w:p>
        </w:tc>
        <w:tc>
          <w:tcPr>
            <w:tcW w:w="0" w:type="dxa"/>
            <w:vAlign w:val="bottom"/>
          </w:tcPr>
          <w:p>
            <w:pPr>
              <w:spacing w:after="0"/>
              <w:rPr>
                <w:sz w:val="1"/>
                <w:szCs w:val="1"/>
                <w:color w:val="auto"/>
              </w:rPr>
            </w:pPr>
          </w:p>
        </w:tc>
      </w:tr>
      <w:tr>
        <w:trPr>
          <w:trHeight w:val="223"/>
        </w:trPr>
        <w:tc>
          <w:tcPr>
            <w:tcW w:w="4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(169,620)</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other, 1 – 15 years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(41,850)</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Technology and other, 17 – 30 years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(40,730)</w:t>
            </w:r>
          </w:p>
        </w:tc>
        <w:tc>
          <w:tcPr>
            <w:tcW w:w="0" w:type="dxa"/>
            <w:vAlign w:val="bottom"/>
          </w:tcPr>
          <w:p>
            <w:pPr>
              <w:spacing w:after="0"/>
              <w:rPr>
                <w:sz w:val="1"/>
                <w:szCs w:val="1"/>
                <w:color w:val="auto"/>
              </w:rPr>
            </w:pPr>
          </w:p>
        </w:tc>
      </w:tr>
      <w:tr>
        <w:trPr>
          <w:trHeight w:val="223"/>
        </w:trPr>
        <w:tc>
          <w:tcPr>
            <w:tcW w:w="4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technology and other</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(82,580)</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Trademark/Trade names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431,810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(256,070)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433,220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(252,200)</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as included in the accompanying consolidated statement of income is summarized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80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other, included in cost of sales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Customer relationships, included in selling, general and administrative expenses</w:t>
            </w: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80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Inventories</w:t>
            </w: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806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 of the following components (dollars in thousands):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80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inventories</w:t>
            </w: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192,450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components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16"/>
                <w:szCs w:val="16"/>
                <w:color w:val="auto"/>
              </w:rPr>
            </w:pPr>
          </w:p>
        </w:tc>
        <w:tc>
          <w:tcPr>
            <w:tcW w:w="134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32,840</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99,230</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502,090</w:t>
            </w:r>
          </w:p>
        </w:tc>
      </w:tr>
      <w:tr>
        <w:trPr>
          <w:trHeight w:val="223"/>
        </w:trPr>
        <w:tc>
          <w:tcPr>
            <w:tcW w:w="8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634,160</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304,170</w:t>
            </w:r>
          </w:p>
        </w:tc>
      </w:tr>
      <w:tr>
        <w:trPr>
          <w:trHeight w:val="223"/>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332,090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329,990</w:t>
            </w:r>
          </w:p>
        </w:tc>
      </w:tr>
      <w:tr>
        <w:trPr>
          <w:trHeight w:val="20"/>
        </w:trPr>
        <w:tc>
          <w:tcPr>
            <w:tcW w:w="8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as included in the accompanying consolidated statement of income is as follows (dollars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80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 included in cost of sales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expense, included in selling, general and administrative expenses</w:t>
            </w: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80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Long-term Debt</w:t>
            </w: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06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long-term debt consists of the following (dollars in thousands):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80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4.125% Senior Notes due April 2029</w:t>
            </w: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424,930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395,660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In March 2021, the Company issued $400.0 million aggregate principal amount of 4.125% senior notes due April 15, 2029 ("Senior Notes") at par value in a private placement under Rule 144A of the Securities Act of 1933, as amended ("Securities Act"). The Senior Notes accrue interest at a rate of 4.125% per annum, payable semi-annually in arrears on April 15 and October 15. The payment of principal and interest is jointly and severally guaranteed, on a senior unsecured basis, by certain subsidiaries of the Company. The Senior Notes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existing and future senior indebtedness and effectively subordinated to all existing and future secured indebtedness to the extent of the value of the assets securing such indebtedness.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April 15, 2024, the Company may redeem up to 40% of the principal amount of the Senior Notes at a redemption price of 104.125% of the principal amount, plus accrued and unpaid interest, if any, to the redemption date, with the net cash proceeds of one or more equity offerings provided that each such redemption occurs within 90 days of the date of closing of each such equity offering. In addition, prior to April 15, 2024, the Company may redeem all or part of the Senior Notes at a redemption price equal to 100% of the principal amount thereof, plus accrued and unpaid interest, if any, to the redemption date, plus a "make whole" premium. On or after April 15, 2024, the Company may redeem all or part of the Senior Notes at the redemption prices (expressed as percentages of principal amount) set forth below, plus accrued and unpaid interest, if any, to the redemption date, if redeemed during the twelve-month period beginning on April 15 of the years indicated below:</w:t>
      </w:r>
    </w:p>
    <w:p>
      <w:pPr>
        <w:spacing w:after="0" w:line="245" w:lineRule="exact"/>
        <w:rPr>
          <w:sz w:val="20"/>
          <w:szCs w:val="20"/>
          <w:color w:val="auto"/>
        </w:rPr>
      </w:pPr>
    </w:p>
    <w:tbl>
      <w:tblPr>
        <w:tblLayout w:type="fixed"/>
        <w:tblInd w:w="2620" w:type="dxa"/>
        <w:tblCellMar>
          <w:top w:w="0" w:type="dxa"/>
          <w:left w:w="0" w:type="dxa"/>
          <w:bottom w:w="0" w:type="dxa"/>
          <w:right w:w="0" w:type="dxa"/>
        </w:tblCellMar>
      </w:tblPr>
      <w:tr>
        <w:trPr>
          <w:trHeight w:val="215"/>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14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6"/>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102.063 %</w:t>
            </w: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101.031 %</w:t>
            </w:r>
          </w:p>
        </w:tc>
      </w:tr>
      <w:tr>
        <w:trPr>
          <w:trHeight w:val="22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 party to a credit agreement ("Credit Agreement") consisting of a $300.0 million senior secured revolving credit facility, which permits borrowings denominated in specific foreign currencies, subject to a $125.0 million sub limit, maturing on March 29, 2026. The Credit Agreement is subject to benchmark interest rates determined based on the currency denomination of borrowings, with British pound sterling borrowings subject to the Sterling Overnight Index Average and Euro borrowings to the Euro InterBank Offered Rate, both plus a spread of 1.625%, and U.S. dollar borrowings subject to the Secured Overnight Financing Rate plus a spread of 1.725%. The interest rate spread is based upon the leverage ratio, as defined, as of the most recent determination date. The Company's revolving credit facility allows for the issuance of letters of credit, not to exceed $40.0 million in aggregate.</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2024, the Company had $29.0 million outstanding under its revolving credit facility and had $265.0 million potentially available after giving effect to $6.0 million of letters of credit issued and outstanding. At December 31, 2023, the Company had no amounts outstanding under its revolving credit facility and had $294.0 million potentially available after giving effect to $6.0 million of letters of credit issued and outstanding. After consideration of leverage restrictions contained in the Credit Agreement, as of March 31, 2024 and December 31, 2023, the Company had $227.0 million and $256.9 million, respectively, of borrowing capacity available for general corporate purposes.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subject to certain exceptions and limitations, to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any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March 31, 2024, the Company was in compliance with its financial covenants contained in the Credit Agreement.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Revolving Loan Facility</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May 2021, the Company, through one of its non-U.S. subsidiaries, entered into a revolving loan facility with a borrowing capacity of $4 million. The facility is guaranteed by TriMas Corporation. There were no borrowings outstanding on this loan facility as of March 31, 2024 and December 31, 2023.</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Debt</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valuations of the Senior Notes and revolving credit facility were determined based on Level 2 inputs under the fair value hierarchy, as defined. The carrying amounts and fair values were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jc w:val="right"/>
              <w:ind w:right="109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1"/>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500" w:type="dxa"/>
            <w:vAlign w:val="bottom"/>
          </w:tcPr>
          <w:p>
            <w:pPr>
              <w:spacing w:after="0"/>
              <w:rPr>
                <w:sz w:val="18"/>
                <w:szCs w:val="18"/>
                <w:color w:val="auto"/>
              </w:rPr>
            </w:pP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320" w:type="dxa"/>
            <w:vAlign w:val="bottom"/>
          </w:tcPr>
          <w:p>
            <w:pPr>
              <w:spacing w:after="0"/>
              <w:rPr>
                <w:sz w:val="18"/>
                <w:szCs w:val="18"/>
                <w:color w:val="auto"/>
              </w:rPr>
            </w:pP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5"/>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4.125% Senior Notes due April 2029</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364,000</w:t>
            </w:r>
          </w:p>
        </w:tc>
      </w:tr>
      <w:tr>
        <w:trPr>
          <w:trHeight w:val="234"/>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 Instruments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Designated as Hedging Instruments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2024, the Company entered into a cross-currency swap agreement to hedge its net investment in Euro-denominated assets against future volatility in the exchange rate between the U.S. dollar and the Euro. By doing so, the Company synthetically converts a portion of its U.S. dollar-based long-term debt into Euro-denominated long-term debt. The agreement is effective as of April 15, 2024, has a notional amount of $75.0 million and a contract period end date of April 15, 2029. Under the terms of the agreement, the Company is to receive net interest payments at a fixed rate of approximately 1.06% of the notional amount. At inception, the cross-currency swap was designated as a net investment hedge. At designation, the cross currency swap had an inception date non-zero fair value equal to a $4.9 million liability, which offset the inception date non-zero fair value of a $75.0 million foreign currency exchange forward contract entered into on the same date. The non-zero fair value of the cross currency swap was recognized in other income (expense), net in the consolidated statement of income during the three months ended March 31, 2024.</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2024, immediately prior to entering into the new cross-currency swap agreement, the Company voluntarily discontinued hedge accounting for its existing cross-currency swap agreement, de-designating the swap as a net investment hedge. The de-designated agreement has a notional amount of $75.0 million and a contract period end date of April 15, 2024. Under the terms of the agreement, the Company is to receive net interest payments at a fixed rate of approximately 2.4% of the notional amount.</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fair value carrying amount of the Company's derivatives designated as hedging instruments are recorded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Asset / (Liability) Derivatives</w:t>
            </w:r>
          </w:p>
        </w:tc>
        <w:tc>
          <w:tcPr>
            <w:tcW w:w="0" w:type="dxa"/>
            <w:vAlign w:val="bottom"/>
          </w:tcPr>
          <w:p>
            <w:pPr>
              <w:spacing w:after="0"/>
              <w:rPr>
                <w:sz w:val="1"/>
                <w:szCs w:val="1"/>
                <w:color w:val="auto"/>
              </w:rPr>
            </w:pPr>
          </w:p>
        </w:tc>
      </w:tr>
      <w:tr>
        <w:trPr>
          <w:trHeight w:val="158"/>
        </w:trPr>
        <w:tc>
          <w:tcPr>
            <w:tcW w:w="44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39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6"/>
                <w:szCs w:val="16"/>
                <w:b w:val="1"/>
                <w:bCs w:val="1"/>
                <w:color w:val="auto"/>
              </w:rPr>
              <w:t>Balance Sheet Caption</w:t>
            </w:r>
          </w:p>
        </w:tc>
        <w:tc>
          <w:tcPr>
            <w:tcW w:w="200" w:type="dxa"/>
            <w:vAlign w:val="bottom"/>
          </w:tcPr>
          <w:p>
            <w:pPr>
              <w:spacing w:after="0"/>
              <w:rPr>
                <w:sz w:val="13"/>
                <w:szCs w:val="13"/>
                <w:color w:val="auto"/>
              </w:rPr>
            </w:pPr>
          </w:p>
        </w:tc>
        <w:tc>
          <w:tcPr>
            <w:tcW w:w="1400" w:type="dxa"/>
            <w:vAlign w:val="bottom"/>
            <w:gridSpan w:val="3"/>
          </w:tcPr>
          <w:p>
            <w:pPr>
              <w:jc w:val="center"/>
              <w:ind w:right="4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1180" w:type="dxa"/>
            <w:vAlign w:val="bottom"/>
          </w:tcPr>
          <w:p>
            <w:pPr>
              <w:jc w:val="center"/>
              <w:ind w:right="75"/>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460" w:type="dxa"/>
            <w:vAlign w:val="bottom"/>
            <w:gridSpan w:val="2"/>
            <w:vMerge w:val="continue"/>
          </w:tcPr>
          <w:p>
            <w:pPr>
              <w:spacing w:after="0"/>
              <w:rPr>
                <w:sz w:val="18"/>
                <w:szCs w:val="18"/>
                <w:color w:val="auto"/>
              </w:rPr>
            </w:pPr>
          </w:p>
        </w:tc>
        <w:tc>
          <w:tcPr>
            <w:tcW w:w="3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160" w:type="dxa"/>
            <w:vAlign w:val="bottom"/>
            <w:tcBorders>
              <w:top w:val="single" w:sz="8" w:color="CCEEFF"/>
            </w:tcBorders>
            <w:shd w:val="clear" w:color="auto" w:fill="CCEEFF"/>
          </w:tcPr>
          <w:p>
            <w:pPr>
              <w:spacing w:after="0"/>
              <w:rPr>
                <w:sz w:val="19"/>
                <w:szCs w:val="19"/>
                <w:color w:val="auto"/>
              </w:rPr>
            </w:pPr>
          </w:p>
        </w:tc>
        <w:tc>
          <w:tcPr>
            <w:tcW w:w="3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income recognized in accumulated other comprehensive income (loss) ("AOCI") on derivative contracts designated as hedging instruments as of March 31, 2024 and December 31, 2023, and the amounts reclassified from AOCI into earnings for the three months ended March 31, 2024 and 2023 (dollars in thousands):</w:t>
      </w:r>
    </w:p>
    <w:p>
      <w:pPr>
        <w:sectPr>
          <w:pgSz w:w="11900" w:h="16838" w:orient="portrait"/>
          <w:cols w:equalWidth="0" w:num="1">
            <w:col w:w="11240"/>
          </w:cols>
          <w:pgMar w:left="320" w:top="121" w:right="339" w:bottom="1440" w:gutter="0" w:footer="0" w:header="0"/>
        </w:sectPr>
      </w:pPr>
    </w:p>
    <w:p>
      <w:pPr>
        <w:spacing w:after="0" w:line="230"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6"/>
          <w:szCs w:val="16"/>
          <w:b w:val="1"/>
          <w:bCs w:val="1"/>
          <w:color w:val="auto"/>
        </w:rPr>
        <w:t>Amount of Income Recognized</w:t>
      </w:r>
    </w:p>
    <w:p>
      <w:pPr>
        <w:jc w:val="center"/>
        <w:ind w:right="780"/>
        <w:spacing w:after="0" w:line="211" w:lineRule="auto"/>
        <w:rPr>
          <w:sz w:val="20"/>
          <w:szCs w:val="20"/>
          <w:color w:val="auto"/>
        </w:rPr>
      </w:pPr>
      <w:r>
        <w:rPr>
          <w:rFonts w:ascii="Times New Roman" w:cs="Times New Roman" w:eastAsia="Times New Roman" w:hAnsi="Times New Roman"/>
          <w:sz w:val="16"/>
          <w:szCs w:val="16"/>
          <w:b w:val="1"/>
          <w:bCs w:val="1"/>
          <w:color w:val="auto"/>
        </w:rPr>
        <w:t>in AOCI on Derivatives</w:t>
      </w:r>
    </w:p>
    <w:p>
      <w:pPr>
        <w:jc w:val="center"/>
        <w:ind w:right="780"/>
        <w:spacing w:after="0"/>
        <w:rPr>
          <w:sz w:val="20"/>
          <w:szCs w:val="20"/>
          <w:color w:val="auto"/>
        </w:rPr>
      </w:pPr>
      <w:r>
        <w:rPr>
          <w:rFonts w:ascii="Times New Roman" w:cs="Times New Roman" w:eastAsia="Times New Roman" w:hAnsi="Times New Roman"/>
          <w:sz w:val="16"/>
          <w:szCs w:val="16"/>
          <w:b w:val="1"/>
          <w:bCs w:val="1"/>
          <w:color w:val="auto"/>
        </w:rPr>
        <w:t>(Effective Portion,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8890</wp:posOffset>
            </wp:positionV>
            <wp:extent cx="17570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107" w:lineRule="exact"/>
        <w:rPr>
          <w:sz w:val="20"/>
          <w:szCs w:val="20"/>
          <w:color w:val="auto"/>
        </w:rPr>
      </w:pPr>
    </w:p>
    <w:tbl>
      <w:tblPr>
        <w:tblLayout w:type="fixed"/>
        <w:tblInd w:w="2520" w:type="dxa"/>
        <w:tblCellMar>
          <w:top w:w="0" w:type="dxa"/>
          <w:left w:w="0" w:type="dxa"/>
          <w:bottom w:w="0" w:type="dxa"/>
          <w:right w:w="0" w:type="dxa"/>
        </w:tblCellMar>
      </w:tblPr>
      <w:tr>
        <w:trPr>
          <w:trHeight w:val="184"/>
        </w:trPr>
        <w:tc>
          <w:tcPr>
            <w:tcW w:w="132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322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Location of Income (Loss) Reclassified from</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3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32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2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AOCI into Earnings (Effective Portion)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center"/>
        <w:ind w:right="140"/>
        <w:spacing w:after="0" w:line="248" w:lineRule="auto"/>
        <w:rPr>
          <w:sz w:val="20"/>
          <w:szCs w:val="20"/>
          <w:color w:val="auto"/>
        </w:rPr>
      </w:pPr>
      <w:r>
        <w:rPr>
          <w:rFonts w:ascii="Times New Roman" w:cs="Times New Roman" w:eastAsia="Times New Roman" w:hAnsi="Times New Roman"/>
          <w:sz w:val="16"/>
          <w:szCs w:val="16"/>
          <w:b w:val="1"/>
          <w:bCs w:val="1"/>
          <w:color w:val="auto"/>
        </w:rPr>
        <w:t>Amount of Income (Loss) Reclassified from AOCI into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0</wp:posOffset>
            </wp:positionV>
            <wp:extent cx="18173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17487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3" w:lineRule="exact"/>
        <w:rPr>
          <w:sz w:val="20"/>
          <w:szCs w:val="20"/>
          <w:color w:val="auto"/>
        </w:rPr>
      </w:pPr>
    </w:p>
    <w:p>
      <w:pPr>
        <w:ind w:left="500"/>
        <w:spacing w:after="0"/>
        <w:tabs>
          <w:tab w:leader="none" w:pos="192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31" w:lineRule="exact"/>
        <w:rPr>
          <w:sz w:val="20"/>
          <w:szCs w:val="20"/>
          <w:color w:val="auto"/>
        </w:rPr>
      </w:pPr>
    </w:p>
    <w:p>
      <w:pPr>
        <w:sectPr>
          <w:pgSz w:w="11900" w:h="16838" w:orient="portrait"/>
          <w:cols w:equalWidth="0" w:num="2">
            <w:col w:w="8360" w:space="120"/>
            <w:col w:w="276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6" w:lineRule="exact"/>
        <w:rPr>
          <w:sz w:val="20"/>
          <w:szCs w:val="20"/>
          <w:color w:val="auto"/>
        </w:rPr>
      </w:pPr>
    </w:p>
    <w:p>
      <w:pPr>
        <w:ind w:left="140"/>
        <w:spacing w:after="0"/>
        <w:tabs>
          <w:tab w:leader="none" w:pos="2400" w:val="left"/>
          <w:tab w:leader="none" w:pos="3140" w:val="left"/>
          <w:tab w:leader="none" w:pos="3840" w:val="left"/>
          <w:tab w:leader="none" w:pos="4600" w:val="left"/>
          <w:tab w:leader="none" w:pos="5280" w:val="left"/>
          <w:tab w:leader="none" w:pos="8480" w:val="left"/>
          <w:tab w:leader="none" w:pos="9540" w:val="left"/>
          <w:tab w:leader="none" w:pos="9920" w:val="left"/>
          <w:tab w:leader="none" w:pos="10960" w:val="left"/>
        </w:tabs>
        <w:rPr>
          <w:sz w:val="20"/>
          <w:szCs w:val="20"/>
          <w:color w:val="auto"/>
        </w:rPr>
      </w:pPr>
      <w:r>
        <w:rPr>
          <w:rFonts w:ascii="Times New Roman" w:cs="Times New Roman" w:eastAsia="Times New Roman" w:hAnsi="Times New Roman"/>
          <w:sz w:val="18"/>
          <w:szCs w:val="18"/>
          <w:color w:val="auto"/>
        </w:rPr>
        <w:t>Cross-currency swaps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13,850</w:t>
        <w:tab/>
        <w:t>$</w:t>
      </w:r>
      <w:r>
        <w:rPr>
          <w:sz w:val="20"/>
          <w:szCs w:val="20"/>
          <w:color w:val="auto"/>
        </w:rPr>
        <w:tab/>
      </w:r>
      <w:r>
        <w:rPr>
          <w:rFonts w:ascii="Times New Roman" w:cs="Times New Roman" w:eastAsia="Times New Roman" w:hAnsi="Times New Roman"/>
          <w:sz w:val="18"/>
          <w:szCs w:val="18"/>
          <w:color w:val="auto"/>
        </w:rPr>
        <w:t>13,260</w:t>
        <w:tab/>
        <w:t>Other income (expense), net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next 12 months, the Company does not expect to reclassify any pre-tax deferred amounts from AOCI into earnings.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2024, the Company was party to foreign currency exchange forward contracts to economically hedge changes in foreign currency rates with notional amounts of $207.9 million and a cross-currency swap agreement previously designated as a net investment hedge with notional amount of $75.0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U.S. dollar and the Euro, Canadian dollar, Chinese yuan, and the Mexican peso, as well as between the Euro and British pound, and have various settlement dates through September 2024. These contracts are not designated as hedge instruments; therefore, gains and losses on these contracts are recognized each period directly into the consolidated statement of income.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of derivatives not designated as hedging instruments on the Company's consolidated statement of income (dollars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88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Amount of Income (Loss) Recognized in</w:t>
            </w:r>
          </w:p>
        </w:tc>
        <w:tc>
          <w:tcPr>
            <w:tcW w:w="0" w:type="dxa"/>
            <w:vAlign w:val="bottom"/>
          </w:tcPr>
          <w:p>
            <w:pPr>
              <w:spacing w:after="0"/>
              <w:rPr>
                <w:sz w:val="1"/>
                <w:szCs w:val="1"/>
                <w:color w:val="auto"/>
              </w:rPr>
            </w:pPr>
          </w:p>
        </w:tc>
      </w:tr>
      <w:tr>
        <w:trPr>
          <w:trHeight w:val="214"/>
        </w:trPr>
        <w:tc>
          <w:tcPr>
            <w:tcW w:w="40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Earnings on Derivatives</w:t>
            </w:r>
          </w:p>
        </w:tc>
        <w:tc>
          <w:tcPr>
            <w:tcW w:w="0" w:type="dxa"/>
            <w:vAlign w:val="bottom"/>
          </w:tcPr>
          <w:p>
            <w:pPr>
              <w:spacing w:after="0"/>
              <w:rPr>
                <w:sz w:val="1"/>
                <w:szCs w:val="1"/>
                <w:color w:val="auto"/>
              </w:rPr>
            </w:pPr>
          </w:p>
        </w:tc>
      </w:tr>
      <w:tr>
        <w:trPr>
          <w:trHeight w:val="157"/>
        </w:trPr>
        <w:tc>
          <w:tcPr>
            <w:tcW w:w="40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4"/>
          </w:tcPr>
          <w:p>
            <w:pPr>
              <w:jc w:val="center"/>
              <w:ind w:right="213"/>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40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556"/>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4340" w:type="dxa"/>
            <w:vAlign w:val="bottom"/>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Location of Income (Loss) Recognized in Earnings on</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vMerge w:val="restart"/>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4"/>
        </w:trPr>
        <w:tc>
          <w:tcPr>
            <w:tcW w:w="4020" w:type="dxa"/>
            <w:vAlign w:val="bottom"/>
            <w:tcBorders>
              <w:bottom w:val="single" w:sz="8" w:color="CCEEFF"/>
            </w:tcBorders>
          </w:tcPr>
          <w:p>
            <w:pPr>
              <w:spacing w:after="0"/>
              <w:rPr>
                <w:sz w:val="18"/>
                <w:szCs w:val="18"/>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Derivatives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derivatives are estimated using an income approach based on valuation techniques to convert future amounts to a single, discounted amount. Estimates of the fair value of the Company's cross-currency swaps and foreign exchange contracts use observable inputs such as interest rate yield curves and forward currency exchange rates. Fair value measurements and the fair value hierarchy level for the Company's assets and liabilities measured at fair value on a recurring basis as of March 31, 2024 and December 31, 2023 are shown below (dollars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40" w:type="dxa"/>
            <w:vAlign w:val="bottom"/>
          </w:tcPr>
          <w:p>
            <w:pPr>
              <w:spacing w:after="0"/>
              <w:rPr>
                <w:sz w:val="16"/>
                <w:szCs w:val="16"/>
                <w:color w:val="auto"/>
              </w:rPr>
            </w:pPr>
          </w:p>
        </w:tc>
        <w:tc>
          <w:tcPr>
            <w:tcW w:w="1180" w:type="dxa"/>
            <w:vAlign w:val="bottom"/>
            <w:vMerge w:val="restart"/>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w:t>
            </w:r>
          </w:p>
        </w:tc>
        <w:tc>
          <w:tcPr>
            <w:tcW w:w="14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for Identical</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Observable</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Frequency</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 / (Liability)</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14"/>
        </w:trPr>
        <w:tc>
          <w:tcPr>
            <w:tcW w:w="430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40" w:type="dxa"/>
            <w:vAlign w:val="bottom"/>
          </w:tcPr>
          <w:p>
            <w:pPr>
              <w:spacing w:after="0"/>
              <w:rPr>
                <w:sz w:val="18"/>
                <w:szCs w:val="18"/>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25"/>
        </w:trPr>
        <w:tc>
          <w:tcPr>
            <w:tcW w:w="4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Cross-currency swaps</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Cross-currency swaps</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the Company's lease obligations are non-cancelable operating leases for certain equipment and facilities. The Company's finance leases are for certain equipment as part of the Company's acquisition of Aarts. Leases with an initial term of 12 months or less are not recorded on the balance sheet; expense related to these leases is recognized on a straight-line basis over the lease term.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leases are shown below (dollars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2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340" w:type="dxa"/>
            <w:vAlign w:val="bottom"/>
          </w:tcPr>
          <w:p>
            <w:pPr>
              <w:spacing w:after="0"/>
              <w:rPr>
                <w:sz w:val="18"/>
                <w:szCs w:val="18"/>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80" w:type="dxa"/>
            <w:vAlign w:val="bottom"/>
          </w:tcPr>
          <w:p>
            <w:pPr>
              <w:spacing w:after="0"/>
              <w:rPr>
                <w:sz w:val="18"/>
                <w:szCs w:val="18"/>
                <w:color w:val="auto"/>
              </w:rPr>
            </w:pPr>
          </w:p>
        </w:tc>
        <w:tc>
          <w:tcPr>
            <w:tcW w:w="19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43,220</w:t>
            </w: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43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Property and equipment, net </w:t>
            </w:r>
            <w:r>
              <w:rPr>
                <w:rFonts w:ascii="Times New Roman" w:cs="Times New Roman" w:eastAsia="Times New Roman" w:hAnsi="Times New Roman"/>
                <w:sz w:val="23"/>
                <w:szCs w:val="23"/>
                <w:color w:val="auto"/>
                <w:vertAlign w:val="superscript"/>
              </w:rPr>
              <w:t>(a)</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23"/>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assets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44,070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45,690</w:t>
            </w: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97"/>
        </w:trPr>
        <w:tc>
          <w:tcPr>
            <w:tcW w:w="2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r>
      <w:tr>
        <w:trPr>
          <w:trHeight w:val="230"/>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37,980</w:t>
            </w:r>
          </w:p>
        </w:tc>
      </w:tr>
      <w:tr>
        <w:trPr>
          <w:trHeight w:val="23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45,980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47,590</w:t>
            </w:r>
          </w:p>
        </w:tc>
      </w:tr>
      <w:tr>
        <w:trPr>
          <w:trHeight w:val="21"/>
        </w:trPr>
        <w:tc>
          <w:tcPr>
            <w:tcW w:w="2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04"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Finance leases were recorded net of accumulated depreciation of $0.3 million as of March 31, 2024.</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 (dollars in thousands):</w:t>
      </w:r>
    </w:p>
    <w:p>
      <w:pPr>
        <w:spacing w:after="0" w:line="282"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4100" w:type="dxa"/>
        <w:tblCellMar>
          <w:top w:w="0" w:type="dxa"/>
          <w:left w:w="0" w:type="dxa"/>
          <w:bottom w:w="0" w:type="dxa"/>
          <w:right w:w="0" w:type="dxa"/>
        </w:tblCellMar>
      </w:tblPr>
      <w:tr>
        <w:trPr>
          <w:trHeight w:val="212"/>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Statement of Income Location</w:t>
            </w:r>
          </w:p>
        </w:tc>
        <w:tc>
          <w:tcPr>
            <w:tcW w:w="158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6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Finance lease cost:</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Depreciation of lease assets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Short-term, variable and other lease costs</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920" w:type="dxa"/>
            <w:vAlign w:val="bottom"/>
            <w:tcBorders>
              <w:top w:val="single" w:sz="8" w:color="auto"/>
            </w:tcBorders>
          </w:tcPr>
          <w:p>
            <w:pPr>
              <w:ind w:left="20"/>
              <w:spacing w:after="0" w:line="172" w:lineRule="exact"/>
              <w:rPr>
                <w:sz w:val="20"/>
                <w:szCs w:val="20"/>
                <w:color w:val="auto"/>
              </w:rPr>
            </w:pPr>
            <w:r>
              <w:rPr>
                <w:rFonts w:ascii="Times New Roman" w:cs="Times New Roman" w:eastAsia="Times New Roman" w:hAnsi="Times New Roman"/>
                <w:sz w:val="18"/>
                <w:szCs w:val="18"/>
                <w:color w:val="auto"/>
              </w:rPr>
              <w:t>Cost of sales and Selling, general and administrative</w:t>
            </w: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r>
      <w:tr>
        <w:trPr>
          <w:trHeight w:val="243"/>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r>
      <w:tr>
        <w:trPr>
          <w:trHeight w:val="454"/>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5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80"/>
        </w:trPr>
        <w:tc>
          <w:tcPr>
            <w:tcW w:w="40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Cost of sales and Selling, general and administrative</w:t>
            </w: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5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23"/>
        </w:trPr>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w:t>
            </w: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-1165225</wp:posOffset>
            </wp:positionV>
            <wp:extent cx="713232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-745490</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-454025</wp:posOffset>
            </wp:positionV>
            <wp:extent cx="7132320" cy="265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720"/>
            <w:col w:w="7160"/>
          </w:cols>
          <w:pgMar w:left="320" w:top="121"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are as follows (dollars in thousands):</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40" w:type="dxa"/>
            <w:vAlign w:val="bottom"/>
          </w:tcPr>
          <w:p>
            <w:pPr>
              <w:spacing w:after="0"/>
              <w:rPr>
                <w:sz w:val="22"/>
                <w:szCs w:val="22"/>
                <w:color w:val="auto"/>
              </w:rPr>
            </w:pP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Operating Leases</w:t>
            </w:r>
            <w:r>
              <w:rPr>
                <w:rFonts w:ascii="Times New Roman" w:cs="Times New Roman" w:eastAsia="Times New Roman" w:hAnsi="Times New Roman"/>
                <w:sz w:val="23"/>
                <w:szCs w:val="23"/>
                <w:color w:val="auto"/>
                <w:vertAlign w:val="superscript"/>
              </w:rPr>
              <w:t>(a)</w:t>
            </w:r>
          </w:p>
        </w:tc>
        <w:tc>
          <w:tcPr>
            <w:tcW w:w="280" w:type="dxa"/>
            <w:vAlign w:val="bottom"/>
          </w:tcPr>
          <w:p>
            <w:pPr>
              <w:spacing w:after="0"/>
              <w:rPr>
                <w:sz w:val="22"/>
                <w:szCs w:val="22"/>
                <w:color w:val="auto"/>
              </w:rPr>
            </w:pPr>
          </w:p>
        </w:tc>
        <w:tc>
          <w:tcPr>
            <w:tcW w:w="180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Finance Leases</w:t>
            </w:r>
            <w:r>
              <w:rPr>
                <w:rFonts w:ascii="Times New Roman" w:cs="Times New Roman" w:eastAsia="Times New Roman" w:hAnsi="Times New Roman"/>
                <w:sz w:val="23"/>
                <w:szCs w:val="23"/>
                <w:color w:val="auto"/>
                <w:vertAlign w:val="superscript"/>
              </w:rPr>
              <w:t>(a)</w:t>
            </w:r>
          </w:p>
        </w:tc>
      </w:tr>
      <w:tr>
        <w:trPr>
          <w:trHeight w:val="223"/>
        </w:trPr>
        <w:tc>
          <w:tcPr>
            <w:tcW w:w="6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(excluding the three months ended March 31, 2024)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9"/>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3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3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223"/>
        </w:trPr>
        <w:tc>
          <w:tcPr>
            <w:tcW w:w="6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48"/>
        </w:trPr>
        <w:tc>
          <w:tcPr>
            <w:tcW w:w="69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ind w:left="340" w:hanging="332"/>
        <w:spacing w:after="0" w:line="230" w:lineRule="auto"/>
        <w:tabs>
          <w:tab w:leader="none" w:pos="304"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maturity table excludes cash flows associated with exited lease facilities. Liabilities for exited lease facilities are included in accrued liabilities and other long-term liabilities in the accompanying consolidated balance sheet.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the Company's leases are as follows (dollars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2940" w:type="dxa"/>
            <w:vAlign w:val="bottom"/>
            <w:tcBorders>
              <w:bottom w:val="single" w:sz="8" w:color="auto"/>
            </w:tcBorders>
            <w:gridSpan w:val="5"/>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2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lease liabilities: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w:t>
            </w: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of the Company's operating leases and finance leases as of March 31, 2024 is 6.2 years and 3.3 years, respectively. The weighted-average discount rate for the operating leases and finance leases as of March 31, 2024 is 4.1% and 2.6%, respectively.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Long-term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consist of the following components (dollars in thousands):</w:t>
      </w: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3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9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asbestos-related liabilities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23,880</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2024, the Company was a party to 465 pending cases involving an aggregate of 4,880 claimants primarily alleging personal injury from exposure to asbestos containing materials formerly used in gaskets (both encapsulated and otherwise) manufactured or distributed by its former Lamons division and certain other related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at the applicable date and for the applicable periods: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Claims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Claims</w:t>
            </w:r>
          </w:p>
        </w:tc>
        <w:tc>
          <w:tcPr>
            <w:tcW w:w="12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2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Claims filed</w:t>
            </w:r>
          </w:p>
        </w:tc>
        <w:tc>
          <w:tcPr>
            <w:tcW w:w="12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settlement</w:t>
            </w:r>
          </w:p>
        </w:tc>
        <w:tc>
          <w:tcPr>
            <w:tcW w:w="140" w:type="dxa"/>
            <w:vAlign w:val="bottom"/>
          </w:tcPr>
          <w:p>
            <w:pPr>
              <w:spacing w:after="0"/>
              <w:rPr>
                <w:sz w:val="14"/>
                <w:szCs w:val="14"/>
                <w:color w:val="auto"/>
              </w:rPr>
            </w:pPr>
          </w:p>
        </w:tc>
        <w:tc>
          <w:tcPr>
            <w:tcW w:w="1120" w:type="dxa"/>
            <w:vAlign w:val="bottom"/>
            <w:vMerge w:val="restart"/>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8"/>
              </w:rPr>
              <w:t>Total defense</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pending at</w:t>
            </w:r>
          </w:p>
        </w:tc>
        <w:tc>
          <w:tcPr>
            <w:tcW w:w="1260" w:type="dxa"/>
            <w:vAlign w:val="bottom"/>
            <w:gridSpan w:val="2"/>
            <w:vMerge w:val="continue"/>
          </w:tcPr>
          <w:p>
            <w:pPr>
              <w:spacing w:after="0"/>
              <w:rPr>
                <w:sz w:val="14"/>
                <w:szCs w:val="14"/>
                <w:color w:val="auto"/>
              </w:rPr>
            </w:pP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dismissed</w:t>
            </w:r>
          </w:p>
        </w:tc>
        <w:tc>
          <w:tcPr>
            <w:tcW w:w="1260" w:type="dxa"/>
            <w:vAlign w:val="bottom"/>
            <w:gridSpan w:val="2"/>
          </w:tcPr>
          <w:p>
            <w:pPr>
              <w:ind w:left="360"/>
              <w:spacing w:after="0" w:line="162" w:lineRule="exact"/>
              <w:rPr>
                <w:sz w:val="20"/>
                <w:szCs w:val="20"/>
                <w:color w:val="auto"/>
              </w:rPr>
            </w:pPr>
            <w:r>
              <w:rPr>
                <w:rFonts w:ascii="Times New Roman" w:cs="Times New Roman" w:eastAsia="Times New Roman" w:hAnsi="Times New Roman"/>
                <w:sz w:val="16"/>
                <w:szCs w:val="16"/>
                <w:b w:val="1"/>
                <w:bCs w:val="1"/>
                <w:color w:val="auto"/>
              </w:rPr>
              <w:t>settled</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pending at</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amount per</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w:t>
            </w: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w:t>
            </w:r>
          </w:p>
        </w:tc>
        <w:tc>
          <w:tcPr>
            <w:tcW w:w="1260" w:type="dxa"/>
            <w:vAlign w:val="bottom"/>
            <w:gridSpan w:val="2"/>
          </w:tcPr>
          <w:p>
            <w:pPr>
              <w:ind w:left="340"/>
              <w:spacing w:after="0" w:line="162" w:lineRule="exact"/>
              <w:rPr>
                <w:sz w:val="20"/>
                <w:szCs w:val="20"/>
                <w:color w:val="auto"/>
              </w:rPr>
            </w:pPr>
            <w:r>
              <w:rPr>
                <w:rFonts w:ascii="Times New Roman" w:cs="Times New Roman" w:eastAsia="Times New Roman" w:hAnsi="Times New Roman"/>
                <w:sz w:val="16"/>
                <w:szCs w:val="16"/>
                <w:b w:val="1"/>
                <w:bCs w:val="1"/>
                <w:color w:val="auto"/>
              </w:rPr>
              <w:t>during</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end of</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claim during</w:t>
            </w:r>
          </w:p>
        </w:tc>
        <w:tc>
          <w:tcPr>
            <w:tcW w:w="140" w:type="dxa"/>
            <w:vAlign w:val="bottom"/>
          </w:tcPr>
          <w:p>
            <w:pPr>
              <w:spacing w:after="0"/>
              <w:rPr>
                <w:sz w:val="14"/>
                <w:szCs w:val="14"/>
                <w:color w:val="auto"/>
              </w:rPr>
            </w:pPr>
          </w:p>
        </w:tc>
        <w:tc>
          <w:tcPr>
            <w:tcW w:w="112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rPr>
              <w:t>costs during</w:t>
            </w:r>
          </w:p>
        </w:tc>
        <w:tc>
          <w:tcPr>
            <w:tcW w:w="0" w:type="dxa"/>
            <w:vAlign w:val="bottom"/>
          </w:tcPr>
          <w:p>
            <w:pPr>
              <w:spacing w:after="0"/>
              <w:rPr>
                <w:sz w:val="1"/>
                <w:szCs w:val="1"/>
                <w:color w:val="auto"/>
              </w:rPr>
            </w:pPr>
          </w:p>
        </w:tc>
      </w:tr>
      <w:tr>
        <w:trPr>
          <w:trHeight w:val="214"/>
        </w:trPr>
        <w:tc>
          <w:tcPr>
            <w:tcW w:w="22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40" w:type="dxa"/>
            <w:vAlign w:val="bottom"/>
          </w:tcPr>
          <w:p>
            <w:pPr>
              <w:spacing w:after="0"/>
              <w:rPr>
                <w:sz w:val="18"/>
                <w:szCs w:val="18"/>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157"/>
        </w:trPr>
        <w:tc>
          <w:tcPr>
            <w:tcW w:w="220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Three Months Ended March</w:t>
            </w: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4,880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460,000</w:t>
            </w:r>
          </w:p>
        </w:tc>
        <w:tc>
          <w:tcPr>
            <w:tcW w:w="0" w:type="dxa"/>
            <w:vAlign w:val="bottom"/>
          </w:tcPr>
          <w:p>
            <w:pPr>
              <w:spacing w:after="0"/>
              <w:rPr>
                <w:sz w:val="1"/>
                <w:szCs w:val="1"/>
                <w:color w:val="auto"/>
              </w:rPr>
            </w:pPr>
          </w:p>
        </w:tc>
      </w:tr>
      <w:tr>
        <w:trPr>
          <w:trHeight w:val="175"/>
        </w:trPr>
        <w:tc>
          <w:tcPr>
            <w:tcW w:w="2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Fiscal Year Ended</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4,863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1,920,000</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be subjected to significant additional asbestos-related claims in the future, and will aggressively defend or reasonably resolve, as appropriate. The cost of settling cases in which product identification can be made may increase, and the Company may be subjected to further claims in respect of the former activities of its acquired gasket distributors. The cost of claims varies as claims may be initially made in some jurisdictions without specifying the amount sought or by simply stating the requisite or maximum permissible monetary relief, and may be amended to alter the amount sought. The large majority of claims do not specify the amount sought. Of the 4,880 claims pending at March 31, 2024, 34 set forth specific amounts of damages (other than those stating the statutory minimum or maximum). At March 31, 2024, of the 34 claims that set forth specific amounts, there were no claims seeking more than $5 million for punitive damages. Below is a breakdown of the compensatory damages sought for those claims seeking specific amounts:</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0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Compensatory</w:t>
            </w:r>
          </w:p>
        </w:tc>
        <w:tc>
          <w:tcPr>
            <w:tcW w:w="1320" w:type="dxa"/>
            <w:vAlign w:val="bottom"/>
            <w:tcBorders>
              <w:bottom w:val="single" w:sz="8" w:color="auto"/>
            </w:tcBorders>
          </w:tcPr>
          <w:p>
            <w:pPr>
              <w:spacing w:after="0"/>
              <w:rPr>
                <w:sz w:val="18"/>
                <w:szCs w:val="18"/>
                <w:color w:val="auto"/>
              </w:rPr>
            </w:pPr>
          </w:p>
        </w:tc>
      </w:tr>
      <w:tr>
        <w:trPr>
          <w:trHeight w:val="215"/>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Range of damages sought (dollars in millions)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$0.0 to $0.6</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$0.6 to $5.0</w:t>
            </w:r>
          </w:p>
        </w:tc>
        <w:tc>
          <w:tcPr>
            <w:tcW w:w="132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$5.0+</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claims</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31</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Relatively few claims have reached the discovery stage and even fewer claims have gone past the discovery stage. Total settlement costs (exclusive of defense costs) for all such cases, some of which were filed over 30 years ago, have been $13.2 million. All relief sought in the asbestos cases is monetary in nature. Based on the settlements made to date and the number of claims dismissed or withdrawn for lack of product identification, the Company believes that the relief sought (when specified) does not bear a reasonable relationship to its potential liability.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records a liability for asbestos-related claims, which includes both known and unknown claims, based on a study from the Company’s third-party actuary, the Company's review of the study, as well as the Company’s own review of asbestos claims and claim resolution activity.</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fourth quarter of 2022, the Company commissioned its actuary to update the study, based on data as of September 30, 2022, which yielded a range of possible future liability of $29.6 million to $39.5 million. The Company did not believe any amount within the range of potential outcomes represented a better estimate than another given the many factors and assumptions inherent in the projections, and therefore increased the liability estimate to $29.6 million, at the low-end of the range. As of March 31, 2024 and December 31, 2023, the Company’s total asbestos-related liability was $25.9 million and $26.6 million, respectively, and is included in accrued liabilities and other long-term liabilities, respectively, in the accompanying consolidated balance sheet.</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primary insurance, which covered approximately 40% of historical costs related to settlement and defense of asbestos litigation, expired in November 2018, upon which the Company became solely responsible for defense costs and indemnity payments. The Company is party to a coverage-in-place agreement (entered into in 2006) with its first level excess carriers regarding the coverage to be provided to the Company for asbestos-related claims. The coverage-in-place agreement makes asbestos defense costs and indemnity insurance coverage available to the Company that might otherwise be disputed by the carriers and provides a methodology for the administration of such expenses. The Company will continue to be solely responsible for defense costs and indemnity payments prior to the commencement of coverage under this agreement, the duration of which would be subject to the scope of damage awards and settlements paid. Based upon the Company’s review of the actuarial study, the Company does not believe it is probable that it will reach the threshold of qualified future settlements required to commence excess carrier insurance coverage under the coverage-in-place agreement.</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results of operations, or cash flows.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and Litigation</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TriMas reports its operations in three segments: Packaging, Aerospace and Specialty Products.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its platform, which is based upon a standardized set of processes, to manage and drive results and strategy across its multi-industry businesses.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each of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9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Packaging – </w:t>
      </w:r>
      <w:r>
        <w:rPr>
          <w:rFonts w:ascii="Times New Roman" w:cs="Times New Roman" w:eastAsia="Times New Roman" w:hAnsi="Times New Roman"/>
          <w:sz w:val="18"/>
          <w:szCs w:val="18"/>
          <w:color w:val="auto"/>
        </w:rPr>
        <w:t>TriMas' Packaging segment consists primarily of the Rieke, Affaba &amp; Ferrari, Taplast, Rapak, Plastic Srl, Aarts Packaging, Intertech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Omega brands. TriMas Packaging develops and manufactures a broad array of dispensing products (such as foaming pumps, lotion, hand soap and sanitizer pumps, beverage dispensers, perfume sprayers, nasal sprayers and trigger sprayers), polymeric and steel caps and closures (such as food lids, flip-top closures, child resistant caps, beverage closures, fragrance and cosmetic caps, drum and pail closures, and flexible spouts), polymeric jar products, fully integrated dispensers for fill-ready bag-in-box applications, and consumable vascular delivery and diagnostic test components, all for a variety of consumer products submarkets including, but not limited to, beauty and personal care, food and beverage, home care, and life sciences, including but not limited to pharmaceutical, nutraceutical, and medical, as well as industrial markets (including agricultural).</w:t>
      </w:r>
    </w:p>
    <w:p>
      <w:pPr>
        <w:spacing w:after="0" w:line="1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Aerospace – </w:t>
      </w:r>
      <w:r>
        <w:rPr>
          <w:rFonts w:ascii="Times New Roman" w:cs="Times New Roman" w:eastAsia="Times New Roman" w:hAnsi="Times New Roman"/>
          <w:sz w:val="18"/>
          <w:szCs w:val="18"/>
          <w:color w:val="auto"/>
        </w:rPr>
        <w:t>TriMas' Aerospace segment, which includes the Monogram Aerospace Fasteners, Allfast Fastening Systems, Mac Fasteners, TFI Aerospace,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RSA Engineered Products, Martinic Engineering, and Weldmac Manufacturing Company brands, develops, qualifies and manufactures highly-engineered, precision fasteners, tubular products and assemblies for fluid conveyance, and machined products and assemblies to serve the aerospace and defense market.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Specialty Products – </w:t>
      </w:r>
      <w:r>
        <w:rPr>
          <w:rFonts w:ascii="Times New Roman" w:cs="Times New Roman" w:eastAsia="Times New Roman" w:hAnsi="Times New Roman"/>
          <w:sz w:val="18"/>
          <w:szCs w:val="18"/>
          <w:color w:val="auto"/>
        </w:rPr>
        <w:t>TriMas' Specialty Products segment, which includes the Norris Cylinder and Arrow Engine brands, designs, manufactures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distributes highly-engineered steel cylinders for use within industrial and aerospace markets, natural gas-fired engines for remote power generation applications and compression systems for use within the North American industrial oil and gas and power generation end-markets.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activity is as follows (dollars in thousands):</w:t>
      </w:r>
    </w:p>
    <w:p>
      <w:pPr>
        <w:spacing w:after="0" w:line="293"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0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127,020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116,220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49,990</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49,250</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215,460</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 (Loss) and Income Before Income Tax Expense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operating profit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operating profit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25,570</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Corporate </w:t>
            </w:r>
            <w:r>
              <w:rPr>
                <w:rFonts w:ascii="Times New Roman" w:cs="Times New Roman" w:eastAsia="Times New Roman" w:hAnsi="Times New Roman"/>
                <w:sz w:val="23"/>
                <w:szCs w:val="23"/>
                <w:color w:val="auto"/>
                <w:vertAlign w:val="superscript"/>
              </w:rPr>
              <w:t>(a)</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(15,580)</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profit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ind w:left="340" w:hanging="332"/>
        <w:spacing w:after="0" w:line="230" w:lineRule="auto"/>
        <w:tabs>
          <w:tab w:leader="none" w:pos="29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Corporate consists of the corporate office and related corporate activities. Corporate expenses primarily include compensation, benefits, professional services, information technology and other administrative costs. Corporate expenses reconcile reportable segment information to the consolidated totals.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Equity Awards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awarded the following restricted stock units ("RSUs") during the three months ended March 31, 2024:</w:t>
      </w:r>
    </w:p>
    <w:p>
      <w:pPr>
        <w:spacing w:after="0" w:line="158" w:lineRule="exact"/>
        <w:rPr>
          <w:sz w:val="20"/>
          <w:szCs w:val="20"/>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281,405 RSUs to certain employees, which are subject only to a service condition and vest ratably over three years so long as the employee remains with the Company;</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32,544 RSUs to its non-employee independent directors, which fully vest one year from date of grant so long as the director and/or Company does not terminate the director's service prior to the vesting date;</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28 RSUs to certain employees related to dividend equivalent rights on existing equity awards; and</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1,171 RSUs related to director fee deferrals as certain of the Company's directors elected to defer all or a portion of their director fees and to receive the amount in Company common stock at a future date.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2024, the Company also awarded 109,640 performance-based RSUs to certain Company key employees which vest three years from the grant date as long as the employee remains with the Company. These awards are initially earned 50% based upon the Company's achievement of an earnings per share compound annual growth rate ("EPS CAGR") metric and 50% based upon the Company's cash return on net assets ("Cash RONA") metric over a period beginning January 1, 2024 and ending December 31, 2026. The total EPS CAGR and Cash RONA performance-based RSUs initially earned shall be subject to modification based on the Company's total shareholder return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4.50% and annualized volatility of 31.4%. Depending on the performance achieved for these two metrics, the amount of shares earned, if any, can vary for each metric from 0% of the target award to a maximum of 250% of the target.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RSUs at March 31, 2024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Number of Unvested</w:t>
            </w:r>
          </w:p>
        </w:tc>
        <w:tc>
          <w:tcPr>
            <w:tcW w:w="14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 Remaining</w:t>
            </w:r>
          </w:p>
        </w:tc>
        <w:tc>
          <w:tcPr>
            <w:tcW w:w="120" w:type="dxa"/>
            <w:vAlign w:val="bottom"/>
          </w:tcPr>
          <w:p>
            <w:pPr>
              <w:spacing w:after="0"/>
              <w:rPr>
                <w:sz w:val="16"/>
                <w:szCs w:val="16"/>
                <w:color w:val="auto"/>
              </w:rPr>
            </w:pPr>
          </w:p>
        </w:tc>
        <w:tc>
          <w:tcPr>
            <w:tcW w:w="1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17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40" w:type="dxa"/>
            <w:vAlign w:val="bottom"/>
          </w:tcPr>
          <w:p>
            <w:pPr>
              <w:spacing w:after="0"/>
              <w:rPr>
                <w:sz w:val="18"/>
                <w:szCs w:val="18"/>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RSUs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4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691,836</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424,788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(183,582)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(67,524)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865,518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23,135,296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there was $10.2 million of unrecognized compensation cost related to unvested RSUs that is expected to be recorded over a weighted average period of 2.4 years.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RSUs granted to employees who are eligible for retirement on the date of the grant are expensed immediately, and RSUs granted to employees who will become retirement-eligible prior to the end of the vesting term are expensed over the period through which the employee will become retirement-eligible since these awards vest upon retirement from the Company. Compensation expense for RSUs granted to employees who will not become retirement-eligible prior to the end of the vesting term is recognized on a straight-line basis over the vesting period. The Company recognized stock-based compensation expense related to RSUs of $4.6 million and $2.9 million during the three months ended March 31, 2024 and 2023, respectively. The stock-based compensation expense is included in selling, general and administrative expenses in the accompanying consolidated statement of income.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is divided by the weighted average number of common shares outstanding during the period to calculate basic earnings per share. Diluted earnings per share is calculated to give effect to RSUs. The following table summarizes the dilutive effect of RSUs to purchase common stock for the three months ended March 31, 2024 and 2023:</w:t>
      </w:r>
    </w:p>
    <w:p>
      <w:pPr>
        <w:spacing w:after="0" w:line="230"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4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6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41,018,049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41,543,625</w:t>
            </w:r>
          </w:p>
        </w:tc>
      </w:tr>
      <w:tr>
        <w:trPr>
          <w:trHeight w:val="229"/>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Dilutive effect of restricted stock units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303,965</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258,412</w:t>
            </w: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41,322,014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41,802,037</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the Company announced its Board of Directors had authorized the Company to increase the purchase of its common stock up to $250 million in the aggregate. This announcement represented the most recent update from the initial authorization, approved in November 2015, of up to $50 million of purchases in the aggregate of its common stock. In the three months ended March 31, 2024, the Company purchased 540,037 shares of its outstanding common stock for $13.3 million. During the three months ended March 31, 2023, the Company purchased 350,862 shares of its outstanding common stock for $10.4 million. As of March 31, 2024, the Company had $73.6 million remaining under the repurchase authorization.</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dividends at the discretion of the Company's Board of Directors. In 2021, the Company's Board of Directors declared the first dividend since the Company's initial public offering in 2007. During the three months ended March 31, 2024, the Company's cash dividends declared were $0.04 per share of common stock and total dividends declared and paid on common shares were $1.7 million. In the three months ended March 31, 2023, the Company's cash dividends declared were $0.04 per share of common stock and total dividends declared and paid on common shares were $1.7 million.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Defined Benefit Plans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periodic pension benefit costs for the Company's defined benefit pension plans cover certain foreign employees, union hourly employees and salaried employees. The components of net periodic pension cost (income) are as follows (dollars in thousands):</w:t>
      </w:r>
    </w:p>
    <w:p>
      <w:pPr>
        <w:spacing w:after="0" w:line="216"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4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costs</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costs</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 (income)</w:t>
            </w: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service cost component of net periodic benefit cost is recorded in cost of goods sold and selling, general and administrative expenses, while non-service cost components are recorded in other income (expense), net in the accompanying consolidated statement of income.</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contributed $0.2 million to its defined benefit pension plans during the three months ended March 31, 2024. The Company expects to contribute $1.2 million to its defined benefit pension plans for the full year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Other Comprehensive Income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three months ended March 31, 2024 are summarized as follows, net of tax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3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60" w:type="dxa"/>
            <w:vAlign w:val="bottom"/>
          </w:tcPr>
          <w:p>
            <w:pPr>
              <w:spacing w:after="0"/>
              <w:rPr>
                <w:sz w:val="16"/>
                <w:szCs w:val="16"/>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80" w:type="dxa"/>
            <w:vAlign w:val="bottom"/>
          </w:tcPr>
          <w:p>
            <w:pPr>
              <w:spacing w:after="0"/>
              <w:rPr>
                <w:sz w:val="14"/>
                <w:szCs w:val="14"/>
                <w:color w:val="auto"/>
              </w:rPr>
            </w:pPr>
          </w:p>
        </w:tc>
        <w:tc>
          <w:tcPr>
            <w:tcW w:w="96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Translation</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unrealized gains (losses) arising during the period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realized losses reclassified to net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48"/>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3"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Derivative instruments, net of income tax of $0.2 million. See Note 9,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three months ended March 31, 2023 are summarized as follows, net of tax (dollars in thousands):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13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0" w:type="dxa"/>
            <w:vAlign w:val="bottom"/>
          </w:tcPr>
          <w:p>
            <w:pPr>
              <w:spacing w:after="0"/>
              <w:rPr>
                <w:sz w:val="16"/>
                <w:szCs w:val="16"/>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80" w:type="dxa"/>
            <w:vAlign w:val="bottom"/>
          </w:tcPr>
          <w:p>
            <w:pPr>
              <w:spacing w:after="0"/>
              <w:rPr>
                <w:sz w:val="14"/>
                <w:szCs w:val="14"/>
                <w:color w:val="auto"/>
              </w:rPr>
            </w:pPr>
          </w:p>
        </w:tc>
        <w:tc>
          <w:tcPr>
            <w:tcW w:w="94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0" w:type="dxa"/>
            <w:vAlign w:val="bottom"/>
          </w:tcPr>
          <w:p>
            <w:pPr>
              <w:spacing w:after="0"/>
              <w:rPr>
                <w:sz w:val="1"/>
                <w:szCs w:val="1"/>
                <w:color w:val="auto"/>
              </w:rPr>
            </w:pPr>
          </w:p>
        </w:tc>
      </w:tr>
      <w:tr>
        <w:trPr>
          <w:trHeight w:val="229"/>
        </w:trPr>
        <w:tc>
          <w:tcPr>
            <w:tcW w:w="58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unrealized gains (losses) arising during the period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realized losses reclassified to net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18" w:lineRule="exact"/>
        <w:rPr>
          <w:sz w:val="20"/>
          <w:szCs w:val="20"/>
          <w:color w:val="auto"/>
        </w:rPr>
      </w:pPr>
    </w:p>
    <w:p>
      <w:pPr>
        <w:ind w:left="220" w:hanging="212"/>
        <w:spacing w:after="0"/>
        <w:tabs>
          <w:tab w:leader="none" w:pos="22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Derivative instruments, net of income tax of $0.6 million. See Note 9,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Income Taxes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three months ended March 31, 2024 and 2023 was 28.5% and 21.1%, respectively. The Company recorded tax expense of $2.1 million for the three months ended March 31, 2024, as compared to $1.3 million for the three months ended March 31, 2023. The effective tax rate for the three months ended March 31, 2024 was higher than in the prior year primarily due to increased earnings in certain foreign jurisdictions where the effective tax rate was higher than 21% and losses at certain foreign subsidiaries where no tax benefit could be recorded.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23, 2024, the Company announced that its Board of Directors had declared a cash dividend of $0.04 per share of TriMas Corporation common stock, which will be payable on May 14, 2024 to shareholders of record as of the close of business on May 7, 2024.</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2023.</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TriMas designs, develops and manufactures a diverse set of products primarily for the consumer products, aerospace &amp; defense and industrial markets through its TriMas Packaging, TriMas Aerospace and Specialty Products groups. Our wide range of innovative products are designed and engineered to solve application-specific challenges that our customers face. We believe our businesses share important and distinguishing characteristics, including: well-recognized and leading brand names in the markets we serve; innovative product technologies and features; a high-degree of customer approved processes and qualifications; established distribution networks; modest capital investment requirements; strong cash flow conversion and long-term growth opportunities. While the majority of our revenue is in the United States, we manufacture and supply products globally to a wide range of companies. We report our business activity in three segments: Packaging, Aerospace and Specialty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Factors Affecting Our Reported Results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Demand for the products our businesses produce and results of operations depend upon general economic conditions. We serve customers in industries that are highly competitive, and that may be significantly impacted by changes in economic or geopolitical conditions.</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results of operations have been materially impacted over the past few years by macro-economic factors, first by the onset and proliferation of the coronavirus pandemic ("pandemic"), then further from increased energy costs and supply chain disruptions from the Russia-Ukraine conflict, and more recently by cost inflation (raw materials, wage rates and freight) and a lack of material and in certain regions skilled labor availability. These factors significantly affected each of our businesses and how we operate, albeit in different ways and magnitudes. Sales in our Packaging segment for dispensing and closure products used in applications to help fight the spread of germs have experienced extreme volatility in demand, with demand spiking to record highs after the onset of the pandemic, demand abating as expected from those high levels beginning mid-2022 and continuing through most of 2023, as a result of some of our larger customers' choices to rebalance on-hand inventory levels and caution in purchasing behaviors given the current inflationary macro-economic environment. Sales of certain of our aerospace-related products were significantly depressed from historical levels following the onset of the pandemic, but demand has significantly increased in recent quarters as air travel has picked-up and new aircraft build rates improve. Certain of our products for industrial applications, for example steel cylinders for packaged gas applications, and engines and compressors for oil &amp; gas extraction, have experienced volatility in demand related to a number of channel and economic factors in more recent periods. Altogether, this significant level of volatility in demand levels, input and transportation costs, and material and labor availability, have pressured our ability to operate efficiently in recent periods. While some areas of demand volatility remain, such as in our Specialty Products segment, we are beginning to see more steady and consistent demand in our Packaging and Aerospace end markets.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our first quarter 2024 net sales increased $11.6 million, or 5.4%, compared to first quarter 2023. We experienced growth from acquisitions as well as organic sales increases within each of our Packaging and Aerospace segments, as a result of increased demand levels. These increases were partially offset by decreased sales in our Specialty Products segment, resulting from a decrease in demand as customers continue working through higher inventory levels built up in 2023.</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most significant drivers affecting our financial results in first quarter 2024 compared with first quarter 2023, other than as directly impacted by sales changes, were the impact of our recent acquisitions, prior structural cost reductions within our Packaging segment, costs incurred to fulfill an abrupt increase in orders from one of our customers in our Packaging segment, improved material availability in our Aerospace segment, lower third party business diligence and consulting expenses in our corporate office in support of prospective streamlining actions and growth initiatives, and an increase in our effective tax rate.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April 2023, we acquired Weldmac Manufacturing Company ("Weldmac"), a designer and manufacturer of complex metal fabricated components and assemblies for the aerospace, defense and space launch end markets for a purchase price of $34.0 million, with additional consideration of $5.5 million paid in July 2023 and remaining contingent consideration ranging from zero to $4.5 million based on achievement of 2023 earnings targets, as defined in the purchase agreement. Weldmac, which is reported in our Aerospace segment, is located in El Cajon, California. Weldmac contributed $11.4 million of net sales during first quarter 2024.</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2023, we acquired Aarts Packaging B.V. ("Aarts"), a luxury packaging solutions provider for beauty and lifestyle brands, as well as for customers in the food and life sciences end markets, for a purchase price of $37.8 million, net of cash acquired. Aarts, which is reported in our Packaging segment, is located in Waalwijk, the Netherlands and contributed $2.8 million of acquisition-related sales growth during first quarter 2024 resulting from its January 2024 sales.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first quarter 2024, one of our customers in our Packaging segment abruptly increased their orders, which required us to incur certain incremental input costs to timely fulfill certain of the customer's orders.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first quarter 2024 was 28.5% as compared to 21.1% for first quarter 2023. The effective tax rate for first quarter 2024 was higher than in the prior year primarily due to increased earnings in certain foreign jurisdictions where the effective tax rate was higher than 21% and losses at certain foreign subsidiaries where no tax benefit could be recorded.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Key Risks that May Affect Our Reported Results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executed meaningful realignment actions over the past few years, primarily in our Packaging segment, to address manufacturing capacity where demand has fallen. We will continue to assess further actions if required. However, as a result of the current period of macroeconomic inflation and uncertainty and the potential impact of such factors to our future results of operations, as well as if there is an impact to TriMas' market capitalization, we may record additional cash and non-cash charges related to incremental realignment actions, asset impairments, including impairments to our goodwill, intangible assets, fixed assets, inventory or customer receivable account balances.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the potential for declines in future demand levels and results of operations, at present, we believe our capital structure is in a strong position. We have sufficient cash and available liquidity under our revolving credit facility to meet our debt service obligations, capital expenditure requirements and other short-term and long-term obligations for the foreseeable future.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Critical factors affecting our ability to succeed include: our ability to create organic growth through product development, cross-selling and extending product-line offerings, and our ability to quickly and cost-effectively introduce and successfully launch new products; our ability to acquire and integrate companies or products that supplement existing product lines, add new distribution channels or customers, or expand our geographic coverage; our ability to manage our cost structure more efficiently via supply chain management, internal sourcing and/or purchasing of materials, selective outsourcing and/or purchasing of support functions, working capital management, and greater leverage of our administrative functions; and our ability to absorb, or recover via commercial actions, inflationary or other cost increases.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A growing amount of our sales is derived from international sources, which exposes us to certain risks, including currency risks.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sensitive to price movements and availability of our raw materials supply. Our largest raw material purchases are for resins (such as polypropylene and polyethylene), steel, aluminum, superalloys (such as titanium, A286 stainless steel and Inconel) and other oil and metal-based purchased components, the costs for each of which are subject to volatility. There has also been some volatility over the past two years as a direct and indirect result of foreign trade policy, where tariffs on certain of our commodity-based products sourced from Asia have been instituted, the conflict in Eastern Europe, creating certain input material shortages, and labor shortages at certain of our raw material suppliers. We will continue to take actions to mitigate such increases, including implementing commercial pricing adjustments, holding extra inventories and resourcing to alternate suppliers and insourcing of previously sourced products. Although we believe we are generally able to mitigate the impact of higher commodity costs over time, we may experience additional material costs and disruptions in supply in the future and may not be able to pass along higher costs to our customers in the form of price increases or otherwise mitigate the impacts to our operating results.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have escalator/de-escalator clauses in commercial contracts with certain of our customers to address fluctuations in input costs, or can modify prices based on market conditions to recover higher costs, our price increases generally lag the underlying input cost increase, and we cannot be assured of full cost recovery in the open market. If input costs increase at rapid rates, our ability to recover cost increases on a timely basis is made more difficult by the lag nature of these contracts.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Oil-based commodity costs are a significant driver of raw materials and purchased components used within our Packaging segment. As such, an increase in crude oil often is a precursor to rising input polymeric raw material costs, for which we may experience a contractual commercial recover lag. Separately, our Arrow Engine business in our Specialty Products segment is sensitive to the demand for natural gas and crude oil in North America. For example, demand for engine, pump jack and compressor products are impacted by active oil and gas rig counts and wellhead investment activities.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year, as a core tenet of the TriMas Business Model, our businesses target cost savings from Kaizen and continuous improvement initiatives in an effort to reduce, or otherwise offset, the impact of increased input and conversion costs through increased throughput and yield rates, with a goal of at least covering inflationary and market cost increases. In addition, we continuously review our operating cost structures to ensure alignment with current market demand.</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evaluate alternatives to redeploy the cash generated by our businesses, one of which includes returning capital to our shareholders. In 2020, our Board of Directors increased the authorization of share repurchases to a cumulative amount of $250 million. During first quarter 2024, we purchased 540,037 shares of our outstanding common stock for an aggregate purchase price of $13.3 million. As of March 31, 2024, we had $73.6 million remaining under the repurchase authorization.</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first quarter 2024, we declared dividends of $0.04 per share of common stock and paid dividends of $1.7 million. We will continue to evaluate opportunities to return capital to shareholders through the purchase of our common stock, as well as dividends, depending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financial information for our reportable segments for the three months ended March 31, 2024 and 2023 (dollars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restart"/>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3"/>
                <w:szCs w:val="13"/>
                <w:color w:val="auto"/>
              </w:rPr>
            </w:pPr>
          </w:p>
        </w:tc>
        <w:tc>
          <w:tcPr>
            <w:tcW w:w="170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360" w:type="dxa"/>
            <w:vAlign w:val="bottom"/>
          </w:tcPr>
          <w:p>
            <w:pPr>
              <w:spacing w:after="0"/>
              <w:rPr>
                <w:sz w:val="13"/>
                <w:szCs w:val="13"/>
                <w:color w:val="auto"/>
              </w:rPr>
            </w:pPr>
          </w:p>
        </w:tc>
        <w:tc>
          <w:tcPr>
            <w:tcW w:w="1220" w:type="dxa"/>
            <w:vAlign w:val="bottom"/>
            <w:vMerge w:val="restart"/>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3"/>
                <w:szCs w:val="13"/>
                <w:color w:val="auto"/>
              </w:rPr>
            </w:pPr>
          </w:p>
        </w:tc>
        <w:tc>
          <w:tcPr>
            <w:tcW w:w="1460" w:type="dxa"/>
            <w:vAlign w:val="bottom"/>
          </w:tcPr>
          <w:p>
            <w:pPr>
              <w:jc w:val="right"/>
              <w:ind w:right="91"/>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0" w:type="dxa"/>
            <w:vAlign w:val="bottom"/>
          </w:tcPr>
          <w:p>
            <w:pPr>
              <w:spacing w:after="0"/>
              <w:rPr>
                <w:sz w:val="1"/>
                <w:szCs w:val="1"/>
                <w:color w:val="auto"/>
              </w:rPr>
            </w:pPr>
          </w:p>
        </w:tc>
      </w:tr>
      <w:tr>
        <w:trPr>
          <w:trHeight w:val="211"/>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127,020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32,740</w:t>
            </w:r>
          </w:p>
        </w:tc>
        <w:tc>
          <w:tcPr>
            <w:tcW w:w="2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227,100</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215,460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2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52,710</w:t>
            </w:r>
          </w:p>
        </w:tc>
        <w:tc>
          <w:tcPr>
            <w:tcW w:w="26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Profit (Loss)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factors impacting us during the three months ended March 31, 2024, compared with the three months ended March 31, 2023, were:</w:t>
      </w:r>
    </w:p>
    <w:p>
      <w:pPr>
        <w:spacing w:after="0" w:line="14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demand for products within our Packaging and Aerospace segments;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demand decrease in our Specialty Products segment;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acquisitions, primarily Aarts and Weldmac;</w:t>
      </w:r>
    </w:p>
    <w:p>
      <w:pPr>
        <w:spacing w:after="0" w:line="1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Prior structural cost reductions within our Packaging segment;</w:t>
      </w:r>
    </w:p>
    <w:p>
      <w:pPr>
        <w:spacing w:after="0" w:line="130"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material availability in our Aerospace segment;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business diligence and consulting fees in support of our growth initiatives;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effective tax rate in first quarter 2024 compared with first quarter 2023.</w:t>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 Compared with Three Months Ended March 31, 2023</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Overall, net sales increased $11.6 million, or 5.4%, to $227.1 million for the three months ended March 31, 2024, as compared with $215.5 million in the three months ended March 31, 2023. Acquisition-related sales growth was $14.2 million, comprised of $2.8 million from our February 2023 acquisition of Aarts, and $11.4 million from our April 2023 acquisition of Weldmac. Organic sales, excluding the impact of currency exchange and acquisitions, decreased $3.5 million, as sales increases in our Packaging and Aerospace segments driven by end market demand improvements and market share gains were more than offset by a decrease in the Specialty Products segment due to lower market demand, primarily as a result of our customers managing inventory levels built up in 2023. In addition, net sales increased by $0.9 million due to currency exchange, as our reported results in U.S. dollars were favorably impacted as a result of a weakening U.S. dollar relative to foreign currencies.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margin (gross profit as a percentage of sales) approximated 23.2% and 22.1% for the three months ended March 31, 2024 and 2023, respectively. Gross profit margin increased primarily due to higher sales levels and improved fixed cost absorption within our Packaging and Aerospace segments. In addition, gross profit margin improved due to reduced material availability constraints and a more favorable product sales mix within our Aerospace segment. These increases were partially offset by decreased sales and less favorable leveraging of fixed costs within our Specialty Products segment and increased input costs, including expedited freight and labor, required to timely fulfill an abrupt increase in a customer's orders in our Packaging segment.</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profit margin (operating profit as a percentage of sales) approximated 5.5% and 4.6% for the three months ended March 31, 2024 and 2023, respectively. Operating profit increased $2.5 million, to $12.4 million, for the three months ended March 31, 2024, compared to $10.0 million for the three months ended March 31, 2023, primarily due to higher sales levels and improved fixed cost absorption, as well as reduced material availability constraints and a more favorable product sales mix within our Aerospace segment. Additionally, operating profit increased due to higher sales levels and improved fixed cost absorption as well as the favorable impact of prior realignment actions in our Packaging segment, and lower professional fees. These improvements were partially offset by the impact of lower sales levels and less favorable leveraging of fixed costs in our Specialty Products segment, and increased input costs, including expedited freight and labor, required to timely fulfill an abrupt increase in a customer's orders in our Packaging segment.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$1.2 million, to $4.9 million, for the three months ended March 31, 2024, as compared to $3.7 million for the three months ended March 31, 2023, due to an increase in our weighted average borrowings and a higher effective interest rate as a result of increased borrowings from our revolving credit facility.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increased $0.3 million to $0.3 million of expense for the three months ended March 31, 2024, as compared to less than $0.1 million of expense for the three months ended March 31, 2023, primarily due to mark-to-market losses on our de-designated cross currency swap.</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three months ended March 31, 2024 and 2023 was 28.5% and 21.1%, respectively. We recorded tax expense of $2.1 million for the three months ended March 31, 2024, as compared to $1.3 million for the three months ended March 31, 2023. The effective tax rate for the three months ended March 31, 2024 was higher than in the prior year primarily due to increased earnings in certain foreign jurisdictions where the effective tax rate was higher than 21% and losses at certain foreign subsidiaries where no tax benefit could be recorded.</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increased by $0.2 million, to $5.1 million for the three months ended March 31, 2024, compared to $4.9 million for the three months ended March 31, 2023. The increase was primarily the result of an increase in operating profit of $2.5 million, partially offset by an increase in interest expense of $1.2 million, an increase in income tax expense of $0.7 million and an increase in other expense of $0.3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a discussion of operating results by segment.</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Packaging. </w:t>
      </w:r>
      <w:r>
        <w:rPr>
          <w:rFonts w:ascii="Times New Roman" w:cs="Times New Roman" w:eastAsia="Times New Roman" w:hAnsi="Times New Roman"/>
          <w:sz w:val="18"/>
          <w:szCs w:val="18"/>
          <w:color w:val="auto"/>
        </w:rPr>
        <w:t>Net sales increased $10.8 million, or 9.3%, to $127.0 million in the three months ended March 31, 2024, as compared to $116.2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March 31, 2023. Acquisition-related sales growth was $2.8 million resulting from the January 2024 sales of our February 2023 acquisition of Aarts. Sales of dispensing products used primarily for personal care and home care applications increased by $7.7 million. Sales of products used for industrial applications increased by $2.3 million. These increases were partially offset by the decrease in sales of products used in food and beverage applications of $3.3 million, primarily due to reduced demand for dairy applications and lower demand for beverage closures in Europe as customers begin to cut over to new product designs. Net sales increased by $0.9 million due to currency exchange, as our reported results in U.S. dollars were favorably impacted as a result of the weakening U.S. dollar relative to foreign currencies, as compared to first quarter 2023.</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Packaging's gross profit increased $5.0 million to $32.3 million, or 25.4% of sales, in the three months ended March 31, 2024, as compared to $27.2 million, or 23.4% of sales, in the three months ended March 31, 2023, primarily due to higher sales levels and resulting improved fixed cost absorption, as well as the favorable impact of structural cost reduction efforts following our realignment actions. The increase in gross profit was partially offset by increased input costs, including expedited freight and labor, required to timely fulfill an abrupt increase in a customer's orders in the first quarter of 2024.</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Packaging's selling, general and administrative expenses increased $2.3 million to $15.2 million, or 11.9% of sales, in the three months ended March 31, 2024, as compared to $12.9 million, or 11.1% of sales, in the three months ended March 31, 2023, primarily due to $1.1 million higher information technology costs allocated from Corporate and higher ongoing selling, general and administrative costs associated with our acquisition.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Packaging's operating profit increased $2.7 million to $17.1 million, or 13.5% of sales, in the three months ended March 31, 2024, as compared to $14.4 million, or 12.4% of sales, in the three months ended March 31, 2023, primarily due to higher sales levels, improved fixed cost absorption, and the favorable impact of prior realignment actions, partially offset by higher selling, general and administrative expenses and increased input costs required to timely fulfill an abrupt increase in a customer's orders.</w:t>
      </w:r>
    </w:p>
    <w:p>
      <w:pPr>
        <w:spacing w:after="0" w:line="1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Aerospace. </w:t>
      </w:r>
      <w:r>
        <w:rPr>
          <w:rFonts w:ascii="Times New Roman" w:cs="Times New Roman" w:eastAsia="Times New Roman" w:hAnsi="Times New Roman"/>
          <w:sz w:val="18"/>
          <w:szCs w:val="18"/>
          <w:color w:val="auto"/>
        </w:rPr>
        <w:t>Net sales for the three months ended March 31, 2024 increased $17.4 million, or 34.7%, to $67.3 million, as compared to $50.0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March 31, 2023. Acquisition-related sales growth from our April 2023 acquisition of Weldmac was $11.4 million. Sales of our fasteners products increased by $5.8 million due to increases in aircraft build rates and market share gains. Sales of our engineered components products increased by $0.1 million.</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within Aerospace increased $7.0 million to $15.6 million, or 23.1% of sales, in the three months ended March 31, 2024, from $8.6 million, or 17.2% of sales, in the three months ended March 31, 2023. Gross profit increased primarily due to higher sales levels and resulting improved fixed cost absorption, reduced material availability constraints, and a more favorable product sales mix.</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$1.3 million to $8.4 million, or 12.5% of sales, in the three months ended March 31, 2024, as compared to $7.2 million, or 14.3% of sales, in the three months ended March 31, 2023, primarily due to higher ongoing selling, general and administrative costs associated with our acquisition of Weldmac and $0.7 million higher information technology costs allocated from Corporate in the three months ended March 31, 2024, partially offset by lower intangible asset amortization expense due to certain assets becoming fully amortized.</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profit within Aerospace increased $5.7 million to $7.1 million, or 10.6% of sales, in the three months ended March 31, 2024, as compared to $1.4 million, or 2.9% of sales, in the three months ended March 31, 2023, primarily due to the impact of higher sales levels, improved fixed cost absorption, reduced material availability production constraints, and a more favorable product sales mix, partially offset by higher selling, general and administrative expenses.</w:t>
      </w:r>
    </w:p>
    <w:p>
      <w:pPr>
        <w:spacing w:after="0" w:line="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Specialty Products. </w:t>
      </w:r>
      <w:r>
        <w:rPr>
          <w:rFonts w:ascii="Times New Roman" w:cs="Times New Roman" w:eastAsia="Times New Roman" w:hAnsi="Times New Roman"/>
          <w:sz w:val="18"/>
          <w:szCs w:val="18"/>
          <w:color w:val="auto"/>
        </w:rPr>
        <w:t>Net sales for the three months ended March 31, 2024 decreased $16.5 million, or 33.5%, to $32.7 million, as compared to $49.3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three months ended March 31, 2023. Sales of our cylinder products decreased $9.4 million due to a continued weak end market, and in turn, lower demand for steel cylinders as customers had built up high inventory positions in 2023 and continue to work through the levels in early 2024. Sales of natural gas fired engines, compressors and related parts used in remote power generation and assistance applications for natural gas and crude oil extraction decreased by $7.1 million as customer sales rates abated from a high sales rate in first quarter 2023, and from a customer that shifted purchases to a supplier with a much broader product offering.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within Specialty Products decreased $7.0 million to $4.9 million, or 14.9% of sales, in the three months ended March 31, 2024, as compared to $11.9 million, or 24.1% of sales, in the three months ended March 31, 2023, primarily due to lower sales levels, which resulted in less favorable leveraging of fixed costs across our existing cost footprint.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within Specialty Products increased $0.2 million to $2.3 million, or 6.9% of sales, in the three months ended March 31, 2024, as compared to $2.1 million, or 4.3% of sales, in the three months ended March 31, 2023, due to $0.4 million higher information technology costs allocated from Corporate.</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profit within Specialty Products decreased $7.1 million to $2.6 million, or 8.0% of sales, in the three months ended March 31, 2024, as compared to $9.8 million, or 19.8% of sales, in the three months ended March 31, 2023, primarily due to lower sales levels, which resulted in less favorable leveraging of fixed costs across our existing cost footprint.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i w:val="1"/>
          <w:iCs w:val="1"/>
          <w:color w:val="auto"/>
        </w:rPr>
        <w:t>Corporate.</w:t>
      </w:r>
      <w:r>
        <w:rPr>
          <w:sz w:val="20"/>
          <w:szCs w:val="20"/>
          <w:color w:val="auto"/>
        </w:rPr>
        <w:tab/>
      </w:r>
      <w:r>
        <w:rPr>
          <w:rFonts w:ascii="Times New Roman" w:cs="Times New Roman" w:eastAsia="Times New Roman" w:hAnsi="Times New Roman"/>
          <w:sz w:val="18"/>
          <w:szCs w:val="18"/>
          <w:color w:val="auto"/>
        </w:rPr>
        <w:t>Corporate expenses, net consist of the following (dollars in millions):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920" w:type="dxa"/>
            <w:vAlign w:val="bottom"/>
          </w:tcPr>
          <w:p>
            <w:pPr>
              <w:spacing w:after="0"/>
              <w:rPr>
                <w:sz w:val="18"/>
                <w:szCs w:val="18"/>
                <w:color w:val="auto"/>
              </w:rPr>
            </w:pPr>
          </w:p>
        </w:tc>
        <w:tc>
          <w:tcPr>
            <w:tcW w:w="282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60" w:type="dxa"/>
            <w:vAlign w:val="bottom"/>
            <w:tcBorders>
              <w:bottom w:val="single" w:sz="8" w:color="auto"/>
            </w:tcBorders>
          </w:tcPr>
          <w:p>
            <w:pPr>
              <w:spacing w:after="0"/>
              <w:rPr>
                <w:sz w:val="18"/>
                <w:szCs w:val="18"/>
                <w:color w:val="auto"/>
              </w:rPr>
            </w:pPr>
          </w:p>
        </w:tc>
      </w:tr>
      <w:tr>
        <w:trPr>
          <w:trHeight w:val="211"/>
        </w:trPr>
        <w:tc>
          <w:tcPr>
            <w:tcW w:w="79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expenses</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expenses</w:t>
            </w:r>
          </w:p>
        </w:tc>
        <w:tc>
          <w:tcPr>
            <w:tcW w:w="108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0"/>
        </w:trPr>
        <w:tc>
          <w:tcPr>
            <w:tcW w:w="7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Corporate expenses decreased $1.2 million to $14.4 million for the three months ended March 31, 2024, from $15.6 million for the three months ended March 31, 2023, primarily due to $2.9 million lower professional fees as we incurred costs for business strategy and other consulting services in 2023 that did not repeat. Additionally, technology costs decreased $0.1 million as $2.2 million of technology costs allocated to our segments in the first quarter of 2024 was mostly offset by $1.0 million of higher costs in preparation for upgrades in certain of our information technology applications, and by other general increases in technology costs. We largely centralized our information technology costs in the first quarter of 2023. These decreases were partially offset by a $1.7 million increase in non-cash stock compensation, due to the accelerated vesting of certain awards, and higher employee-rated costs.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flows used by operating activities were $3.7 million for the three months ended March 31, 2024, as compared to cash provided of $9.7 million for the three months ended March 31, 2023. Significant changes in cash flows provided by operating activities and the reasons for such changes were as follows:</w:t>
      </w:r>
    </w:p>
    <w:p>
      <w:pPr>
        <w:spacing w:after="0" w:line="94" w:lineRule="exact"/>
        <w:rPr>
          <w:sz w:val="20"/>
          <w:szCs w:val="20"/>
          <w:color w:val="auto"/>
        </w:rPr>
      </w:pPr>
    </w:p>
    <w:p>
      <w:pPr>
        <w:jc w:val="both"/>
        <w:ind w:left="980" w:hanging="324"/>
        <w:spacing w:after="0" w:line="258"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2024, the Company generated $29.9 million in cash flows, based on the reported net income of $5.1 million and after considering the effects of non-cash items related to depreciation, amortization, gain on dispositions of assets, changes in deferred income taxes, stock-based compensation, provision for losses on accounts receivables, and other operating activities. For the three months ended March 31, 2023, the Company generated $24.0 million in cash flows based on the reported net income of $4.9 million and after considering the effects of similar non-cash items, except for changes in provision for losses on accounts receivables.</w:t>
      </w:r>
    </w:p>
    <w:p>
      <w:pPr>
        <w:spacing w:after="0" w:line="10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accounts receivable resulted in a use of cash of $16.2 million and $11.9 million for the three months ended March 31, 2024 and 2023, respectively. The increased use of cash for each of the three month periods is due primarily to the timing of sales and collection of cash related thereto within the periods. Days sales outstanding of receivables remained consistent through the three months ended March 31, 2024, and increased by three days through the three months ended March 31, 2023.</w:t>
      </w:r>
    </w:p>
    <w:p>
      <w:pPr>
        <w:spacing w:after="0" w:line="112"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increased our investment in inventory by $14.3 million for the three months ended March 31, 2024, while we increased our investment in inventory by $1.6 million for the three months ended March 31, 2023. Our days sales in inventory increased by one day through the three months ended March 31, 2024, as we continued to manage inventory levels, considering our supply needs, and balanced with sales growth within our Packaging and Aerospace segments. Our days sales in inventory decreased by two days through the three months ended March 31, 2023, primarily a result of moderating inventory levels with sales level.</w:t>
      </w:r>
    </w:p>
    <w:p>
      <w:pPr>
        <w:spacing w:after="0" w:line="11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prepaid expenses and other assets resulted in a source of cash of $0.5 million and $1.5 million for the three months ended March 31, 2024 and 2023, respectively. These changes were primarily a result of the timing of payments made for income taxes and certain operating expenses.</w:t>
      </w:r>
    </w:p>
    <w:p>
      <w:pPr>
        <w:spacing w:after="0" w:line="94"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accounts payable and accrued liabilities resulted in a use of cash of $3.7 million and $2.4 million for the three months ended March 31, 2024 and 2023, respectively. Days accounts payable on hand decreased by eight days through the three months ended March 31, 2024, while decreasing by three days through the three months ended March 31, 2023. Our days accounts payable on hand fluctuate primarily as a result of the timing of payments made to suppliers and the mix of vendors and related terms.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for investing activities for the three months ended March 31, 2024 and 2023 was $13.1 million and $52.6 million, respectively. During the first three months of 2024, we invested $13.3 million in capital expenditures, as we continued our investment in growth, capacity and productivity-related capital projects. We also received net proceeds of $0.1 million from disposition of property and equipment. During the first three months of 2023, we invested $14.8 million in capital expenditures and paid $37.8 million, net of cash acquired, to acquire Aarts.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2024 was $12.4 million and net cash used for financing activities for the three months ended March 31, 2023 was $17.3 million. During the three months ended March 31, 2024, we received net proceeds of $29.1 million from borrowings on our revolving credit facilities, purchased $13.3 million of outstanding common stock, used a net cash amount of $1.6 million related to our stock compensation arrangements, paid dividends of $1.7 million and paid $0.1 million related to other financing activities. Our reported net proceeds from borrowings on our revolving credit facilities considers the impact of foreign currency translation. During the three months ended March 31, 2023, we purchased $10.4 million of outstanding common stock, used a net cash amount of $2.3 million related to our stock compensation arrangements, paid dividends of $1.7 million, and paid $3.0 million related to liabilities assumed in our acquisition of Aarts.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Debt and Other Commitments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March 2021, we issued $400.0 million aggregate principal amount of 4.125% senior notes due April 15, 2029 ("Senior Notes") at par value in a private placement under Rule 144A of the Securities Act of 1933, as amended ("Securities Act"). The Senior Notes accrue interest at a rate of 4.125% per annum, payable semi-annually in arrears on April 15 and October 15. The payment of principal and interest is jointly and severally guaranteed, on a senior unsecured basis, by certain subsidiaries of the Company. The Senior Notes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existing and future senior indebtedness and effectively subordinated to all existing and future secured indebtedness to the extent of the value of the assets securing such indebtedness.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April 15, 2024, we may redeem up to 40% of the principal amount of the Senior Notes at a redemption price of 104.125% of the principal amount, plus accrued and unpaid interest, if any, to the redemption date, with the net cash proceeds of one or more equity offerings provided that each such redemption occurs within 90 days of the date of closing of each such equity offering. In addition, prior to April 15, 2024, we may redeem all or part of the Senior Notes at a redemption price equal to 100% of the principal amount thereof, plus accrued and unpaid interest, if any, to the redemption date, plus a "make whole" premium.</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or after April 15, 2024, we may redeem all or part of the Senior Notes at the redemption prices (expressed as percentages of principal amount) set forth below, plus accrued and unpaid interest, if any, to the redemption date, if redeemed during the twelve-month period beginning on April 15 of the years indicated below:</w:t>
      </w:r>
    </w:p>
    <w:p>
      <w:pPr>
        <w:spacing w:after="0" w:line="232" w:lineRule="exact"/>
        <w:rPr>
          <w:sz w:val="20"/>
          <w:szCs w:val="20"/>
          <w:color w:val="auto"/>
        </w:rPr>
      </w:pPr>
    </w:p>
    <w:tbl>
      <w:tblPr>
        <w:tblLayout w:type="fixed"/>
        <w:tblInd w:w="2620" w:type="dxa"/>
        <w:tblCellMar>
          <w:top w:w="0" w:type="dxa"/>
          <w:left w:w="0" w:type="dxa"/>
          <w:bottom w:w="0" w:type="dxa"/>
          <w:right w:w="0" w:type="dxa"/>
        </w:tblCellMar>
      </w:tblPr>
      <w:tr>
        <w:trPr>
          <w:trHeight w:val="215"/>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14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6"/>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102.063 %</w:t>
            </w: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101.031 %</w:t>
            </w:r>
          </w:p>
        </w:tc>
      </w:tr>
      <w:tr>
        <w:trPr>
          <w:trHeight w:val="22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our consolidated subsidiaries that do not guarantee the Senior Notes represented 30% of the total of guarantor and non-guarantor net sales, treating each as a consolidated group and excluding intercompany transactions between guarantor and non-guarantor subsidiaries. In addition, our non-guarantor subsidiaries represented 37% and 14% of the total guarantor and non-guarantor assets and liabilities, respectively, as of March 31, 2024, treating the guarantor and non-guarantor subsidiaries each as a consolidated group.</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party to a credit agreement ("Credit Agreement") consisting of a $300.0 million senior secured revolving credit facility, which permits borrowings denominated in specific foreign currencies, subject to a $125.0 million sub limit, maturing on March 29, 2026. The Credit Agreement is subject to benchmark interest rates determined based on the currency denomination of borrowings, with British pound sterling borrowings subject to the Sterling Overnight Index Average and Euro borrowings to the Euro InterBank Offered Rate (“EURIBOR”), both plus a spread of 1.625%, and U.S. dollar borrowings subject to the Secured Overnight Financing Rate ("SOFR") plus a spread of 1.725%. The interest rate spread is based upon the leverage ratio, as defined, as of the most recent determination date. Our revolving credit facility allows for the issuance of letters of credit, not to exceed $40.0 million in aggregate.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March 31, 2024. If we were to complete an acquisition which qualifies for a Covenant Holiday Period, as defined in our Credit Agreement, then our permitted total net leverage ratio cannot exceed 4.50 to 1.00 during that period. Our actual total net leverage ratio was 2.59 to 1.00 at March 31, 2024. Our permitted interest expense coverage ratio under the Credit Agreement is 3.00 to 1.00 as of March 31, 2024. Our actual interest expense coverage ratio was 10.18 to 1.00 at March 31, 2024. At March 31, 2024, we were in compliance with our financial covenants.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net income, as reported, which is a GAAP measure of our operating results, to Consolidated Bank EBITDA, as defined in our Credit Agreement, for the twelve months ended March 31, 2024 (dollars in thousands). We present Consolidated Bank EBITDA to show our performance under our financial covenants.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Twelve Months</w:t>
            </w:r>
          </w:p>
        </w:tc>
      </w:tr>
      <w:tr>
        <w:trPr>
          <w:trHeight w:val="162"/>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Ended</w:t>
            </w:r>
          </w:p>
        </w:tc>
      </w:tr>
      <w:tr>
        <w:trPr>
          <w:trHeight w:val="214"/>
        </w:trPr>
        <w:tc>
          <w:tcPr>
            <w:tcW w:w="20" w:type="dxa"/>
            <w:vAlign w:val="bottom"/>
            <w:tcBorders>
              <w:bottom w:val="single" w:sz="8" w:color="CCEEFF"/>
            </w:tcBorders>
          </w:tcPr>
          <w:p>
            <w:pPr>
              <w:spacing w:after="0"/>
              <w:rPr>
                <w:sz w:val="18"/>
                <w:szCs w:val="18"/>
                <w:color w:val="auto"/>
              </w:rPr>
            </w:pPr>
          </w:p>
        </w:tc>
        <w:tc>
          <w:tcPr>
            <w:tcW w:w="89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25"/>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10,970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Pr>
          <w:p>
            <w:pPr>
              <w:ind w:left="200"/>
              <w:spacing w:after="0" w:line="230" w:lineRule="exact"/>
              <w:rPr>
                <w:sz w:val="20"/>
                <w:szCs w:val="20"/>
                <w:color w:val="auto"/>
              </w:rPr>
            </w:pPr>
            <w:r>
              <w:rPr>
                <w:rFonts w:ascii="Times New Roman" w:cs="Times New Roman" w:eastAsia="Times New Roman" w:hAnsi="Times New Roman"/>
                <w:sz w:val="18"/>
                <w:szCs w:val="18"/>
                <w:color w:val="auto"/>
              </w:rPr>
              <w:t>Non-cash compensation expense</w:t>
            </w:r>
            <w:r>
              <w:rPr>
                <w:rFonts w:ascii="Times New Roman" w:cs="Times New Roman" w:eastAsia="Times New Roman" w:hAnsi="Times New Roman"/>
                <w:sz w:val="23"/>
                <w:szCs w:val="23"/>
                <w:color w:val="auto"/>
                <w:vertAlign w:val="superscript"/>
              </w:rPr>
              <w:t>(1)</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non-cash expenses or losses</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960" w:type="dxa"/>
            <w:vAlign w:val="bottom"/>
          </w:tcPr>
          <w:p>
            <w:pPr>
              <w:ind w:left="200"/>
              <w:spacing w:after="0" w:line="230" w:lineRule="exact"/>
              <w:rPr>
                <w:sz w:val="20"/>
                <w:szCs w:val="20"/>
                <w:color w:val="auto"/>
              </w:rPr>
            </w:pPr>
            <w:r>
              <w:rPr>
                <w:rFonts w:ascii="Times New Roman" w:cs="Times New Roman" w:eastAsia="Times New Roman" w:hAnsi="Times New Roman"/>
                <w:sz w:val="18"/>
                <w:szCs w:val="18"/>
                <w:color w:val="auto"/>
              </w:rPr>
              <w:t>Non-recurring expenses or costs</w:t>
            </w:r>
            <w:r>
              <w:rPr>
                <w:rFonts w:ascii="Times New Roman" w:cs="Times New Roman" w:eastAsia="Times New Roman" w:hAnsi="Times New Roman"/>
                <w:sz w:val="23"/>
                <w:szCs w:val="23"/>
                <w:color w:val="auto"/>
                <w:vertAlign w:val="superscript"/>
              </w:rPr>
              <w:t>(2)</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17,630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Effects of purchase accounting adjustments</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 and asset dispositions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Permitted acquisitions</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Currency gains and losses</w:t>
            </w:r>
          </w:p>
        </w:tc>
        <w:tc>
          <w:tcPr>
            <w:tcW w:w="6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160,520</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9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44"/>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226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26"/>
        </w:trPr>
        <w:tc>
          <w:tcPr>
            <w:tcW w:w="20" w:type="dxa"/>
            <w:vAlign w:val="bottom"/>
          </w:tcPr>
          <w:p>
            <w:pPr>
              <w:spacing w:after="0"/>
              <w:rPr>
                <w:sz w:val="19"/>
                <w:szCs w:val="19"/>
                <w:color w:val="auto"/>
              </w:rPr>
            </w:pPr>
          </w:p>
        </w:tc>
        <w:tc>
          <w:tcPr>
            <w:tcW w:w="8960" w:type="dxa"/>
            <w:vAlign w:val="bottom"/>
            <w:tcBorders>
              <w:top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Total Indebtedness, as defined</w:t>
            </w:r>
            <w:r>
              <w:rPr>
                <w:rFonts w:ascii="Times New Roman" w:cs="Times New Roman" w:eastAsia="Times New Roman" w:hAnsi="Times New Roman"/>
                <w:sz w:val="23"/>
                <w:szCs w:val="23"/>
                <w:color w:val="auto"/>
                <w:vertAlign w:val="superscript"/>
              </w:rPr>
              <w:t>(3)</w:t>
            </w:r>
          </w:p>
        </w:tc>
        <w:tc>
          <w:tcPr>
            <w:tcW w:w="620" w:type="dxa"/>
            <w:vAlign w:val="bottom"/>
            <w:tcBorders>
              <w:top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415,110</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160,520</w:t>
            </w:r>
          </w:p>
        </w:tc>
        <w:tc>
          <w:tcPr>
            <w:tcW w:w="2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leverage ratio</w:t>
            </w:r>
          </w:p>
        </w:tc>
        <w:tc>
          <w:tcPr>
            <w:tcW w:w="6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x</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x</w:t>
            </w: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Twelve Months</w:t>
            </w:r>
          </w:p>
        </w:tc>
        <w:tc>
          <w:tcPr>
            <w:tcW w:w="200" w:type="dxa"/>
            <w:vAlign w:val="bottom"/>
          </w:tcPr>
          <w:p>
            <w:pPr>
              <w:spacing w:after="0"/>
              <w:rPr>
                <w:sz w:val="16"/>
                <w:szCs w:val="16"/>
                <w:color w:val="auto"/>
              </w:rPr>
            </w:pPr>
          </w:p>
        </w:tc>
      </w:tr>
      <w:tr>
        <w:trPr>
          <w:trHeight w:val="162"/>
        </w:trPr>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Ended</w:t>
            </w:r>
          </w:p>
        </w:tc>
        <w:tc>
          <w:tcPr>
            <w:tcW w:w="200" w:type="dxa"/>
            <w:vAlign w:val="bottom"/>
          </w:tcPr>
          <w:p>
            <w:pPr>
              <w:spacing w:after="0"/>
              <w:rPr>
                <w:sz w:val="14"/>
                <w:szCs w:val="14"/>
                <w:color w:val="auto"/>
              </w:rPr>
            </w:pPr>
          </w:p>
        </w:tc>
      </w:tr>
      <w:tr>
        <w:trPr>
          <w:trHeight w:val="214"/>
        </w:trPr>
        <w:tc>
          <w:tcPr>
            <w:tcW w:w="89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200" w:type="dxa"/>
            <w:vAlign w:val="bottom"/>
            <w:tcBorders>
              <w:bottom w:val="single" w:sz="8" w:color="auto"/>
            </w:tcBorders>
          </w:tcPr>
          <w:p>
            <w:pPr>
              <w:spacing w:after="0"/>
              <w:rPr>
                <w:sz w:val="18"/>
                <w:szCs w:val="18"/>
                <w:color w:val="auto"/>
              </w:rPr>
            </w:pPr>
          </w:p>
        </w:tc>
      </w:tr>
      <w:tr>
        <w:trPr>
          <w:trHeight w:val="225"/>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17,150</w:t>
            </w:r>
          </w:p>
        </w:tc>
      </w:tr>
      <w:tr>
        <w:trPr>
          <w:trHeight w:val="230"/>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29"/>
        </w:trPr>
        <w:tc>
          <w:tcPr>
            <w:tcW w:w="8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Non-cash amounts attributable to amortization of financing costs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48"/>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15,770</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r>
        <w:trPr>
          <w:trHeight w:val="444"/>
        </w:trPr>
        <w:tc>
          <w:tcPr>
            <w:tcW w:w="8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Borders>
              <w:bottom w:val="single" w:sz="8" w:color="CCEEFF"/>
            </w:tcBorders>
          </w:tcPr>
          <w:p>
            <w:pPr>
              <w:spacing w:after="0"/>
              <w:rPr>
                <w:sz w:val="24"/>
                <w:szCs w:val="24"/>
                <w:color w:val="auto"/>
              </w:rPr>
            </w:pPr>
          </w:p>
        </w:tc>
      </w:tr>
      <w:tr>
        <w:trPr>
          <w:trHeight w:val="226"/>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160,520</w:t>
            </w:r>
          </w:p>
        </w:tc>
        <w:tc>
          <w:tcPr>
            <w:tcW w:w="200" w:type="dxa"/>
            <w:vAlign w:val="bottom"/>
            <w:shd w:val="clear" w:color="auto" w:fill="CCEEFF"/>
          </w:tcPr>
          <w:p>
            <w:pPr>
              <w:spacing w:after="0"/>
              <w:rPr>
                <w:sz w:val="19"/>
                <w:szCs w:val="19"/>
                <w:color w:val="auto"/>
              </w:rPr>
            </w:pPr>
          </w:p>
        </w:tc>
      </w:tr>
      <w:tr>
        <w:trPr>
          <w:trHeight w:val="230"/>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15,770</w:t>
            </w:r>
          </w:p>
        </w:tc>
        <w:tc>
          <w:tcPr>
            <w:tcW w:w="200" w:type="dxa"/>
            <w:vAlign w:val="bottom"/>
            <w:tcBorders>
              <w:bottom w:val="single" w:sz="8" w:color="CCEEFF"/>
            </w:tcBorders>
          </w:tcPr>
          <w:p>
            <w:pPr>
              <w:spacing w:after="0"/>
              <w:rPr>
                <w:sz w:val="19"/>
                <w:szCs w:val="19"/>
                <w:color w:val="auto"/>
              </w:rPr>
            </w:pP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interest expense coverage ratio</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x</w:t>
            </w:r>
          </w:p>
        </w:tc>
      </w:tr>
      <w:tr>
        <w:trPr>
          <w:trHeight w:val="223"/>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x</w:t>
            </w:r>
          </w:p>
        </w:tc>
      </w:tr>
      <w:tr>
        <w:trPr>
          <w:trHeight w:val="20"/>
        </w:trPr>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23"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Non-cash compensation expenses resulting from the grant of equity awards.</w:t>
      </w:r>
    </w:p>
    <w:p>
      <w:pPr>
        <w:spacing w:after="0" w:line="122" w:lineRule="exact"/>
        <w:rPr>
          <w:rFonts w:ascii="Times New Roman" w:cs="Times New Roman" w:eastAsia="Times New Roman" w:hAnsi="Times New Roman"/>
          <w:sz w:val="19"/>
          <w:szCs w:val="19"/>
          <w:color w:val="auto"/>
          <w:vertAlign w:val="superscript"/>
        </w:rPr>
      </w:pPr>
    </w:p>
    <w:p>
      <w:pPr>
        <w:ind w:left="260" w:hanging="252"/>
        <w:spacing w:after="0"/>
        <w:tabs>
          <w:tab w:leader="none" w:pos="26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Non-recurring costs and expenses relating to diligence and transaction costs, purchase accounting costs, severance, relocation, restructuring and curtailment expenses.</w:t>
      </w:r>
    </w:p>
    <w:p>
      <w:pPr>
        <w:spacing w:after="0" w:line="132" w:lineRule="exact"/>
        <w:rPr>
          <w:rFonts w:ascii="Times New Roman" w:cs="Times New Roman" w:eastAsia="Times New Roman" w:hAnsi="Times New Roman"/>
          <w:sz w:val="9"/>
          <w:szCs w:val="9"/>
          <w:color w:val="auto"/>
        </w:rPr>
      </w:pPr>
    </w:p>
    <w:p>
      <w:pPr>
        <w:ind w:left="260" w:hanging="252"/>
        <w:spacing w:after="0"/>
        <w:tabs>
          <w:tab w:leader="none" w:pos="2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$4.5 million of acquisition-related contingent consideration and $2.0 million of finance leases as of March 31, 2024.</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March 31, 2024, we had $29.0 million outstanding under our revolving credit facility and had $265.0 million potentially available after giving effect to $6.0 million of letters of credit issued and outstanding. At December 31, 2023, we had no amounts outstanding under our revolving credit facility and had $294.0 million potentially available after giving effect to $6.0 million of letters of credit issued and outstanding. Our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After consideration of leverage restrictions contained in the Credit Agreement, as of March 31, 2024 and December 31, 2023, we had $227.0 million and $256.9 million, respectively, of borrowing capacity available for general corporate purposes.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upon our cash flow from operations and available liquidity under our revolving credit facility to fund our debt service obligations and other contractual commitments, working capital and capital expenditure requirements. At the end of each quarter, we have historically used cash on hand from our domestic and foreign subsidiaries to pay down amounts outstanding under our revolving credit facility, as applicable.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weighted average borrowings during the first three months of 2024 approximated $422.9 million, compared to $403.0 million during the first three months of 2023, primarily due to borrowings made on our revolving credit facility.</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2021, we, through one of our non-U.S. subsidiaries, entered into a revolving loan facility with a borrowing capacity of $4.0 million. The facility is guaranteed by TriMas Corporation. There were no borrowings on this loan facility as of March 31, 2024.</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majority of our cash on hand as of March 31, 2024 is located outside of the U.S., given available funding under our revolving credit facility of $227.0 million at March 31, 2024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 as well as dividends and share repurchases.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variable interest rates on our revolving credit facility, which is subject to a benchmark interest rate determined based on the currency denomination of borrowings. At March 31, 2024, the SOFR approximated 5.3% and the 1-Month EURIBOR approximated 3.9%. Based on our variable rate-based borrowings outstanding at March 31, 2024, a 1% increase in the per annum interest rate would increase our interest expense by $0.3 million annually.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long-term debt, we have other cash commitments related to leases. The majority of our lease transactions are accounted for as operating leases, and annual rent expense for continuing operations related thereto approximated $14.9 million in 2023. We expect leasing will continue to be an available financing option to fund future capital expenditure requirements.</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our first quarter 2023 acquisition of Aarts, we assumed a $2.9 million liability to a bank related to the advance funding of certain accounts receivable invoices. We terminated this arrangement, and repaid the outstanding balance, in March 2023.</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we announced our Board of Directors had authorized us to increase the purchase of our common stock up to $250 million in the aggregate, an increase of $100 million from the prior authorization. In the three months ended March 31, 2024, we purchased 540,037 shares of our outstanding common stock for an aggregate purchase price of $13.3 million. Since the initial authorization through March 31, 2024, we have purchased 6,335,534 shares of our outstanding common stock for an aggregate purchase price of $176.4 million. We will continue to evaluate opportunities to return capital to shareholders through the purchase of our common stock and the payment of dividends, depending on market conditions, and other factors.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derivative financial instruments to manage currency risks associated with our procurement activities denominated in currencies other than the functional currency of our subsidiaries and the impact of currency rate volatility on our earnings. As of March 31, 2024, we were party to foreign exchange forward and swap contracts to hedge changes in foreign currency exchange rates with notional amounts of $207.9 million. We also use cross-currency swap agreements to mitigate currency risks associated with the net investment in certain of our foreign subsidiaries. See Note 9,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 for additional information.</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also subject to interest risk as it relates to our long-term debt. We have historically used interest rate swap agreements to fix the variable portion of our debt to manage this risk.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TriMas is listed in the NASDAQ Global Select Market. Our stock trades under the symbol "TRS."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and certain of our outstanding debt obligations are rated by Standard &amp; Poor's and Moody's. On March 19, 2024, Moody's affirmed a Ba3 rating to our Senior Notes. See Note 8,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included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xml:space="preserve"> within this quarterly report on Form 10-Q. Moody's also affirmed a Ba2 Corporate Family Rating and maintained its outlook as stable. On May 22, 2023, Standard &amp; Poor's affirmed a BB- rating to our Senior Notes. Standard &amp; Poor's also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2023, we proactively managed through demand weakness in certain of our packaging end markets and an imbalance of demand in sub-supply and labor in our aerospace businesses, which we believe are largely behind us as we progress through 2024. While some areas of demand volatility remain, such as in our Specialty Products segment, we remain optimistic about our future prospects as we see pockets of strength and the beginning of more steady and consistent demand in certain of our end markets. As these end markets continue to experience strong order intake, we will continue to increase capacity and address challenges to manufacturing throughput in order to support market demand.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seen a number of global market uncertainties stemming from the macro-economic environment in the past few years, including significant challenges in inflationary pressures, supply chain disruptions and labor availability, as well as significant volatility in our customers' sentiment and order patterns. While we expect a continued gradual demand recovery in certain of our consumer products and industrial markets and continued strength in our aerospace &amp; defense market, we remain cautious of the impact of global market uncertainty into 2024, at least in the near-term. However, no matter the outcome of these factors, we expect to continue to mitigate, as much as practical, the impact of these challenges, executing on streamlining actions and taking other steps as necessary, to maintain our strong balance sheet and generate cash in support of our capital allocation strategy.</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capital structure remains strong and that we have sufficient headroom under our financial covenants, and ample cash and available liquidity under our revolving credit facility, to meet our debt service, capital expenditure and other short-term and long-term obligations for the next 12 months and for the foreseeable future, as well as fund dividends, share repurchases and bolt-on acquisitions consistent with our capital allocation strategy.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leverage the tenets of our TriMas Business Model to manage our multi-industry businesses on a longer-term basis, achieve our growth plans, execute continuous improvement initiatives to offset inflationary pressures, and seek lower-cost sources for input costs, all while continuously assessing the appropriateness of our manufacturing footprint and fixed-cost structure.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Accounting Standards</w:t>
      </w:r>
    </w:p>
    <w:p>
      <w:pPr>
        <w:spacing w:after="0" w:line="1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2,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accounting policies require the application of significant judgment by management in selecting the appropriate assumptions used in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2024, there were no material changes to the items that we disclosed as our critical accounting policies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 the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for details about our primary market risks, and the objectives and strategies used to manage these risks. Also see Note 8,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and Note 9,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included within this quarterly report on Form 10-Q for additional information.</w:t>
      </w:r>
    </w:p>
    <w:p>
      <w:pPr>
        <w:spacing w:after="0" w:line="1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2024,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March 31, 2024, the Company's disclosure controls and procedures are effective to provide reasonable assurance that they would meet their objectives.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quarter ended March 31,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included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w:t>
      </w:r>
    </w:p>
    <w:p>
      <w:pPr>
        <w:spacing w:after="0" w:line="7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1,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2023 Annual Report on Form 10-K, which could materially affect our business, financial condition or future results. There have been no significant changes in our risk factors as disclosed in our 2023 Annual Report on Form 10-K.</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purchases made by the Company, or on behalf of the Company by an affiliated purchaser, of shares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during the three months ended March 31, 2024:</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c>
          <w:tcPr>
            <w:tcW w:w="0" w:type="dxa"/>
            <w:vAlign w:val="bottom"/>
          </w:tcPr>
          <w:p>
            <w:pPr>
              <w:spacing w:after="0"/>
              <w:rPr>
                <w:sz w:val="1"/>
                <w:szCs w:val="1"/>
                <w:color w:val="auto"/>
              </w:rPr>
            </w:pPr>
          </w:p>
        </w:tc>
      </w:tr>
      <w:tr>
        <w:trPr>
          <w:trHeight w:val="108"/>
        </w:trPr>
        <w:tc>
          <w:tcPr>
            <w:tcW w:w="3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 May</w:t>
            </w: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20" w:type="dxa"/>
            <w:vAlign w:val="bottom"/>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gridSpan w:val="2"/>
            <w:vMerge w:val="restart"/>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4"/>
                <w:szCs w:val="4"/>
                <w:color w:val="auto"/>
              </w:rPr>
            </w:pPr>
          </w:p>
        </w:tc>
        <w:tc>
          <w:tcPr>
            <w:tcW w:w="18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w:t>
            </w:r>
          </w:p>
        </w:tc>
        <w:tc>
          <w:tcPr>
            <w:tcW w:w="120" w:type="dxa"/>
            <w:vAlign w:val="bottom"/>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the Program (in millions)</w:t>
            </w:r>
          </w:p>
        </w:tc>
        <w:tc>
          <w:tcPr>
            <w:tcW w:w="0" w:type="dxa"/>
            <w:vAlign w:val="bottom"/>
          </w:tcPr>
          <w:p>
            <w:pPr>
              <w:spacing w:after="0"/>
              <w:rPr>
                <w:sz w:val="1"/>
                <w:szCs w:val="1"/>
                <w:color w:val="auto"/>
              </w:rPr>
            </w:pPr>
          </w:p>
        </w:tc>
      </w:tr>
      <w:tr>
        <w:trPr>
          <w:trHeight w:val="162"/>
        </w:trPr>
        <w:tc>
          <w:tcPr>
            <w:tcW w:w="3860" w:type="dxa"/>
            <w:vAlign w:val="bottom"/>
            <w:gridSpan w:val="2"/>
            <w:vMerge w:val="continue"/>
          </w:tcPr>
          <w:p>
            <w:pPr>
              <w:spacing w:after="0"/>
              <w:rPr>
                <w:sz w:val="14"/>
                <w:szCs w:val="14"/>
                <w:color w:val="auto"/>
              </w:rPr>
            </w:pPr>
          </w:p>
        </w:tc>
        <w:tc>
          <w:tcPr>
            <w:tcW w:w="1720" w:type="dxa"/>
            <w:vAlign w:val="bottom"/>
          </w:tcPr>
          <w:p>
            <w:pPr>
              <w:jc w:val="right"/>
              <w:ind w:right="413"/>
              <w:spacing w:after="0" w:line="162" w:lineRule="exact"/>
              <w:rPr>
                <w:sz w:val="20"/>
                <w:szCs w:val="20"/>
                <w:color w:val="auto"/>
              </w:rPr>
            </w:pPr>
            <w:r>
              <w:rPr>
                <w:rFonts w:ascii="Times New Roman" w:cs="Times New Roman" w:eastAsia="Times New Roman" w:hAnsi="Times New Roman"/>
                <w:sz w:val="16"/>
                <w:szCs w:val="16"/>
                <w:b w:val="1"/>
                <w:bCs w:val="1"/>
                <w:color w:val="auto"/>
              </w:rPr>
              <w:t>Purchased</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2"/>
          </w:tcPr>
          <w:p>
            <w:pPr>
              <w:jc w:val="center"/>
              <w:ind w:right="5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w:t>
            </w: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w w:val="93"/>
              </w:rPr>
              <w:t>(1)</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2024 to January 31, 2024</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29"/>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2024 to February 29, 2024</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2024 to March 31, 2024</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342,937</w:t>
            </w:r>
          </w:p>
        </w:tc>
        <w:tc>
          <w:tcPr>
            <w:tcW w:w="48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342,937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540,037</w:t>
            </w: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540,037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jc w:val="both"/>
        <w:ind w:left="340" w:hanging="332"/>
        <w:spacing w:after="0" w:line="245" w:lineRule="auto"/>
        <w:tabs>
          <w:tab w:leader="none" w:pos="309"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March 2020, the Company announced its Board of Directors had authorized the Company to increase the purchase of its common stock up to $250 million in the aggregate from its previous authorization of $150 million. The increased authorization includes the value of shares already purchased under the previous authorization. Pursuant to this share repurchase program, during the three months ended March 31, 2024, the Company repurchased 540,037 shares of its common stock at a cost of $13.3 million. The share repurchase program is effective and has no expiration date.</w:t>
      </w:r>
    </w:p>
    <w:p>
      <w:pPr>
        <w:spacing w:after="0" w:line="1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2024, no director or officer (as defined in Rule 16a-1(f) promulgated under the Exchange Act) of the Company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80" w:type="dxa"/>
            <w:vAlign w:val="bottom"/>
            <w:gridSpan w:val="12"/>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1"/>
        </w:trPr>
        <w:tc>
          <w:tcPr>
            <w:tcW w:w="112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Exhibits Index:</w:t>
            </w:r>
          </w:p>
        </w:tc>
      </w:tr>
      <w:tr>
        <w:trPr>
          <w:trHeight w:val="216"/>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tcPr>
          <w:p>
            <w:pPr>
              <w:spacing w:after="0"/>
              <w:rPr>
                <w:sz w:val="18"/>
                <w:szCs w:val="18"/>
                <w:color w:val="auto"/>
              </w:rPr>
            </w:pPr>
          </w:p>
        </w:tc>
        <w:tc>
          <w:tcPr>
            <w:tcW w:w="9540" w:type="dxa"/>
            <w:vAlign w:val="bottom"/>
            <w:gridSpan w:val="11"/>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Fourth Amended and Restated Certificate of Incorporation of TriMas Corporation (Incorporated by reference to the Exhibits filed</w:t>
              </w:r>
            </w:hyperlink>
          </w:p>
        </w:tc>
      </w:tr>
      <w:tr>
        <w:trPr>
          <w:trHeight w:val="169"/>
        </w:trPr>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8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with TriMas Corporation's Quarterly Report on Form 10-Q filed on August 3, 2007 (File No. 001-10716)).</w:t>
              </w:r>
            </w:hyperlink>
          </w:p>
        </w:tc>
        <w:tc>
          <w:tcPr>
            <w:tcW w:w="1640" w:type="dxa"/>
            <w:vAlign w:val="bottom"/>
            <w:tcBorders>
              <w:top w:val="single" w:sz="8" w:color="0000FF"/>
            </w:tcBorders>
            <w:gridSpan w:val="5"/>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40" w:type="dxa"/>
            <w:vAlign w:val="bottom"/>
          </w:tcPr>
          <w:p>
            <w:pPr>
              <w:spacing w:after="0"/>
              <w:rPr>
                <w:sz w:val="18"/>
                <w:szCs w:val="18"/>
                <w:color w:val="auto"/>
              </w:rPr>
            </w:pPr>
          </w:p>
        </w:tc>
        <w:tc>
          <w:tcPr>
            <w:tcW w:w="9540" w:type="dxa"/>
            <w:vAlign w:val="bottom"/>
            <w:gridSpan w:val="11"/>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Third Amended and Restated By-laws of TriMas Corporation (Incorporated by reference to the Exhibits filed with TriMas</w:t>
              </w:r>
            </w:hyperlink>
          </w:p>
        </w:tc>
      </w:tr>
      <w:tr>
        <w:trPr>
          <w:trHeight w:val="169"/>
        </w:trPr>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0" w:type="dxa"/>
            <w:vAlign w:val="bottom"/>
            <w:tcBorders>
              <w:top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Corporation's Current Report on Form 8-K filed on December 18, 2015 (File No. 001-10716)).</w:t>
              </w:r>
            </w:hyperlink>
          </w:p>
        </w:tc>
        <w:tc>
          <w:tcPr>
            <w:tcW w:w="7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280" w:type="dxa"/>
            <w:vAlign w:val="bottom"/>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spacing w:after="0"/>
              <w:rPr>
                <w:sz w:val="18"/>
                <w:szCs w:val="18"/>
                <w:color w:val="auto"/>
              </w:rPr>
            </w:pPr>
          </w:p>
        </w:tc>
        <w:tc>
          <w:tcPr>
            <w:tcW w:w="84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Form of Performance Stock Units Agreement - 2024 LTI - under the 2023 Equity and Incentive Compensation Plan.*</w:t>
            </w:r>
          </w:p>
        </w:tc>
        <w:tc>
          <w:tcPr>
            <w:tcW w:w="1080" w:type="dxa"/>
            <w:vAlign w:val="bottom"/>
            <w:gridSpan w:val="7"/>
          </w:tcPr>
          <w:p>
            <w:pPr>
              <w:spacing w:after="0"/>
              <w:rPr>
                <w:sz w:val="18"/>
                <w:szCs w:val="18"/>
                <w:color w:val="auto"/>
              </w:rPr>
            </w:pPr>
          </w:p>
        </w:tc>
      </w:tr>
      <w:tr>
        <w:trPr>
          <w:trHeight w:val="210"/>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40" w:type="dxa"/>
            <w:vAlign w:val="bottom"/>
          </w:tcPr>
          <w:p>
            <w:pPr>
              <w:spacing w:after="0"/>
              <w:rPr>
                <w:sz w:val="18"/>
                <w:szCs w:val="18"/>
                <w:color w:val="auto"/>
              </w:rPr>
            </w:pPr>
          </w:p>
        </w:tc>
        <w:tc>
          <w:tcPr>
            <w:tcW w:w="95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Form of Restricted Stock Units Agreement (Three-Year Ratable Vest) - 2024 LTI - under the 2023 Equity and Incentive</w:t>
            </w:r>
          </w:p>
        </w:tc>
      </w:tr>
      <w:tr>
        <w:trPr>
          <w:trHeight w:val="169"/>
        </w:trPr>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8"/>
              </w:rPr>
              <w:t>Compensation Plan.*</w:t>
            </w:r>
          </w:p>
        </w:tc>
        <w:tc>
          <w:tcPr>
            <w:tcW w:w="796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40" w:type="dxa"/>
            <w:vAlign w:val="bottom"/>
          </w:tcPr>
          <w:p>
            <w:pPr>
              <w:spacing w:after="0"/>
              <w:rPr>
                <w:sz w:val="18"/>
                <w:szCs w:val="18"/>
                <w:color w:val="auto"/>
              </w:rPr>
            </w:pPr>
          </w:p>
        </w:tc>
        <w:tc>
          <w:tcPr>
            <w:tcW w:w="95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Form of Restricted Stock Units Agreement (Board of Directors) (One-Year Vest) - 2024 LTI - under the 2023 Equity and Incentive</w:t>
            </w:r>
          </w:p>
        </w:tc>
      </w:tr>
      <w:tr>
        <w:trPr>
          <w:trHeight w:val="169"/>
        </w:trPr>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52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Compensation Plan.*</w:t>
            </w:r>
          </w:p>
        </w:tc>
        <w:tc>
          <w:tcPr>
            <w:tcW w:w="20" w:type="dxa"/>
            <w:vAlign w:val="bottom"/>
          </w:tcPr>
          <w:p>
            <w:pPr>
              <w:spacing w:after="0"/>
              <w:rPr>
                <w:sz w:val="14"/>
                <w:szCs w:val="14"/>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40" w:type="dxa"/>
            <w:vAlign w:val="bottom"/>
          </w:tcPr>
          <w:p>
            <w:pPr>
              <w:spacing w:after="0"/>
              <w:rPr>
                <w:sz w:val="18"/>
                <w:szCs w:val="18"/>
                <w:color w:val="auto"/>
              </w:rPr>
            </w:pPr>
          </w:p>
        </w:tc>
        <w:tc>
          <w:tcPr>
            <w:tcW w:w="15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Certification pursuant</w:t>
            </w:r>
          </w:p>
        </w:tc>
        <w:tc>
          <w:tcPr>
            <w:tcW w:w="8000" w:type="dxa"/>
            <w:vAlign w:val="bottom"/>
            <w:gridSpan w:val="10"/>
          </w:tcPr>
          <w:p>
            <w:pPr>
              <w:ind w:left="80"/>
              <w:spacing w:after="0" w:line="207" w:lineRule="exact"/>
              <w:rPr>
                <w:sz w:val="20"/>
                <w:szCs w:val="20"/>
                <w:color w:val="auto"/>
              </w:rPr>
            </w:pPr>
            <w:r>
              <w:rPr>
                <w:rFonts w:ascii="Times New Roman" w:cs="Times New Roman" w:eastAsia="Times New Roman" w:hAnsi="Times New Roman"/>
                <w:sz w:val="18"/>
                <w:szCs w:val="18"/>
                <w:color w:val="0000FF"/>
              </w:rPr>
              <w:t>to 18 U.S.C. Section 1350, as adopted pursuant to Section 302 of the 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 of 2002.</w:t>
            </w: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40" w:type="dxa"/>
            <w:vAlign w:val="bottom"/>
          </w:tcPr>
          <w:p>
            <w:pPr>
              <w:spacing w:after="0"/>
              <w:rPr>
                <w:sz w:val="18"/>
                <w:szCs w:val="18"/>
                <w:color w:val="auto"/>
              </w:rPr>
            </w:pPr>
          </w:p>
        </w:tc>
        <w:tc>
          <w:tcPr>
            <w:tcW w:w="8720" w:type="dxa"/>
            <w:vAlign w:val="bottom"/>
            <w:tcBorders>
              <w:top w:val="single" w:sz="8" w:color="0000FF"/>
              <w:bottom w:val="single" w:sz="8" w:color="0000FF"/>
            </w:tcBorders>
            <w:gridSpan w:val="5"/>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302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20" w:type="dxa"/>
            <w:vAlign w:val="bottom"/>
            <w:tcBorders>
              <w:bottom w:val="single" w:sz="8" w:color="0000FF"/>
            </w:tcBorders>
          </w:tcPr>
          <w:p>
            <w:pPr>
              <w:spacing w:after="0"/>
              <w:rPr>
                <w:sz w:val="18"/>
                <w:szCs w:val="18"/>
                <w:color w:val="auto"/>
              </w:rPr>
            </w:pPr>
          </w:p>
        </w:tc>
        <w:tc>
          <w:tcPr>
            <w:tcW w:w="800" w:type="dxa"/>
            <w:vAlign w:val="bottom"/>
            <w:gridSpan w:val="5"/>
          </w:tcPr>
          <w:p>
            <w:pPr>
              <w:spacing w:after="0"/>
              <w:rPr>
                <w:sz w:val="18"/>
                <w:szCs w:val="18"/>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40" w:type="dxa"/>
            <w:vAlign w:val="bottom"/>
          </w:tcPr>
          <w:p>
            <w:pPr>
              <w:spacing w:after="0"/>
              <w:rPr>
                <w:sz w:val="18"/>
                <w:szCs w:val="18"/>
                <w:color w:val="auto"/>
              </w:rPr>
            </w:pPr>
          </w:p>
        </w:tc>
        <w:tc>
          <w:tcPr>
            <w:tcW w:w="8740" w:type="dxa"/>
            <w:vAlign w:val="bottom"/>
            <w:tcBorders>
              <w:bottom w:val="single" w:sz="8" w:color="0000FF"/>
            </w:tcBorders>
            <w:gridSpan w:val="6"/>
          </w:tcPr>
          <w:p>
            <w:pPr>
              <w:spacing w:after="0" w:line="207"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 of 2002.</w:t>
            </w:r>
          </w:p>
        </w:tc>
        <w:tc>
          <w:tcPr>
            <w:tcW w:w="800" w:type="dxa"/>
            <w:vAlign w:val="bottom"/>
            <w:gridSpan w:val="5"/>
          </w:tcPr>
          <w:p>
            <w:pPr>
              <w:spacing w:after="0"/>
              <w:rPr>
                <w:sz w:val="18"/>
                <w:szCs w:val="18"/>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40" w:type="dxa"/>
            <w:vAlign w:val="bottom"/>
          </w:tcPr>
          <w:p>
            <w:pPr>
              <w:spacing w:after="0"/>
              <w:rPr>
                <w:sz w:val="18"/>
                <w:szCs w:val="18"/>
                <w:color w:val="auto"/>
              </w:rPr>
            </w:pPr>
          </w:p>
        </w:tc>
        <w:tc>
          <w:tcPr>
            <w:tcW w:w="8720" w:type="dxa"/>
            <w:vAlign w:val="bottom"/>
            <w:tcBorders>
              <w:bottom w:val="single" w:sz="8" w:color="0000FF"/>
            </w:tcBorders>
            <w:gridSpan w:val="5"/>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20" w:type="dxa"/>
            <w:vAlign w:val="bottom"/>
          </w:tcPr>
          <w:p>
            <w:pPr>
              <w:spacing w:after="0"/>
              <w:rPr>
                <w:sz w:val="18"/>
                <w:szCs w:val="18"/>
                <w:color w:val="auto"/>
              </w:rPr>
            </w:pPr>
          </w:p>
        </w:tc>
        <w:tc>
          <w:tcPr>
            <w:tcW w:w="800" w:type="dxa"/>
            <w:vAlign w:val="bottom"/>
            <w:gridSpan w:val="5"/>
          </w:tcPr>
          <w:p>
            <w:pPr>
              <w:spacing w:after="0"/>
              <w:rPr>
                <w:sz w:val="18"/>
                <w:szCs w:val="18"/>
                <w:color w:val="auto"/>
              </w:rPr>
            </w:pPr>
          </w:p>
        </w:tc>
      </w:tr>
      <w:tr>
        <w:trPr>
          <w:trHeight w:val="205"/>
        </w:trPr>
        <w:tc>
          <w:tcPr>
            <w:tcW w:w="6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spacing w:after="0"/>
              <w:rPr>
                <w:sz w:val="17"/>
                <w:szCs w:val="17"/>
                <w:color w:val="auto"/>
              </w:rPr>
            </w:pPr>
          </w:p>
        </w:tc>
        <w:tc>
          <w:tcPr>
            <w:tcW w:w="9540" w:type="dxa"/>
            <w:vAlign w:val="bottom"/>
            <w:gridSpan w:val="11"/>
          </w:tcPr>
          <w:p>
            <w:pPr>
              <w:spacing w:after="0" w:line="205" w:lineRule="exact"/>
              <w:rPr>
                <w:sz w:val="20"/>
                <w:szCs w:val="20"/>
                <w:color w:val="auto"/>
              </w:rPr>
            </w:pPr>
            <w:r>
              <w:rPr>
                <w:rFonts w:ascii="Times New Roman" w:cs="Times New Roman" w:eastAsia="Times New Roman" w:hAnsi="Times New Roman"/>
                <w:sz w:val="18"/>
                <w:szCs w:val="18"/>
                <w:color w:val="auto"/>
              </w:rPr>
              <w:t>The following materials from TriMas Corporation's Quarterly Report on Form 10-Q for the quarter ended March 31, 2024,</w:t>
            </w:r>
          </w:p>
        </w:tc>
      </w:tr>
      <w:tr>
        <w:trPr>
          <w:trHeight w:val="180"/>
        </w:trPr>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540" w:type="dxa"/>
            <w:vAlign w:val="bottom"/>
            <w:gridSpan w:val="11"/>
          </w:tcPr>
          <w:p>
            <w:pPr>
              <w:spacing w:after="0" w:line="181" w:lineRule="exact"/>
              <w:rPr>
                <w:sz w:val="20"/>
                <w:szCs w:val="20"/>
                <w:color w:val="auto"/>
              </w:rPr>
            </w:pPr>
            <w:r>
              <w:rPr>
                <w:rFonts w:ascii="Times New Roman" w:cs="Times New Roman" w:eastAsia="Times New Roman" w:hAnsi="Times New Roman"/>
                <w:sz w:val="18"/>
                <w:szCs w:val="18"/>
                <w:color w:val="auto"/>
              </w:rPr>
              <w:t>formatted in Inline XBRL (eXtensible Business Reporting Language): (i) the Consolidated Balance Sheet, (ii) the Consolidated</w:t>
            </w:r>
          </w:p>
        </w:tc>
      </w:tr>
      <w:tr>
        <w:trPr>
          <w:trHeight w:val="191"/>
        </w:trPr>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540" w:type="dxa"/>
            <w:vAlign w:val="bottom"/>
            <w:gridSpan w:val="11"/>
          </w:tcPr>
          <w:p>
            <w:pPr>
              <w:spacing w:after="0" w:line="191" w:lineRule="exact"/>
              <w:rPr>
                <w:sz w:val="20"/>
                <w:szCs w:val="20"/>
                <w:color w:val="auto"/>
              </w:rPr>
            </w:pPr>
            <w:r>
              <w:rPr>
                <w:rFonts w:ascii="Times New Roman" w:cs="Times New Roman" w:eastAsia="Times New Roman" w:hAnsi="Times New Roman"/>
                <w:sz w:val="18"/>
                <w:szCs w:val="18"/>
                <w:color w:val="auto"/>
              </w:rPr>
              <w:t>Statement of Income, (iii) the Consolidated Statement of Comprehensive Income, (iv) the Consolidated Statement of Cash Flows,</w:t>
            </w:r>
          </w:p>
        </w:tc>
      </w:tr>
    </w:tbl>
    <w:p>
      <w:pPr>
        <w:ind w:left="1680" w:hanging="7"/>
        <w:spacing w:after="0" w:line="233" w:lineRule="auto"/>
        <w:tabs>
          <w:tab w:leader="none" w:pos="195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 of Shareholders' Equity, (vi) Notes to Consolidated Financial Statements, and (vii) document and entity information.</w:t>
      </w:r>
    </w:p>
    <w:p>
      <w:pPr>
        <w:spacing w:after="0" w:line="1" w:lineRule="exact"/>
        <w:rPr>
          <w:sz w:val="20"/>
          <w:szCs w:val="20"/>
          <w:color w:val="auto"/>
        </w:rPr>
      </w:pPr>
    </w:p>
    <w:p>
      <w:pPr>
        <w:ind w:left="20"/>
        <w:spacing w:after="0"/>
        <w:tabs>
          <w:tab w:leader="none" w:pos="1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contracts and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414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TRIMAS CORPORATION (Registrant)</w:t>
            </w:r>
          </w:p>
        </w:tc>
        <w:tc>
          <w:tcPr>
            <w:tcW w:w="4440" w:type="dxa"/>
            <w:vAlign w:val="bottom"/>
          </w:tcPr>
          <w:p>
            <w:pPr>
              <w:spacing w:after="0"/>
              <w:rPr>
                <w:sz w:val="20"/>
                <w:szCs w:val="20"/>
                <w:color w:val="auto"/>
              </w:rPr>
            </w:pPr>
          </w:p>
        </w:tc>
      </w:tr>
      <w:tr>
        <w:trPr>
          <w:trHeight w:val="486"/>
        </w:trPr>
        <w:tc>
          <w:tcPr>
            <w:tcW w:w="2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440" w:type="dxa"/>
            <w:vAlign w:val="bottom"/>
          </w:tcPr>
          <w:p>
            <w:pPr>
              <w:jc w:val="center"/>
              <w:ind w:right="2490"/>
              <w:spacing w:after="0"/>
              <w:rPr>
                <w:sz w:val="20"/>
                <w:szCs w:val="20"/>
                <w:color w:val="auto"/>
              </w:rPr>
            </w:pPr>
            <w:r>
              <w:rPr>
                <w:rFonts w:ascii="Times New Roman" w:cs="Times New Roman" w:eastAsia="Times New Roman" w:hAnsi="Times New Roman"/>
                <w:sz w:val="18"/>
                <w:szCs w:val="18"/>
                <w:color w:val="auto"/>
                <w:w w:val="99"/>
              </w:rPr>
              <w:t>/s/ SCOTT A. MELL</w:t>
            </w:r>
          </w:p>
        </w:tc>
      </w:tr>
      <w:tr>
        <w:trPr>
          <w:trHeight w:val="54"/>
        </w:trPr>
        <w:tc>
          <w:tcPr>
            <w:tcW w:w="26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r>
      <w:tr>
        <w:trPr>
          <w:trHeight w:val="176"/>
        </w:trPr>
        <w:tc>
          <w:tcPr>
            <w:tcW w:w="2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440" w:type="dxa"/>
            <w:vAlign w:val="bottom"/>
          </w:tcPr>
          <w:p>
            <w:pPr>
              <w:jc w:val="center"/>
              <w:ind w:right="2490"/>
              <w:spacing w:after="0" w:line="176" w:lineRule="exact"/>
              <w:rPr>
                <w:sz w:val="20"/>
                <w:szCs w:val="20"/>
                <w:color w:val="auto"/>
              </w:rPr>
            </w:pPr>
            <w:r>
              <w:rPr>
                <w:rFonts w:ascii="Times New Roman" w:cs="Times New Roman" w:eastAsia="Times New Roman" w:hAnsi="Times New Roman"/>
                <w:sz w:val="18"/>
                <w:szCs w:val="18"/>
                <w:color w:val="auto"/>
              </w:rPr>
              <w:t>Scott A. Mell</w:t>
            </w:r>
          </w:p>
        </w:tc>
      </w:tr>
      <w:tr>
        <w:trPr>
          <w:trHeight w:val="23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2024</w:t>
            </w:r>
          </w:p>
        </w:tc>
        <w:tc>
          <w:tcPr>
            <w:tcW w:w="41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Pr>
          <w:p>
            <w:pPr>
              <w:jc w:val="center"/>
              <w:ind w:right="249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1/1/24 – 12/31/26 Award</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Performance Stock Units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pacing w:after="0" w:line="23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2023 EQUITY AND INCENTIVE COMPENSATION PLAN</w:t>
      </w:r>
    </w:p>
    <w:p>
      <w:pPr>
        <w:spacing w:after="0" w:line="22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b w:val="1"/>
          <w:bCs w:val="1"/>
          <w:color w:val="auto"/>
        </w:rPr>
        <w:t>PERFORMANCE STOCK UNITS AGREEMENT</w:t>
      </w:r>
    </w:p>
    <w:p>
      <w:pPr>
        <w:spacing w:after="0" w:line="2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TriMas Corporation (the “Company”), as permitted by the TriMas Corporation 2023 Equity and Incentive Compensation Plan (“Plan”), and as provided for by the Committee, has granted to the individual listed below (“Grantee”), the opportunity to earn performance-based Restricted Stock Units (“PSUs”) in the amount designated in this Performance Stock Units Agreement (“Agreement”), subject to the terms and conditions of the Plan and this Agreement.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Unless otherwise defined in this Agreement or in one or more Appendices to this Agreement, the terms used in this Agreement have the same meanings as defined in the Plan.</w:t>
      </w:r>
    </w:p>
    <w:p>
      <w:pPr>
        <w:spacing w:after="0" w:line="154"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 OF PSU AWARD</w:t>
      </w:r>
    </w:p>
    <w:p>
      <w:pPr>
        <w:spacing w:after="0" w:line="247" w:lineRule="exact"/>
        <w:rPr>
          <w:sz w:val="20"/>
          <w:szCs w:val="20"/>
          <w:color w:val="auto"/>
        </w:rPr>
      </w:pPr>
    </w:p>
    <w:tbl>
      <w:tblPr>
        <w:tblLayout w:type="fixed"/>
        <w:tblInd w:w="180" w:type="dxa"/>
        <w:tblCellMar>
          <w:top w:w="0" w:type="dxa"/>
          <w:left w:w="0" w:type="dxa"/>
          <w:bottom w:w="0" w:type="dxa"/>
          <w:right w:w="0" w:type="dxa"/>
        </w:tblCellMar>
      </w:tblPr>
      <w:tr>
        <w:trPr>
          <w:trHeight w:val="270"/>
        </w:trPr>
        <w:tc>
          <w:tcPr>
            <w:tcW w:w="36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Grantee:</w:t>
            </w:r>
          </w:p>
        </w:tc>
        <w:tc>
          <w:tcPr>
            <w:tcW w:w="660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[specify Grantee’s name]</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Date of Agreement:</w:t>
            </w:r>
          </w:p>
        </w:tc>
        <w:tc>
          <w:tcPr>
            <w:tcW w:w="660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As of [enter date]</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Date of Grant:</w:t>
            </w:r>
          </w:p>
        </w:tc>
        <w:tc>
          <w:tcPr>
            <w:tcW w:w="660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[grant date]</w:t>
            </w:r>
          </w:p>
        </w:tc>
        <w:tc>
          <w:tcPr>
            <w:tcW w:w="0" w:type="dxa"/>
            <w:vAlign w:val="bottom"/>
          </w:tcPr>
          <w:p>
            <w:pPr>
              <w:spacing w:after="0"/>
              <w:rPr>
                <w:sz w:val="1"/>
                <w:szCs w:val="1"/>
                <w:color w:val="auto"/>
              </w:rPr>
            </w:pPr>
          </w:p>
        </w:tc>
      </w:tr>
      <w:tr>
        <w:trPr>
          <w:trHeight w:val="220"/>
        </w:trPr>
        <w:tc>
          <w:tcPr>
            <w:tcW w:w="3620" w:type="dxa"/>
            <w:vAlign w:val="bottom"/>
          </w:tcPr>
          <w:p>
            <w:pPr>
              <w:spacing w:after="0" w:line="221" w:lineRule="exact"/>
              <w:rPr>
                <w:sz w:val="20"/>
                <w:szCs w:val="20"/>
                <w:color w:val="auto"/>
              </w:rPr>
            </w:pPr>
            <w:r>
              <w:rPr>
                <w:rFonts w:ascii="Times New Roman" w:cs="Times New Roman" w:eastAsia="Times New Roman" w:hAnsi="Times New Roman"/>
                <w:sz w:val="22"/>
                <w:szCs w:val="22"/>
                <w:b w:val="1"/>
                <w:bCs w:val="1"/>
                <w:color w:val="auto"/>
              </w:rPr>
              <w:t>Number of PSUs in Award:</w:t>
            </w:r>
          </w:p>
        </w:tc>
        <w:tc>
          <w:tcPr>
            <w:tcW w:w="6600" w:type="dxa"/>
            <w:vAlign w:val="bottom"/>
          </w:tcPr>
          <w:p>
            <w:pPr>
              <w:ind w:left="1080"/>
              <w:spacing w:after="0" w:line="221" w:lineRule="exact"/>
              <w:rPr>
                <w:sz w:val="20"/>
                <w:szCs w:val="20"/>
                <w:color w:val="auto"/>
              </w:rPr>
            </w:pPr>
            <w:r>
              <w:rPr>
                <w:rFonts w:ascii="Times New Roman" w:cs="Times New Roman" w:eastAsia="Times New Roman" w:hAnsi="Times New Roman"/>
                <w:sz w:val="22"/>
                <w:szCs w:val="22"/>
                <w:color w:val="auto"/>
                <w:w w:val="98"/>
              </w:rPr>
              <w:t>[number of PSUs] (“Target”), subject to addition or subtraction</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6600" w:type="dxa"/>
            <w:vAlign w:val="bottom"/>
          </w:tcPr>
          <w:p>
            <w:pPr>
              <w:ind w:left="1080"/>
              <w:spacing w:after="0" w:line="216" w:lineRule="exact"/>
              <w:rPr>
                <w:sz w:val="20"/>
                <w:szCs w:val="20"/>
                <w:color w:val="auto"/>
              </w:rPr>
            </w:pPr>
            <w:r>
              <w:rPr>
                <w:rFonts w:ascii="Times New Roman" w:cs="Times New Roman" w:eastAsia="Times New Roman" w:hAnsi="Times New Roman"/>
                <w:sz w:val="22"/>
                <w:szCs w:val="22"/>
                <w:color w:val="auto"/>
              </w:rPr>
              <w:t>as set forth on Appendix A depending on achievement of</w:t>
            </w:r>
          </w:p>
        </w:tc>
        <w:tc>
          <w:tcPr>
            <w:tcW w:w="0" w:type="dxa"/>
            <w:vAlign w:val="bottom"/>
          </w:tcPr>
          <w:p>
            <w:pPr>
              <w:spacing w:after="0"/>
              <w:rPr>
                <w:sz w:val="1"/>
                <w:szCs w:val="1"/>
                <w:color w:val="auto"/>
              </w:rPr>
            </w:pPr>
          </w:p>
        </w:tc>
      </w:tr>
      <w:tr>
        <w:trPr>
          <w:trHeight w:val="270"/>
        </w:trPr>
        <w:tc>
          <w:tcPr>
            <w:tcW w:w="36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Performance Period:</w:t>
            </w:r>
          </w:p>
        </w:tc>
        <w:tc>
          <w:tcPr>
            <w:tcW w:w="660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applicable Management Objectives</w:t>
            </w:r>
          </w:p>
        </w:tc>
        <w:tc>
          <w:tcPr>
            <w:tcW w:w="0" w:type="dxa"/>
            <w:vAlign w:val="bottom"/>
          </w:tcPr>
          <w:p>
            <w:pPr>
              <w:spacing w:after="0"/>
              <w:rPr>
                <w:sz w:val="1"/>
                <w:szCs w:val="1"/>
                <w:color w:val="auto"/>
              </w:rPr>
            </w:pPr>
          </w:p>
        </w:tc>
      </w:tr>
      <w:tr>
        <w:trPr>
          <w:trHeight w:val="216"/>
        </w:trPr>
        <w:tc>
          <w:tcPr>
            <w:tcW w:w="3620" w:type="dxa"/>
            <w:vAlign w:val="bottom"/>
            <w:vMerge w:val="continue"/>
          </w:tcPr>
          <w:p>
            <w:pPr>
              <w:spacing w:after="0"/>
              <w:rPr>
                <w:sz w:val="18"/>
                <w:szCs w:val="18"/>
                <w:color w:val="auto"/>
              </w:rPr>
            </w:pPr>
          </w:p>
        </w:tc>
        <w:tc>
          <w:tcPr>
            <w:tcW w:w="6600" w:type="dxa"/>
            <w:vAlign w:val="bottom"/>
          </w:tcPr>
          <w:p>
            <w:pPr>
              <w:ind w:left="1080"/>
              <w:spacing w:after="0" w:line="217" w:lineRule="exact"/>
              <w:rPr>
                <w:sz w:val="20"/>
                <w:szCs w:val="20"/>
                <w:color w:val="auto"/>
              </w:rPr>
            </w:pPr>
            <w:r>
              <w:rPr>
                <w:rFonts w:ascii="Times New Roman" w:cs="Times New Roman" w:eastAsia="Times New Roman" w:hAnsi="Times New Roman"/>
                <w:sz w:val="22"/>
                <w:szCs w:val="22"/>
                <w:color w:val="auto"/>
              </w:rPr>
              <w:t>Beginning on January 1, 2024, and continuing through</w:t>
            </w:r>
          </w:p>
        </w:tc>
        <w:tc>
          <w:tcPr>
            <w:tcW w:w="0" w:type="dxa"/>
            <w:vAlign w:val="bottom"/>
          </w:tcPr>
          <w:p>
            <w:pPr>
              <w:spacing w:after="0"/>
              <w:rPr>
                <w:sz w:val="1"/>
                <w:szCs w:val="1"/>
                <w:color w:val="auto"/>
              </w:rPr>
            </w:pPr>
          </w:p>
        </w:tc>
      </w:tr>
      <w:tr>
        <w:trPr>
          <w:trHeight w:val="270"/>
        </w:trPr>
        <w:tc>
          <w:tcPr>
            <w:tcW w:w="36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Settlement Date</w:t>
            </w:r>
          </w:p>
        </w:tc>
        <w:tc>
          <w:tcPr>
            <w:tcW w:w="660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December 31, 2026</w:t>
            </w:r>
          </w:p>
        </w:tc>
        <w:tc>
          <w:tcPr>
            <w:tcW w:w="0" w:type="dxa"/>
            <w:vAlign w:val="bottom"/>
          </w:tcPr>
          <w:p>
            <w:pPr>
              <w:spacing w:after="0"/>
              <w:rPr>
                <w:sz w:val="1"/>
                <w:szCs w:val="1"/>
                <w:color w:val="auto"/>
              </w:rPr>
            </w:pPr>
          </w:p>
        </w:tc>
      </w:tr>
      <w:tr>
        <w:trPr>
          <w:trHeight w:val="266"/>
        </w:trPr>
        <w:tc>
          <w:tcPr>
            <w:tcW w:w="3620" w:type="dxa"/>
            <w:vAlign w:val="bottom"/>
            <w:vMerge w:val="continue"/>
          </w:tcPr>
          <w:p>
            <w:pPr>
              <w:spacing w:after="0"/>
              <w:rPr>
                <w:sz w:val="23"/>
                <w:szCs w:val="23"/>
                <w:color w:val="auto"/>
              </w:rPr>
            </w:pPr>
          </w:p>
        </w:tc>
        <w:tc>
          <w:tcPr>
            <w:tcW w:w="660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March 14, 2027</w:t>
            </w:r>
          </w:p>
        </w:tc>
        <w:tc>
          <w:tcPr>
            <w:tcW w:w="0" w:type="dxa"/>
            <w:vAlign w:val="bottom"/>
          </w:tcPr>
          <w:p>
            <w:pPr>
              <w:spacing w:after="0"/>
              <w:rPr>
                <w:sz w:val="1"/>
                <w:szCs w:val="1"/>
                <w:color w:val="auto"/>
              </w:rPr>
            </w:pPr>
          </w:p>
        </w:tc>
      </w:tr>
      <w:tr>
        <w:trPr>
          <w:trHeight w:val="220"/>
        </w:trPr>
        <w:tc>
          <w:tcPr>
            <w:tcW w:w="3620" w:type="dxa"/>
            <w:vAlign w:val="bottom"/>
          </w:tcPr>
          <w:p>
            <w:pPr>
              <w:spacing w:after="0" w:line="221" w:lineRule="exact"/>
              <w:rPr>
                <w:sz w:val="20"/>
                <w:szCs w:val="20"/>
                <w:color w:val="auto"/>
              </w:rPr>
            </w:pPr>
            <w:r>
              <w:rPr>
                <w:rFonts w:ascii="Times New Roman" w:cs="Times New Roman" w:eastAsia="Times New Roman" w:hAnsi="Times New Roman"/>
                <w:sz w:val="22"/>
                <w:szCs w:val="22"/>
                <w:b w:val="1"/>
                <w:bCs w:val="1"/>
                <w:color w:val="auto"/>
              </w:rPr>
              <w:t>Settlement Method:</w:t>
            </w:r>
          </w:p>
        </w:tc>
        <w:tc>
          <w:tcPr>
            <w:tcW w:w="6600" w:type="dxa"/>
            <w:vAlign w:val="bottom"/>
          </w:tcPr>
          <w:p>
            <w:pPr>
              <w:ind w:left="1080"/>
              <w:spacing w:after="0" w:line="221" w:lineRule="exact"/>
              <w:rPr>
                <w:sz w:val="20"/>
                <w:szCs w:val="20"/>
                <w:color w:val="auto"/>
              </w:rPr>
            </w:pPr>
            <w:r>
              <w:rPr>
                <w:rFonts w:ascii="Times New Roman" w:cs="Times New Roman" w:eastAsia="Times New Roman" w:hAnsi="Times New Roman"/>
                <w:sz w:val="22"/>
                <w:szCs w:val="22"/>
                <w:color w:val="auto"/>
                <w:w w:val="97"/>
              </w:rPr>
              <w:t>Earned and vested PSUs will be settled by delivery of one share</w:t>
            </w:r>
          </w:p>
        </w:tc>
        <w:tc>
          <w:tcPr>
            <w:tcW w:w="0" w:type="dxa"/>
            <w:vAlign w:val="bottom"/>
          </w:tcPr>
          <w:p>
            <w:pPr>
              <w:spacing w:after="0"/>
              <w:rPr>
                <w:sz w:val="1"/>
                <w:szCs w:val="1"/>
                <w:color w:val="auto"/>
              </w:rPr>
            </w:pPr>
          </w:p>
        </w:tc>
      </w:tr>
      <w:tr>
        <w:trPr>
          <w:trHeight w:val="282"/>
        </w:trPr>
        <w:tc>
          <w:tcPr>
            <w:tcW w:w="3620" w:type="dxa"/>
            <w:vAlign w:val="bottom"/>
          </w:tcPr>
          <w:p>
            <w:pPr>
              <w:spacing w:after="0"/>
              <w:rPr>
                <w:sz w:val="24"/>
                <w:szCs w:val="24"/>
                <w:color w:val="auto"/>
              </w:rPr>
            </w:pPr>
          </w:p>
        </w:tc>
        <w:tc>
          <w:tcPr>
            <w:tcW w:w="660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of Common Stock for each PSU being settled</w:t>
            </w: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420" w:hanging="412"/>
        <w:spacing w:after="0"/>
        <w:tabs>
          <w:tab w:leader="none" w:pos="4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AGREEMENT</w:t>
      </w:r>
    </w:p>
    <w:p>
      <w:pPr>
        <w:spacing w:after="0" w:line="206" w:lineRule="exact"/>
        <w:rPr>
          <w:rFonts w:ascii="Times New Roman" w:cs="Times New Roman" w:eastAsia="Times New Roman" w:hAnsi="Times New Roman"/>
          <w:sz w:val="22"/>
          <w:szCs w:val="22"/>
          <w:color w:val="auto"/>
        </w:rPr>
      </w:pPr>
    </w:p>
    <w:p>
      <w:pPr>
        <w:ind w:firstLine="299"/>
        <w:spacing w:after="0" w:line="26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b w:val="1"/>
          <w:bCs w:val="1"/>
          <w:u w:val="single" w:color="auto"/>
          <w:color w:val="auto"/>
        </w:rPr>
        <w:t>Grant of PSUs.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granted to Grantee (who, pursuant to this award is a Participant in the Plan)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opportunity to earn the number of PSUs described above,</w:t>
      </w:r>
    </w:p>
    <w:p>
      <w:pPr>
        <w:sectPr>
          <w:pgSz w:w="11900" w:h="16838" w:orient="portrait"/>
          <w:cols w:equalWidth="0" w:num="1">
            <w:col w:w="11240"/>
          </w:cols>
          <w:pgMar w:left="320" w:top="338" w:right="339" w:bottom="1440" w:gutter="0" w:footer="0" w:header="0"/>
        </w:sectPr>
      </w:pPr>
    </w:p>
    <w:bookmarkStart w:id="41" w:name="page42"/>
    <w:bookmarkEnd w:id="41"/>
    <w:p>
      <w:pPr>
        <w:jc w:val="both"/>
        <w:spacing w:after="0" w:line="244" w:lineRule="auto"/>
        <w:rPr>
          <w:sz w:val="20"/>
          <w:szCs w:val="20"/>
          <w:color w:val="auto"/>
        </w:rPr>
      </w:pPr>
      <w:r>
        <w:rPr>
          <w:rFonts w:ascii="Times New Roman" w:cs="Times New Roman" w:eastAsia="Times New Roman" w:hAnsi="Times New Roman"/>
          <w:sz w:val="22"/>
          <w:szCs w:val="22"/>
          <w:color w:val="auto"/>
        </w:rPr>
        <w:t>subject to the terms of this Agreement (this “Award”). The PSUs evidenced by this Agreement are payable only in shares of Common Stock as described in this Agreement. Notwithstanding anything to the contrary anywhere else in this Agreement, the PSUs subject to this Award are subject to the terms and provisions of the Plan, which are incorporated by reference into this Agreement.</w:t>
      </w:r>
    </w:p>
    <w:p>
      <w:pPr>
        <w:spacing w:after="0" w:line="196" w:lineRule="exact"/>
        <w:rPr>
          <w:sz w:val="20"/>
          <w:szCs w:val="20"/>
          <w:color w:val="auto"/>
        </w:rPr>
      </w:pPr>
    </w:p>
    <w:p>
      <w:pPr>
        <w:jc w:val="both"/>
        <w:ind w:firstLine="476"/>
        <w:spacing w:after="0" w:line="269" w:lineRule="auto"/>
        <w:tabs>
          <w:tab w:leader="none" w:pos="864" w:val="left"/>
        </w:tabs>
        <w:numPr>
          <w:ilvl w:val="1"/>
          <w:numId w:val="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Vesting</w:t>
      </w:r>
      <w:r>
        <w:rPr>
          <w:rFonts w:ascii="Times New Roman" w:cs="Times New Roman" w:eastAsia="Times New Roman" w:hAnsi="Times New Roman"/>
          <w:sz w:val="21"/>
          <w:szCs w:val="21"/>
          <w:color w:val="auto"/>
        </w:rPr>
        <w:t>. Except as otherwise designated in this Agreement, Grantee must be a Service Provider on the Settlement Date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such term is defined in Section II.A.7 below) to be eligible to earn and receive payment for any PSUs, and any PSUs subject to this Award will be canceled and forfeited if Grantee terminates as a Service Provider prior to the Settlement Date. Any PSUs that remain unearned after the “Determination Date” (as such term is defined in Appendix A) will be cancelled and forfeited.</w:t>
      </w:r>
    </w:p>
    <w:p>
      <w:pPr>
        <w:spacing w:after="0" w:line="159" w:lineRule="exact"/>
        <w:rPr>
          <w:rFonts w:ascii="Times New Roman" w:cs="Times New Roman" w:eastAsia="Times New Roman" w:hAnsi="Times New Roman"/>
          <w:sz w:val="21"/>
          <w:szCs w:val="21"/>
          <w:b w:val="1"/>
          <w:bCs w:val="1"/>
          <w:color w:val="auto"/>
        </w:rPr>
      </w:pPr>
    </w:p>
    <w:p>
      <w:pPr>
        <w:jc w:val="both"/>
        <w:ind w:firstLine="440"/>
        <w:spacing w:after="0" w:line="265" w:lineRule="auto"/>
        <w:tabs>
          <w:tab w:leader="none" w:pos="81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Performance Goals to Earn PSUs</w:t>
      </w:r>
      <w:r>
        <w:rPr>
          <w:rFonts w:ascii="Times New Roman" w:cs="Times New Roman" w:eastAsia="Times New Roman" w:hAnsi="Times New Roman"/>
          <w:sz w:val="22"/>
          <w:szCs w:val="22"/>
          <w:color w:val="auto"/>
        </w:rPr>
        <w:t>. Grantee will only receive shares of Common Stock related to, and to the extent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shares are earned pursuant to, the Management Objectives and goals specified in Appendix A to this Agreement (“Performance Goals”).</w:t>
      </w:r>
    </w:p>
    <w:p>
      <w:pPr>
        <w:spacing w:after="0" w:line="161" w:lineRule="exact"/>
        <w:rPr>
          <w:rFonts w:ascii="Times New Roman" w:cs="Times New Roman" w:eastAsia="Times New Roman" w:hAnsi="Times New Roman"/>
          <w:sz w:val="22"/>
          <w:szCs w:val="22"/>
          <w:b w:val="1"/>
          <w:bCs w:val="1"/>
          <w:color w:val="auto"/>
        </w:rPr>
      </w:pPr>
    </w:p>
    <w:p>
      <w:pPr>
        <w:jc w:val="both"/>
        <w:ind w:firstLine="503"/>
        <w:spacing w:after="0" w:line="248" w:lineRule="auto"/>
        <w:tabs>
          <w:tab w:leader="none" w:pos="904" w:val="left"/>
        </w:tabs>
        <w:numPr>
          <w:ilvl w:val="2"/>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 Equivalent Rights</w:t>
      </w:r>
      <w:r>
        <w:rPr>
          <w:rFonts w:ascii="Times New Roman" w:cs="Times New Roman" w:eastAsia="Times New Roman" w:hAnsi="Times New Roman"/>
          <w:sz w:val="22"/>
          <w:szCs w:val="22"/>
          <w:color w:val="auto"/>
        </w:rPr>
        <w:t>. Grantee shall be credited with cash per PSU equal to the amount of each cash dividend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paid by the Company (if any) to holders of Common Stock generally with a record date occurring on or after the Date of Grant and prior to the time when the PSUs are earned and/or vest and are settled in accordance with Section II.A.7 hereof. Any amounts credited pursuant to the immediately preceding sentence shall be subject to the same applicable terms and conditions (including earning, vesting, payment, and forfeitability) as apply to the PSUs based on which the dividend equivalents were credited, and such amounts shall be paid in either cash or Common Stock, as determined by the Committee in its sole discretion, at the same time as the PSUs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98" w:lineRule="exact"/>
        <w:rPr>
          <w:rFonts w:ascii="Times New Roman" w:cs="Times New Roman" w:eastAsia="Times New Roman" w:hAnsi="Times New Roman"/>
          <w:sz w:val="22"/>
          <w:szCs w:val="22"/>
          <w:b w:val="1"/>
          <w:bCs w:val="1"/>
          <w:color w:val="auto"/>
        </w:rPr>
      </w:pPr>
    </w:p>
    <w:p>
      <w:pPr>
        <w:jc w:val="both"/>
        <w:ind w:firstLine="642"/>
        <w:spacing w:after="0" w:line="250" w:lineRule="auto"/>
        <w:tabs>
          <w:tab w:leader="none" w:pos="1120" w:val="left"/>
        </w:tabs>
        <w:numPr>
          <w:ilvl w:val="3"/>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Rights as a Stockholder</w:t>
      </w:r>
      <w:r>
        <w:rPr>
          <w:rFonts w:ascii="Times New Roman" w:cs="Times New Roman" w:eastAsia="Times New Roman" w:hAnsi="Times New Roman"/>
          <w:sz w:val="22"/>
          <w:szCs w:val="22"/>
          <w:color w:val="auto"/>
        </w:rPr>
        <w:t>. This Award does not entitle Grantee to any ownership interest in any actual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unless and until such shares of Common Stock are issued to Grantee pursuant to the terms of the Plan. Except as otherwise provided in Section II.A.3 hereof, until shares of Common Stock are issued to Grantee in settlement of earned PSUs under this Award, Grantee will have none of the rights of a stockholder of the Company with respect to the shares of Common Stock issuable in settlement of the PSUs, including the right to vote the shares of Common Stock. Shares of Common Stock issuable in settlement of PSUs will be delivered to Grantee on the Settlement Date in book entry form or in such other manner as the Committee may determine.</w:t>
      </w:r>
    </w:p>
    <w:p>
      <w:pPr>
        <w:spacing w:after="0" w:line="180" w:lineRule="exact"/>
        <w:rPr>
          <w:sz w:val="20"/>
          <w:szCs w:val="20"/>
          <w:color w:val="auto"/>
        </w:rPr>
      </w:pPr>
    </w:p>
    <w:p>
      <w:pPr>
        <w:ind w:left="820" w:hanging="380"/>
        <w:spacing w:after="0"/>
        <w:tabs>
          <w:tab w:leader="none" w:pos="82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PSUs covered by this Award will be subject to adjustment as provided in Section 11 of the Plan.</w:t>
      </w:r>
    </w:p>
    <w:p>
      <w:pPr>
        <w:spacing w:after="0" w:line="219" w:lineRule="exact"/>
        <w:rPr>
          <w:rFonts w:ascii="Times New Roman" w:cs="Times New Roman" w:eastAsia="Times New Roman" w:hAnsi="Times New Roman"/>
          <w:sz w:val="22"/>
          <w:szCs w:val="22"/>
          <w:b w:val="1"/>
          <w:bCs w:val="1"/>
          <w:color w:val="auto"/>
        </w:rPr>
      </w:pPr>
    </w:p>
    <w:p>
      <w:pPr>
        <w:ind w:left="820" w:hanging="380"/>
        <w:spacing w:after="0"/>
        <w:tabs>
          <w:tab w:leader="none" w:pos="82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 of Service; Forfeiture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8" w:right="339" w:bottom="1440" w:gutter="0" w:footer="0" w:header="0"/>
        </w:sectPr>
      </w:pPr>
    </w:p>
    <w:bookmarkStart w:id="42" w:name="page43"/>
    <w:bookmarkEnd w:id="42"/>
    <w:p>
      <w:pPr>
        <w:jc w:val="both"/>
        <w:ind w:left="500" w:hanging="220"/>
        <w:spacing w:after="0" w:line="254" w:lineRule="auto"/>
        <w:tabs>
          <w:tab w:leader="none" w:pos="79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Voluntary Termination; Termination by Company; Breach of Other Obligations</w:t>
      </w:r>
      <w:r>
        <w:rPr>
          <w:rFonts w:ascii="Times New Roman" w:cs="Times New Roman" w:eastAsia="Times New Roman" w:hAnsi="Times New Roman"/>
          <w:sz w:val="22"/>
          <w:szCs w:val="22"/>
          <w:color w:val="auto"/>
        </w:rPr>
        <w:t>. Any PSUs subject to this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canceled and forfeited if, prior to the Settlement Date, Grantee voluntarily terminates as a Service Provider (other than for Good Reason or as a result of Retirement as provided below), if Grantee’s status as a Service Provider is terminated by the Company or a Subsidiary for any reason (other than death, Disability, or Retirement), or if Grantee violates the provisions of Section II.B.3 below.</w:t>
      </w:r>
    </w:p>
    <w:p>
      <w:pPr>
        <w:spacing w:after="0" w:line="173" w:lineRule="exact"/>
        <w:rPr>
          <w:rFonts w:ascii="Times New Roman" w:cs="Times New Roman" w:eastAsia="Times New Roman" w:hAnsi="Times New Roman"/>
          <w:sz w:val="22"/>
          <w:szCs w:val="22"/>
          <w:color w:val="auto"/>
        </w:rPr>
      </w:pPr>
    </w:p>
    <w:p>
      <w:pPr>
        <w:jc w:val="both"/>
        <w:ind w:left="500" w:hanging="120"/>
        <w:spacing w:after="0" w:line="249" w:lineRule="auto"/>
        <w:tabs>
          <w:tab w:leader="none" w:pos="968"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Qualifying Termination Prior to a Change in Control</w:t>
      </w:r>
      <w:r>
        <w:rPr>
          <w:rFonts w:ascii="Times New Roman" w:cs="Times New Roman" w:eastAsia="Times New Roman" w:hAnsi="Times New Roman"/>
          <w:sz w:val="22"/>
          <w:szCs w:val="22"/>
          <w:color w:val="auto"/>
        </w:rPr>
        <w:t>. Notwithstanding the foregoing, and except as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subsection (f) of this Section II.A.6, if Grantee ceases to be a Service Provider prior to the Settlement Date as a result of Grantee’s Qualifying Termination, Grantee shall become vested on the Determination Date in a pro-rata portion of the number of PSUs, if any, that are earned under Section II.A.2 due to the achievement of the performance measures specified in Appendix A during the performance period specified in the table above (the “Performance Period”). The pro-rata percentage of the number of PSUs to be earned and settled under Section II.A.7 shall be equal to (x) the amount determined under Section II.A.2 above at the end of the Performance Period, multiplied by (y) a fraction (not greater than 1), the numerator of which is the number of whole calendar months Grantee was employed or rendering services from the beginning of the Performance Period through the date of Grantee’s Qualifying Termination, and the denominator of which is 36.</w:t>
      </w:r>
    </w:p>
    <w:p>
      <w:pPr>
        <w:spacing w:after="0" w:line="183" w:lineRule="exact"/>
        <w:rPr>
          <w:rFonts w:ascii="Times New Roman" w:cs="Times New Roman" w:eastAsia="Times New Roman" w:hAnsi="Times New Roman"/>
          <w:sz w:val="22"/>
          <w:szCs w:val="22"/>
          <w:color w:val="auto"/>
        </w:rPr>
      </w:pPr>
    </w:p>
    <w:p>
      <w:pPr>
        <w:jc w:val="both"/>
        <w:ind w:left="500" w:hanging="130"/>
        <w:spacing w:after="0" w:line="254" w:lineRule="auto"/>
        <w:tabs>
          <w:tab w:leader="none" w:pos="875"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Notwithstanding the foregoing, and except as set forth in subsection (f) of this Section II.A.6, if Grantee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ceases to be a Service Provider prior to the Settlement Date as a result of Grantee’s Disability, Grantee shall become vested at the end of the Performance Period in the number of PSUs that would have been actually earned due to the achievement of the performance measures specified in Appendix A, assuming Grantee had continued to be a Service Provider through the Settlement Date.</w:t>
      </w:r>
    </w:p>
    <w:p>
      <w:pPr>
        <w:spacing w:after="0" w:line="173" w:lineRule="exact"/>
        <w:rPr>
          <w:rFonts w:ascii="Times New Roman" w:cs="Times New Roman" w:eastAsia="Times New Roman" w:hAnsi="Times New Roman"/>
          <w:sz w:val="22"/>
          <w:szCs w:val="22"/>
          <w:color w:val="auto"/>
        </w:rPr>
      </w:pPr>
    </w:p>
    <w:p>
      <w:pPr>
        <w:jc w:val="both"/>
        <w:ind w:left="500" w:hanging="103"/>
        <w:spacing w:after="0" w:line="259" w:lineRule="auto"/>
        <w:tabs>
          <w:tab w:leader="none" w:pos="927" w:val="left"/>
        </w:tabs>
        <w:numPr>
          <w:ilvl w:val="3"/>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w:t>
      </w:r>
      <w:r>
        <w:rPr>
          <w:rFonts w:ascii="Times New Roman" w:cs="Times New Roman" w:eastAsia="Times New Roman" w:hAnsi="Times New Roman"/>
          <w:sz w:val="22"/>
          <w:szCs w:val="22"/>
          <w:color w:val="auto"/>
        </w:rPr>
        <w:t>. Notwithstanding the foregoing, if Grantee ceases to be a Service Provider prior to the Settlement Date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 of Grantee’s death, Grantee’s PSUs shall immediately become fully vested based on the Target number set forth in “Number of PSUs in Award” in Section I.</w:t>
      </w:r>
    </w:p>
    <w:p>
      <w:pPr>
        <w:spacing w:after="0" w:line="166" w:lineRule="exact"/>
        <w:rPr>
          <w:rFonts w:ascii="Times New Roman" w:cs="Times New Roman" w:eastAsia="Times New Roman" w:hAnsi="Times New Roman"/>
          <w:sz w:val="22"/>
          <w:szCs w:val="22"/>
          <w:color w:val="auto"/>
        </w:rPr>
      </w:pPr>
    </w:p>
    <w:p>
      <w:pPr>
        <w:jc w:val="both"/>
        <w:ind w:left="500" w:hanging="79"/>
        <w:spacing w:after="0" w:line="274" w:lineRule="auto"/>
        <w:tabs>
          <w:tab w:leader="none" w:pos="1023" w:val="left"/>
        </w:tabs>
        <w:numPr>
          <w:ilvl w:val="4"/>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Retirement</w:t>
      </w:r>
      <w:r>
        <w:rPr>
          <w:rFonts w:ascii="Times New Roman" w:cs="Times New Roman" w:eastAsia="Times New Roman" w:hAnsi="Times New Roman"/>
          <w:sz w:val="21"/>
          <w:szCs w:val="21"/>
          <w:color w:val="auto"/>
        </w:rPr>
        <w:t>. If Grantee ceases to be a Service Provider prior to the Settlement Date due to Grantee’s Retirement,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set forth in subsection (f) of this Section II.A.6, Grantee shall become vested at the end of the Performance Period in the number of PSUs that would have been actually earned due to the achievement of the performance measures specified in Appendix A, assuming Grantee had continued to be a Service Provider through the Settlement Date.</w:t>
      </w:r>
    </w:p>
    <w:p>
      <w:pPr>
        <w:spacing w:after="0" w:line="152" w:lineRule="exact"/>
        <w:rPr>
          <w:rFonts w:ascii="Times New Roman" w:cs="Times New Roman" w:eastAsia="Times New Roman" w:hAnsi="Times New Roman"/>
          <w:sz w:val="21"/>
          <w:szCs w:val="21"/>
          <w:color w:val="auto"/>
        </w:rPr>
      </w:pPr>
    </w:p>
    <w:p>
      <w:pPr>
        <w:ind w:left="500" w:hanging="193"/>
        <w:spacing w:after="0" w:line="275" w:lineRule="auto"/>
        <w:tabs>
          <w:tab w:leader="none" w:pos="756"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In the event of a Change in Control that occurs prior to the Settlement Date, the PSUs will vest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this Section II.A.6(f).</w:t>
      </w:r>
    </w:p>
    <w:p>
      <w:pPr>
        <w:spacing w:after="0" w:line="153" w:lineRule="exact"/>
        <w:rPr>
          <w:rFonts w:ascii="Times New Roman" w:cs="Times New Roman" w:eastAsia="Times New Roman" w:hAnsi="Times New Roman"/>
          <w:sz w:val="22"/>
          <w:szCs w:val="22"/>
          <w:color w:val="auto"/>
        </w:rPr>
      </w:pPr>
    </w:p>
    <w:p>
      <w:pPr>
        <w:ind w:left="1140" w:right="20" w:firstLine="652"/>
        <w:spacing w:after="0" w:line="284" w:lineRule="auto"/>
        <w:tabs>
          <w:tab w:leader="none" w:pos="2227" w:val="left"/>
        </w:tabs>
        <w:numPr>
          <w:ilvl w:val="5"/>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set forth herein to the contrary, if at any time before the Settlement Date or forfeiture of the PSUs, and while Grantee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80"/>
          </w:cols>
          <w:pgMar w:left="480" w:top="1418" w:right="339" w:bottom="1440" w:gutter="0" w:footer="0" w:header="0"/>
        </w:sectPr>
      </w:pPr>
    </w:p>
    <w:bookmarkStart w:id="43" w:name="page44"/>
    <w:bookmarkEnd w:id="43"/>
    <w:p>
      <w:pPr>
        <w:jc w:val="both"/>
        <w:ind w:left="1140"/>
        <w:spacing w:after="0" w:line="264" w:lineRule="auto"/>
        <w:rPr>
          <w:sz w:val="20"/>
          <w:szCs w:val="20"/>
          <w:color w:val="auto"/>
        </w:rPr>
      </w:pPr>
      <w:r>
        <w:rPr>
          <w:rFonts w:ascii="Times New Roman" w:cs="Times New Roman" w:eastAsia="Times New Roman" w:hAnsi="Times New Roman"/>
          <w:sz w:val="21"/>
          <w:szCs w:val="21"/>
          <w:color w:val="auto"/>
        </w:rPr>
        <w:t>continuously a Service Provider, a Change in Control occurs, then the PSUs will vest (except to the extent that a Replacement Award is provided to Grantee in accordance with Section II.A.6(f)(ii) to continue, replace or assume the PSUs covered by this Agreement (the “Replaced Award”)) as follows: the number of PSUs under this Award that shall become vested and non-forfeitable (the “Change in Control Payout Level”) shall equal the greater of</w:t>
      </w:r>
    </w:p>
    <w:p>
      <w:pPr>
        <w:spacing w:after="0" w:line="1" w:lineRule="exact"/>
        <w:rPr>
          <w:sz w:val="20"/>
          <w:szCs w:val="20"/>
          <w:color w:val="auto"/>
        </w:rPr>
      </w:pPr>
    </w:p>
    <w:p>
      <w:pPr>
        <w:jc w:val="both"/>
        <w:ind w:left="1140" w:firstLine="4"/>
        <w:spacing w:after="0" w:line="246" w:lineRule="auto"/>
        <w:tabs>
          <w:tab w:leader="none" w:pos="151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Target number set forth in “Number of PSUs in Award” in Section I, and (B) the number of PSUs that would have been actually earned due to the achievement of the performance measures specified in Appendix A if the date of the Change in Control had been the last day of the Performance Period (as determined by the Committee as constituted immediately prior to the Change in Control), less the number of PSUs that had already become vested as of the date of such Change in Control, but in no event may negative discretion be exercised with respect to the number of PSUs vested. Any PSUs that are not earned and do not vest in accordance with the foregoing sentence shall terminate and be forfeited.</w:t>
      </w:r>
    </w:p>
    <w:p>
      <w:pPr>
        <w:spacing w:after="0" w:line="185" w:lineRule="exact"/>
        <w:rPr>
          <w:rFonts w:ascii="Times New Roman" w:cs="Times New Roman" w:eastAsia="Times New Roman" w:hAnsi="Times New Roman"/>
          <w:sz w:val="22"/>
          <w:szCs w:val="22"/>
          <w:color w:val="auto"/>
        </w:rPr>
      </w:pPr>
    </w:p>
    <w:p>
      <w:pPr>
        <w:jc w:val="both"/>
        <w:ind w:left="1140" w:firstLine="652"/>
        <w:spacing w:after="0" w:line="263" w:lineRule="auto"/>
        <w:tabs>
          <w:tab w:leader="none" w:pos="2268"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a “Replacement Award” means an award: (A) consisting of an award of time-based restricted stock units that is not subject to performance conditions; (B) that has a value at least equal to the value of the Replaced Award, which shall be the value of the PSUs at the Change in Control Payout Level;</w:t>
      </w:r>
    </w:p>
    <w:p>
      <w:pPr>
        <w:spacing w:after="0" w:line="1" w:lineRule="exact"/>
        <w:rPr>
          <w:rFonts w:ascii="Times New Roman" w:cs="Times New Roman" w:eastAsia="Times New Roman" w:hAnsi="Times New Roman"/>
          <w:sz w:val="21"/>
          <w:szCs w:val="21"/>
          <w:color w:val="auto"/>
        </w:rPr>
      </w:pPr>
    </w:p>
    <w:p>
      <w:pPr>
        <w:jc w:val="both"/>
        <w:ind w:left="1140" w:firstLine="4"/>
        <w:spacing w:after="0" w:line="246" w:lineRule="auto"/>
        <w:tabs>
          <w:tab w:leader="none" w:pos="150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relates to publicly traded equity securities of the Company or its successor in the Change in Control or another entity that is affiliated with the Company or its successor following the Change in Control; (D) if Grantee holding the Replaced Award is subject to U.S. federal income tax under the Code, the tax consequences of which to such Grantee under the Code are not less favorable to such Grantee than the tax consequences of the Replaced Award; and (E) the other terms and conditions of which are not less favorable to Grantee holding the Replaced Award than the terms and conditions of the Replaced Award, specifically taking into account the Change in Control Payout Level for any subsequent vesting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Section II.A.6(f)(ii) are satisfied will be made by the Committee, as constituted immediately before the Change in Control, in its sole discretion.</w:t>
      </w:r>
    </w:p>
    <w:p>
      <w:pPr>
        <w:spacing w:after="0" w:line="194" w:lineRule="exact"/>
        <w:rPr>
          <w:rFonts w:ascii="Times New Roman" w:cs="Times New Roman" w:eastAsia="Times New Roman" w:hAnsi="Times New Roman"/>
          <w:sz w:val="22"/>
          <w:szCs w:val="22"/>
          <w:color w:val="auto"/>
        </w:rPr>
      </w:pPr>
    </w:p>
    <w:p>
      <w:pPr>
        <w:jc w:val="both"/>
        <w:ind w:left="1140" w:firstLine="652"/>
        <w:spacing w:after="0" w:line="256" w:lineRule="auto"/>
        <w:tabs>
          <w:tab w:leader="none" w:pos="2344"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receiving a Replacement Award, (A) Grantee experiences a Qualifying Termination with the Company or a Subsidiary (or any of their successors) (as applicable, the “Successor”) or (B) Grantee ceases to be a Service Provider as a result of Grantee’s Retirement or Disability, in each case within a period of two years after the Change in Control and prior to the Settlement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80"/>
          </w:cols>
          <w:pgMar w:left="480" w:top="1422" w:right="339" w:bottom="1440" w:gutter="0" w:footer="0" w:header="0"/>
        </w:sectPr>
      </w:pPr>
    </w:p>
    <w:bookmarkStart w:id="44" w:name="page45"/>
    <w:bookmarkEnd w:id="44"/>
    <w:p>
      <w:pPr>
        <w:jc w:val="both"/>
        <w:ind w:left="1300"/>
        <w:spacing w:after="0" w:line="256" w:lineRule="auto"/>
        <w:rPr>
          <w:sz w:val="20"/>
          <w:szCs w:val="20"/>
          <w:color w:val="auto"/>
        </w:rPr>
      </w:pPr>
      <w:r>
        <w:rPr>
          <w:rFonts w:ascii="Times New Roman" w:cs="Times New Roman" w:eastAsia="Times New Roman" w:hAnsi="Times New Roman"/>
          <w:sz w:val="22"/>
          <w:szCs w:val="22"/>
          <w:color w:val="auto"/>
        </w:rPr>
        <w:t>the Replacement Award shall become vested and non-forfeitable in full, specifically taking into account the Change in Control Payout Level for the Replaced Award, less the portion of the award that had already become vested as of the date of such termination or cessation of service. Any portion of the Replacement Award that does not vest in accordance with the foregoing sentence shall terminate and be forfeited.</w:t>
      </w:r>
    </w:p>
    <w:p>
      <w:pPr>
        <w:spacing w:after="0" w:line="176" w:lineRule="exact"/>
        <w:rPr>
          <w:sz w:val="20"/>
          <w:szCs w:val="20"/>
          <w:color w:val="auto"/>
        </w:rPr>
      </w:pPr>
    </w:p>
    <w:p>
      <w:pPr>
        <w:jc w:val="both"/>
        <w:ind w:left="1300" w:firstLine="652"/>
        <w:spacing w:after="0" w:line="252" w:lineRule="auto"/>
        <w:tabs>
          <w:tab w:leader="none" w:pos="247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Replacement Award is provided, notwithstanding anything in this Agreement to the contrary, any outstanding PSUs subject to this Award that at the time of the Change in Control are not subject to a “substantial risk of forfeiture” (within the meaning of Section 409A of the Code) will be deemed to be vested and nonforfeitable at the time of such Change in Control.</w:t>
      </w:r>
    </w:p>
    <w:p>
      <w:pPr>
        <w:spacing w:after="0" w:line="19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Any PSUs that are not earned and do not vest in accordance with this Section II.A.6. shall terminate and be forfeited as of the date Grantee ceases to be a Service Provider. However, in particular, this Award is subject to Section 18(c) of the Plan.</w:t>
      </w:r>
    </w:p>
    <w:p>
      <w:pPr>
        <w:spacing w:after="0" w:line="154" w:lineRule="exact"/>
        <w:rPr>
          <w:sz w:val="20"/>
          <w:szCs w:val="20"/>
          <w:color w:val="auto"/>
        </w:rPr>
      </w:pPr>
    </w:p>
    <w:p>
      <w:pPr>
        <w:ind w:left="820" w:hanging="380"/>
        <w:spacing w:after="0"/>
        <w:tabs>
          <w:tab w:leader="none" w:pos="82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Determination of PSUs Earned and Vested; Settlement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left="660" w:firstLine="644"/>
        <w:spacing w:after="0" w:line="252" w:lineRule="auto"/>
        <w:tabs>
          <w:tab w:leader="none" w:pos="1953"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Subject to Section II.A.7(b), upon the Committee’s certification of achievement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Goals, and Grantee’s satisfaction of the vesting requirements in Section II.A.1 and Section II.A.6 above, as applicable, this Award shall be settled by issuing to Grantee the number of shares of Common Stock determined pursuant to Appendix A (subject to pro-ration as described in Section II.A.6, if applicable), and Grantee’s name shall be entered as the shareholder of record on the books of the Company with respect to such shares. This settlement shall occur on March 14, 2027 (the “Settlement Date”).</w:t>
      </w:r>
    </w:p>
    <w:p>
      <w:pPr>
        <w:spacing w:after="0" w:line="174" w:lineRule="exact"/>
        <w:rPr>
          <w:rFonts w:ascii="Times New Roman" w:cs="Times New Roman" w:eastAsia="Times New Roman" w:hAnsi="Times New Roman"/>
          <w:sz w:val="22"/>
          <w:szCs w:val="22"/>
          <w:color w:val="auto"/>
        </w:rPr>
      </w:pPr>
    </w:p>
    <w:p>
      <w:pPr>
        <w:ind w:left="660" w:firstLine="644"/>
        <w:spacing w:after="0" w:line="275" w:lineRule="auto"/>
        <w:tabs>
          <w:tab w:leader="none" w:pos="1951"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Other Payment Events. </w:t>
      </w:r>
      <w:r>
        <w:rPr>
          <w:rFonts w:ascii="Times New Roman" w:cs="Times New Roman" w:eastAsia="Times New Roman" w:hAnsi="Times New Roman"/>
          <w:sz w:val="22"/>
          <w:szCs w:val="22"/>
          <w:color w:val="auto"/>
        </w:rPr>
        <w:t>Notwithstanding Section II.A.7(a), to the extent that the PSUs are vested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dates set forth below, payment with respect to the PSUs will be made as follows:</w:t>
      </w:r>
    </w:p>
    <w:p>
      <w:pPr>
        <w:spacing w:after="0" w:line="166" w:lineRule="exact"/>
        <w:rPr>
          <w:rFonts w:ascii="Times New Roman" w:cs="Times New Roman" w:eastAsia="Times New Roman" w:hAnsi="Times New Roman"/>
          <w:sz w:val="22"/>
          <w:szCs w:val="22"/>
          <w:color w:val="auto"/>
        </w:rPr>
      </w:pPr>
    </w:p>
    <w:p>
      <w:pPr>
        <w:jc w:val="both"/>
        <w:ind w:left="1280" w:firstLine="642"/>
        <w:spacing w:after="0" w:line="252" w:lineRule="auto"/>
        <w:tabs>
          <w:tab w:leader="none" w:pos="2340"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PSUs are vested as a result of Section II.A.6 (and have not previously been settled) on the date of Grantee’s death, such vested PSUs will be settled by issuing to Grantee one share of Common Stock for each such vested PSU within 30 days of Grantee’s death, and Grantee’s name shall be entered as the shareholder of record on the books of the Company with respect to such shares; and</w:t>
      </w:r>
    </w:p>
    <w:p>
      <w:pPr>
        <w:spacing w:after="0" w:line="206" w:lineRule="exact"/>
        <w:rPr>
          <w:rFonts w:ascii="Times New Roman" w:cs="Times New Roman" w:eastAsia="Times New Roman" w:hAnsi="Times New Roman"/>
          <w:sz w:val="22"/>
          <w:szCs w:val="22"/>
          <w:color w:val="auto"/>
        </w:rPr>
      </w:pPr>
    </w:p>
    <w:p>
      <w:pPr>
        <w:jc w:val="both"/>
        <w:ind w:left="1280" w:firstLine="642"/>
        <w:spacing w:after="0" w:line="253" w:lineRule="auto"/>
        <w:tabs>
          <w:tab w:leader="none" w:pos="2437"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PSUs are vested as a result of Section II.A.6 (and have not previously been settled) on the date of a Change in Control, such vested PSUs will be settled by issuing to Grantee one share of Common Stock for each such vested PSU within 30 days of the Change in Control, and Grantee’s name shall be entered as the shareholder of record on the books of the Company with respect to such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Change in Control would not qualify as a permissible date of distribution under Section 409A(a)(2)(A)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45" w:name="page46"/>
    <w:bookmarkEnd w:id="45"/>
    <w:p>
      <w:pPr>
        <w:jc w:val="both"/>
        <w:ind w:left="1120"/>
        <w:spacing w:after="0" w:line="257" w:lineRule="auto"/>
        <w:rPr>
          <w:sz w:val="20"/>
          <w:szCs w:val="20"/>
          <w:color w:val="auto"/>
        </w:rPr>
      </w:pPr>
      <w:r>
        <w:rPr>
          <w:rFonts w:ascii="Times New Roman" w:cs="Times New Roman" w:eastAsia="Times New Roman" w:hAnsi="Times New Roman"/>
          <w:sz w:val="22"/>
          <w:szCs w:val="22"/>
          <w:color w:val="auto"/>
        </w:rPr>
        <w:t>the Code, and the regulations thereunder, and where Section 409A of the Code applies to such distribution, Grantee is entitled to receive the corresponding payment on the date that would have otherwise applied pursuant to this Agreement had such Change in Control not occurred; and</w:t>
      </w:r>
    </w:p>
    <w:p>
      <w:pPr>
        <w:spacing w:after="0" w:line="186" w:lineRule="exact"/>
        <w:rPr>
          <w:sz w:val="20"/>
          <w:szCs w:val="20"/>
          <w:color w:val="auto"/>
        </w:rPr>
      </w:pPr>
    </w:p>
    <w:p>
      <w:pPr>
        <w:jc w:val="both"/>
        <w:ind w:left="1120" w:firstLine="642"/>
        <w:spacing w:after="0" w:line="266" w:lineRule="auto"/>
        <w:tabs>
          <w:tab w:leader="none" w:pos="2385" w:val="left"/>
        </w:tabs>
        <w:numPr>
          <w:ilvl w:val="4"/>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PSUs are vested (and have not previously been settled) on the date of Grantee’s “separation from service” with the Company and its Subsidiaries (determined in accordance with Section 409A(a)</w:t>
      </w:r>
    </w:p>
    <w:p>
      <w:pPr>
        <w:spacing w:after="0" w:line="1" w:lineRule="exact"/>
        <w:rPr>
          <w:rFonts w:ascii="Times New Roman" w:cs="Times New Roman" w:eastAsia="Times New Roman" w:hAnsi="Times New Roman"/>
          <w:sz w:val="21"/>
          <w:szCs w:val="21"/>
          <w:color w:val="auto"/>
        </w:rPr>
      </w:pPr>
    </w:p>
    <w:p>
      <w:pPr>
        <w:jc w:val="both"/>
        <w:ind w:left="1120"/>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(2)(A)(i) of the Code) within two years following the occurrence of a Change in Control that constitutes a “change in control” for purposes of Section 409A(a)(2)(A)(v) of the Code, such vested PSUs will be settled by issuing to Grantee one share of Common Stock for each such vested PSU within 30 days of the date of such separation from service.</w:t>
      </w:r>
    </w:p>
    <w:p>
      <w:pPr>
        <w:spacing w:after="0" w:line="181" w:lineRule="exact"/>
        <w:rPr>
          <w:rFonts w:ascii="Times New Roman" w:cs="Times New Roman" w:eastAsia="Times New Roman" w:hAnsi="Times New Roman"/>
          <w:sz w:val="21"/>
          <w:szCs w:val="21"/>
          <w:color w:val="auto"/>
        </w:rPr>
      </w:pPr>
    </w:p>
    <w:p>
      <w:pPr>
        <w:jc w:val="both"/>
        <w:ind w:left="500" w:firstLine="644"/>
        <w:spacing w:after="0" w:line="257" w:lineRule="auto"/>
        <w:tabs>
          <w:tab w:leader="none" w:pos="1793" w:val="left"/>
        </w:tabs>
        <w:numPr>
          <w:ilvl w:val="3"/>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unearned PSUs at the end of the Performance Period, or if earlier, the time of settlement, will be canceled and forfeited. In all circumstances, the number of PSUs earned or vested will be rounded down to the nearest whole PSU, unless otherwise determined by the Committee.</w:t>
      </w:r>
    </w:p>
    <w:p>
      <w:pPr>
        <w:spacing w:after="0" w:line="168" w:lineRule="exact"/>
        <w:rPr>
          <w:rFonts w:ascii="Times New Roman" w:cs="Times New Roman" w:eastAsia="Times New Roman" w:hAnsi="Times New Roman"/>
          <w:sz w:val="22"/>
          <w:szCs w:val="22"/>
          <w:color w:val="auto"/>
        </w:rPr>
      </w:pPr>
    </w:p>
    <w:p>
      <w:pPr>
        <w:ind w:left="480" w:hanging="416"/>
        <w:spacing w:after="0"/>
        <w:tabs>
          <w:tab w:leader="none" w:pos="48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Terms and Conditions</w:t>
      </w:r>
      <w:r>
        <w:rPr>
          <w:rFonts w:ascii="Times New Roman" w:cs="Times New Roman" w:eastAsia="Times New Roman" w:hAnsi="Times New Roman"/>
          <w:sz w:val="22"/>
          <w:szCs w:val="22"/>
          <w:b w:val="1"/>
          <w:bCs w:val="1"/>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left="-160" w:firstLine="494"/>
        <w:spacing w:after="0" w:line="258" w:lineRule="auto"/>
        <w:tabs>
          <w:tab w:leader="none" w:pos="731" w:val="left"/>
        </w:tabs>
        <w:numPr>
          <w:ilvl w:val="1"/>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Non-Transferability of Award</w:t>
      </w:r>
      <w:r>
        <w:rPr>
          <w:rFonts w:ascii="Times New Roman" w:cs="Times New Roman" w:eastAsia="Times New Roman" w:hAnsi="Times New Roman"/>
          <w:sz w:val="22"/>
          <w:szCs w:val="22"/>
          <w:color w:val="auto"/>
        </w:rPr>
        <w:t>. Except as described below, and subject to the Plan and Section 409A, this Award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PSUs subject to this 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67" w:lineRule="exact"/>
        <w:rPr>
          <w:rFonts w:ascii="Times New Roman" w:cs="Times New Roman" w:eastAsia="Times New Roman" w:hAnsi="Times New Roman"/>
          <w:sz w:val="22"/>
          <w:szCs w:val="22"/>
          <w:b w:val="1"/>
          <w:bCs w:val="1"/>
          <w:color w:val="auto"/>
        </w:rPr>
      </w:pPr>
    </w:p>
    <w:p>
      <w:pPr>
        <w:jc w:val="both"/>
        <w:ind w:left="-160" w:firstLine="593"/>
        <w:spacing w:after="0" w:line="248" w:lineRule="auto"/>
        <w:tabs>
          <w:tab w:leader="none" w:pos="879" w:val="left"/>
        </w:tabs>
        <w:numPr>
          <w:ilvl w:val="2"/>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that the Company is required to withhold federal, state, local or foreign taxes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in connection with any payment made or benefit realized by Grantee under this Agreement, and the amounts available to the Company for such withholding are insufficient, it shall be a condition to the receipt of such payment or the realization of such benefit that Grantee make arrangements satisfactory to the Company for payment of the balance of such taxes or other amounts required to be withheld. If Grantee’s benefit is to be received in the form of shares of Common Stock, then (a) if Grantee is subject to Section 16 of the Exchange Act, Grantee agrees that the Company will withhold shares of Common Stock having a value equal to the amount required to be withheld, and (b) if Grantee is not subject to Section 16 of the Exchange Act, Grantee may elect that all or any part of such withholding requirement be satisfied by the retention by the Company of a portion of the Common Stock to be delivered to Grantee, by delivering to the Company other Common Stock held by Grantee, or by tendering sufficient funds in cash or cash equivalent to the Company. The shares of Common Stock used for tax or other withholding will be valued at an amount equal to the fair market value of such shares of Common Stock on the date the benefit is to be included in Grantee’s income. In no event will the fair market value of the shares of Common Stock to be withheld and/or delivered pursuant to this Section II.B.2 to satisfy applicable withholding taxes or other amounts in connection with the benefit exceed (x) the maximum amount that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80"/>
          </w:cols>
          <w:pgMar w:left="480" w:top="1422" w:right="339" w:bottom="1440" w:gutter="0" w:footer="0" w:header="0"/>
        </w:sectPr>
      </w:pPr>
    </w:p>
    <w:bookmarkStart w:id="46" w:name="page47"/>
    <w:bookmarkEnd w:id="46"/>
    <w:p>
      <w:pPr>
        <w:spacing w:after="0" w:line="271" w:lineRule="auto"/>
        <w:rPr>
          <w:sz w:val="20"/>
          <w:szCs w:val="20"/>
          <w:color w:val="auto"/>
        </w:rPr>
      </w:pPr>
      <w:r>
        <w:rPr>
          <w:rFonts w:ascii="Times New Roman" w:cs="Times New Roman" w:eastAsia="Times New Roman" w:hAnsi="Times New Roman"/>
          <w:sz w:val="22"/>
          <w:szCs w:val="22"/>
          <w:color w:val="auto"/>
        </w:rPr>
        <w:t>required to be withheld or (y) if so determined by the Committee after the date hereof, the minimum amount required to be withheld.</w:t>
      </w:r>
    </w:p>
    <w:p>
      <w:pPr>
        <w:spacing w:after="0" w:line="154" w:lineRule="exact"/>
        <w:rPr>
          <w:sz w:val="20"/>
          <w:szCs w:val="20"/>
          <w:color w:val="auto"/>
        </w:rPr>
      </w:pPr>
    </w:p>
    <w:p>
      <w:pPr>
        <w:ind w:left="820" w:hanging="380"/>
        <w:spacing w:after="0"/>
        <w:tabs>
          <w:tab w:leader="none" w:pos="82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b w:val="1"/>
          <w:bCs w:val="1"/>
          <w:color w:val="auto"/>
        </w:rPr>
      </w:pPr>
    </w:p>
    <w:p>
      <w:pPr>
        <w:jc w:val="both"/>
        <w:ind w:left="640" w:firstLine="644"/>
        <w:spacing w:after="0" w:line="248" w:lineRule="auto"/>
        <w:tabs>
          <w:tab w:leader="none" w:pos="1936"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PSUs or Common Stock to Grantee without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 Notwithstanding anything herein to the contrary, if Grantee is subject to the restrictive covenants set forth in Section 7 (or any successor provision) of the TriMas Corporation Executive Severance/Change of Control Policy (or any successor policy), then (1) such restrictive covenants, rather than the restrictive covenants in this Section II.B.3, shall apply to Grantee, and (2) Grantee’s violation of such restrictive covenants shall be treated as a violation of the restrictive covenants in this Section II.B.3 for purposes of this Agreement.</w:t>
      </w:r>
    </w:p>
    <w:p>
      <w:pPr>
        <w:spacing w:after="0" w:line="185" w:lineRule="exact"/>
        <w:rPr>
          <w:rFonts w:ascii="Times New Roman" w:cs="Times New Roman" w:eastAsia="Times New Roman" w:hAnsi="Times New Roman"/>
          <w:sz w:val="22"/>
          <w:szCs w:val="22"/>
          <w:color w:val="auto"/>
        </w:rPr>
      </w:pPr>
    </w:p>
    <w:p>
      <w:pPr>
        <w:jc w:val="both"/>
        <w:ind w:left="640" w:firstLine="644"/>
        <w:spacing w:after="0" w:line="247" w:lineRule="auto"/>
        <w:tabs>
          <w:tab w:leader="none" w:pos="1935"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w:t>
      </w:r>
      <w:r>
        <w:rPr>
          <w:rFonts w:ascii="Times New Roman" w:cs="Times New Roman" w:eastAsia="Times New Roman" w:hAnsi="Times New Roman"/>
          <w:sz w:val="22"/>
          <w:szCs w:val="22"/>
          <w:color w:val="auto"/>
        </w:rPr>
        <w:t>. Recognizing Grantee’s fiduciary duties to the Company, as a condition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II.B.3 shall not result in the forfeiture of PSUs or any clawback or recoupment of the Award for the disclosure of a trade secret if that disclosure (1) is made in confidence to a federal, state or local government official or to an attorney for the sole purpose of reporting or investigating a suspected violation of law or (2) is made in a complaint or other document filed in a lawsuit or other proceeding, if such filing is made under seal. Pursuant to 18 U.S.C. § 1833(b), and as set forth fully therein, notice is hereby given that Grantee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nothing in this Agreement prohibits or is intended to restrict or impede Grantee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47" w:name="page48"/>
    <w:bookmarkEnd w:id="47"/>
    <w:p>
      <w:pPr>
        <w:jc w:val="both"/>
        <w:ind w:left="480"/>
        <w:spacing w:after="0" w:line="251" w:lineRule="auto"/>
        <w:rPr>
          <w:sz w:val="20"/>
          <w:szCs w:val="20"/>
          <w:color w:val="auto"/>
        </w:rPr>
      </w:pPr>
      <w:r>
        <w:rPr>
          <w:rFonts w:ascii="Times New Roman" w:cs="Times New Roman" w:eastAsia="Times New Roman" w:hAnsi="Times New Roman"/>
          <w:sz w:val="22"/>
          <w:szCs w:val="22"/>
          <w:color w:val="auto"/>
        </w:rPr>
        <w:t>discussing the terms and conditions of their employment with coworkers or union representatives or exercising protected rights under Section 7 of the National Labor Relations Act, or prevents Grantee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177" w:lineRule="exact"/>
        <w:rPr>
          <w:sz w:val="20"/>
          <w:szCs w:val="20"/>
          <w:color w:val="auto"/>
        </w:rPr>
      </w:pPr>
    </w:p>
    <w:p>
      <w:pPr>
        <w:ind w:left="1160" w:hanging="448"/>
        <w:spacing w:after="0"/>
        <w:tabs>
          <w:tab w:leader="none" w:pos="11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Covenants Against Competition and Solicitation</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1140" w:hanging="208"/>
        <w:spacing w:after="0" w:line="249" w:lineRule="auto"/>
        <w:tabs>
          <w:tab w:leader="none" w:pos="1349"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while Grantee is employed by the Company, and for 12 months thereafter, Grantee shall not engage, either directly or indirectly, as a principal for Grantee’s own account or jointly with others, or as a stockholder in any corporation or joint stock association, or as a partner or member of a general or limited liability entity, or as an employee, officer, director, agent, consultant or in any other advisory capacity in any Competitive Business that designs, develops, manufactures, distributes, sells or markets the type of products or services sold, distributed or provided by the Company, during the one-year period prior to the date of employment termination and with which Grantee was involved and/or oversaw (the “Business”); provided that nothing herein shall prevent Grantee from owning, directly or indirectly, not more than five percent of the outstanding shares of, or any other equity interest in, any entity engaged in the Business and listed or traded on a national securities exchange or in an over-the-counter securities market.</w:t>
      </w:r>
    </w:p>
    <w:p>
      <w:pPr>
        <w:spacing w:after="0" w:line="183" w:lineRule="exact"/>
        <w:rPr>
          <w:rFonts w:ascii="Times New Roman" w:cs="Times New Roman" w:eastAsia="Times New Roman" w:hAnsi="Times New Roman"/>
          <w:sz w:val="22"/>
          <w:szCs w:val="22"/>
          <w:color w:val="auto"/>
        </w:rPr>
      </w:pPr>
    </w:p>
    <w:p>
      <w:pPr>
        <w:jc w:val="both"/>
        <w:ind w:left="1140" w:firstLine="337"/>
        <w:spacing w:after="0" w:line="250" w:lineRule="auto"/>
        <w:tabs>
          <w:tab w:leader="none" w:pos="2071" w:val="left"/>
        </w:tabs>
        <w:numPr>
          <w:ilvl w:val="3"/>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solicit business (relating to the Business) from, attempt to entice away from the Company, or interfere with the Company’s relationship with any entity that is a client or customer of the Company at the time of such solicitation, enticement, or interference, or that was identified or solicited as a client or customer of the Company during the time that Grantee performed services for the Company, unless such entity shall have ceased to have been such a customer for a period of at least six months as of the time of such solicitation.</w:t>
      </w:r>
    </w:p>
    <w:p>
      <w:pPr>
        <w:spacing w:after="0" w:line="193" w:lineRule="exact"/>
        <w:rPr>
          <w:rFonts w:ascii="Times New Roman" w:cs="Times New Roman" w:eastAsia="Times New Roman" w:hAnsi="Times New Roman"/>
          <w:sz w:val="22"/>
          <w:szCs w:val="22"/>
          <w:color w:val="auto"/>
        </w:rPr>
      </w:pPr>
    </w:p>
    <w:p>
      <w:pPr>
        <w:jc w:val="both"/>
        <w:ind w:left="1140" w:hanging="112"/>
        <w:spacing w:after="0" w:line="248" w:lineRule="auto"/>
        <w:tabs>
          <w:tab w:leader="none" w:pos="1614"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080"/>
          </w:cols>
          <w:pgMar w:left="480" w:top="1422" w:right="339" w:bottom="1440" w:gutter="0" w:footer="0" w:header="0"/>
        </w:sectPr>
      </w:pPr>
    </w:p>
    <w:bookmarkStart w:id="48" w:name="page49"/>
    <w:bookmarkEnd w:id="48"/>
    <w:p>
      <w:pPr>
        <w:ind w:left="1140" w:right="20"/>
        <w:spacing w:after="0" w:line="271" w:lineRule="auto"/>
        <w:rPr>
          <w:sz w:val="20"/>
          <w:szCs w:val="20"/>
          <w:color w:val="auto"/>
        </w:rPr>
      </w:pPr>
      <w:r>
        <w:rPr>
          <w:rFonts w:ascii="Times New Roman" w:cs="Times New Roman" w:eastAsia="Times New Roman" w:hAnsi="Times New Roman"/>
          <w:sz w:val="22"/>
          <w:szCs w:val="22"/>
          <w:color w:val="auto"/>
        </w:rPr>
        <w:t>efforts such as advertisements and job listings, or directly or indirectly induce any employee of the Company to leave the Company, or assist in any of the foregoing.</w:t>
      </w:r>
    </w:p>
    <w:p>
      <w:pPr>
        <w:spacing w:after="0" w:line="154" w:lineRule="exact"/>
        <w:rPr>
          <w:sz w:val="20"/>
          <w:szCs w:val="20"/>
          <w:color w:val="auto"/>
        </w:rPr>
      </w:pPr>
    </w:p>
    <w:p>
      <w:pPr>
        <w:jc w:val="both"/>
        <w:ind w:left="1120" w:firstLine="4"/>
        <w:spacing w:after="0" w:line="258" w:lineRule="auto"/>
        <w:tabs>
          <w:tab w:leader="none" w:pos="166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Determination by the Board</w:t>
      </w:r>
      <w:r>
        <w:rPr>
          <w:rFonts w:ascii="Times New Roman" w:cs="Times New Roman" w:eastAsia="Times New Roman" w:hAnsi="Times New Roman"/>
          <w:sz w:val="22"/>
          <w:szCs w:val="22"/>
          <w:color w:val="auto"/>
        </w:rPr>
        <w:t>. Upon entering into this Agreement, Grantee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167" w:lineRule="exact"/>
        <w:rPr>
          <w:rFonts w:ascii="Times New Roman" w:cs="Times New Roman" w:eastAsia="Times New Roman" w:hAnsi="Times New Roman"/>
          <w:sz w:val="22"/>
          <w:szCs w:val="22"/>
          <w:color w:val="auto"/>
        </w:rPr>
      </w:pPr>
    </w:p>
    <w:p>
      <w:pPr>
        <w:ind w:left="1580" w:hanging="456"/>
        <w:spacing w:after="0"/>
        <w:tabs>
          <w:tab w:leader="none" w:pos="15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The following definitions shall apply solely with respect to this Section II.B.3:</w:t>
      </w:r>
    </w:p>
    <w:p>
      <w:pPr>
        <w:spacing w:after="0" w:line="219" w:lineRule="exact"/>
        <w:rPr>
          <w:rFonts w:ascii="Times New Roman" w:cs="Times New Roman" w:eastAsia="Times New Roman" w:hAnsi="Times New Roman"/>
          <w:sz w:val="22"/>
          <w:szCs w:val="22"/>
          <w:color w:val="auto"/>
        </w:rPr>
      </w:pPr>
    </w:p>
    <w:p>
      <w:pPr>
        <w:jc w:val="both"/>
        <w:ind w:left="1140" w:firstLine="622"/>
        <w:spacing w:after="0" w:line="250" w:lineRule="auto"/>
        <w:tabs>
          <w:tab w:leader="none" w:pos="2246"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93" w:lineRule="exact"/>
        <w:rPr>
          <w:rFonts w:ascii="Times New Roman" w:cs="Times New Roman" w:eastAsia="Times New Roman" w:hAnsi="Times New Roman"/>
          <w:sz w:val="22"/>
          <w:szCs w:val="22"/>
          <w:color w:val="auto"/>
        </w:rPr>
      </w:pPr>
    </w:p>
    <w:p>
      <w:pPr>
        <w:jc w:val="both"/>
        <w:ind w:left="1140" w:firstLine="622"/>
        <w:spacing w:after="0" w:line="253" w:lineRule="auto"/>
        <w:tabs>
          <w:tab w:leader="none" w:pos="2346"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means a person or entity that engages in any business engaged in by the Company, and that does so in a geographic area in which the Company engage(s) in that business, as evidenced on the Company’s website, in the marketing materials of the Company or by the books and records of the Company, and “engages” includes actively planning to engage in the business.</w:t>
      </w:r>
    </w:p>
    <w:p>
      <w:pPr>
        <w:spacing w:after="0" w:line="175" w:lineRule="exact"/>
        <w:rPr>
          <w:rFonts w:ascii="Times New Roman" w:cs="Times New Roman" w:eastAsia="Times New Roman" w:hAnsi="Times New Roman"/>
          <w:sz w:val="22"/>
          <w:szCs w:val="22"/>
          <w:color w:val="auto"/>
        </w:rPr>
      </w:pPr>
    </w:p>
    <w:p>
      <w:pPr>
        <w:jc w:val="both"/>
        <w:ind w:left="1140" w:firstLine="622"/>
        <w:spacing w:after="0" w:line="248" w:lineRule="auto"/>
        <w:tabs>
          <w:tab w:leader="none" w:pos="2487"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080"/>
          </w:cols>
          <w:pgMar w:left="480" w:top="1422" w:right="339" w:bottom="1440" w:gutter="0" w:footer="0" w:header="0"/>
        </w:sectPr>
      </w:pPr>
    </w:p>
    <w:bookmarkStart w:id="49" w:name="page50"/>
    <w:bookmarkEnd w:id="49"/>
    <w:p>
      <w:pPr>
        <w:ind w:left="1140"/>
        <w:spacing w:after="0"/>
        <w:rPr>
          <w:sz w:val="20"/>
          <w:szCs w:val="20"/>
          <w:color w:val="auto"/>
        </w:rPr>
      </w:pPr>
      <w:r>
        <w:rPr>
          <w:rFonts w:ascii="Times New Roman" w:cs="Times New Roman" w:eastAsia="Times New Roman" w:hAnsi="Times New Roman"/>
          <w:sz w:val="22"/>
          <w:szCs w:val="22"/>
          <w:color w:val="auto"/>
        </w:rPr>
        <w:t>Grantee can establish was already in the public domain at the time of disclosure through no fault of Grantee.</w:t>
      </w:r>
    </w:p>
    <w:p>
      <w:pPr>
        <w:spacing w:after="0" w:line="216" w:lineRule="exact"/>
        <w:rPr>
          <w:sz w:val="20"/>
          <w:szCs w:val="20"/>
          <w:color w:val="auto"/>
        </w:rPr>
      </w:pPr>
    </w:p>
    <w:p>
      <w:pPr>
        <w:jc w:val="both"/>
        <w:ind w:left="480" w:firstLine="644"/>
        <w:spacing w:after="0" w:line="258" w:lineRule="auto"/>
        <w:tabs>
          <w:tab w:leader="none" w:pos="1563"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Tolling. </w:t>
      </w:r>
      <w:r>
        <w:rPr>
          <w:rFonts w:ascii="Times New Roman" w:cs="Times New Roman" w:eastAsia="Times New Roman" w:hAnsi="Times New Roman"/>
          <w:sz w:val="22"/>
          <w:szCs w:val="22"/>
          <w:color w:val="auto"/>
        </w:rPr>
        <w:t>The restricted time periods in Section II.B.3 shall be tolled during any time period that Grantee is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violation of such covenants, as determined by a court of competent jurisdiction, so that the Company may realize the full benefit of its bargain. This tolling shall include any time period during which litigation is pending, but during which Grantee has continued to violate such protective covenants.</w:t>
      </w:r>
    </w:p>
    <w:p>
      <w:pPr>
        <w:spacing w:after="0" w:line="167" w:lineRule="exact"/>
        <w:rPr>
          <w:rFonts w:ascii="Times New Roman" w:cs="Times New Roman" w:eastAsia="Times New Roman" w:hAnsi="Times New Roman"/>
          <w:sz w:val="22"/>
          <w:szCs w:val="22"/>
          <w:color w:val="auto"/>
        </w:rPr>
      </w:pPr>
    </w:p>
    <w:p>
      <w:pPr>
        <w:jc w:val="both"/>
        <w:ind w:left="480" w:firstLine="644"/>
        <w:spacing w:after="0" w:line="248" w:lineRule="auto"/>
        <w:tabs>
          <w:tab w:leader="none" w:pos="1600"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Relief, Remedies, and Enforcement. </w:t>
      </w:r>
      <w:r>
        <w:rPr>
          <w:rFonts w:ascii="Times New Roman" w:cs="Times New Roman" w:eastAsia="Times New Roman" w:hAnsi="Times New Roman"/>
          <w:sz w:val="22"/>
          <w:szCs w:val="22"/>
          <w:color w:val="auto"/>
        </w:rPr>
        <w:t>Grantee acknowledges that the covenants contained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reasonable and necessary to protect the legitimate interests of the Company and that any breach or threatened breach of any such covenants will cause irreparable injury to the Company for which money damages would not provide an adequate remedy. If Grantee breaches, or threatens to commit a breach of, any of the provisions of this Agreement, the Company shall have the right to seek appropriate equitable relief, including a permanent injunction or similar court order enjoining Grantee from violating any of such provisions, and that, pending the hearing and the decision on the application for permanent equitable relief, the Company shall be entitled to a temporary restraining order and a preliminary injunction, without the necessity of showing actual monetary damages or the posting of a bond or other security. No such remedy shall be construed to be the exclusive remedy of the Company and any and all such remedies shall be held and construed to be cumulative and not exclusive of any rights or remedies, whether at law or in equity, otherwise available under the terms of this Agreement, at common law or under federal, state or local statutes, rules and regulations. Grantee further agrees to pay any and all legal fees, including without limitation, all attorneys’ fees, court costs, and any other related fees and/or costs incurred by the Company in enforcing this Agreement.</w:t>
      </w:r>
    </w:p>
    <w:p>
      <w:pPr>
        <w:spacing w:after="0" w:line="179" w:lineRule="exact"/>
        <w:rPr>
          <w:rFonts w:ascii="Times New Roman" w:cs="Times New Roman" w:eastAsia="Times New Roman" w:hAnsi="Times New Roman"/>
          <w:sz w:val="22"/>
          <w:szCs w:val="22"/>
          <w:color w:val="auto"/>
        </w:rPr>
      </w:pPr>
    </w:p>
    <w:p>
      <w:pPr>
        <w:ind w:left="480" w:firstLine="644"/>
        <w:spacing w:after="0" w:line="287" w:lineRule="auto"/>
        <w:tabs>
          <w:tab w:leader="none" w:pos="1748"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37" w:lineRule="exact"/>
        <w:rPr>
          <w:rFonts w:ascii="Times New Roman" w:cs="Times New Roman" w:eastAsia="Times New Roman" w:hAnsi="Times New Roman"/>
          <w:sz w:val="22"/>
          <w:szCs w:val="22"/>
          <w:color w:val="auto"/>
        </w:rPr>
      </w:pPr>
    </w:p>
    <w:p>
      <w:pPr>
        <w:jc w:val="both"/>
        <w:ind w:left="-160" w:firstLine="485"/>
        <w:spacing w:after="0" w:line="252" w:lineRule="auto"/>
        <w:tabs>
          <w:tab w:leader="none" w:pos="717"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 of the Code</w:t>
      </w:r>
      <w:r>
        <w:rPr>
          <w:rFonts w:ascii="Times New Roman" w:cs="Times New Roman" w:eastAsia="Times New Roman" w:hAnsi="Times New Roman"/>
          <w:sz w:val="22"/>
          <w:szCs w:val="22"/>
          <w:color w:val="auto"/>
        </w:rPr>
        <w:t>. To the extent applicable, it is intended that this Agreement and the Plan comply with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w:t>
      </w:r>
    </w:p>
    <w:p>
      <w:pPr>
        <w:spacing w:after="0" w:line="174" w:lineRule="exact"/>
        <w:rPr>
          <w:rFonts w:ascii="Times New Roman" w:cs="Times New Roman" w:eastAsia="Times New Roman" w:hAnsi="Times New Roman"/>
          <w:sz w:val="22"/>
          <w:szCs w:val="22"/>
          <w:b w:val="1"/>
          <w:bCs w:val="1"/>
          <w:color w:val="auto"/>
        </w:rPr>
      </w:pPr>
    </w:p>
    <w:p>
      <w:pPr>
        <w:jc w:val="both"/>
        <w:ind w:left="-160" w:firstLine="521"/>
        <w:spacing w:after="0" w:line="254" w:lineRule="auto"/>
        <w:tabs>
          <w:tab w:leader="none" w:pos="771" w:val="left"/>
        </w:tabs>
        <w:numPr>
          <w:ilvl w:val="1"/>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Continued Right as Service Provider</w:t>
      </w:r>
      <w:r>
        <w:rPr>
          <w:rFonts w:ascii="Times New Roman" w:cs="Times New Roman" w:eastAsia="Times New Roman" w:hAnsi="Times New Roman"/>
          <w:sz w:val="22"/>
          <w:szCs w:val="22"/>
          <w:color w:val="auto"/>
        </w:rPr>
        <w:t>. Nothing in the Plan or in this Agreement confers on Grantee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as a Service Provider, or interferes with or restricts in any way the rights of the Company or any Subsidiary or affiliate of the Company, which are hereby expressly reserved, to discharge Grantee at any time for any reason whatsoever, with or without Cause, except to the extent expressly provided otherwise in a written employment agreement between Grantee and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080"/>
          </w:cols>
          <w:pgMar w:left="480" w:top="1422" w:right="339" w:bottom="1440" w:gutter="0" w:footer="0" w:header="0"/>
        </w:sectPr>
      </w:pPr>
    </w:p>
    <w:bookmarkStart w:id="50" w:name="page51"/>
    <w:bookmarkEnd w:id="50"/>
    <w:p>
      <w:pPr>
        <w:jc w:val="both"/>
        <w:ind w:left="-160" w:firstLine="449"/>
        <w:spacing w:after="0" w:line="258" w:lineRule="auto"/>
        <w:tabs>
          <w:tab w:leader="none" w:pos="663"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on Other Benefits</w:t>
      </w:r>
      <w:r>
        <w:rPr>
          <w:rFonts w:ascii="Times New Roman" w:cs="Times New Roman" w:eastAsia="Times New Roman" w:hAnsi="Times New Roman"/>
          <w:sz w:val="22"/>
          <w:szCs w:val="22"/>
          <w:color w:val="auto"/>
        </w:rPr>
        <w:t>. In no event will the value, at any time, of the PSUs or any other payment or right to payment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be included as compensation or earnings for purposes of any other compensation, retirement, or benefit plan offered to employees of, or other Service Providers to, the Company or any Subsidiary unless otherwise specifically provided for in such plan.</w:t>
      </w:r>
    </w:p>
    <w:p>
      <w:pPr>
        <w:spacing w:after="0" w:line="167" w:lineRule="exact"/>
        <w:rPr>
          <w:rFonts w:ascii="Times New Roman" w:cs="Times New Roman" w:eastAsia="Times New Roman" w:hAnsi="Times New Roman"/>
          <w:sz w:val="22"/>
          <w:szCs w:val="22"/>
          <w:b w:val="1"/>
          <w:bCs w:val="1"/>
          <w:color w:val="auto"/>
        </w:rPr>
      </w:pPr>
    </w:p>
    <w:p>
      <w:pPr>
        <w:jc w:val="both"/>
        <w:ind w:left="-160" w:firstLine="566"/>
        <w:spacing w:after="0" w:line="259" w:lineRule="auto"/>
        <w:tabs>
          <w:tab w:leader="none" w:pos="839" w:val="left"/>
        </w:tabs>
        <w:numPr>
          <w:ilvl w:val="2"/>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If Grantee is or was employed by a subsidiary of the Company, then such subsidiary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intended to be a third-party beneficiary of this Agreement and shall have the right to enforce this Agreement, including, but not limited to, the provisions of Section II.B.3.</w:t>
      </w:r>
    </w:p>
    <w:p>
      <w:pPr>
        <w:spacing w:after="0" w:line="166" w:lineRule="exact"/>
        <w:rPr>
          <w:rFonts w:ascii="Times New Roman" w:cs="Times New Roman" w:eastAsia="Times New Roman" w:hAnsi="Times New Roman"/>
          <w:sz w:val="22"/>
          <w:szCs w:val="22"/>
          <w:b w:val="1"/>
          <w:bCs w:val="1"/>
          <w:color w:val="auto"/>
        </w:rPr>
      </w:pPr>
    </w:p>
    <w:p>
      <w:pPr>
        <w:jc w:val="both"/>
        <w:ind w:left="-160" w:firstLine="530"/>
        <w:spacing w:after="0" w:line="265" w:lineRule="auto"/>
        <w:tabs>
          <w:tab w:leader="none" w:pos="785"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Unfunded and Unsecured General Creditor</w:t>
      </w:r>
      <w:r>
        <w:rPr>
          <w:rFonts w:ascii="Times New Roman" w:cs="Times New Roman" w:eastAsia="Times New Roman" w:hAnsi="Times New Roman"/>
          <w:sz w:val="22"/>
          <w:szCs w:val="22"/>
          <w:color w:val="auto"/>
        </w:rPr>
        <w:t>. Grantee, as a holder of PSUs and rights under this Agreement has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other than those of a general creditor of the Company. The PSUs represent an unfunded and unsecured obligation of the Company, subject to the terms and conditions of this Agreement and the Plan.</w:t>
      </w:r>
    </w:p>
    <w:p>
      <w:pPr>
        <w:spacing w:after="0" w:line="161" w:lineRule="exact"/>
        <w:rPr>
          <w:rFonts w:ascii="Times New Roman" w:cs="Times New Roman" w:eastAsia="Times New Roman" w:hAnsi="Times New Roman"/>
          <w:sz w:val="22"/>
          <w:szCs w:val="22"/>
          <w:b w:val="1"/>
          <w:bCs w:val="1"/>
          <w:color w:val="auto"/>
        </w:rPr>
      </w:pPr>
    </w:p>
    <w:p>
      <w:pPr>
        <w:jc w:val="both"/>
        <w:ind w:left="-160" w:firstLine="746"/>
        <w:spacing w:after="0" w:line="253" w:lineRule="auto"/>
        <w:tabs>
          <w:tab w:leader="none" w:pos="1109" w:val="left"/>
        </w:tabs>
        <w:numPr>
          <w:ilvl w:val="3"/>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Agreement or the application of any provision hereof to any person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89" w:lineRule="exact"/>
        <w:rPr>
          <w:sz w:val="20"/>
          <w:szCs w:val="20"/>
          <w:color w:val="auto"/>
        </w:rPr>
      </w:pPr>
    </w:p>
    <w:p>
      <w:pPr>
        <w:jc w:val="both"/>
        <w:ind w:left="-160" w:firstLine="656"/>
        <w:spacing w:after="0" w:line="251" w:lineRule="auto"/>
        <w:tabs>
          <w:tab w:leader="none" w:pos="1082" w:val="left"/>
        </w:tabs>
        <w:numPr>
          <w:ilvl w:val="1"/>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PSUs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89" w:lineRule="exact"/>
        <w:rPr>
          <w:rFonts w:ascii="Times New Roman" w:cs="Times New Roman" w:eastAsia="Times New Roman" w:hAnsi="Times New Roman"/>
          <w:sz w:val="22"/>
          <w:szCs w:val="22"/>
          <w:b w:val="1"/>
          <w:bCs w:val="1"/>
          <w:color w:val="auto"/>
        </w:rPr>
      </w:pPr>
    </w:p>
    <w:p>
      <w:pPr>
        <w:ind w:left="760" w:hanging="480"/>
        <w:spacing w:after="0"/>
        <w:tabs>
          <w:tab w:leader="none" w:pos="76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Nature of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accepting this Award, Grantee acknowledges that:</w:t>
      </w:r>
    </w:p>
    <w:p>
      <w:pPr>
        <w:spacing w:after="0" w:line="223" w:lineRule="exact"/>
        <w:rPr>
          <w:rFonts w:ascii="Times New Roman" w:cs="Times New Roman" w:eastAsia="Times New Roman" w:hAnsi="Times New Roman"/>
          <w:sz w:val="22"/>
          <w:szCs w:val="22"/>
          <w:b w:val="1"/>
          <w:bCs w:val="1"/>
          <w:color w:val="auto"/>
        </w:rPr>
      </w:pPr>
    </w:p>
    <w:p>
      <w:pPr>
        <w:ind w:left="500" w:right="20" w:firstLine="227"/>
        <w:spacing w:after="0" w:line="295" w:lineRule="auto"/>
        <w:tabs>
          <w:tab w:leader="none" w:pos="1201" w:val="left"/>
        </w:tabs>
        <w:numPr>
          <w:ilvl w:val="3"/>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it is discretionary in nature and it may be modified, amended, suspended or terminated by the Company at any time unless otherwise provided in the Plan or this Agreement;</w:t>
      </w:r>
    </w:p>
    <w:p>
      <w:pPr>
        <w:spacing w:after="0" w:line="135" w:lineRule="exact"/>
        <w:rPr>
          <w:rFonts w:ascii="Times New Roman" w:cs="Times New Roman" w:eastAsia="Times New Roman" w:hAnsi="Times New Roman"/>
          <w:sz w:val="21"/>
          <w:szCs w:val="21"/>
          <w:color w:val="auto"/>
        </w:rPr>
      </w:pPr>
    </w:p>
    <w:p>
      <w:pPr>
        <w:ind w:left="500" w:firstLine="258"/>
        <w:spacing w:after="0" w:line="271" w:lineRule="auto"/>
        <w:tabs>
          <w:tab w:leader="none" w:pos="1276" w:val="left"/>
        </w:tabs>
        <w:numPr>
          <w:ilvl w:val="4"/>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this Award is voluntary and occasional and does not create any contractual or other right to receive future grants of awards, or benefits in lieu of awards, even if awards have been granted repeatedly in the past,</w:t>
      </w:r>
    </w:p>
    <w:p>
      <w:pPr>
        <w:spacing w:after="0" w:line="171" w:lineRule="exact"/>
        <w:rPr>
          <w:rFonts w:ascii="Times New Roman" w:cs="Times New Roman" w:eastAsia="Times New Roman" w:hAnsi="Times New Roman"/>
          <w:sz w:val="22"/>
          <w:szCs w:val="22"/>
          <w:color w:val="auto"/>
        </w:rPr>
      </w:pPr>
    </w:p>
    <w:p>
      <w:pPr>
        <w:ind w:left="1160" w:hanging="448"/>
        <w:spacing w:after="0"/>
        <w:tabs>
          <w:tab w:leader="none" w:pos="1160"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grants, if any, will be at the sole discretion of the Committee;</w:t>
      </w:r>
    </w:p>
    <w:p>
      <w:pPr>
        <w:spacing w:after="0" w:line="219" w:lineRule="exact"/>
        <w:rPr>
          <w:rFonts w:ascii="Times New Roman" w:cs="Times New Roman" w:eastAsia="Times New Roman" w:hAnsi="Times New Roman"/>
          <w:sz w:val="22"/>
          <w:szCs w:val="22"/>
          <w:color w:val="auto"/>
        </w:rPr>
      </w:pPr>
    </w:p>
    <w:p>
      <w:pPr>
        <w:ind w:left="1180" w:hanging="468"/>
        <w:spacing w:after="0"/>
        <w:tabs>
          <w:tab w:leader="none" w:pos="1180"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is voluntarily participating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080"/>
          </w:cols>
          <w:pgMar w:left="480" w:top="1418" w:right="339" w:bottom="1440" w:gutter="0" w:footer="0" w:header="0"/>
        </w:sectPr>
      </w:pPr>
    </w:p>
    <w:bookmarkStart w:id="51" w:name="page52"/>
    <w:bookmarkEnd w:id="51"/>
    <w:p>
      <w:pPr>
        <w:jc w:val="both"/>
        <w:ind w:left="500" w:firstLine="372"/>
        <w:spacing w:after="0" w:line="257" w:lineRule="auto"/>
        <w:tabs>
          <w:tab w:leader="none" w:pos="1491"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and the Common Stock subject to the PSUs are an extraordinary item that does not constitute compensation of any kind for services of any kind rendered to the Company or Grantee’s employer, and which is outside the scope of Grantee’s employment contract, if any;</w:t>
      </w:r>
    </w:p>
    <w:p>
      <w:pPr>
        <w:spacing w:after="0" w:line="186" w:lineRule="exact"/>
        <w:rPr>
          <w:rFonts w:ascii="Times New Roman" w:cs="Times New Roman" w:eastAsia="Times New Roman" w:hAnsi="Times New Roman"/>
          <w:sz w:val="22"/>
          <w:szCs w:val="22"/>
          <w:color w:val="auto"/>
        </w:rPr>
      </w:pPr>
    </w:p>
    <w:p>
      <w:pPr>
        <w:ind w:left="500" w:firstLine="380"/>
        <w:spacing w:after="0" w:line="271" w:lineRule="auto"/>
        <w:tabs>
          <w:tab w:leader="none" w:pos="1484"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and the Common Stock subject to the PSUs are not intended to replace any pension rights or compensation;</w:t>
      </w:r>
    </w:p>
    <w:p>
      <w:pPr>
        <w:spacing w:after="0" w:line="157" w:lineRule="exact"/>
        <w:rPr>
          <w:rFonts w:ascii="Times New Roman" w:cs="Times New Roman" w:eastAsia="Times New Roman" w:hAnsi="Times New Roman"/>
          <w:sz w:val="22"/>
          <w:szCs w:val="22"/>
          <w:color w:val="auto"/>
        </w:rPr>
      </w:pPr>
    </w:p>
    <w:p>
      <w:pPr>
        <w:ind w:left="1180" w:hanging="468"/>
        <w:spacing w:after="0"/>
        <w:tabs>
          <w:tab w:leader="none" w:pos="11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Common Stock is unknown and cannot be predicted with certainty;</w:t>
      </w:r>
    </w:p>
    <w:p>
      <w:pPr>
        <w:spacing w:after="0" w:line="219" w:lineRule="exact"/>
        <w:rPr>
          <w:rFonts w:ascii="Times New Roman" w:cs="Times New Roman" w:eastAsia="Times New Roman" w:hAnsi="Times New Roman"/>
          <w:sz w:val="22"/>
          <w:szCs w:val="22"/>
          <w:color w:val="auto"/>
        </w:rPr>
      </w:pPr>
    </w:p>
    <w:p>
      <w:pPr>
        <w:jc w:val="both"/>
        <w:ind w:left="500" w:firstLine="305"/>
        <w:spacing w:after="0" w:line="263" w:lineRule="auto"/>
        <w:tabs>
          <w:tab w:leader="none" w:pos="137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67" w:lineRule="exact"/>
        <w:rPr>
          <w:sz w:val="20"/>
          <w:szCs w:val="20"/>
          <w:color w:val="auto"/>
        </w:rPr>
      </w:pPr>
    </w:p>
    <w:p>
      <w:pPr>
        <w:jc w:val="both"/>
        <w:ind w:left="500" w:firstLine="272"/>
        <w:spacing w:after="0" w:line="251" w:lineRule="auto"/>
        <w:tabs>
          <w:tab w:leader="none" w:pos="1256"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the PSUs, no claim or entitlement to compensation or damages shall arise from forfeiture of the PSUs resulting from termination of Grantee’s employment with the Company or Grantee’s employer (for any reason whatsoever and whether or not in breach of local labor laws) and Grantee irrevocably releases the Company and Grantee’s employer from any such claim that may arise; if, notwithstanding the foregoing, any such claim is found by a court of competent jurisdiction to have arisen, Grantee shall be deemed irrevocably to have waived any entitlement to pursue such claim; and</w:t>
      </w:r>
    </w:p>
    <w:p>
      <w:pPr>
        <w:spacing w:after="0" w:line="181" w:lineRule="exact"/>
        <w:rPr>
          <w:rFonts w:ascii="Times New Roman" w:cs="Times New Roman" w:eastAsia="Times New Roman" w:hAnsi="Times New Roman"/>
          <w:sz w:val="22"/>
          <w:szCs w:val="22"/>
          <w:color w:val="auto"/>
        </w:rPr>
      </w:pPr>
    </w:p>
    <w:p>
      <w:pPr>
        <w:jc w:val="both"/>
        <w:ind w:left="500" w:firstLine="225"/>
        <w:spacing w:after="0" w:line="253" w:lineRule="auto"/>
        <w:tabs>
          <w:tab w:leader="none" w:pos="1163"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Grantee ceases to be a Service Provider (whether or not in breach of local labor laws), Grantee’s right to vest in the PSUs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PSUs.</w:t>
      </w:r>
    </w:p>
    <w:p>
      <w:pPr>
        <w:spacing w:after="0" w:line="174" w:lineRule="exact"/>
        <w:rPr>
          <w:rFonts w:ascii="Times New Roman" w:cs="Times New Roman" w:eastAsia="Times New Roman" w:hAnsi="Times New Roman"/>
          <w:sz w:val="22"/>
          <w:szCs w:val="22"/>
          <w:color w:val="auto"/>
        </w:rPr>
      </w:pPr>
    </w:p>
    <w:p>
      <w:pPr>
        <w:ind w:left="840" w:hanging="479"/>
        <w:spacing w:after="0"/>
        <w:tabs>
          <w:tab w:leader="none" w:pos="84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Addenda for Certain Participants</w:t>
      </w:r>
      <w:r>
        <w:rPr>
          <w:rFonts w:ascii="Times New Roman" w:cs="Times New Roman" w:eastAsia="Times New Roman" w:hAnsi="Times New Roman"/>
          <w:sz w:val="22"/>
          <w:szCs w:val="22"/>
          <w:b w:val="1"/>
          <w:bCs w:val="1"/>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left="500" w:firstLine="644"/>
        <w:spacing w:after="0" w:line="250" w:lineRule="auto"/>
        <w:tabs>
          <w:tab w:leader="none" w:pos="1617" w:val="left"/>
        </w:tabs>
        <w:numPr>
          <w:ilvl w:val="3"/>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Non-U.S. Participants</w:t>
      </w:r>
      <w:r>
        <w:rPr>
          <w:rFonts w:ascii="Times New Roman" w:cs="Times New Roman" w:eastAsia="Times New Roman" w:hAnsi="Times New Roman"/>
          <w:sz w:val="22"/>
          <w:szCs w:val="22"/>
          <w:color w:val="auto"/>
        </w:rPr>
        <w:t>. Notwithstanding any provisions in this Agreement, the PSUs shall also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special terms and conditions set forth in the Non-U.S. Addendum attached as Appendix C to this Agreement for Grantees who reside in any country covered therein. Moreover, if Grantee relocates to one of the countries included in the Non-U.S. Addendum, the special terms and conditions for such country will apply to Grantee to the extent the Company determines that the application of such terms and conditions are necessary or advisable in order to comply with local law or facilitate the administration of the Plan. The Non-U.S. Addendum attached hereto as Appendix C constitutes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080"/>
          </w:cols>
          <w:pgMar w:left="480" w:top="1422" w:right="339" w:bottom="1440" w:gutter="0" w:footer="0" w:header="0"/>
        </w:sectPr>
      </w:pPr>
    </w:p>
    <w:bookmarkStart w:id="52" w:name="page53"/>
    <w:bookmarkEnd w:id="52"/>
    <w:p>
      <w:pPr>
        <w:jc w:val="both"/>
        <w:ind w:left="660" w:firstLine="644"/>
        <w:spacing w:after="0" w:line="254" w:lineRule="auto"/>
        <w:tabs>
          <w:tab w:leader="none" w:pos="1816" w:val="left"/>
        </w:tabs>
        <w:numPr>
          <w:ilvl w:val="4"/>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California Participants</w:t>
      </w:r>
      <w:r>
        <w:rPr>
          <w:rFonts w:ascii="Times New Roman" w:cs="Times New Roman" w:eastAsia="Times New Roman" w:hAnsi="Times New Roman"/>
          <w:sz w:val="22"/>
          <w:szCs w:val="22"/>
          <w:color w:val="auto"/>
        </w:rPr>
        <w:t>. Notwithstanding any provisions in this Agreement, the PSUs shall also be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special terms and conditions set forth in the California Addendum attached as Appendix D to this Agreement if Grantee is employed and/or resides in California or if the Company determines that the application of such terms and conditions is necessary or advisable in order to comply with applicable law. The California Addendum attached hereto as Appendix D constitutes part of this Agreement.</w:t>
      </w:r>
    </w:p>
    <w:p>
      <w:pPr>
        <w:spacing w:after="0" w:line="173" w:lineRule="exact"/>
        <w:rPr>
          <w:rFonts w:ascii="Times New Roman" w:cs="Times New Roman" w:eastAsia="Times New Roman" w:hAnsi="Times New Roman"/>
          <w:sz w:val="22"/>
          <w:szCs w:val="22"/>
          <w:color w:val="auto"/>
        </w:rPr>
      </w:pPr>
    </w:p>
    <w:p>
      <w:pPr>
        <w:jc w:val="both"/>
        <w:ind w:firstLine="494"/>
        <w:spacing w:after="0" w:line="254" w:lineRule="auto"/>
        <w:tabs>
          <w:tab w:leader="none" w:pos="999" w:val="left"/>
        </w:tabs>
        <w:numPr>
          <w:ilvl w:val="2"/>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amendment to the Plan shall be deemed to be an amendment to this Agreement to the extent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amendment is applicable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73" w:lineRule="exact"/>
        <w:rPr>
          <w:rFonts w:ascii="Times New Roman" w:cs="Times New Roman" w:eastAsia="Times New Roman" w:hAnsi="Times New Roman"/>
          <w:sz w:val="22"/>
          <w:szCs w:val="22"/>
          <w:b w:val="1"/>
          <w:bCs w:val="1"/>
          <w:color w:val="auto"/>
        </w:rPr>
      </w:pPr>
    </w:p>
    <w:p>
      <w:pPr>
        <w:jc w:val="both"/>
        <w:ind w:firstLine="467"/>
        <w:spacing w:after="0" w:line="253" w:lineRule="auto"/>
        <w:tabs>
          <w:tab w:leader="none" w:pos="958" w:val="left"/>
        </w:tabs>
        <w:numPr>
          <w:ilvl w:val="1"/>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subject to the terms and conditions of the Plan. In the event of any inconsistency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188" w:lineRule="exact"/>
        <w:rPr>
          <w:rFonts w:ascii="Times New Roman" w:cs="Times New Roman" w:eastAsia="Times New Roman" w:hAnsi="Times New Roman"/>
          <w:sz w:val="22"/>
          <w:szCs w:val="22"/>
          <w:b w:val="1"/>
          <w:bCs w:val="1"/>
          <w:color w:val="auto"/>
        </w:rPr>
      </w:pPr>
    </w:p>
    <w:p>
      <w:pPr>
        <w:jc w:val="both"/>
        <w:ind w:firstLine="449"/>
        <w:spacing w:after="0" w:line="259" w:lineRule="auto"/>
        <w:tabs>
          <w:tab w:leader="none" w:pos="931" w:val="left"/>
        </w:tabs>
        <w:numPr>
          <w:ilvl w:val="0"/>
          <w:numId w:val="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 Choice of Forum; Jury Trial Waiver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is governed by and construed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with the laws of the State of Michigan, notwithstanding conflict of law provisions. Grantee further agrees that any action by Grantee to challenge the enforceability of this Agreement must be brought or litigated exclusively in the appropriate state or federal court located in the State of Michigan. Grantee also agrees that any action by the Company to enforce this Agreement, as well as any related disputes or litigation related to this Agreement, may be brought in the appropriate state or federal court located in the State of Michigan. Grantee agrees and consents to the personal jurisdiction and venue of the federal or state courts of Michigan for resolution of any disputes or litigation arising under or in connection with this Agreement or any challenge to this Agreement and waives any objections or defenses to personal jurisdiction or venue in any such proceeding before any such court. </w:t>
      </w:r>
      <w:r>
        <w:rPr>
          <w:rFonts w:ascii="Times New Roman" w:cs="Times New Roman" w:eastAsia="Times New Roman" w:hAnsi="Times New Roman"/>
          <w:sz w:val="21"/>
          <w:szCs w:val="21"/>
          <w:b w:val="1"/>
          <w:bCs w:val="1"/>
          <w:color w:val="auto"/>
        </w:rPr>
        <w:t>GRANTEE AGREE THAT, TO THE FULLEST EXTENT PERMITTED BY LAW, EACH PARTY WAIVES ANY</w:t>
      </w:r>
    </w:p>
    <w:p>
      <w:pPr>
        <w:spacing w:after="0" w:line="4" w:lineRule="exact"/>
        <w:rPr>
          <w:rFonts w:ascii="Times New Roman" w:cs="Times New Roman" w:eastAsia="Times New Roman" w:hAnsi="Times New Roman"/>
          <w:sz w:val="21"/>
          <w:szCs w:val="21"/>
          <w:b w:val="1"/>
          <w:bCs w:val="1"/>
          <w:color w:val="auto"/>
        </w:rPr>
      </w:pPr>
    </w:p>
    <w:p>
      <w:pPr>
        <w:spacing w:after="0" w:line="261"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RIGHT TO TRIAL BY JURY WITH RESPECT TO ANY PROCEEDING ARISING OUT OF OR RELATING TO THIS AGREEMENT.</w:t>
      </w:r>
    </w:p>
    <w:p>
      <w:pPr>
        <w:spacing w:after="0" w:line="164" w:lineRule="exact"/>
        <w:rPr>
          <w:rFonts w:ascii="Times New Roman" w:cs="Times New Roman" w:eastAsia="Times New Roman" w:hAnsi="Times New Roman"/>
          <w:sz w:val="21"/>
          <w:szCs w:val="21"/>
          <w:b w:val="1"/>
          <w:bCs w:val="1"/>
          <w:color w:val="auto"/>
        </w:rPr>
      </w:pPr>
    </w:p>
    <w:p>
      <w:pPr>
        <w:ind w:left="920" w:hanging="480"/>
        <w:spacing w:after="0"/>
        <w:tabs>
          <w:tab w:leader="none" w:pos="92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Clawback Policy</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left="640" w:firstLine="644"/>
        <w:spacing w:after="0" w:line="251" w:lineRule="auto"/>
        <w:tabs>
          <w:tab w:leader="none" w:pos="1936" w:val="left"/>
        </w:tabs>
        <w:numPr>
          <w:ilvl w:val="3"/>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Grantee acknowledges and agrees that this Agreement and the award described herein (and any settlement thereof) are subject to the terms and conditions of the Company’s clawback policy or policies as may be in effect from time to time, including specifically to implement Section 10D of the Exchange Act and any applicable rules or regulations promulgated thereunder (including applicable rules and regulations of any national securities exchange on which the Common Stock at any point may be traded) (the “Compensation Recovery Policy”), and that, to the extent the Compensation Recovery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18" w:right="339" w:bottom="1440" w:gutter="0" w:footer="0" w:header="0"/>
        </w:sectPr>
      </w:pPr>
    </w:p>
    <w:bookmarkStart w:id="53" w:name="page54"/>
    <w:bookmarkEnd w:id="53"/>
    <w:p>
      <w:pPr>
        <w:jc w:val="both"/>
        <w:ind w:left="480"/>
        <w:spacing w:after="0" w:line="247" w:lineRule="auto"/>
        <w:rPr>
          <w:sz w:val="20"/>
          <w:szCs w:val="20"/>
          <w:color w:val="auto"/>
        </w:rPr>
      </w:pPr>
      <w:r>
        <w:rPr>
          <w:rFonts w:ascii="Times New Roman" w:cs="Times New Roman" w:eastAsia="Times New Roman" w:hAnsi="Times New Roman"/>
          <w:sz w:val="22"/>
          <w:szCs w:val="22"/>
          <w:color w:val="auto"/>
        </w:rPr>
        <w:t>Policy, by its terms, is applicable to such award, applicable terms of this Agreement will be (if necessary) deemed superseded by and subject to the terms and conditions of the Compensation Recovery Policy from and after the effective date thereof. Further, by accepting the award covered by this Agreement, Grantee (i) consents to be bound by the terms of the Compensation Recovery Policy, as applicable, (ii) agrees and acknowledges that Grantee is obligated to and will cooperate with, and will provide any and all assistance necessary to, the Company in any effort to recover or recoup any compensation or other amounts subject to clawback or recovery pursuant to the Compensation Recovery Policy and/or applicable laws, rules, regulations, stock exchange listing standards or other Company policy, and (iii) agrees that the Company may enforce its rights under the Compensation Recovery Policy through any and all reasonable means permitted under applicable law as it deems necessary or desirable under the Compensation Recovery Policy, in each case from and after the effective dates thereof. Such cooperation and assistance shall include, but is not limited to, executing, completing and submitting any documentation necessary to facilitate the recovery or recoupment by the Company from Grantee of any such amounts, including from Grantee’s accounts or from any other compensation, to the extent permissible under Section 409A of the Code.</w:t>
      </w:r>
    </w:p>
    <w:p>
      <w:pPr>
        <w:spacing w:after="0" w:line="193" w:lineRule="exact"/>
        <w:rPr>
          <w:sz w:val="20"/>
          <w:szCs w:val="20"/>
          <w:color w:val="auto"/>
        </w:rPr>
      </w:pPr>
    </w:p>
    <w:p>
      <w:pPr>
        <w:jc w:val="both"/>
        <w:ind w:left="480" w:right="20" w:firstLine="644"/>
        <w:spacing w:after="0" w:line="281" w:lineRule="auto"/>
        <w:tabs>
          <w:tab w:leader="none" w:pos="1775"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foregoing, violation of Section II.B.3 of this Agreement prior to the Settlement Date and thereafter, as determined by the Board, shall result in the forfeiture of the PSUs, and clawback and recoupment of any shares of Common Stock issued or transferred to Grantee in settlement of the PSUs (plus dividend equivalent payments).</w:t>
      </w:r>
    </w:p>
    <w:p>
      <w:pPr>
        <w:spacing w:after="0" w:line="15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080"/>
          </w:cols>
          <w:pgMar w:left="480" w:top="1422" w:right="339" w:bottom="1440" w:gutter="0" w:footer="0" w:header="0"/>
        </w:sectPr>
      </w:pPr>
    </w:p>
    <w:bookmarkStart w:id="54" w:name="page55"/>
    <w:bookmarkEnd w:id="54"/>
    <w:p>
      <w:pPr>
        <w:ind w:firstLine="648"/>
        <w:spacing w:after="0" w:line="271" w:lineRule="auto"/>
        <w:rPr>
          <w:sz w:val="20"/>
          <w:szCs w:val="20"/>
          <w:color w:val="auto"/>
        </w:rPr>
      </w:pPr>
      <w:r>
        <w:rPr>
          <w:rFonts w:ascii="Times New Roman" w:cs="Times New Roman" w:eastAsia="Times New Roman" w:hAnsi="Times New Roman"/>
          <w:sz w:val="22"/>
          <w:szCs w:val="22"/>
          <w:color w:val="auto"/>
        </w:rPr>
        <w:t>This Agreement may be executed in two or more counterparts, each of which is deemed an original and all of which constitute one document.</w:t>
      </w:r>
    </w:p>
    <w:p>
      <w:pPr>
        <w:spacing w:after="0" w:line="1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Dated as of: [grant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Thomas A. Amato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President &amp; CEO</w:t>
      </w:r>
    </w:p>
    <w:p>
      <w:pPr>
        <w:spacing w:after="0" w:line="200" w:lineRule="exact"/>
        <w:rPr>
          <w:sz w:val="20"/>
          <w:szCs w:val="20"/>
          <w:color w:val="auto"/>
        </w:rPr>
      </w:pPr>
    </w:p>
    <w:p>
      <w:pPr>
        <w:sectPr>
          <w:pgSz w:w="11900" w:h="16838" w:orient="portrait"/>
          <w:cols w:equalWidth="0" w:num="2">
            <w:col w:w="4220" w:space="720"/>
            <w:col w:w="6300"/>
          </w:cols>
          <w:pgMar w:left="320" w:top="1422" w:right="3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75"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21"/>
          <w:szCs w:val="21"/>
          <w:b w:val="1"/>
          <w:bCs w:val="1"/>
          <w:color w:val="auto"/>
        </w:rPr>
        <w:t>BY CLICKING THE “ACCEPT” BUTTON, GRANTEE ACKNOWLEDGES RECEIPT OF A COPY OF THE PLAN AND REPRESENTS THAT GRANTEE IS FAMILIAR WITH THE TERMS AND PROVISIONS OF THE PLAN. GRANTEE ACCEPTS THIS PERFORMANCE-BASED RESTRICTED STOCK UNITS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UNITS AGREEMENT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GOALS FOR PSU AWARD</w:t>
      </w: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actual number of PSUs earned by Grantee will be determined by the Committee by March 14, 2027 following the end of the Performance Period (“Determination Date”), using data as of, and including, December 31, 2026 under the rules described below. Any PSUs not earned as of the Determination Date will be canceled and forfeited.</w:t>
      </w:r>
    </w:p>
    <w:p>
      <w:pPr>
        <w:spacing w:after="0" w:line="200" w:lineRule="exact"/>
        <w:rPr>
          <w:sz w:val="20"/>
          <w:szCs w:val="20"/>
          <w:color w:val="auto"/>
        </w:rPr>
      </w:pPr>
    </w:p>
    <w:p>
      <w:pPr>
        <w:ind w:firstLine="8"/>
        <w:spacing w:after="0" w:line="309" w:lineRule="auto"/>
        <w:tabs>
          <w:tab w:leader="none" w:pos="40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actual number of shares of Common Stock delivered to Grantee in settlement of the PSUs earned under this Agreement will be determined based on actual performance results as described below, subject to Section II.A.1 of the Agreement.</w:t>
      </w:r>
    </w:p>
    <w:p>
      <w:pPr>
        <w:spacing w:after="0" w:line="147" w:lineRule="exact"/>
        <w:rPr>
          <w:rFonts w:ascii="Times New Roman" w:cs="Times New Roman" w:eastAsia="Times New Roman" w:hAnsi="Times New Roman"/>
          <w:sz w:val="21"/>
          <w:szCs w:val="21"/>
          <w:color w:val="auto"/>
        </w:rPr>
      </w:pPr>
    </w:p>
    <w:p>
      <w:pPr>
        <w:ind w:firstLine="8"/>
        <w:spacing w:after="0" w:line="271" w:lineRule="auto"/>
        <w:tabs>
          <w:tab w:leader="none" w:pos="37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subject to this Award are earned based on the achievement of specific performance measures over the Performance Period (i.e., January 1, 2024 through December 31, 2026) and determined on the Determination Date.</w:t>
      </w:r>
    </w:p>
    <w:p>
      <w:pPr>
        <w:spacing w:after="0" w:line="178" w:lineRule="exact"/>
        <w:rPr>
          <w:rFonts w:ascii="Times New Roman" w:cs="Times New Roman" w:eastAsia="Times New Roman" w:hAnsi="Times New Roman"/>
          <w:sz w:val="22"/>
          <w:szCs w:val="22"/>
          <w:color w:val="auto"/>
        </w:rPr>
      </w:pPr>
    </w:p>
    <w:p>
      <w:pPr>
        <w:jc w:val="both"/>
        <w:ind w:firstLine="8"/>
        <w:spacing w:after="0" w:line="260" w:lineRule="auto"/>
        <w:tabs>
          <w:tab w:leader="none" w:pos="37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 of the Target PSUs will be initially earned based on the achievement of EPS CAGR (the “</w:t>
      </w:r>
      <w:r>
        <w:rPr>
          <w:rFonts w:ascii="Times New Roman" w:cs="Times New Roman" w:eastAsia="Times New Roman" w:hAnsi="Times New Roman"/>
          <w:sz w:val="22"/>
          <w:szCs w:val="22"/>
          <w:b w:val="1"/>
          <w:bCs w:val="1"/>
          <w:i w:val="1"/>
          <w:iCs w:val="1"/>
          <w:color w:val="auto"/>
        </w:rPr>
        <w:t>EPS CAGR PSUs</w:t>
      </w:r>
      <w:r>
        <w:rPr>
          <w:rFonts w:ascii="Times New Roman" w:cs="Times New Roman" w:eastAsia="Times New Roman" w:hAnsi="Times New Roman"/>
          <w:sz w:val="22"/>
          <w:szCs w:val="22"/>
          <w:color w:val="auto"/>
        </w:rPr>
        <w:t>”), and 50% of the Target PSUs will be initially earned based on the achievement of Cash RONA (“</w:t>
      </w:r>
      <w:r>
        <w:rPr>
          <w:rFonts w:ascii="Times New Roman" w:cs="Times New Roman" w:eastAsia="Times New Roman" w:hAnsi="Times New Roman"/>
          <w:sz w:val="22"/>
          <w:szCs w:val="22"/>
          <w:b w:val="1"/>
          <w:bCs w:val="1"/>
          <w:i w:val="1"/>
          <w:iCs w:val="1"/>
          <w:color w:val="auto"/>
        </w:rPr>
        <w:t>Cash RONA PSUs</w:t>
      </w:r>
      <w:r>
        <w:rPr>
          <w:rFonts w:ascii="Times New Roman" w:cs="Times New Roman" w:eastAsia="Times New Roman" w:hAnsi="Times New Roman"/>
          <w:sz w:val="22"/>
          <w:szCs w:val="22"/>
          <w:color w:val="auto"/>
        </w:rPr>
        <w:t>”). The total EPS CAGR PSUs and Cash RONA PSUs initially earned shall be subject to modification based on RTSR Performance.</w:t>
      </w:r>
    </w:p>
    <w:p>
      <w:pPr>
        <w:spacing w:after="0" w:line="20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hereof:</w:t>
      </w:r>
    </w:p>
    <w:p>
      <w:pPr>
        <w:spacing w:after="0" w:line="240" w:lineRule="exact"/>
        <w:rPr>
          <w:rFonts w:ascii="Times New Roman" w:cs="Times New Roman" w:eastAsia="Times New Roman" w:hAnsi="Times New Roman"/>
          <w:sz w:val="22"/>
          <w:szCs w:val="22"/>
          <w:color w:val="auto"/>
        </w:rPr>
      </w:pPr>
    </w:p>
    <w:p>
      <w:pPr>
        <w:jc w:val="both"/>
        <w:ind w:left="1300" w:hanging="644"/>
        <w:spacing w:after="0" w:line="254" w:lineRule="auto"/>
        <w:tabs>
          <w:tab w:leader="none" w:pos="1249"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EPS CAGR</w:t>
      </w:r>
      <w:r>
        <w:rPr>
          <w:rFonts w:ascii="Times New Roman" w:cs="Times New Roman" w:eastAsia="Times New Roman" w:hAnsi="Times New Roman"/>
          <w:sz w:val="22"/>
          <w:szCs w:val="22"/>
          <w:color w:val="auto"/>
        </w:rPr>
        <w:t>” means the cumulative average growth rate during the Performance Period of the adjusted diluted earnings per share from continuing operations as publicly disclosed by the Company, plus or minus special items that may occur from time-to-time that the Committee believes should adjust the as-reported results for measurement of performance.</w:t>
      </w:r>
    </w:p>
    <w:p>
      <w:pPr>
        <w:spacing w:after="0" w:line="211" w:lineRule="exact"/>
        <w:rPr>
          <w:rFonts w:ascii="Times New Roman" w:cs="Times New Roman" w:eastAsia="Times New Roman" w:hAnsi="Times New Roman"/>
          <w:sz w:val="22"/>
          <w:szCs w:val="22"/>
          <w:color w:val="auto"/>
        </w:rPr>
      </w:pPr>
    </w:p>
    <w:p>
      <w:pPr>
        <w:ind w:left="1300" w:hanging="644"/>
        <w:spacing w:after="0" w:line="260" w:lineRule="auto"/>
        <w:tabs>
          <w:tab w:leader="none" w:pos="1196"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Peer Group</w:t>
      </w:r>
      <w:r>
        <w:rPr>
          <w:rFonts w:ascii="Times New Roman" w:cs="Times New Roman" w:eastAsia="Times New Roman" w:hAnsi="Times New Roman"/>
          <w:sz w:val="22"/>
          <w:szCs w:val="22"/>
          <w:color w:val="auto"/>
        </w:rPr>
        <w:t xml:space="preserve">” means, of a benchmark group of 95 entities currently in the S&amp;P SmallCap 600 Capped Industrials index (the names of which are attached hereto as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those entities that remain in the Peer Group as of the end of the Performance Period after application of the Peer Group Adjustment Protocol.</w:t>
      </w:r>
    </w:p>
    <w:p>
      <w:pPr>
        <w:spacing w:after="0" w:line="190" w:lineRule="exact"/>
        <w:rPr>
          <w:rFonts w:ascii="Times New Roman" w:cs="Times New Roman" w:eastAsia="Times New Roman" w:hAnsi="Times New Roman"/>
          <w:sz w:val="22"/>
          <w:szCs w:val="22"/>
          <w:color w:val="auto"/>
        </w:rPr>
      </w:pPr>
    </w:p>
    <w:p>
      <w:pPr>
        <w:ind w:left="1300" w:hanging="644"/>
        <w:spacing w:after="0" w:line="252" w:lineRule="auto"/>
        <w:tabs>
          <w:tab w:leader="none" w:pos="1156"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Peer Group Adjustment Protocol</w:t>
      </w:r>
      <w:r>
        <w:rPr>
          <w:rFonts w:ascii="Times New Roman" w:cs="Times New Roman" w:eastAsia="Times New Roman" w:hAnsi="Times New Roman"/>
          <w:sz w:val="22"/>
          <w:szCs w:val="22"/>
          <w:color w:val="auto"/>
        </w:rPr>
        <w:t xml:space="preserve">” means: (i) if an entity listed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files for bankruptcy and/or liquidation, is operating under bankruptcy protection, or is delisted from its primary stock exchange because it fails to meet the exchange listing requirements, then such entity will remain in the Peer Group, but RTSR for the Performance Period will be calculated as if such entity achieved Total Shareholder Return placing it at the bottom (chronologically, if more than one such entity) of the Peer Group; (ii) if, by the last day of the Performance Period, an entity listed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has been acquired and/or is no longer existing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40"/>
          </w:cols>
          <w:pgMar w:left="320" w:top="1418" w:right="339" w:bottom="1440" w:gutter="0" w:footer="0" w:header="0"/>
        </w:sectPr>
      </w:pPr>
    </w:p>
    <w:bookmarkStart w:id="56" w:name="page57"/>
    <w:bookmarkEnd w:id="56"/>
    <w:p>
      <w:pPr>
        <w:ind w:left="1292"/>
        <w:spacing w:after="0"/>
        <w:rPr>
          <w:sz w:val="20"/>
          <w:szCs w:val="20"/>
          <w:color w:val="auto"/>
        </w:rPr>
      </w:pPr>
      <w:r>
        <w:rPr>
          <w:rFonts w:ascii="Times New Roman" w:cs="Times New Roman" w:eastAsia="Times New Roman" w:hAnsi="Times New Roman"/>
          <w:sz w:val="21"/>
          <w:szCs w:val="21"/>
          <w:color w:val="auto"/>
        </w:rPr>
        <w:t>public company that is traded on its primary stock exchange (other than for the reasons as described in subsection</w:t>
      </w:r>
    </w:p>
    <w:p>
      <w:pPr>
        <w:spacing w:after="0" w:line="39" w:lineRule="exact"/>
        <w:rPr>
          <w:sz w:val="20"/>
          <w:szCs w:val="20"/>
          <w:color w:val="auto"/>
        </w:rPr>
      </w:pPr>
    </w:p>
    <w:p>
      <w:pPr>
        <w:jc w:val="both"/>
        <w:ind w:left="1292" w:firstLine="4"/>
        <w:spacing w:after="0" w:line="247" w:lineRule="auto"/>
        <w:tabs>
          <w:tab w:leader="none" w:pos="1585"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above), then such entity will not remain in the Peer Group and RTSR for the Performance Period will be calculated as if such entity had never been a member of the Peer Group; and (iii) except as otherwise described in subsection (i) and (ii) above, for purposes of this performance goal, for each of the entities listed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such entity shall be deemed to include any successor to all or substantially all of the primary business of such entity at end of the Performance Period.</w:t>
      </w:r>
    </w:p>
    <w:p>
      <w:pPr>
        <w:spacing w:after="0" w:line="207" w:lineRule="exact"/>
        <w:rPr>
          <w:rFonts w:ascii="Times New Roman" w:cs="Times New Roman" w:eastAsia="Times New Roman" w:hAnsi="Times New Roman"/>
          <w:sz w:val="22"/>
          <w:szCs w:val="22"/>
          <w:color w:val="auto"/>
        </w:rPr>
      </w:pPr>
    </w:p>
    <w:p>
      <w:pPr>
        <w:jc w:val="both"/>
        <w:ind w:left="1292" w:hanging="644"/>
        <w:spacing w:after="0" w:line="266" w:lineRule="auto"/>
        <w:tabs>
          <w:tab w:leader="none" w:pos="1227"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Relative Total Shareholder Return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RTSR</w:t>
      </w:r>
      <w:r>
        <w:rPr>
          <w:rFonts w:ascii="Times New Roman" w:cs="Times New Roman" w:eastAsia="Times New Roman" w:hAnsi="Times New Roman"/>
          <w:sz w:val="22"/>
          <w:szCs w:val="22"/>
          <w:color w:val="auto"/>
        </w:rPr>
        <w:t>” means the percentile rank of the Company’s Total Shareholder Return among the Total Shareholder Returns of all members of the Peer Group, ranked in descending order, at the end of the Performance Period.</w:t>
      </w:r>
    </w:p>
    <w:p>
      <w:pPr>
        <w:spacing w:after="0" w:line="184" w:lineRule="exact"/>
        <w:rPr>
          <w:rFonts w:ascii="Times New Roman" w:cs="Times New Roman" w:eastAsia="Times New Roman" w:hAnsi="Times New Roman"/>
          <w:sz w:val="22"/>
          <w:szCs w:val="22"/>
          <w:color w:val="auto"/>
        </w:rPr>
      </w:pPr>
    </w:p>
    <w:p>
      <w:pPr>
        <w:ind w:left="1292" w:hanging="644"/>
        <w:spacing w:after="0" w:line="264" w:lineRule="auto"/>
        <w:tabs>
          <w:tab w:leader="none" w:pos="1217"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Cash Return on Net Assets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i w:val="1"/>
          <w:iCs w:val="1"/>
          <w:color w:val="auto"/>
        </w:rPr>
        <w:t>Cash RONA</w:t>
      </w:r>
      <w:r>
        <w:rPr>
          <w:rFonts w:ascii="Times New Roman" w:cs="Times New Roman" w:eastAsia="Times New Roman" w:hAnsi="Times New Roman"/>
          <w:sz w:val="21"/>
          <w:szCs w:val="21"/>
          <w:color w:val="auto"/>
        </w:rPr>
        <w:t>” means the quotient of (i) the sum of (a) net adjusted operating profit after income taxes (“</w:t>
      </w:r>
      <w:r>
        <w:rPr>
          <w:rFonts w:ascii="Times New Roman" w:cs="Times New Roman" w:eastAsia="Times New Roman" w:hAnsi="Times New Roman"/>
          <w:sz w:val="21"/>
          <w:szCs w:val="21"/>
          <w:b w:val="1"/>
          <w:bCs w:val="1"/>
          <w:i w:val="1"/>
          <w:iCs w:val="1"/>
          <w:color w:val="auto"/>
        </w:rPr>
        <w:t>NOPAT</w:t>
      </w:r>
      <w:r>
        <w:rPr>
          <w:rFonts w:ascii="Times New Roman" w:cs="Times New Roman" w:eastAsia="Times New Roman" w:hAnsi="Times New Roman"/>
          <w:sz w:val="21"/>
          <w:szCs w:val="21"/>
          <w:color w:val="auto"/>
        </w:rPr>
        <w:t>”) plus (b) acquisition-related amortization expense plus (c) non-cash stock compensation expense, divided by (ii) average net assets employed (the sum of (a) net working capital plus (b) property and equipment plus (c) goodwill and other intangible assets). The Company uses its long-term expected effective tax rate of 23% in the calculation of NOPAT for all periods to eliminate potential volatility in year-to-year results from tax planning strategies which may impact the measurement of operating returns. The calculation of achieved Cash RONA is to exclude the impact of any acquisition that closes during the Performance Period.</w:t>
      </w:r>
    </w:p>
    <w:p>
      <w:pPr>
        <w:spacing w:after="0" w:line="192" w:lineRule="exact"/>
        <w:rPr>
          <w:rFonts w:ascii="Times New Roman" w:cs="Times New Roman" w:eastAsia="Times New Roman" w:hAnsi="Times New Roman"/>
          <w:sz w:val="21"/>
          <w:szCs w:val="21"/>
          <w:color w:val="auto"/>
        </w:rPr>
      </w:pPr>
    </w:p>
    <w:p>
      <w:pPr>
        <w:jc w:val="both"/>
        <w:ind w:left="1292" w:hanging="644"/>
        <w:spacing w:after="0" w:line="249" w:lineRule="auto"/>
        <w:tabs>
          <w:tab w:leader="none" w:pos="1245"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Total Shareholder Return</w:t>
      </w:r>
      <w:r>
        <w:rPr>
          <w:rFonts w:ascii="Times New Roman" w:cs="Times New Roman" w:eastAsia="Times New Roman" w:hAnsi="Times New Roman"/>
          <w:sz w:val="22"/>
          <w:szCs w:val="22"/>
          <w:color w:val="auto"/>
        </w:rPr>
        <w:t>” means, with respect to the Common Stock and the common stock of each of the members of the Peer Group, a rate of return reflecting stock price appreciation, plus the reinvestment of dividends in additional shares of stock, from the beginning of the Performance Period through the end of the Performance Period. For purposes of calculating Total Shareholder Return for each of the Company and the members of the Peer Group, the beginning stock price will be based on the average closing stock price for the 20 trading days immediately preceding January 1, 2024 on the principal stock exchange on which the stock is then traded and the ending stock price will be based on the average closing stock price for the 20 trading days immediately preceding January 1, 2027 on the principal stock exchange on which the stock then trades.</w:t>
      </w:r>
    </w:p>
    <w:p>
      <w:pPr>
        <w:spacing w:after="0" w:line="228" w:lineRule="exact"/>
        <w:rPr>
          <w:rFonts w:ascii="Times New Roman" w:cs="Times New Roman" w:eastAsia="Times New Roman" w:hAnsi="Times New Roman"/>
          <w:sz w:val="22"/>
          <w:szCs w:val="22"/>
          <w:color w:val="auto"/>
        </w:rPr>
      </w:pPr>
    </w:p>
    <w:p>
      <w:pPr>
        <w:ind w:left="-8" w:right="20" w:firstLine="8"/>
        <w:spacing w:after="0" w:line="271" w:lineRule="auto"/>
        <w:tabs>
          <w:tab w:leader="none" w:pos="39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EPS CAGR Performance Matrix</w:t>
      </w:r>
      <w:r>
        <w:rPr>
          <w:rFonts w:ascii="Times New Roman" w:cs="Times New Roman" w:eastAsia="Times New Roman" w:hAnsi="Times New Roman"/>
          <w:sz w:val="22"/>
          <w:szCs w:val="22"/>
          <w:color w:val="auto"/>
        </w:rPr>
        <w:t>. From 0% to 200% of the EPS CAGR PSUs will be initially earned based on achievement of the EPS CAGR performance goal during the Performance Period as follows:</w:t>
      </w:r>
    </w:p>
    <w:p>
      <w:pPr>
        <w:spacing w:after="0" w:line="206" w:lineRule="exact"/>
        <w:rPr>
          <w:sz w:val="20"/>
          <w:szCs w:val="20"/>
          <w:color w:val="auto"/>
        </w:rPr>
      </w:pPr>
    </w:p>
    <w:tbl>
      <w:tblPr>
        <w:tblLayout w:type="fixed"/>
        <w:tblInd w:w="1802" w:type="dxa"/>
        <w:tblCellMar>
          <w:top w:w="0" w:type="dxa"/>
          <w:left w:w="0" w:type="dxa"/>
          <w:bottom w:w="0" w:type="dxa"/>
          <w:right w:w="0" w:type="dxa"/>
        </w:tblCellMar>
      </w:tblPr>
      <w:tr>
        <w:trPr>
          <w:trHeight w:val="283"/>
        </w:trPr>
        <w:tc>
          <w:tcPr>
            <w:tcW w:w="2660" w:type="dxa"/>
            <w:vAlign w:val="bottom"/>
            <w:tcBorders>
              <w:top w:val="single" w:sz="8" w:color="auto"/>
              <w:left w:val="single" w:sz="8" w:color="auto"/>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22"/>
                <w:szCs w:val="22"/>
                <w:b w:val="1"/>
                <w:bCs w:val="1"/>
                <w:color w:val="auto"/>
              </w:rPr>
              <w:t>EPS CAGR %</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EPS CAGR PSUs Earned</w:t>
            </w:r>
          </w:p>
        </w:tc>
      </w:tr>
      <w:tr>
        <w:trPr>
          <w:trHeight w:val="263"/>
        </w:trPr>
        <w:tc>
          <w:tcPr>
            <w:tcW w:w="2660" w:type="dxa"/>
            <w:vAlign w:val="bottom"/>
            <w:tcBorders>
              <w:left w:val="single" w:sz="8" w:color="auto"/>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jc w:val="right"/>
              <w:ind w:right="972"/>
              <w:spacing w:after="0"/>
              <w:rPr>
                <w:sz w:val="20"/>
                <w:szCs w:val="20"/>
                <w:color w:val="auto"/>
              </w:rPr>
            </w:pPr>
            <w:r>
              <w:rPr>
                <w:rFonts w:ascii="Times New Roman" w:cs="Times New Roman" w:eastAsia="Times New Roman" w:hAnsi="Times New Roman"/>
                <w:sz w:val="22"/>
                <w:szCs w:val="22"/>
                <w:color w:val="auto"/>
              </w:rPr>
              <w:t>40.00%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232"/>
          </w:cols>
          <w:pgMar w:left="328" w:top="1422" w:right="339" w:bottom="1440" w:gutter="0" w:footer="0" w:header="0"/>
        </w:sectPr>
      </w:pPr>
    </w:p>
    <w:bookmarkStart w:id="57" w:name="page58"/>
    <w:bookmarkEnd w:id="57"/>
    <w:p>
      <w:pPr>
        <w:spacing w:after="0" w:line="23" w:lineRule="exact"/>
        <w:rPr>
          <w:sz w:val="20"/>
          <w:szCs w:val="20"/>
          <w:color w:val="auto"/>
        </w:rPr>
      </w:pPr>
    </w:p>
    <w:p>
      <w:pPr>
        <w:ind w:left="5492"/>
        <w:spacing w:after="0"/>
        <w:rPr>
          <w:sz w:val="20"/>
          <w:szCs w:val="20"/>
          <w:color w:val="auto"/>
        </w:rPr>
      </w:pPr>
      <w:r>
        <w:rPr>
          <w:rFonts w:ascii="Times New Roman" w:cs="Times New Roman" w:eastAsia="Times New Roman" w:hAnsi="Times New Roman"/>
          <w:sz w:val="22"/>
          <w:szCs w:val="22"/>
          <w:color w:val="auto"/>
        </w:rPr>
        <w:t>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-160020</wp:posOffset>
            </wp:positionV>
            <wp:extent cx="3463290" cy="18091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463290" cy="1809115"/>
                    </a:xfrm>
                    <a:prstGeom prst="rect">
                      <a:avLst/>
                    </a:prstGeom>
                    <a:noFill/>
                  </pic:spPr>
                </pic:pic>
              </a:graphicData>
            </a:graphic>
          </wp:anchor>
        </w:drawing>
      </w:r>
    </w:p>
    <w:p>
      <w:pPr>
        <w:spacing w:after="0" w:line="11" w:lineRule="exact"/>
        <w:rPr>
          <w:sz w:val="20"/>
          <w:szCs w:val="20"/>
          <w:color w:val="auto"/>
        </w:rPr>
      </w:pPr>
    </w:p>
    <w:p>
      <w:pPr>
        <w:ind w:left="5492"/>
        <w:spacing w:after="0"/>
        <w:rPr>
          <w:sz w:val="20"/>
          <w:szCs w:val="20"/>
          <w:color w:val="auto"/>
        </w:rPr>
      </w:pPr>
      <w:r>
        <w:rPr>
          <w:rFonts w:ascii="Times New Roman" w:cs="Times New Roman" w:eastAsia="Times New Roman" w:hAnsi="Times New Roman"/>
          <w:sz w:val="22"/>
          <w:szCs w:val="22"/>
          <w:color w:val="auto"/>
        </w:rPr>
        <w:t>60.00%</w:t>
      </w:r>
    </w:p>
    <w:p>
      <w:pPr>
        <w:spacing w:after="0" w:line="31" w:lineRule="exact"/>
        <w:rPr>
          <w:sz w:val="20"/>
          <w:szCs w:val="20"/>
          <w:color w:val="auto"/>
        </w:rPr>
      </w:pPr>
    </w:p>
    <w:p>
      <w:pPr>
        <w:ind w:left="5492"/>
        <w:spacing w:after="0"/>
        <w:rPr>
          <w:sz w:val="20"/>
          <w:szCs w:val="20"/>
          <w:color w:val="auto"/>
        </w:rPr>
      </w:pPr>
      <w:r>
        <w:rPr>
          <w:rFonts w:ascii="Times New Roman" w:cs="Times New Roman" w:eastAsia="Times New Roman" w:hAnsi="Times New Roman"/>
          <w:sz w:val="22"/>
          <w:szCs w:val="22"/>
          <w:color w:val="auto"/>
        </w:rPr>
        <w:t>70.00%</w:t>
      </w:r>
    </w:p>
    <w:p>
      <w:pPr>
        <w:spacing w:after="0" w:line="31" w:lineRule="exact"/>
        <w:rPr>
          <w:sz w:val="20"/>
          <w:szCs w:val="20"/>
          <w:color w:val="auto"/>
        </w:rPr>
      </w:pPr>
    </w:p>
    <w:p>
      <w:pPr>
        <w:ind w:left="5492"/>
        <w:spacing w:after="0"/>
        <w:rPr>
          <w:sz w:val="20"/>
          <w:szCs w:val="20"/>
          <w:color w:val="auto"/>
        </w:rPr>
      </w:pPr>
      <w:r>
        <w:rPr>
          <w:rFonts w:ascii="Times New Roman" w:cs="Times New Roman" w:eastAsia="Times New Roman" w:hAnsi="Times New Roman"/>
          <w:sz w:val="22"/>
          <w:szCs w:val="22"/>
          <w:color w:val="auto"/>
        </w:rPr>
        <w:t>80.00%</w:t>
      </w:r>
    </w:p>
    <w:p>
      <w:pPr>
        <w:spacing w:after="0" w:line="31" w:lineRule="exact"/>
        <w:rPr>
          <w:sz w:val="20"/>
          <w:szCs w:val="20"/>
          <w:color w:val="auto"/>
        </w:rPr>
      </w:pPr>
    </w:p>
    <w:p>
      <w:pPr>
        <w:ind w:left="5492"/>
        <w:spacing w:after="0"/>
        <w:rPr>
          <w:sz w:val="20"/>
          <w:szCs w:val="20"/>
          <w:color w:val="auto"/>
        </w:rPr>
      </w:pPr>
      <w:r>
        <w:rPr>
          <w:rFonts w:ascii="Times New Roman" w:cs="Times New Roman" w:eastAsia="Times New Roman" w:hAnsi="Times New Roman"/>
          <w:sz w:val="22"/>
          <w:szCs w:val="22"/>
          <w:color w:val="auto"/>
        </w:rPr>
        <w:t>90.00%</w:t>
      </w:r>
    </w:p>
    <w:p>
      <w:pPr>
        <w:spacing w:after="0" w:line="31" w:lineRule="exact"/>
        <w:rPr>
          <w:sz w:val="20"/>
          <w:szCs w:val="20"/>
          <w:color w:val="auto"/>
        </w:rPr>
      </w:pPr>
    </w:p>
    <w:p>
      <w:pPr>
        <w:ind w:left="5432"/>
        <w:spacing w:after="0"/>
        <w:rPr>
          <w:sz w:val="20"/>
          <w:szCs w:val="20"/>
          <w:color w:val="auto"/>
        </w:rPr>
      </w:pPr>
      <w:r>
        <w:rPr>
          <w:rFonts w:ascii="Times New Roman" w:cs="Times New Roman" w:eastAsia="Times New Roman" w:hAnsi="Times New Roman"/>
          <w:sz w:val="22"/>
          <w:szCs w:val="22"/>
          <w:color w:val="auto"/>
        </w:rPr>
        <w:t>100.00%</w:t>
      </w:r>
    </w:p>
    <w:p>
      <w:pPr>
        <w:spacing w:after="0" w:line="31" w:lineRule="exact"/>
        <w:rPr>
          <w:sz w:val="20"/>
          <w:szCs w:val="20"/>
          <w:color w:val="auto"/>
        </w:rPr>
      </w:pPr>
    </w:p>
    <w:p>
      <w:pPr>
        <w:ind w:left="5432"/>
        <w:spacing w:after="0"/>
        <w:rPr>
          <w:sz w:val="20"/>
          <w:szCs w:val="20"/>
          <w:color w:val="auto"/>
        </w:rPr>
      </w:pPr>
      <w:r>
        <w:rPr>
          <w:rFonts w:ascii="Times New Roman" w:cs="Times New Roman" w:eastAsia="Times New Roman" w:hAnsi="Times New Roman"/>
          <w:sz w:val="22"/>
          <w:szCs w:val="22"/>
          <w:color w:val="auto"/>
        </w:rPr>
        <w:t>128.60%</w:t>
      </w:r>
    </w:p>
    <w:p>
      <w:pPr>
        <w:spacing w:after="0" w:line="31" w:lineRule="exact"/>
        <w:rPr>
          <w:sz w:val="20"/>
          <w:szCs w:val="20"/>
          <w:color w:val="auto"/>
        </w:rPr>
      </w:pPr>
    </w:p>
    <w:p>
      <w:pPr>
        <w:ind w:left="5432"/>
        <w:spacing w:after="0"/>
        <w:rPr>
          <w:sz w:val="20"/>
          <w:szCs w:val="20"/>
          <w:color w:val="auto"/>
        </w:rPr>
      </w:pPr>
      <w:r>
        <w:rPr>
          <w:rFonts w:ascii="Times New Roman" w:cs="Times New Roman" w:eastAsia="Times New Roman" w:hAnsi="Times New Roman"/>
          <w:sz w:val="22"/>
          <w:szCs w:val="22"/>
          <w:color w:val="auto"/>
        </w:rPr>
        <w:t>157.10%</w:t>
      </w:r>
    </w:p>
    <w:p>
      <w:pPr>
        <w:spacing w:after="0" w:line="31" w:lineRule="exact"/>
        <w:rPr>
          <w:sz w:val="20"/>
          <w:szCs w:val="20"/>
          <w:color w:val="auto"/>
        </w:rPr>
      </w:pPr>
    </w:p>
    <w:p>
      <w:pPr>
        <w:ind w:left="5432"/>
        <w:spacing w:after="0"/>
        <w:rPr>
          <w:sz w:val="20"/>
          <w:szCs w:val="20"/>
          <w:color w:val="auto"/>
        </w:rPr>
      </w:pPr>
      <w:r>
        <w:rPr>
          <w:rFonts w:ascii="Times New Roman" w:cs="Times New Roman" w:eastAsia="Times New Roman" w:hAnsi="Times New Roman"/>
          <w:sz w:val="22"/>
          <w:szCs w:val="22"/>
          <w:color w:val="auto"/>
        </w:rPr>
        <w:t>185.70%</w:t>
      </w:r>
    </w:p>
    <w:p>
      <w:pPr>
        <w:spacing w:after="0" w:line="31" w:lineRule="exact"/>
        <w:rPr>
          <w:sz w:val="20"/>
          <w:szCs w:val="20"/>
          <w:color w:val="auto"/>
        </w:rPr>
      </w:pPr>
    </w:p>
    <w:p>
      <w:pPr>
        <w:ind w:left="5432"/>
        <w:spacing w:after="0"/>
        <w:rPr>
          <w:sz w:val="20"/>
          <w:szCs w:val="20"/>
          <w:color w:val="auto"/>
        </w:rPr>
      </w:pPr>
      <w:r>
        <w:rPr>
          <w:rFonts w:ascii="Times New Roman" w:cs="Times New Roman" w:eastAsia="Times New Roman" w:hAnsi="Times New Roman"/>
          <w:sz w:val="22"/>
          <w:szCs w:val="22"/>
          <w:color w:val="auto"/>
        </w:rPr>
        <w:t>200.00%</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8" w:firstLine="8"/>
        <w:spacing w:after="0" w:line="252" w:lineRule="auto"/>
        <w:tabs>
          <w:tab w:leader="none" w:pos="42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EPS CAGR PSUs Earned</w:t>
      </w:r>
      <w:r>
        <w:rPr>
          <w:rFonts w:ascii="Times New Roman" w:cs="Times New Roman" w:eastAsia="Times New Roman" w:hAnsi="Times New Roman"/>
          <w:sz w:val="22"/>
          <w:szCs w:val="22"/>
          <w:color w:val="auto"/>
        </w:rPr>
        <w:t>. Following the Performance Period, on the Determination Date, the Committee shall determine whether and to what extent the EPS CAGR performance goal has been satisfied for the Performance Period and shall determine the percentage of the EPS CAGR PSUs that shall become initially earned hereunder and under the Agreement (the “</w:t>
      </w:r>
      <w:r>
        <w:rPr>
          <w:rFonts w:ascii="Times New Roman" w:cs="Times New Roman" w:eastAsia="Times New Roman" w:hAnsi="Times New Roman"/>
          <w:sz w:val="22"/>
          <w:szCs w:val="22"/>
          <w:b w:val="1"/>
          <w:bCs w:val="1"/>
          <w:i w:val="1"/>
          <w:iCs w:val="1"/>
          <w:color w:val="auto"/>
        </w:rPr>
        <w:t>Initial EPS CAGR Percentage</w:t>
      </w:r>
      <w:r>
        <w:rPr>
          <w:rFonts w:ascii="Times New Roman" w:cs="Times New Roman" w:eastAsia="Times New Roman" w:hAnsi="Times New Roman"/>
          <w:sz w:val="22"/>
          <w:szCs w:val="22"/>
          <w:color w:val="auto"/>
        </w:rPr>
        <w:t xml:space="preserve">”), subject to modification pursuant to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on the basis of the following:</w:t>
      </w:r>
    </w:p>
    <w:p>
      <w:pPr>
        <w:spacing w:after="0" w:line="206" w:lineRule="exact"/>
        <w:rPr>
          <w:rFonts w:ascii="Times New Roman" w:cs="Times New Roman" w:eastAsia="Times New Roman" w:hAnsi="Times New Roman"/>
          <w:sz w:val="22"/>
          <w:szCs w:val="22"/>
          <w:color w:val="auto"/>
        </w:rPr>
      </w:pPr>
    </w:p>
    <w:p>
      <w:pPr>
        <w:ind w:left="1292" w:right="60" w:hanging="725"/>
        <w:spacing w:after="0" w:line="263" w:lineRule="auto"/>
        <w:tabs>
          <w:tab w:leader="none" w:pos="1079"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Below Threshold</w:t>
      </w:r>
      <w:r>
        <w:rPr>
          <w:rFonts w:ascii="Times New Roman" w:cs="Times New Roman" w:eastAsia="Times New Roman" w:hAnsi="Times New Roman"/>
          <w:sz w:val="22"/>
          <w:szCs w:val="22"/>
          <w:color w:val="auto"/>
        </w:rPr>
        <w:t>. If, upon the conclusion of the Performance Period, EPS CAGR for the Performance Period falls below the lowest EPS CAGR level set forth in the Performance Matrix, the Initial EPS CAGR Percentage shall be 0%.</w:t>
      </w:r>
    </w:p>
    <w:p>
      <w:pPr>
        <w:spacing w:after="0" w:line="194" w:lineRule="exact"/>
        <w:rPr>
          <w:rFonts w:ascii="Times New Roman" w:cs="Times New Roman" w:eastAsia="Times New Roman" w:hAnsi="Times New Roman"/>
          <w:sz w:val="22"/>
          <w:szCs w:val="22"/>
          <w:color w:val="auto"/>
        </w:rPr>
      </w:pPr>
    </w:p>
    <w:p>
      <w:pPr>
        <w:ind w:left="1292" w:hanging="644"/>
        <w:spacing w:after="0" w:line="251" w:lineRule="auto"/>
        <w:tabs>
          <w:tab w:leader="none" w:pos="1175"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Threshold or Above</w:t>
      </w:r>
      <w:r>
        <w:rPr>
          <w:rFonts w:ascii="Times New Roman" w:cs="Times New Roman" w:eastAsia="Times New Roman" w:hAnsi="Times New Roman"/>
          <w:sz w:val="22"/>
          <w:szCs w:val="22"/>
          <w:color w:val="auto"/>
        </w:rPr>
        <w:t>. If, upon the conclusion of the Performance Period, EPS CAGR for the Performance Period is exactly equal to one of the levels set forth in the Performance Matrix, the Initial EPS CAGR Percentage shall be equal to the percentage set forth opposite such level in the Performance Matrix. If, upon the conclusion of the Performance Period, EPS CAGR for the Performance Period falls between two levels set forth in the Performance Matrix, the Initial EPS CAGR Percentage shall be based on straight-line mathematical interpolation between the percentages applicable to such levels.</w:t>
      </w:r>
    </w:p>
    <w:p>
      <w:pPr>
        <w:spacing w:after="0" w:line="208" w:lineRule="exact"/>
        <w:rPr>
          <w:rFonts w:ascii="Times New Roman" w:cs="Times New Roman" w:eastAsia="Times New Roman" w:hAnsi="Times New Roman"/>
          <w:sz w:val="22"/>
          <w:szCs w:val="22"/>
          <w:color w:val="auto"/>
        </w:rPr>
      </w:pPr>
    </w:p>
    <w:p>
      <w:pPr>
        <w:ind w:left="-8" w:firstLine="8"/>
        <w:spacing w:after="0" w:line="271" w:lineRule="auto"/>
        <w:tabs>
          <w:tab w:leader="none" w:pos="37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RONA Performance Matrix</w:t>
      </w:r>
      <w:r>
        <w:rPr>
          <w:rFonts w:ascii="Times New Roman" w:cs="Times New Roman" w:eastAsia="Times New Roman" w:hAnsi="Times New Roman"/>
          <w:sz w:val="22"/>
          <w:szCs w:val="22"/>
          <w:color w:val="auto"/>
        </w:rPr>
        <w:t>. From 0% to 200% of the Cash RONA PSUs will be initially earned based on achievement of the Cash RONA performance goal during the 2026 fiscal year as follows:</w:t>
      </w:r>
    </w:p>
    <w:p>
      <w:pPr>
        <w:spacing w:after="0" w:line="206" w:lineRule="exact"/>
        <w:rPr>
          <w:sz w:val="20"/>
          <w:szCs w:val="20"/>
          <w:color w:val="auto"/>
        </w:rPr>
      </w:pPr>
    </w:p>
    <w:tbl>
      <w:tblPr>
        <w:tblLayout w:type="fixed"/>
        <w:tblInd w:w="1802" w:type="dxa"/>
        <w:tblCellMar>
          <w:top w:w="0" w:type="dxa"/>
          <w:left w:w="0" w:type="dxa"/>
          <w:bottom w:w="0" w:type="dxa"/>
          <w:right w:w="0" w:type="dxa"/>
        </w:tblCellMar>
      </w:tblPr>
      <w:tr>
        <w:trPr>
          <w:trHeight w:val="216"/>
        </w:trPr>
        <w:tc>
          <w:tcPr>
            <w:tcW w:w="2640" w:type="dxa"/>
            <w:vAlign w:val="bottom"/>
            <w:tcBorders>
              <w:top w:val="single" w:sz="8" w:color="auto"/>
              <w:left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6"/>
              </w:rPr>
              <w:t>2026 Fiscal Year Cash</w:t>
            </w:r>
          </w:p>
        </w:tc>
        <w:tc>
          <w:tcPr>
            <w:tcW w:w="282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Initial Cash RONA</w:t>
            </w:r>
          </w:p>
        </w:tc>
      </w:tr>
      <w:tr>
        <w:trPr>
          <w:trHeight w:val="284"/>
        </w:trPr>
        <w:tc>
          <w:tcPr>
            <w:tcW w:w="2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RONA</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Percentage</w:t>
            </w:r>
          </w:p>
        </w:tc>
      </w:tr>
      <w:tr>
        <w:trPr>
          <w:trHeight w:val="263"/>
        </w:trPr>
        <w:tc>
          <w:tcPr>
            <w:tcW w:w="264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40.0%</w:t>
            </w:r>
          </w:p>
        </w:tc>
      </w:tr>
      <w:tr>
        <w:trPr>
          <w:trHeight w:val="263"/>
        </w:trPr>
        <w:tc>
          <w:tcPr>
            <w:tcW w:w="264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60.0%</w:t>
            </w:r>
          </w:p>
        </w:tc>
      </w:tr>
      <w:tr>
        <w:trPr>
          <w:trHeight w:val="264"/>
        </w:trPr>
        <w:tc>
          <w:tcPr>
            <w:tcW w:w="264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80.0%</w:t>
            </w:r>
          </w:p>
        </w:tc>
      </w:tr>
      <w:tr>
        <w:trPr>
          <w:trHeight w:val="263"/>
        </w:trPr>
        <w:tc>
          <w:tcPr>
            <w:tcW w:w="264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100.0%</w:t>
            </w:r>
          </w:p>
        </w:tc>
      </w:tr>
      <w:tr>
        <w:trPr>
          <w:trHeight w:val="263"/>
        </w:trPr>
        <w:tc>
          <w:tcPr>
            <w:tcW w:w="264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133.3%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1232"/>
          </w:cols>
          <w:pgMar w:left="328" w:top="1440" w:right="339" w:bottom="1440" w:gutter="0" w:footer="0" w:header="0"/>
        </w:sectPr>
      </w:pPr>
    </w:p>
    <w:bookmarkStart w:id="58" w:name="page59"/>
    <w:bookmarkEnd w:id="58"/>
    <w:p>
      <w:pPr>
        <w:spacing w:after="0" w:line="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166.7%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-160020</wp:posOffset>
            </wp:positionV>
            <wp:extent cx="3463290" cy="3689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463290" cy="368935"/>
                    </a:xfrm>
                    <a:prstGeom prst="rect">
                      <a:avLst/>
                    </a:prstGeom>
                    <a:noFill/>
                  </pic:spPr>
                </pic:pic>
              </a:graphicData>
            </a:graphic>
          </wp:anchor>
        </w:drawing>
      </w:r>
    </w:p>
    <w:p>
      <w:pPr>
        <w:spacing w:after="0" w:line="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200.0%</w:t>
      </w:r>
    </w:p>
    <w:p>
      <w:pPr>
        <w:spacing w:after="0" w:line="368" w:lineRule="exact"/>
        <w:rPr>
          <w:sz w:val="20"/>
          <w:szCs w:val="20"/>
          <w:color w:val="auto"/>
        </w:rPr>
      </w:pPr>
    </w:p>
    <w:p>
      <w:pPr>
        <w:jc w:val="both"/>
        <w:ind w:firstLine="8"/>
        <w:spacing w:after="0" w:line="252" w:lineRule="auto"/>
        <w:tabs>
          <w:tab w:leader="none" w:pos="41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Cash RONA PSUs Earned</w:t>
      </w:r>
      <w:r>
        <w:rPr>
          <w:rFonts w:ascii="Times New Roman" w:cs="Times New Roman" w:eastAsia="Times New Roman" w:hAnsi="Times New Roman"/>
          <w:sz w:val="22"/>
          <w:szCs w:val="22"/>
          <w:color w:val="auto"/>
        </w:rPr>
        <w:t>. Following the Performance Period, on the Determination Date, the Committee shall determine whether and to what extent the Cash RONA performance goal has been satisfied for the 2026 fiscal year and shall determine the percentage of the Cash RONA PSUs that shall become initially earned hereunder and under the Agreement (the “</w:t>
      </w:r>
      <w:r>
        <w:rPr>
          <w:rFonts w:ascii="Times New Roman" w:cs="Times New Roman" w:eastAsia="Times New Roman" w:hAnsi="Times New Roman"/>
          <w:sz w:val="22"/>
          <w:szCs w:val="22"/>
          <w:b w:val="1"/>
          <w:bCs w:val="1"/>
          <w:i w:val="1"/>
          <w:iCs w:val="1"/>
          <w:color w:val="auto"/>
        </w:rPr>
        <w:t>Initial Cash RONA Percentage</w:t>
      </w:r>
      <w:r>
        <w:rPr>
          <w:rFonts w:ascii="Times New Roman" w:cs="Times New Roman" w:eastAsia="Times New Roman" w:hAnsi="Times New Roman"/>
          <w:sz w:val="22"/>
          <w:szCs w:val="22"/>
          <w:color w:val="auto"/>
        </w:rPr>
        <w:t xml:space="preserve">”), subject to modification pursuant to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on the basis of the following:</w:t>
      </w:r>
    </w:p>
    <w:p>
      <w:pPr>
        <w:spacing w:after="0" w:line="206" w:lineRule="exact"/>
        <w:rPr>
          <w:rFonts w:ascii="Times New Roman" w:cs="Times New Roman" w:eastAsia="Times New Roman" w:hAnsi="Times New Roman"/>
          <w:sz w:val="22"/>
          <w:szCs w:val="22"/>
          <w:color w:val="auto"/>
        </w:rPr>
      </w:pPr>
    </w:p>
    <w:p>
      <w:pPr>
        <w:ind w:left="1300" w:hanging="725"/>
        <w:spacing w:after="0" w:line="263" w:lineRule="auto"/>
        <w:tabs>
          <w:tab w:leader="none" w:pos="118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Below Threshold</w:t>
      </w:r>
      <w:r>
        <w:rPr>
          <w:rFonts w:ascii="Times New Roman" w:cs="Times New Roman" w:eastAsia="Times New Roman" w:hAnsi="Times New Roman"/>
          <w:sz w:val="22"/>
          <w:szCs w:val="22"/>
          <w:color w:val="auto"/>
        </w:rPr>
        <w:t>. If, upon the conclusion of the Performance Period, Cash RONA for the 2026 fiscal year falls below the lowest Cash RONA level set forth in the Performance Matrix, the Initial Cash RONA Percentage shall be 0%.</w:t>
      </w:r>
    </w:p>
    <w:p>
      <w:pPr>
        <w:spacing w:after="0" w:line="194" w:lineRule="exact"/>
        <w:rPr>
          <w:rFonts w:ascii="Times New Roman" w:cs="Times New Roman" w:eastAsia="Times New Roman" w:hAnsi="Times New Roman"/>
          <w:sz w:val="22"/>
          <w:szCs w:val="22"/>
          <w:color w:val="auto"/>
        </w:rPr>
      </w:pPr>
    </w:p>
    <w:p>
      <w:pPr>
        <w:jc w:val="both"/>
        <w:ind w:left="1300" w:hanging="644"/>
        <w:spacing w:after="0" w:line="251" w:lineRule="auto"/>
        <w:tabs>
          <w:tab w:leader="none" w:pos="1237"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Threshold or Above</w:t>
      </w:r>
      <w:r>
        <w:rPr>
          <w:rFonts w:ascii="Times New Roman" w:cs="Times New Roman" w:eastAsia="Times New Roman" w:hAnsi="Times New Roman"/>
          <w:sz w:val="22"/>
          <w:szCs w:val="22"/>
          <w:color w:val="auto"/>
        </w:rPr>
        <w:t>. If, upon the conclusion of the Performance Period, Cash RONA for the 2026 fiscal year is exactly equal to one of the levels set forth in the Performance Matrix, the Initial Cash RONA Percentage shall be equal to the percentage set forth opposite such level in the Performance Matrix. If, upon the conclusion of the Performance Period, Cash RONA for the 2026 fiscal year falls between two levels set forth in the Performance Matrix, the Initial Cash RONA Percentage shall be based on straight-line mathematical interpolation between the percentages applicable to such levels.</w:t>
      </w:r>
    </w:p>
    <w:p>
      <w:pPr>
        <w:spacing w:after="0" w:line="208" w:lineRule="exact"/>
        <w:rPr>
          <w:rFonts w:ascii="Times New Roman" w:cs="Times New Roman" w:eastAsia="Times New Roman" w:hAnsi="Times New Roman"/>
          <w:sz w:val="22"/>
          <w:szCs w:val="22"/>
          <w:color w:val="auto"/>
        </w:rPr>
      </w:pPr>
    </w:p>
    <w:p>
      <w:pPr>
        <w:jc w:val="both"/>
        <w:ind w:right="20" w:firstLine="8"/>
        <w:spacing w:after="0" w:line="257" w:lineRule="auto"/>
        <w:tabs>
          <w:tab w:leader="none" w:pos="44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RTSR Modifier Performance Matrix</w:t>
      </w:r>
      <w:r>
        <w:rPr>
          <w:rFonts w:ascii="Times New Roman" w:cs="Times New Roman" w:eastAsia="Times New Roman" w:hAnsi="Times New Roman"/>
          <w:sz w:val="22"/>
          <w:szCs w:val="22"/>
          <w:color w:val="auto"/>
        </w:rPr>
        <w:t>. Following the Performance Period, on the Determination Date, the Committee shall determine whether and to what extent the RTSR performance goal has been satisfied for the Performance Period and shall determine a percentage modifier (the “</w:t>
      </w:r>
      <w:r>
        <w:rPr>
          <w:rFonts w:ascii="Times New Roman" w:cs="Times New Roman" w:eastAsia="Times New Roman" w:hAnsi="Times New Roman"/>
          <w:sz w:val="22"/>
          <w:szCs w:val="22"/>
          <w:b w:val="1"/>
          <w:bCs w:val="1"/>
          <w:i w:val="1"/>
          <w:iCs w:val="1"/>
          <w:color w:val="auto"/>
        </w:rPr>
        <w:t>RTSR Percentage Modifier</w:t>
      </w:r>
      <w:r>
        <w:rPr>
          <w:rFonts w:ascii="Times New Roman" w:cs="Times New Roman" w:eastAsia="Times New Roman" w:hAnsi="Times New Roman"/>
          <w:sz w:val="22"/>
          <w:szCs w:val="22"/>
          <w:color w:val="auto"/>
        </w:rPr>
        <w:t>”) in accordance with the following table:</w:t>
      </w:r>
    </w:p>
    <w:p>
      <w:pPr>
        <w:spacing w:after="0" w:line="234" w:lineRule="exact"/>
        <w:rPr>
          <w:sz w:val="20"/>
          <w:szCs w:val="20"/>
          <w:color w:val="auto"/>
        </w:rPr>
      </w:pPr>
    </w:p>
    <w:tbl>
      <w:tblPr>
        <w:tblLayout w:type="fixed"/>
        <w:tblInd w:w="770" w:type="dxa"/>
        <w:tblCellMar>
          <w:top w:w="0" w:type="dxa"/>
          <w:left w:w="0" w:type="dxa"/>
          <w:bottom w:w="0" w:type="dxa"/>
          <w:right w:w="0" w:type="dxa"/>
        </w:tblCellMar>
      </w:tblPr>
      <w:tr>
        <w:trPr>
          <w:trHeight w:val="283"/>
        </w:trPr>
        <w:tc>
          <w:tcPr>
            <w:tcW w:w="474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Relative Total Shareholder Return</w:t>
            </w:r>
          </w:p>
        </w:tc>
        <w:tc>
          <w:tcPr>
            <w:tcW w:w="4820" w:type="dxa"/>
            <w:vAlign w:val="bottom"/>
            <w:tcBorders>
              <w:top w:val="single" w:sz="8" w:color="auto"/>
              <w:bottom w:val="single" w:sz="8" w:color="auto"/>
              <w:right w:val="single" w:sz="8" w:color="auto"/>
            </w:tcBorders>
            <w:shd w:val="clear" w:color="auto" w:fill="BFBFBF"/>
          </w:tcPr>
          <w:p>
            <w:pPr>
              <w:ind w:left="1160"/>
              <w:spacing w:after="0"/>
              <w:rPr>
                <w:sz w:val="20"/>
                <w:szCs w:val="20"/>
                <w:color w:val="auto"/>
              </w:rPr>
            </w:pPr>
            <w:r>
              <w:rPr>
                <w:rFonts w:ascii="Times New Roman" w:cs="Times New Roman" w:eastAsia="Times New Roman" w:hAnsi="Times New Roman"/>
                <w:sz w:val="22"/>
                <w:szCs w:val="22"/>
                <w:b w:val="1"/>
                <w:bCs w:val="1"/>
                <w:color w:val="auto"/>
              </w:rPr>
              <w:t>RTSR Percentage Modifier</w:t>
            </w:r>
          </w:p>
        </w:tc>
      </w:tr>
      <w:tr>
        <w:trPr>
          <w:trHeight w:val="304"/>
        </w:trPr>
        <w:tc>
          <w:tcPr>
            <w:tcW w:w="4740" w:type="dxa"/>
            <w:vAlign w:val="bottom"/>
            <w:tcBorders>
              <w:left w:val="single" w:sz="8" w:color="auto"/>
              <w:bottom w:val="single" w:sz="8" w:color="auto"/>
              <w:right w:val="single" w:sz="8" w:color="auto"/>
            </w:tcBorders>
          </w:tcPr>
          <w:p>
            <w:pPr>
              <w:jc w:val="center"/>
              <w:spacing w:after="0" w:line="304" w:lineRule="exact"/>
              <w:rPr>
                <w:sz w:val="20"/>
                <w:szCs w:val="20"/>
                <w:color w:val="auto"/>
              </w:rPr>
            </w:pPr>
            <w:r>
              <w:rPr>
                <w:rFonts w:ascii="Times New Roman" w:cs="Times New Roman" w:eastAsia="Times New Roman" w:hAnsi="Times New Roman"/>
                <w:sz w:val="22"/>
                <w:szCs w:val="22"/>
                <w:color w:val="auto"/>
                <w:w w:val="97"/>
              </w:rPr>
              <w:t>Ranked below or at 25</w:t>
            </w:r>
            <w:r>
              <w:rPr>
                <w:rFonts w:ascii="Times New Roman" w:cs="Times New Roman" w:eastAsia="Times New Roman" w:hAnsi="Times New Roman"/>
                <w:sz w:val="28"/>
                <w:szCs w:val="28"/>
                <w:color w:val="auto"/>
                <w:w w:val="97"/>
                <w:vertAlign w:val="superscript"/>
              </w:rPr>
              <w:t>th</w:t>
            </w:r>
            <w:r>
              <w:rPr>
                <w:rFonts w:ascii="Times New Roman" w:cs="Times New Roman" w:eastAsia="Times New Roman" w:hAnsi="Times New Roman"/>
                <w:sz w:val="22"/>
                <w:szCs w:val="22"/>
                <w:color w:val="auto"/>
                <w:w w:val="97"/>
              </w:rPr>
              <w:t xml:space="preserve"> percentile</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75%</w:t>
            </w:r>
          </w:p>
        </w:tc>
      </w:tr>
      <w:tr>
        <w:trPr>
          <w:trHeight w:val="263"/>
        </w:trPr>
        <w:tc>
          <w:tcPr>
            <w:tcW w:w="4740" w:type="dxa"/>
            <w:vAlign w:val="bottom"/>
            <w:tcBorders>
              <w:left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2"/>
                <w:szCs w:val="22"/>
                <w:color w:val="auto"/>
                <w:w w:val="96"/>
              </w:rPr>
              <w:t>Ranked above 25</w:t>
            </w:r>
            <w:r>
              <w:rPr>
                <w:rFonts w:ascii="Times New Roman" w:cs="Times New Roman" w:eastAsia="Times New Roman" w:hAnsi="Times New Roman"/>
                <w:sz w:val="28"/>
                <w:szCs w:val="28"/>
                <w:color w:val="auto"/>
                <w:w w:val="96"/>
                <w:vertAlign w:val="superscript"/>
              </w:rPr>
              <w:t>th</w:t>
            </w:r>
            <w:r>
              <w:rPr>
                <w:rFonts w:ascii="Times New Roman" w:cs="Times New Roman" w:eastAsia="Times New Roman" w:hAnsi="Times New Roman"/>
                <w:sz w:val="22"/>
                <w:szCs w:val="22"/>
                <w:color w:val="auto"/>
                <w:w w:val="96"/>
              </w:rPr>
              <w:t xml:space="preserve"> percentile but below 75</w:t>
            </w:r>
            <w:r>
              <w:rPr>
                <w:rFonts w:ascii="Times New Roman" w:cs="Times New Roman" w:eastAsia="Times New Roman" w:hAnsi="Times New Roman"/>
                <w:sz w:val="28"/>
                <w:szCs w:val="28"/>
                <w:color w:val="auto"/>
                <w:w w:val="96"/>
                <w:vertAlign w:val="superscript"/>
              </w:rPr>
              <w:t>th</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r>
      <w:tr>
        <w:trPr>
          <w:trHeight w:val="291"/>
        </w:trPr>
        <w:tc>
          <w:tcPr>
            <w:tcW w:w="4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percentile</w:t>
            </w:r>
          </w:p>
        </w:tc>
        <w:tc>
          <w:tcPr>
            <w:tcW w:w="4820" w:type="dxa"/>
            <w:vAlign w:val="bottom"/>
            <w:tcBorders>
              <w:bottom w:val="single" w:sz="8" w:color="auto"/>
              <w:right w:val="single" w:sz="8" w:color="auto"/>
            </w:tcBorders>
          </w:tcPr>
          <w:p>
            <w:pPr>
              <w:spacing w:after="0"/>
              <w:rPr>
                <w:sz w:val="24"/>
                <w:szCs w:val="24"/>
                <w:color w:val="auto"/>
              </w:rPr>
            </w:pPr>
          </w:p>
        </w:tc>
      </w:tr>
      <w:tr>
        <w:trPr>
          <w:trHeight w:val="311"/>
        </w:trPr>
        <w:tc>
          <w:tcPr>
            <w:tcW w:w="4740" w:type="dxa"/>
            <w:vAlign w:val="bottom"/>
            <w:tcBorders>
              <w:left w:val="single" w:sz="8" w:color="auto"/>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22"/>
                <w:szCs w:val="22"/>
                <w:color w:val="auto"/>
                <w:w w:val="96"/>
              </w:rPr>
              <w:t>Ranked at or above 75</w:t>
            </w:r>
            <w:r>
              <w:rPr>
                <w:rFonts w:ascii="Times New Roman" w:cs="Times New Roman" w:eastAsia="Times New Roman" w:hAnsi="Times New Roman"/>
                <w:sz w:val="28"/>
                <w:szCs w:val="28"/>
                <w:color w:val="auto"/>
                <w:w w:val="96"/>
                <w:vertAlign w:val="superscript"/>
              </w:rPr>
              <w:t>th</w:t>
            </w:r>
            <w:r>
              <w:rPr>
                <w:rFonts w:ascii="Times New Roman" w:cs="Times New Roman" w:eastAsia="Times New Roman" w:hAnsi="Times New Roman"/>
                <w:sz w:val="22"/>
                <w:szCs w:val="22"/>
                <w:color w:val="auto"/>
                <w:w w:val="96"/>
              </w:rPr>
              <w:t xml:space="preserve"> percentile</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125%</w:t>
            </w:r>
          </w:p>
        </w:tc>
      </w:tr>
    </w:tbl>
    <w:p>
      <w:pPr>
        <w:spacing w:after="0" w:line="310"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22"/>
          <w:szCs w:val="22"/>
          <w:color w:val="auto"/>
        </w:rPr>
        <w:t>If, upon the conclusion of the Performance Period, RTSR performance for the Performance Period falls below the lowest RTSR performance level set forth in the Performance Matrix, the RTSR Percentage Modifier for the Performance Period will be 75%. If, upon the conclusion of the Performance Period, RTSR performance for the Performance Period is exactly equal to one of the levels set forth in the Performance Matrix, the RTSR Percentage Modifier for the Performance Period shall be equal to the percentage set forth opposite such level in the Performance Matrix. If, upon the conclusion of the Performance Period, RTSR performance for the Performance Period falls between two levels set forth in the Performance Matrix, the RTSR Percentage Modifier for the Performance Period shall be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1240"/>
          </w:cols>
          <w:pgMar w:left="320" w:top="1440" w:right="339" w:bottom="1440" w:gutter="0" w:footer="0" w:header="0"/>
        </w:sectPr>
      </w:pPr>
    </w:p>
    <w:bookmarkStart w:id="59" w:name="page60"/>
    <w:bookmarkEnd w:id="59"/>
    <w:p>
      <w:pPr>
        <w:jc w:val="both"/>
        <w:ind w:firstLine="8"/>
        <w:spacing w:after="0" w:line="257" w:lineRule="auto"/>
        <w:tabs>
          <w:tab w:leader="none" w:pos="52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Total Number of PSUs Earned</w:t>
      </w:r>
      <w:r>
        <w:rPr>
          <w:rFonts w:ascii="Times New Roman" w:cs="Times New Roman" w:eastAsia="Times New Roman" w:hAnsi="Times New Roman"/>
          <w:sz w:val="22"/>
          <w:szCs w:val="22"/>
          <w:color w:val="auto"/>
        </w:rPr>
        <w:t xml:space="preserve">. The total number of PSUs earned shall be a percentage of the PSUs (rounded down to the nearest whole number of PSUs) equal to the product of (A) 50% of the sum of the Initial EPS CAGR Percentage and the Initial Cash RONA Percentage,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(B) the RTSR Percentage Modifier.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ILLUSTRATIVE EXAMPLE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illustration only, assume that:</w:t>
      </w:r>
    </w:p>
    <w:p>
      <w:pPr>
        <w:spacing w:after="0" w:line="28" w:lineRule="exact"/>
        <w:rPr>
          <w:sz w:val="20"/>
          <w:szCs w:val="20"/>
          <w:color w:val="auto"/>
        </w:rPr>
      </w:pPr>
    </w:p>
    <w:p>
      <w:pPr>
        <w:ind w:left="360" w:hanging="136"/>
        <w:spacing w:after="0"/>
        <w:tabs>
          <w:tab w:leader="none" w:pos="3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EPS CAGR Percentage is 50%;</w:t>
      </w:r>
    </w:p>
    <w:p>
      <w:pPr>
        <w:spacing w:after="0" w:line="3"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Cash RONA Percentage is 100%; and</w:t>
      </w:r>
    </w:p>
    <w:p>
      <w:pPr>
        <w:spacing w:after="0" w:line="3"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RTSR Percentage Modifier is 125%.</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In such case, </w:t>
      </w:r>
      <w:r>
        <w:rPr>
          <w:rFonts w:ascii="Times New Roman" w:cs="Times New Roman" w:eastAsia="Times New Roman" w:hAnsi="Times New Roman"/>
          <w:sz w:val="22"/>
          <w:szCs w:val="22"/>
          <w:b w:val="1"/>
          <w:bCs w:val="1"/>
          <w:u w:val="single" w:color="auto"/>
          <w:color w:val="auto"/>
        </w:rPr>
        <w:t>93.75%</w:t>
      </w:r>
      <w:r>
        <w:rPr>
          <w:rFonts w:ascii="Times New Roman" w:cs="Times New Roman" w:eastAsia="Times New Roman" w:hAnsi="Times New Roman"/>
          <w:sz w:val="22"/>
          <w:szCs w:val="22"/>
          <w:color w:val="auto"/>
        </w:rPr>
        <w:t xml:space="preserve"> of the PSUs would be earned, calculated as follows: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(50% + 100%)</w:t>
      </w:r>
    </w:p>
    <w:p>
      <w:pPr>
        <w:spacing w:after="0" w:line="28" w:lineRule="exact"/>
        <w:rPr>
          <w:sz w:val="20"/>
          <w:szCs w:val="20"/>
          <w:color w:val="auto"/>
        </w:rPr>
      </w:pPr>
    </w:p>
    <w:p>
      <w:pPr>
        <w:ind w:left="380" w:hanging="372"/>
        <w:spacing w:after="0"/>
        <w:tabs>
          <w:tab w:leader="none" w:pos="3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125% = 93.75%</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61" w:lineRule="exact"/>
        <w:rPr>
          <w:rFonts w:ascii="Times New Roman" w:cs="Times New Roman" w:eastAsia="Times New Roman" w:hAnsi="Times New Roman"/>
          <w:sz w:val="22"/>
          <w:szCs w:val="22"/>
          <w:color w:val="auto"/>
        </w:rPr>
      </w:pPr>
    </w:p>
    <w:p>
      <w:pPr>
        <w:ind w:left="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w:t>
      </w:r>
    </w:p>
    <w:p>
      <w:pPr>
        <w:sectPr>
          <w:pgSz w:w="11900" w:h="16838" w:orient="portrait"/>
          <w:cols w:equalWidth="0" w:num="1">
            <w:col w:w="11240"/>
          </w:cols>
          <w:pgMar w:left="320" w:top="1422" w:right="339" w:bottom="1440" w:gutter="0" w:footer="0" w:header="0"/>
        </w:sectPr>
      </w:pPr>
    </w:p>
    <w:bookmarkStart w:id="60" w:name="page61"/>
    <w:bookmarkEnd w:id="60"/>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2840" w:type="dxa"/>
            <w:vAlign w:val="bottom"/>
            <w:tcBorders>
              <w:left w:val="single" w:sz="8" w:color="1F497D"/>
              <w:right w:val="single" w:sz="8" w:color="1F497D"/>
            </w:tcBorders>
            <w:shd w:val="clear" w:color="auto" w:fill="1F497D"/>
          </w:tcPr>
          <w:p>
            <w:pPr>
              <w:spacing w:after="0"/>
              <w:rPr>
                <w:sz w:val="19"/>
                <w:szCs w:val="19"/>
                <w:color w:val="auto"/>
              </w:rPr>
            </w:pPr>
          </w:p>
        </w:tc>
        <w:tc>
          <w:tcPr>
            <w:tcW w:w="960" w:type="dxa"/>
            <w:vAlign w:val="bottom"/>
            <w:tcBorders>
              <w:right w:val="single" w:sz="8" w:color="1F497D"/>
            </w:tcBorders>
            <w:shd w:val="clear" w:color="auto" w:fill="1F497D"/>
          </w:tcPr>
          <w:p>
            <w:pPr>
              <w:spacing w:after="0"/>
              <w:rPr>
                <w:sz w:val="19"/>
                <w:szCs w:val="19"/>
                <w:color w:val="auto"/>
              </w:rPr>
            </w:pPr>
          </w:p>
        </w:tc>
        <w:tc>
          <w:tcPr>
            <w:tcW w:w="3740" w:type="dxa"/>
            <w:vAlign w:val="bottom"/>
            <w:tcBorders>
              <w:right w:val="single" w:sz="8" w:color="1F497D"/>
            </w:tcBorders>
            <w:gridSpan w:val="2"/>
            <w:shd w:val="clear" w:color="auto" w:fill="1F497D"/>
          </w:tcPr>
          <w:p>
            <w:pPr>
              <w:spacing w:after="0"/>
              <w:rPr>
                <w:sz w:val="20"/>
                <w:szCs w:val="20"/>
                <w:color w:val="auto"/>
              </w:rPr>
            </w:pPr>
            <w:r>
              <w:rPr>
                <w:rFonts w:ascii="Times New Roman" w:cs="Times New Roman" w:eastAsia="Times New Roman" w:hAnsi="Times New Roman"/>
                <w:sz w:val="18"/>
                <w:szCs w:val="18"/>
                <w:b w:val="1"/>
                <w:bCs w:val="1"/>
                <w:color w:val="FFFFFF"/>
                <w:w w:val="98"/>
              </w:rPr>
              <w:t>S&amp;P SmallCap 600 Industrials (January 1, 2024)</w:t>
            </w:r>
          </w:p>
        </w:tc>
        <w:tc>
          <w:tcPr>
            <w:tcW w:w="2660" w:type="dxa"/>
            <w:vAlign w:val="bottom"/>
            <w:tcBorders>
              <w:right w:val="single" w:sz="8" w:color="1F497D"/>
            </w:tcBorders>
            <w:shd w:val="clear" w:color="auto" w:fill="1F497D"/>
          </w:tcPr>
          <w:p>
            <w:pPr>
              <w:spacing w:after="0"/>
              <w:rPr>
                <w:sz w:val="19"/>
                <w:szCs w:val="19"/>
                <w:color w:val="auto"/>
              </w:rPr>
            </w:pPr>
          </w:p>
        </w:tc>
        <w:tc>
          <w:tcPr>
            <w:tcW w:w="1040" w:type="dxa"/>
            <w:vAlign w:val="bottom"/>
            <w:shd w:val="clear" w:color="auto" w:fill="1F497D"/>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2840" w:type="dxa"/>
            <w:vAlign w:val="bottom"/>
            <w:tcBorders>
              <w:left w:val="single" w:sz="8" w:color="1F497D"/>
              <w:right w:val="single" w:sz="8" w:color="1F497D"/>
            </w:tcBorders>
            <w:shd w:val="clear" w:color="auto" w:fill="1F497D"/>
          </w:tcPr>
          <w:p>
            <w:pPr>
              <w:ind w:left="80"/>
              <w:spacing w:after="0"/>
              <w:rPr>
                <w:sz w:val="20"/>
                <w:szCs w:val="20"/>
                <w:color w:val="auto"/>
              </w:rPr>
            </w:pPr>
            <w:r>
              <w:rPr>
                <w:rFonts w:ascii="Times New Roman" w:cs="Times New Roman" w:eastAsia="Times New Roman" w:hAnsi="Times New Roman"/>
                <w:sz w:val="18"/>
                <w:szCs w:val="18"/>
                <w:b w:val="1"/>
                <w:bCs w:val="1"/>
                <w:color w:val="FFFFFF"/>
              </w:rPr>
              <w:t>Company Name</w:t>
            </w:r>
          </w:p>
        </w:tc>
        <w:tc>
          <w:tcPr>
            <w:tcW w:w="960" w:type="dxa"/>
            <w:vAlign w:val="bottom"/>
            <w:tcBorders>
              <w:right w:val="single" w:sz="8" w:color="1F497D"/>
            </w:tcBorders>
            <w:shd w:val="clear" w:color="auto" w:fill="1F497D"/>
          </w:tcPr>
          <w:p>
            <w:pPr>
              <w:ind w:left="380"/>
              <w:spacing w:after="0"/>
              <w:rPr>
                <w:sz w:val="20"/>
                <w:szCs w:val="20"/>
                <w:color w:val="auto"/>
              </w:rPr>
            </w:pPr>
            <w:r>
              <w:rPr>
                <w:rFonts w:ascii="Times New Roman" w:cs="Times New Roman" w:eastAsia="Times New Roman" w:hAnsi="Times New Roman"/>
                <w:sz w:val="18"/>
                <w:szCs w:val="18"/>
                <w:b w:val="1"/>
                <w:bCs w:val="1"/>
                <w:color w:val="FFFFFF"/>
              </w:rPr>
              <w:t>Ticker</w:t>
            </w:r>
          </w:p>
        </w:tc>
        <w:tc>
          <w:tcPr>
            <w:tcW w:w="2780" w:type="dxa"/>
            <w:vAlign w:val="bottom"/>
            <w:tcBorders>
              <w:right w:val="single" w:sz="8" w:color="1F497D"/>
            </w:tcBorders>
            <w:shd w:val="clear" w:color="auto" w:fill="1F497D"/>
          </w:tcPr>
          <w:p>
            <w:pPr>
              <w:ind w:left="420"/>
              <w:spacing w:after="0"/>
              <w:rPr>
                <w:sz w:val="20"/>
                <w:szCs w:val="20"/>
                <w:color w:val="auto"/>
              </w:rPr>
            </w:pPr>
            <w:r>
              <w:rPr>
                <w:rFonts w:ascii="Times New Roman" w:cs="Times New Roman" w:eastAsia="Times New Roman" w:hAnsi="Times New Roman"/>
                <w:sz w:val="18"/>
                <w:szCs w:val="18"/>
                <w:b w:val="1"/>
                <w:bCs w:val="1"/>
                <w:color w:val="FFFFFF"/>
              </w:rPr>
              <w:t>Company Name</w:t>
            </w:r>
          </w:p>
        </w:tc>
        <w:tc>
          <w:tcPr>
            <w:tcW w:w="960" w:type="dxa"/>
            <w:vAlign w:val="bottom"/>
            <w:tcBorders>
              <w:right w:val="single" w:sz="8" w:color="1F497D"/>
            </w:tcBorders>
            <w:shd w:val="clear" w:color="auto" w:fill="1F497D"/>
          </w:tcPr>
          <w:p>
            <w:pPr>
              <w:jc w:val="center"/>
              <w:spacing w:after="0"/>
              <w:rPr>
                <w:sz w:val="20"/>
                <w:szCs w:val="20"/>
                <w:color w:val="auto"/>
              </w:rPr>
            </w:pPr>
            <w:r>
              <w:rPr>
                <w:rFonts w:ascii="Times New Roman" w:cs="Times New Roman" w:eastAsia="Times New Roman" w:hAnsi="Times New Roman"/>
                <w:sz w:val="18"/>
                <w:szCs w:val="18"/>
                <w:b w:val="1"/>
                <w:bCs w:val="1"/>
                <w:color w:val="FFFFFF"/>
              </w:rPr>
              <w:t>Ticker</w:t>
            </w:r>
          </w:p>
        </w:tc>
        <w:tc>
          <w:tcPr>
            <w:tcW w:w="2660" w:type="dxa"/>
            <w:vAlign w:val="bottom"/>
            <w:tcBorders>
              <w:right w:val="single" w:sz="8" w:color="1F497D"/>
            </w:tcBorders>
            <w:shd w:val="clear" w:color="auto" w:fill="1F497D"/>
          </w:tcPr>
          <w:p>
            <w:pPr>
              <w:ind w:left="60"/>
              <w:spacing w:after="0"/>
              <w:rPr>
                <w:sz w:val="20"/>
                <w:szCs w:val="20"/>
                <w:color w:val="auto"/>
              </w:rPr>
            </w:pPr>
            <w:r>
              <w:rPr>
                <w:rFonts w:ascii="Times New Roman" w:cs="Times New Roman" w:eastAsia="Times New Roman" w:hAnsi="Times New Roman"/>
                <w:sz w:val="18"/>
                <w:szCs w:val="18"/>
                <w:b w:val="1"/>
                <w:bCs w:val="1"/>
                <w:color w:val="FFFFFF"/>
              </w:rPr>
              <w:t>Company Name</w:t>
            </w:r>
          </w:p>
        </w:tc>
        <w:tc>
          <w:tcPr>
            <w:tcW w:w="1040" w:type="dxa"/>
            <w:vAlign w:val="bottom"/>
            <w:shd w:val="clear" w:color="auto" w:fill="1F497D"/>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Ticker</w:t>
            </w:r>
          </w:p>
        </w:tc>
        <w:tc>
          <w:tcPr>
            <w:tcW w:w="20" w:type="dxa"/>
            <w:vAlign w:val="bottom"/>
          </w:tcPr>
          <w:p>
            <w:pPr>
              <w:spacing w:after="0"/>
              <w:rPr>
                <w:sz w:val="20"/>
                <w:szCs w:val="20"/>
                <w:color w:val="auto"/>
              </w:rPr>
            </w:pPr>
          </w:p>
        </w:tc>
      </w:tr>
      <w:tr>
        <w:trPr>
          <w:trHeight w:val="198"/>
        </w:trPr>
        <w:tc>
          <w:tcPr>
            <w:tcW w:w="2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3D Systems Corporation</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DDD</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Forrester Research, Inc.</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FORR</w:t>
            </w:r>
          </w:p>
        </w:tc>
        <w:tc>
          <w:tcPr>
            <w:tcW w:w="26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MYR Group Inc.</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MYRG</w:t>
            </w:r>
          </w:p>
        </w:tc>
        <w:tc>
          <w:tcPr>
            <w:tcW w:w="20" w:type="dxa"/>
            <w:vAlign w:val="bottom"/>
            <w:shd w:val="clear" w:color="auto" w:fill="000000"/>
          </w:tcPr>
          <w:p>
            <w:pPr>
              <w:spacing w:after="0"/>
              <w:rPr>
                <w:sz w:val="17"/>
                <w:szCs w:val="17"/>
                <w:color w:val="auto"/>
              </w:rPr>
            </w:pPr>
          </w:p>
        </w:tc>
      </w:tr>
      <w:tr>
        <w:trPr>
          <w:trHeight w:val="207"/>
        </w:trPr>
        <w:tc>
          <w:tcPr>
            <w:tcW w:w="2840" w:type="dxa"/>
            <w:vAlign w:val="bottom"/>
            <w:tcBorders>
              <w:left w:val="single" w:sz="8" w:color="auto"/>
              <w:right w:val="single" w:sz="8" w:color="auto"/>
            </w:tcBorders>
            <w:shd w:val="clear" w:color="auto" w:fill="E8ECF5"/>
          </w:tcPr>
          <w:p>
            <w:pPr>
              <w:ind w:left="100"/>
              <w:spacing w:after="0"/>
              <w:rPr>
                <w:sz w:val="20"/>
                <w:szCs w:val="20"/>
                <w:color w:val="auto"/>
              </w:rPr>
            </w:pPr>
            <w:r>
              <w:rPr>
                <w:rFonts w:ascii="Arial" w:cs="Arial" w:eastAsia="Arial" w:hAnsi="Arial"/>
                <w:sz w:val="14"/>
                <w:szCs w:val="14"/>
                <w:color w:val="auto"/>
              </w:rPr>
              <w:t>AAON, Inc.</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rPr>
              <w:t>AAON</w:t>
            </w:r>
          </w:p>
        </w:tc>
        <w:tc>
          <w:tcPr>
            <w:tcW w:w="278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Forward Air Corporation</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w w:val="99"/>
              </w:rPr>
              <w:t>FWRD</w:t>
            </w:r>
          </w:p>
        </w:tc>
        <w:tc>
          <w:tcPr>
            <w:tcW w:w="266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National Presto Industries, Inc.</w:t>
            </w:r>
          </w:p>
        </w:tc>
        <w:tc>
          <w:tcPr>
            <w:tcW w:w="1040" w:type="dxa"/>
            <w:vAlign w:val="bottom"/>
            <w:shd w:val="clear" w:color="auto" w:fill="E8ECF5"/>
          </w:tcPr>
          <w:p>
            <w:pPr>
              <w:jc w:val="center"/>
              <w:spacing w:after="0"/>
              <w:rPr>
                <w:sz w:val="20"/>
                <w:szCs w:val="20"/>
                <w:color w:val="auto"/>
              </w:rPr>
            </w:pPr>
            <w:r>
              <w:rPr>
                <w:rFonts w:ascii="Arial" w:cs="Arial" w:eastAsia="Arial" w:hAnsi="Arial"/>
                <w:sz w:val="14"/>
                <w:szCs w:val="14"/>
                <w:color w:val="auto"/>
              </w:rPr>
              <w:t>NPK</w:t>
            </w:r>
          </w:p>
        </w:tc>
        <w:tc>
          <w:tcPr>
            <w:tcW w:w="20" w:type="dxa"/>
            <w:vAlign w:val="bottom"/>
            <w:shd w:val="clear" w:color="auto" w:fill="000000"/>
          </w:tcPr>
          <w:p>
            <w:pPr>
              <w:spacing w:after="0"/>
              <w:rPr>
                <w:sz w:val="17"/>
                <w:szCs w:val="17"/>
                <w:color w:val="auto"/>
              </w:rPr>
            </w:pPr>
          </w:p>
        </w:tc>
      </w:tr>
      <w:tr>
        <w:trPr>
          <w:trHeight w:val="198"/>
        </w:trPr>
        <w:tc>
          <w:tcPr>
            <w:tcW w:w="2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AAR Corp.</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AIR</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Franklin Electric Co., Inc.</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FELE</w:t>
            </w:r>
          </w:p>
        </w:tc>
        <w:tc>
          <w:tcPr>
            <w:tcW w:w="26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NV5 Global, Inc.</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NVEE</w:t>
            </w:r>
          </w:p>
        </w:tc>
        <w:tc>
          <w:tcPr>
            <w:tcW w:w="20" w:type="dxa"/>
            <w:vAlign w:val="bottom"/>
            <w:shd w:val="clear" w:color="auto" w:fill="000000"/>
          </w:tcPr>
          <w:p>
            <w:pPr>
              <w:spacing w:after="0"/>
              <w:rPr>
                <w:sz w:val="17"/>
                <w:szCs w:val="17"/>
                <w:color w:val="auto"/>
              </w:rPr>
            </w:pPr>
          </w:p>
        </w:tc>
      </w:tr>
      <w:tr>
        <w:trPr>
          <w:trHeight w:val="207"/>
        </w:trPr>
        <w:tc>
          <w:tcPr>
            <w:tcW w:w="2840" w:type="dxa"/>
            <w:vAlign w:val="bottom"/>
            <w:tcBorders>
              <w:left w:val="single" w:sz="8" w:color="auto"/>
              <w:right w:val="single" w:sz="8" w:color="auto"/>
            </w:tcBorders>
            <w:shd w:val="clear" w:color="auto" w:fill="E8ECF5"/>
          </w:tcPr>
          <w:p>
            <w:pPr>
              <w:ind w:left="100"/>
              <w:spacing w:after="0"/>
              <w:rPr>
                <w:sz w:val="20"/>
                <w:szCs w:val="20"/>
                <w:color w:val="auto"/>
              </w:rPr>
            </w:pPr>
            <w:r>
              <w:rPr>
                <w:rFonts w:ascii="Arial" w:cs="Arial" w:eastAsia="Arial" w:hAnsi="Arial"/>
                <w:sz w:val="14"/>
                <w:szCs w:val="14"/>
                <w:color w:val="auto"/>
              </w:rPr>
              <w:t>ABM Industries Incorporated</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w w:val="98"/>
              </w:rPr>
              <w:t>ABM</w:t>
            </w:r>
          </w:p>
        </w:tc>
        <w:tc>
          <w:tcPr>
            <w:tcW w:w="278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Gibraltar Industries, Inc.</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rPr>
              <w:t>ROCK</w:t>
            </w:r>
          </w:p>
        </w:tc>
        <w:tc>
          <w:tcPr>
            <w:tcW w:w="266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OPENLANE, Inc.</w:t>
            </w:r>
          </w:p>
        </w:tc>
        <w:tc>
          <w:tcPr>
            <w:tcW w:w="1040" w:type="dxa"/>
            <w:vAlign w:val="bottom"/>
            <w:shd w:val="clear" w:color="auto" w:fill="E8ECF5"/>
          </w:tcPr>
          <w:p>
            <w:pPr>
              <w:jc w:val="center"/>
              <w:spacing w:after="0"/>
              <w:rPr>
                <w:sz w:val="20"/>
                <w:szCs w:val="20"/>
                <w:color w:val="auto"/>
              </w:rPr>
            </w:pPr>
            <w:r>
              <w:rPr>
                <w:rFonts w:ascii="Arial" w:cs="Arial" w:eastAsia="Arial" w:hAnsi="Arial"/>
                <w:sz w:val="14"/>
                <w:szCs w:val="14"/>
                <w:color w:val="auto"/>
              </w:rPr>
              <w:t>KAR</w:t>
            </w:r>
          </w:p>
        </w:tc>
        <w:tc>
          <w:tcPr>
            <w:tcW w:w="20" w:type="dxa"/>
            <w:vAlign w:val="bottom"/>
            <w:shd w:val="clear" w:color="auto" w:fill="000000"/>
          </w:tcPr>
          <w:p>
            <w:pPr>
              <w:spacing w:after="0"/>
              <w:rPr>
                <w:sz w:val="17"/>
                <w:szCs w:val="17"/>
                <w:color w:val="auto"/>
              </w:rPr>
            </w:pPr>
          </w:p>
        </w:tc>
      </w:tr>
      <w:tr>
        <w:trPr>
          <w:trHeight w:val="198"/>
        </w:trPr>
        <w:tc>
          <w:tcPr>
            <w:tcW w:w="2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AeroVironment, Inc.</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AVAV</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GMS Inc.</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GMS</w:t>
            </w:r>
          </w:p>
        </w:tc>
        <w:tc>
          <w:tcPr>
            <w:tcW w:w="26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PGT Innovations, Inc.</w:t>
            </w:r>
          </w:p>
        </w:tc>
        <w:tc>
          <w:tcPr>
            <w:tcW w:w="1040" w:type="dxa"/>
            <w:vAlign w:val="bottom"/>
          </w:tcPr>
          <w:p>
            <w:pPr>
              <w:jc w:val="center"/>
              <w:spacing w:after="0"/>
              <w:rPr>
                <w:sz w:val="20"/>
                <w:szCs w:val="20"/>
                <w:color w:val="auto"/>
              </w:rPr>
            </w:pPr>
            <w:r>
              <w:rPr>
                <w:rFonts w:ascii="Arial" w:cs="Arial" w:eastAsia="Arial" w:hAnsi="Arial"/>
                <w:sz w:val="14"/>
                <w:szCs w:val="14"/>
                <w:color w:val="auto"/>
              </w:rPr>
              <w:t>PGTI</w:t>
            </w:r>
          </w:p>
        </w:tc>
        <w:tc>
          <w:tcPr>
            <w:tcW w:w="20" w:type="dxa"/>
            <w:vAlign w:val="bottom"/>
            <w:shd w:val="clear" w:color="auto" w:fill="000000"/>
          </w:tcPr>
          <w:p>
            <w:pPr>
              <w:spacing w:after="0"/>
              <w:rPr>
                <w:sz w:val="17"/>
                <w:szCs w:val="17"/>
                <w:color w:val="auto"/>
              </w:rPr>
            </w:pPr>
          </w:p>
        </w:tc>
      </w:tr>
      <w:tr>
        <w:trPr>
          <w:trHeight w:val="207"/>
        </w:trPr>
        <w:tc>
          <w:tcPr>
            <w:tcW w:w="2840" w:type="dxa"/>
            <w:vAlign w:val="bottom"/>
            <w:tcBorders>
              <w:left w:val="single" w:sz="8" w:color="auto"/>
              <w:right w:val="single" w:sz="8" w:color="auto"/>
            </w:tcBorders>
            <w:shd w:val="clear" w:color="auto" w:fill="E8ECF5"/>
          </w:tcPr>
          <w:p>
            <w:pPr>
              <w:ind w:left="100"/>
              <w:spacing w:after="0"/>
              <w:rPr>
                <w:sz w:val="20"/>
                <w:szCs w:val="20"/>
                <w:color w:val="auto"/>
              </w:rPr>
            </w:pPr>
            <w:r>
              <w:rPr>
                <w:rFonts w:ascii="Arial" w:cs="Arial" w:eastAsia="Arial" w:hAnsi="Arial"/>
                <w:sz w:val="14"/>
                <w:szCs w:val="14"/>
                <w:color w:val="auto"/>
              </w:rPr>
              <w:t>Alamo Group Inc.</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rPr>
              <w:t>ALG</w:t>
            </w:r>
          </w:p>
        </w:tc>
        <w:tc>
          <w:tcPr>
            <w:tcW w:w="278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Granite Construction Incorporated</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rPr>
              <w:t>GVA</w:t>
            </w:r>
          </w:p>
        </w:tc>
        <w:tc>
          <w:tcPr>
            <w:tcW w:w="266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Pitney Bowes Inc.</w:t>
            </w:r>
          </w:p>
        </w:tc>
        <w:tc>
          <w:tcPr>
            <w:tcW w:w="1040" w:type="dxa"/>
            <w:vAlign w:val="bottom"/>
            <w:shd w:val="clear" w:color="auto" w:fill="E8ECF5"/>
          </w:tcPr>
          <w:p>
            <w:pPr>
              <w:jc w:val="center"/>
              <w:spacing w:after="0"/>
              <w:rPr>
                <w:sz w:val="20"/>
                <w:szCs w:val="20"/>
                <w:color w:val="auto"/>
              </w:rPr>
            </w:pPr>
            <w:r>
              <w:rPr>
                <w:rFonts w:ascii="Arial" w:cs="Arial" w:eastAsia="Arial" w:hAnsi="Arial"/>
                <w:sz w:val="14"/>
                <w:szCs w:val="14"/>
                <w:color w:val="auto"/>
                <w:w w:val="97"/>
              </w:rPr>
              <w:t>PBI</w:t>
            </w:r>
          </w:p>
        </w:tc>
        <w:tc>
          <w:tcPr>
            <w:tcW w:w="20" w:type="dxa"/>
            <w:vAlign w:val="bottom"/>
            <w:shd w:val="clear" w:color="auto" w:fill="000000"/>
          </w:tcPr>
          <w:p>
            <w:pPr>
              <w:spacing w:after="0"/>
              <w:rPr>
                <w:sz w:val="17"/>
                <w:szCs w:val="17"/>
                <w:color w:val="auto"/>
              </w:rPr>
            </w:pPr>
          </w:p>
        </w:tc>
      </w:tr>
      <w:tr>
        <w:trPr>
          <w:trHeight w:val="198"/>
        </w:trPr>
        <w:tc>
          <w:tcPr>
            <w:tcW w:w="2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Alaska Air Group, Inc.</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ALK</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Griffon Corporation</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GFF</w:t>
            </w:r>
          </w:p>
        </w:tc>
        <w:tc>
          <w:tcPr>
            <w:tcW w:w="26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Powell Industries, Inc.</w:t>
            </w:r>
          </w:p>
        </w:tc>
        <w:tc>
          <w:tcPr>
            <w:tcW w:w="1040" w:type="dxa"/>
            <w:vAlign w:val="bottom"/>
          </w:tcPr>
          <w:p>
            <w:pPr>
              <w:jc w:val="center"/>
              <w:spacing w:after="0"/>
              <w:rPr>
                <w:sz w:val="20"/>
                <w:szCs w:val="20"/>
                <w:color w:val="auto"/>
              </w:rPr>
            </w:pPr>
            <w:r>
              <w:rPr>
                <w:rFonts w:ascii="Arial" w:cs="Arial" w:eastAsia="Arial" w:hAnsi="Arial"/>
                <w:sz w:val="14"/>
                <w:szCs w:val="14"/>
                <w:color w:val="auto"/>
              </w:rPr>
              <w:t>POWL</w:t>
            </w:r>
          </w:p>
        </w:tc>
        <w:tc>
          <w:tcPr>
            <w:tcW w:w="20" w:type="dxa"/>
            <w:vAlign w:val="bottom"/>
            <w:shd w:val="clear" w:color="auto" w:fill="000000"/>
          </w:tcPr>
          <w:p>
            <w:pPr>
              <w:spacing w:after="0"/>
              <w:rPr>
                <w:sz w:val="17"/>
                <w:szCs w:val="17"/>
                <w:color w:val="auto"/>
              </w:rPr>
            </w:pPr>
          </w:p>
        </w:tc>
      </w:tr>
      <w:tr>
        <w:trPr>
          <w:trHeight w:val="207"/>
        </w:trPr>
        <w:tc>
          <w:tcPr>
            <w:tcW w:w="2840" w:type="dxa"/>
            <w:vAlign w:val="bottom"/>
            <w:tcBorders>
              <w:left w:val="single" w:sz="8" w:color="auto"/>
              <w:right w:val="single" w:sz="8" w:color="auto"/>
            </w:tcBorders>
            <w:shd w:val="clear" w:color="auto" w:fill="E8ECF5"/>
          </w:tcPr>
          <w:p>
            <w:pPr>
              <w:ind w:left="100"/>
              <w:spacing w:after="0"/>
              <w:rPr>
                <w:sz w:val="20"/>
                <w:szCs w:val="20"/>
                <w:color w:val="auto"/>
              </w:rPr>
            </w:pPr>
            <w:r>
              <w:rPr>
                <w:rFonts w:ascii="Arial" w:cs="Arial" w:eastAsia="Arial" w:hAnsi="Arial"/>
                <w:sz w:val="14"/>
                <w:szCs w:val="14"/>
                <w:color w:val="auto"/>
              </w:rPr>
              <w:t>Albany International Corp.</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rPr>
              <w:t>AIN</w:t>
            </w:r>
          </w:p>
        </w:tc>
        <w:tc>
          <w:tcPr>
            <w:tcW w:w="278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Hayward Holdings, Inc.</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w w:val="99"/>
              </w:rPr>
              <w:t>HAYW</w:t>
            </w:r>
          </w:p>
        </w:tc>
        <w:tc>
          <w:tcPr>
            <w:tcW w:w="266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Proto Labs, Inc.</w:t>
            </w:r>
          </w:p>
        </w:tc>
        <w:tc>
          <w:tcPr>
            <w:tcW w:w="1040" w:type="dxa"/>
            <w:vAlign w:val="bottom"/>
            <w:shd w:val="clear" w:color="auto" w:fill="E8ECF5"/>
          </w:tcPr>
          <w:p>
            <w:pPr>
              <w:jc w:val="center"/>
              <w:spacing w:after="0"/>
              <w:rPr>
                <w:sz w:val="20"/>
                <w:szCs w:val="20"/>
                <w:color w:val="auto"/>
              </w:rPr>
            </w:pPr>
            <w:r>
              <w:rPr>
                <w:rFonts w:ascii="Arial" w:cs="Arial" w:eastAsia="Arial" w:hAnsi="Arial"/>
                <w:sz w:val="14"/>
                <w:szCs w:val="14"/>
                <w:color w:val="auto"/>
              </w:rPr>
              <w:t>PRLB</w:t>
            </w:r>
          </w:p>
        </w:tc>
        <w:tc>
          <w:tcPr>
            <w:tcW w:w="20" w:type="dxa"/>
            <w:vAlign w:val="bottom"/>
            <w:shd w:val="clear" w:color="auto" w:fill="000000"/>
          </w:tcPr>
          <w:p>
            <w:pPr>
              <w:spacing w:after="0"/>
              <w:rPr>
                <w:sz w:val="17"/>
                <w:szCs w:val="17"/>
                <w:color w:val="auto"/>
              </w:rPr>
            </w:pPr>
          </w:p>
        </w:tc>
      </w:tr>
      <w:tr>
        <w:trPr>
          <w:trHeight w:val="198"/>
        </w:trPr>
        <w:tc>
          <w:tcPr>
            <w:tcW w:w="2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Allegiant Travel Company</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ALGT</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Healthcare Services Group, Inc.</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HCSG</w:t>
            </w:r>
          </w:p>
        </w:tc>
        <w:tc>
          <w:tcPr>
            <w:tcW w:w="26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Quanex Building Products Corporation</w:t>
            </w:r>
          </w:p>
        </w:tc>
        <w:tc>
          <w:tcPr>
            <w:tcW w:w="1040" w:type="dxa"/>
            <w:vAlign w:val="bottom"/>
          </w:tcPr>
          <w:p>
            <w:pPr>
              <w:jc w:val="center"/>
              <w:spacing w:after="0"/>
              <w:rPr>
                <w:sz w:val="20"/>
                <w:szCs w:val="20"/>
                <w:color w:val="auto"/>
              </w:rPr>
            </w:pPr>
            <w:r>
              <w:rPr>
                <w:rFonts w:ascii="Arial" w:cs="Arial" w:eastAsia="Arial" w:hAnsi="Arial"/>
                <w:sz w:val="14"/>
                <w:szCs w:val="14"/>
                <w:color w:val="auto"/>
              </w:rPr>
              <w:t>NX</w:t>
            </w:r>
          </w:p>
        </w:tc>
        <w:tc>
          <w:tcPr>
            <w:tcW w:w="20" w:type="dxa"/>
            <w:vAlign w:val="bottom"/>
            <w:shd w:val="clear" w:color="auto" w:fill="000000"/>
          </w:tcPr>
          <w:p>
            <w:pPr>
              <w:spacing w:after="0"/>
              <w:rPr>
                <w:sz w:val="17"/>
                <w:szCs w:val="17"/>
                <w:color w:val="auto"/>
              </w:rPr>
            </w:pPr>
          </w:p>
        </w:tc>
      </w:tr>
      <w:tr>
        <w:trPr>
          <w:trHeight w:val="207"/>
        </w:trPr>
        <w:tc>
          <w:tcPr>
            <w:tcW w:w="2840" w:type="dxa"/>
            <w:vAlign w:val="bottom"/>
            <w:tcBorders>
              <w:left w:val="single" w:sz="8" w:color="auto"/>
              <w:right w:val="single" w:sz="8" w:color="auto"/>
            </w:tcBorders>
            <w:shd w:val="clear" w:color="auto" w:fill="E8ECF5"/>
          </w:tcPr>
          <w:p>
            <w:pPr>
              <w:ind w:left="100"/>
              <w:spacing w:after="0"/>
              <w:rPr>
                <w:sz w:val="20"/>
                <w:szCs w:val="20"/>
                <w:color w:val="auto"/>
              </w:rPr>
            </w:pPr>
            <w:r>
              <w:rPr>
                <w:rFonts w:ascii="Arial" w:cs="Arial" w:eastAsia="Arial" w:hAnsi="Arial"/>
                <w:sz w:val="14"/>
                <w:szCs w:val="14"/>
                <w:color w:val="auto"/>
              </w:rPr>
              <w:t>American Woodmark Corporation</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rPr>
              <w:t>AMWD</w:t>
            </w:r>
          </w:p>
        </w:tc>
        <w:tc>
          <w:tcPr>
            <w:tcW w:w="278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Heartland Express, Inc.</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rPr>
              <w:t>HTLD</w:t>
            </w:r>
          </w:p>
        </w:tc>
        <w:tc>
          <w:tcPr>
            <w:tcW w:w="266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Resideo Technologies, Inc.</w:t>
            </w:r>
          </w:p>
        </w:tc>
        <w:tc>
          <w:tcPr>
            <w:tcW w:w="1040" w:type="dxa"/>
            <w:vAlign w:val="bottom"/>
            <w:shd w:val="clear" w:color="auto" w:fill="E8ECF5"/>
          </w:tcPr>
          <w:p>
            <w:pPr>
              <w:jc w:val="center"/>
              <w:spacing w:after="0"/>
              <w:rPr>
                <w:sz w:val="20"/>
                <w:szCs w:val="20"/>
                <w:color w:val="auto"/>
              </w:rPr>
            </w:pPr>
            <w:r>
              <w:rPr>
                <w:rFonts w:ascii="Arial" w:cs="Arial" w:eastAsia="Arial" w:hAnsi="Arial"/>
                <w:sz w:val="14"/>
                <w:szCs w:val="14"/>
                <w:color w:val="auto"/>
              </w:rPr>
              <w:t>REZI</w:t>
            </w:r>
          </w:p>
        </w:tc>
        <w:tc>
          <w:tcPr>
            <w:tcW w:w="20" w:type="dxa"/>
            <w:vAlign w:val="bottom"/>
            <w:shd w:val="clear" w:color="auto" w:fill="000000"/>
          </w:tcPr>
          <w:p>
            <w:pPr>
              <w:spacing w:after="0"/>
              <w:rPr>
                <w:sz w:val="17"/>
                <w:szCs w:val="17"/>
                <w:color w:val="auto"/>
              </w:rPr>
            </w:pPr>
          </w:p>
        </w:tc>
      </w:tr>
      <w:tr>
        <w:trPr>
          <w:trHeight w:val="198"/>
        </w:trPr>
        <w:tc>
          <w:tcPr>
            <w:tcW w:w="2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Apogee Enterprises, Inc.</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APOG</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Heidrick &amp; Struggles International, Inc.</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HSII</w:t>
            </w:r>
          </w:p>
        </w:tc>
        <w:tc>
          <w:tcPr>
            <w:tcW w:w="26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Resources Connection, Inc.</w:t>
            </w: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RGP</w:t>
            </w:r>
          </w:p>
        </w:tc>
        <w:tc>
          <w:tcPr>
            <w:tcW w:w="20" w:type="dxa"/>
            <w:vAlign w:val="bottom"/>
            <w:shd w:val="clear" w:color="auto" w:fill="000000"/>
          </w:tcPr>
          <w:p>
            <w:pPr>
              <w:spacing w:after="0"/>
              <w:rPr>
                <w:sz w:val="17"/>
                <w:szCs w:val="17"/>
                <w:color w:val="auto"/>
              </w:rPr>
            </w:pPr>
          </w:p>
        </w:tc>
      </w:tr>
      <w:tr>
        <w:trPr>
          <w:trHeight w:val="207"/>
        </w:trPr>
        <w:tc>
          <w:tcPr>
            <w:tcW w:w="2840" w:type="dxa"/>
            <w:vAlign w:val="bottom"/>
            <w:tcBorders>
              <w:left w:val="single" w:sz="8" w:color="auto"/>
              <w:right w:val="single" w:sz="8" w:color="auto"/>
            </w:tcBorders>
            <w:shd w:val="clear" w:color="auto" w:fill="E8ECF5"/>
          </w:tcPr>
          <w:p>
            <w:pPr>
              <w:ind w:left="100"/>
              <w:spacing w:after="0"/>
              <w:rPr>
                <w:sz w:val="20"/>
                <w:szCs w:val="20"/>
                <w:color w:val="auto"/>
              </w:rPr>
            </w:pPr>
            <w:r>
              <w:rPr>
                <w:rFonts w:ascii="Arial" w:cs="Arial" w:eastAsia="Arial" w:hAnsi="Arial"/>
                <w:sz w:val="14"/>
                <w:szCs w:val="14"/>
                <w:color w:val="auto"/>
              </w:rPr>
              <w:t>Applied Industrial Technologies, Inc.</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rPr>
              <w:t>AIT</w:t>
            </w:r>
          </w:p>
        </w:tc>
        <w:tc>
          <w:tcPr>
            <w:tcW w:w="278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Hillenbrand, Inc.</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w w:val="99"/>
              </w:rPr>
              <w:t>HI</w:t>
            </w:r>
          </w:p>
        </w:tc>
        <w:tc>
          <w:tcPr>
            <w:tcW w:w="266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RXO, Inc.</w:t>
            </w:r>
          </w:p>
        </w:tc>
        <w:tc>
          <w:tcPr>
            <w:tcW w:w="1040" w:type="dxa"/>
            <w:vAlign w:val="bottom"/>
            <w:shd w:val="clear" w:color="auto" w:fill="E8ECF5"/>
          </w:tcPr>
          <w:p>
            <w:pPr>
              <w:jc w:val="center"/>
              <w:spacing w:after="0"/>
              <w:rPr>
                <w:sz w:val="20"/>
                <w:szCs w:val="20"/>
                <w:color w:val="auto"/>
              </w:rPr>
            </w:pPr>
            <w:r>
              <w:rPr>
                <w:rFonts w:ascii="Arial" w:cs="Arial" w:eastAsia="Arial" w:hAnsi="Arial"/>
                <w:sz w:val="14"/>
                <w:szCs w:val="14"/>
                <w:color w:val="auto"/>
                <w:w w:val="98"/>
              </w:rPr>
              <w:t>RXO</w:t>
            </w:r>
          </w:p>
        </w:tc>
        <w:tc>
          <w:tcPr>
            <w:tcW w:w="20" w:type="dxa"/>
            <w:vAlign w:val="bottom"/>
            <w:shd w:val="clear" w:color="auto" w:fill="000000"/>
          </w:tcPr>
          <w:p>
            <w:pPr>
              <w:spacing w:after="0"/>
              <w:rPr>
                <w:sz w:val="17"/>
                <w:szCs w:val="17"/>
                <w:color w:val="auto"/>
              </w:rPr>
            </w:pPr>
          </w:p>
        </w:tc>
      </w:tr>
      <w:tr>
        <w:trPr>
          <w:trHeight w:val="198"/>
        </w:trPr>
        <w:tc>
          <w:tcPr>
            <w:tcW w:w="2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ArcBest Corporation</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ARCB</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HNI Corporation</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HNI</w:t>
            </w:r>
          </w:p>
        </w:tc>
        <w:tc>
          <w:tcPr>
            <w:tcW w:w="26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SkyWest, Inc.</w:t>
            </w:r>
          </w:p>
        </w:tc>
        <w:tc>
          <w:tcPr>
            <w:tcW w:w="1040" w:type="dxa"/>
            <w:vAlign w:val="bottom"/>
          </w:tcPr>
          <w:p>
            <w:pPr>
              <w:jc w:val="center"/>
              <w:spacing w:after="0"/>
              <w:rPr>
                <w:sz w:val="20"/>
                <w:szCs w:val="20"/>
                <w:color w:val="auto"/>
              </w:rPr>
            </w:pPr>
            <w:r>
              <w:rPr>
                <w:rFonts w:ascii="Arial" w:cs="Arial" w:eastAsia="Arial" w:hAnsi="Arial"/>
                <w:sz w:val="14"/>
                <w:szCs w:val="14"/>
                <w:color w:val="auto"/>
              </w:rPr>
              <w:t>SKYW</w:t>
            </w:r>
          </w:p>
        </w:tc>
        <w:tc>
          <w:tcPr>
            <w:tcW w:w="20" w:type="dxa"/>
            <w:vAlign w:val="bottom"/>
            <w:shd w:val="clear" w:color="auto" w:fill="000000"/>
          </w:tcPr>
          <w:p>
            <w:pPr>
              <w:spacing w:after="0"/>
              <w:rPr>
                <w:sz w:val="17"/>
                <w:szCs w:val="17"/>
                <w:color w:val="auto"/>
              </w:rPr>
            </w:pPr>
          </w:p>
        </w:tc>
      </w:tr>
      <w:tr>
        <w:trPr>
          <w:trHeight w:val="207"/>
        </w:trPr>
        <w:tc>
          <w:tcPr>
            <w:tcW w:w="2840" w:type="dxa"/>
            <w:vAlign w:val="bottom"/>
            <w:tcBorders>
              <w:left w:val="single" w:sz="8" w:color="auto"/>
              <w:right w:val="single" w:sz="8" w:color="auto"/>
            </w:tcBorders>
            <w:shd w:val="clear" w:color="auto" w:fill="E8ECF5"/>
          </w:tcPr>
          <w:p>
            <w:pPr>
              <w:ind w:left="100"/>
              <w:spacing w:after="0"/>
              <w:rPr>
                <w:sz w:val="20"/>
                <w:szCs w:val="20"/>
                <w:color w:val="auto"/>
              </w:rPr>
            </w:pPr>
            <w:r>
              <w:rPr>
                <w:rFonts w:ascii="Arial" w:cs="Arial" w:eastAsia="Arial" w:hAnsi="Arial"/>
                <w:sz w:val="14"/>
                <w:szCs w:val="14"/>
                <w:color w:val="auto"/>
              </w:rPr>
              <w:t>Arcosa, Inc.</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rPr>
              <w:t>ACA</w:t>
            </w:r>
          </w:p>
        </w:tc>
        <w:tc>
          <w:tcPr>
            <w:tcW w:w="278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Hub Group, Inc.</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rPr>
              <w:t>HUBG</w:t>
            </w:r>
          </w:p>
        </w:tc>
        <w:tc>
          <w:tcPr>
            <w:tcW w:w="266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SPX Technologies, Inc.</w:t>
            </w:r>
          </w:p>
        </w:tc>
        <w:tc>
          <w:tcPr>
            <w:tcW w:w="1040" w:type="dxa"/>
            <w:vAlign w:val="bottom"/>
            <w:shd w:val="clear" w:color="auto" w:fill="E8ECF5"/>
          </w:tcPr>
          <w:p>
            <w:pPr>
              <w:jc w:val="center"/>
              <w:spacing w:after="0"/>
              <w:rPr>
                <w:sz w:val="20"/>
                <w:szCs w:val="20"/>
                <w:color w:val="auto"/>
              </w:rPr>
            </w:pPr>
            <w:r>
              <w:rPr>
                <w:rFonts w:ascii="Arial" w:cs="Arial" w:eastAsia="Arial" w:hAnsi="Arial"/>
                <w:sz w:val="14"/>
                <w:szCs w:val="14"/>
                <w:color w:val="auto"/>
                <w:w w:val="99"/>
              </w:rPr>
              <w:t>SPXC</w:t>
            </w:r>
          </w:p>
        </w:tc>
        <w:tc>
          <w:tcPr>
            <w:tcW w:w="20" w:type="dxa"/>
            <w:vAlign w:val="bottom"/>
            <w:shd w:val="clear" w:color="auto" w:fill="000000"/>
          </w:tcPr>
          <w:p>
            <w:pPr>
              <w:spacing w:after="0"/>
              <w:rPr>
                <w:sz w:val="17"/>
                <w:szCs w:val="17"/>
                <w:color w:val="auto"/>
              </w:rPr>
            </w:pPr>
          </w:p>
        </w:tc>
      </w:tr>
      <w:tr>
        <w:trPr>
          <w:trHeight w:val="198"/>
        </w:trPr>
        <w:tc>
          <w:tcPr>
            <w:tcW w:w="2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Armstrong World Industries, Inc.</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AWI</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Insteel Industries, Inc.</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IIIN</w:t>
            </w:r>
          </w:p>
        </w:tc>
        <w:tc>
          <w:tcPr>
            <w:tcW w:w="26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Standex International Corporation</w:t>
            </w:r>
          </w:p>
        </w:tc>
        <w:tc>
          <w:tcPr>
            <w:tcW w:w="1040" w:type="dxa"/>
            <w:vAlign w:val="bottom"/>
          </w:tcPr>
          <w:p>
            <w:pPr>
              <w:jc w:val="center"/>
              <w:spacing w:after="0"/>
              <w:rPr>
                <w:sz w:val="20"/>
                <w:szCs w:val="20"/>
                <w:color w:val="auto"/>
              </w:rPr>
            </w:pPr>
            <w:r>
              <w:rPr>
                <w:rFonts w:ascii="Arial" w:cs="Arial" w:eastAsia="Arial" w:hAnsi="Arial"/>
                <w:sz w:val="14"/>
                <w:szCs w:val="14"/>
                <w:color w:val="auto"/>
                <w:w w:val="97"/>
              </w:rPr>
              <w:t>SXI</w:t>
            </w:r>
          </w:p>
        </w:tc>
        <w:tc>
          <w:tcPr>
            <w:tcW w:w="20" w:type="dxa"/>
            <w:vAlign w:val="bottom"/>
            <w:shd w:val="clear" w:color="auto" w:fill="000000"/>
          </w:tcPr>
          <w:p>
            <w:pPr>
              <w:spacing w:after="0"/>
              <w:rPr>
                <w:sz w:val="17"/>
                <w:szCs w:val="17"/>
                <w:color w:val="auto"/>
              </w:rPr>
            </w:pPr>
          </w:p>
        </w:tc>
      </w:tr>
      <w:tr>
        <w:trPr>
          <w:trHeight w:val="207"/>
        </w:trPr>
        <w:tc>
          <w:tcPr>
            <w:tcW w:w="2840" w:type="dxa"/>
            <w:vAlign w:val="bottom"/>
            <w:tcBorders>
              <w:left w:val="single" w:sz="8" w:color="auto"/>
              <w:right w:val="single" w:sz="8" w:color="auto"/>
            </w:tcBorders>
            <w:shd w:val="clear" w:color="auto" w:fill="E8ECF5"/>
          </w:tcPr>
          <w:p>
            <w:pPr>
              <w:ind w:left="100"/>
              <w:spacing w:after="0"/>
              <w:rPr>
                <w:sz w:val="20"/>
                <w:szCs w:val="20"/>
                <w:color w:val="auto"/>
              </w:rPr>
            </w:pPr>
            <w:r>
              <w:rPr>
                <w:rFonts w:ascii="Arial" w:cs="Arial" w:eastAsia="Arial" w:hAnsi="Arial"/>
                <w:sz w:val="14"/>
                <w:szCs w:val="14"/>
                <w:color w:val="auto"/>
              </w:rPr>
              <w:t>Astec Industries, Inc.</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rPr>
              <w:t>ASTE</w:t>
            </w:r>
          </w:p>
        </w:tc>
        <w:tc>
          <w:tcPr>
            <w:tcW w:w="278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Interface, Inc.</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rPr>
              <w:t>TILE</w:t>
            </w:r>
          </w:p>
        </w:tc>
        <w:tc>
          <w:tcPr>
            <w:tcW w:w="266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Sun Country Airlines Holdings, Inc.</w:t>
            </w:r>
          </w:p>
        </w:tc>
        <w:tc>
          <w:tcPr>
            <w:tcW w:w="1040" w:type="dxa"/>
            <w:vAlign w:val="bottom"/>
            <w:shd w:val="clear" w:color="auto" w:fill="E8ECF5"/>
          </w:tcPr>
          <w:p>
            <w:pPr>
              <w:jc w:val="center"/>
              <w:spacing w:after="0"/>
              <w:rPr>
                <w:sz w:val="20"/>
                <w:szCs w:val="20"/>
                <w:color w:val="auto"/>
              </w:rPr>
            </w:pPr>
            <w:r>
              <w:rPr>
                <w:rFonts w:ascii="Arial" w:cs="Arial" w:eastAsia="Arial" w:hAnsi="Arial"/>
                <w:sz w:val="14"/>
                <w:szCs w:val="14"/>
                <w:color w:val="auto"/>
              </w:rPr>
              <w:t>SNCY</w:t>
            </w:r>
          </w:p>
        </w:tc>
        <w:tc>
          <w:tcPr>
            <w:tcW w:w="20" w:type="dxa"/>
            <w:vAlign w:val="bottom"/>
            <w:shd w:val="clear" w:color="auto" w:fill="000000"/>
          </w:tcPr>
          <w:p>
            <w:pPr>
              <w:spacing w:after="0"/>
              <w:rPr>
                <w:sz w:val="17"/>
                <w:szCs w:val="17"/>
                <w:color w:val="auto"/>
              </w:rPr>
            </w:pPr>
          </w:p>
        </w:tc>
      </w:tr>
      <w:tr>
        <w:trPr>
          <w:trHeight w:val="198"/>
        </w:trPr>
        <w:tc>
          <w:tcPr>
            <w:tcW w:w="2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AZZ Inc.</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AZZ</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JetBlue Airways Corporation</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JBLU</w:t>
            </w:r>
          </w:p>
        </w:tc>
        <w:tc>
          <w:tcPr>
            <w:tcW w:w="26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SunPower Corporation</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SPWR</w:t>
            </w:r>
          </w:p>
        </w:tc>
        <w:tc>
          <w:tcPr>
            <w:tcW w:w="20" w:type="dxa"/>
            <w:vAlign w:val="bottom"/>
            <w:shd w:val="clear" w:color="auto" w:fill="000000"/>
          </w:tcPr>
          <w:p>
            <w:pPr>
              <w:spacing w:after="0"/>
              <w:rPr>
                <w:sz w:val="17"/>
                <w:szCs w:val="17"/>
                <w:color w:val="auto"/>
              </w:rPr>
            </w:pPr>
          </w:p>
        </w:tc>
      </w:tr>
      <w:tr>
        <w:trPr>
          <w:trHeight w:val="207"/>
        </w:trPr>
        <w:tc>
          <w:tcPr>
            <w:tcW w:w="2840" w:type="dxa"/>
            <w:vAlign w:val="bottom"/>
            <w:tcBorders>
              <w:left w:val="single" w:sz="8" w:color="auto"/>
              <w:right w:val="single" w:sz="8" w:color="auto"/>
            </w:tcBorders>
            <w:shd w:val="clear" w:color="auto" w:fill="E8ECF5"/>
          </w:tcPr>
          <w:p>
            <w:pPr>
              <w:ind w:left="100"/>
              <w:spacing w:after="0"/>
              <w:rPr>
                <w:sz w:val="20"/>
                <w:szCs w:val="20"/>
                <w:color w:val="auto"/>
              </w:rPr>
            </w:pPr>
            <w:r>
              <w:rPr>
                <w:rFonts w:ascii="Arial" w:cs="Arial" w:eastAsia="Arial" w:hAnsi="Arial"/>
                <w:sz w:val="14"/>
                <w:szCs w:val="14"/>
                <w:color w:val="auto"/>
              </w:rPr>
              <w:t>Barnes Group Inc.</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rPr>
              <w:t>B</w:t>
            </w:r>
          </w:p>
        </w:tc>
        <w:tc>
          <w:tcPr>
            <w:tcW w:w="278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John Bean Technologies Corporation</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rPr>
              <w:t>JBT</w:t>
            </w:r>
          </w:p>
        </w:tc>
        <w:tc>
          <w:tcPr>
            <w:tcW w:w="266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Tennant Company</w:t>
            </w:r>
          </w:p>
        </w:tc>
        <w:tc>
          <w:tcPr>
            <w:tcW w:w="1040" w:type="dxa"/>
            <w:vAlign w:val="bottom"/>
            <w:shd w:val="clear" w:color="auto" w:fill="E8ECF5"/>
          </w:tcPr>
          <w:p>
            <w:pPr>
              <w:jc w:val="center"/>
              <w:spacing w:after="0"/>
              <w:rPr>
                <w:sz w:val="20"/>
                <w:szCs w:val="20"/>
                <w:color w:val="auto"/>
              </w:rPr>
            </w:pPr>
            <w:r>
              <w:rPr>
                <w:rFonts w:ascii="Arial" w:cs="Arial" w:eastAsia="Arial" w:hAnsi="Arial"/>
                <w:sz w:val="14"/>
                <w:szCs w:val="14"/>
                <w:color w:val="auto"/>
              </w:rPr>
              <w:t>TNC</w:t>
            </w:r>
          </w:p>
        </w:tc>
        <w:tc>
          <w:tcPr>
            <w:tcW w:w="20" w:type="dxa"/>
            <w:vAlign w:val="bottom"/>
            <w:shd w:val="clear" w:color="auto" w:fill="000000"/>
          </w:tcPr>
          <w:p>
            <w:pPr>
              <w:spacing w:after="0"/>
              <w:rPr>
                <w:sz w:val="17"/>
                <w:szCs w:val="17"/>
                <w:color w:val="auto"/>
              </w:rPr>
            </w:pPr>
          </w:p>
        </w:tc>
      </w:tr>
      <w:tr>
        <w:trPr>
          <w:trHeight w:val="198"/>
        </w:trPr>
        <w:tc>
          <w:tcPr>
            <w:tcW w:w="2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Boise Cascade Company</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BCC</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Kaman Corporation</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KAMN</w:t>
            </w:r>
          </w:p>
        </w:tc>
        <w:tc>
          <w:tcPr>
            <w:tcW w:w="26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The GEO Group, Inc.</w:t>
            </w:r>
          </w:p>
        </w:tc>
        <w:tc>
          <w:tcPr>
            <w:tcW w:w="1040" w:type="dxa"/>
            <w:vAlign w:val="bottom"/>
          </w:tcPr>
          <w:p>
            <w:pPr>
              <w:jc w:val="center"/>
              <w:spacing w:after="0"/>
              <w:rPr>
                <w:sz w:val="20"/>
                <w:szCs w:val="20"/>
                <w:color w:val="auto"/>
              </w:rPr>
            </w:pPr>
            <w:r>
              <w:rPr>
                <w:rFonts w:ascii="Arial" w:cs="Arial" w:eastAsia="Arial" w:hAnsi="Arial"/>
                <w:sz w:val="14"/>
                <w:szCs w:val="14"/>
                <w:color w:val="auto"/>
              </w:rPr>
              <w:t>GEO</w:t>
            </w:r>
          </w:p>
        </w:tc>
        <w:tc>
          <w:tcPr>
            <w:tcW w:w="20" w:type="dxa"/>
            <w:vAlign w:val="bottom"/>
            <w:shd w:val="clear" w:color="auto" w:fill="000000"/>
          </w:tcPr>
          <w:p>
            <w:pPr>
              <w:spacing w:after="0"/>
              <w:rPr>
                <w:sz w:val="17"/>
                <w:szCs w:val="17"/>
                <w:color w:val="auto"/>
              </w:rPr>
            </w:pPr>
          </w:p>
        </w:tc>
      </w:tr>
      <w:tr>
        <w:trPr>
          <w:trHeight w:val="207"/>
        </w:trPr>
        <w:tc>
          <w:tcPr>
            <w:tcW w:w="2840" w:type="dxa"/>
            <w:vAlign w:val="bottom"/>
            <w:tcBorders>
              <w:left w:val="single" w:sz="8" w:color="auto"/>
              <w:right w:val="single" w:sz="8" w:color="auto"/>
            </w:tcBorders>
            <w:shd w:val="clear" w:color="auto" w:fill="E8ECF5"/>
          </w:tcPr>
          <w:p>
            <w:pPr>
              <w:ind w:left="100"/>
              <w:spacing w:after="0"/>
              <w:rPr>
                <w:sz w:val="20"/>
                <w:szCs w:val="20"/>
                <w:color w:val="auto"/>
              </w:rPr>
            </w:pPr>
            <w:r>
              <w:rPr>
                <w:rFonts w:ascii="Arial" w:cs="Arial" w:eastAsia="Arial" w:hAnsi="Arial"/>
                <w:sz w:val="14"/>
                <w:szCs w:val="14"/>
                <w:color w:val="auto"/>
              </w:rPr>
              <w:t>Brady Corporation</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rPr>
              <w:t>BRC</w:t>
            </w:r>
          </w:p>
        </w:tc>
        <w:tc>
          <w:tcPr>
            <w:tcW w:w="278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Kelly Services, Inc.</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w w:val="93"/>
              </w:rPr>
              <w:t>KELY.A</w:t>
            </w:r>
          </w:p>
        </w:tc>
        <w:tc>
          <w:tcPr>
            <w:tcW w:w="266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The Greenbrier Companies, Inc.</w:t>
            </w:r>
          </w:p>
        </w:tc>
        <w:tc>
          <w:tcPr>
            <w:tcW w:w="1040" w:type="dxa"/>
            <w:vAlign w:val="bottom"/>
            <w:shd w:val="clear" w:color="auto" w:fill="E8ECF5"/>
          </w:tcPr>
          <w:p>
            <w:pPr>
              <w:jc w:val="center"/>
              <w:spacing w:after="0"/>
              <w:rPr>
                <w:sz w:val="20"/>
                <w:szCs w:val="20"/>
                <w:color w:val="auto"/>
              </w:rPr>
            </w:pPr>
            <w:r>
              <w:rPr>
                <w:rFonts w:ascii="Arial" w:cs="Arial" w:eastAsia="Arial" w:hAnsi="Arial"/>
                <w:sz w:val="14"/>
                <w:szCs w:val="14"/>
                <w:color w:val="auto"/>
              </w:rPr>
              <w:t>GBX</w:t>
            </w:r>
          </w:p>
        </w:tc>
        <w:tc>
          <w:tcPr>
            <w:tcW w:w="20" w:type="dxa"/>
            <w:vAlign w:val="bottom"/>
            <w:shd w:val="clear" w:color="auto" w:fill="000000"/>
          </w:tcPr>
          <w:p>
            <w:pPr>
              <w:spacing w:after="0"/>
              <w:rPr>
                <w:sz w:val="17"/>
                <w:szCs w:val="17"/>
                <w:color w:val="auto"/>
              </w:rPr>
            </w:pPr>
          </w:p>
        </w:tc>
      </w:tr>
      <w:tr>
        <w:trPr>
          <w:trHeight w:val="198"/>
        </w:trPr>
        <w:tc>
          <w:tcPr>
            <w:tcW w:w="2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CoreCivic, Inc.</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CXW</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Kennametal Inc.</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KMT</w:t>
            </w:r>
          </w:p>
        </w:tc>
        <w:tc>
          <w:tcPr>
            <w:tcW w:w="26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Titan International, Inc.</w:t>
            </w:r>
          </w:p>
        </w:tc>
        <w:tc>
          <w:tcPr>
            <w:tcW w:w="1040" w:type="dxa"/>
            <w:vAlign w:val="bottom"/>
          </w:tcPr>
          <w:p>
            <w:pPr>
              <w:jc w:val="center"/>
              <w:spacing w:after="0"/>
              <w:rPr>
                <w:sz w:val="20"/>
                <w:szCs w:val="20"/>
                <w:color w:val="auto"/>
              </w:rPr>
            </w:pPr>
            <w:r>
              <w:rPr>
                <w:rFonts w:ascii="Arial" w:cs="Arial" w:eastAsia="Arial" w:hAnsi="Arial"/>
                <w:sz w:val="14"/>
                <w:szCs w:val="14"/>
                <w:color w:val="auto"/>
              </w:rPr>
              <w:t>TWI</w:t>
            </w:r>
          </w:p>
        </w:tc>
        <w:tc>
          <w:tcPr>
            <w:tcW w:w="20" w:type="dxa"/>
            <w:vAlign w:val="bottom"/>
            <w:shd w:val="clear" w:color="auto" w:fill="000000"/>
          </w:tcPr>
          <w:p>
            <w:pPr>
              <w:spacing w:after="0"/>
              <w:rPr>
                <w:sz w:val="17"/>
                <w:szCs w:val="17"/>
                <w:color w:val="auto"/>
              </w:rPr>
            </w:pPr>
          </w:p>
        </w:tc>
      </w:tr>
      <w:tr>
        <w:trPr>
          <w:trHeight w:val="207"/>
        </w:trPr>
        <w:tc>
          <w:tcPr>
            <w:tcW w:w="2840" w:type="dxa"/>
            <w:vAlign w:val="bottom"/>
            <w:tcBorders>
              <w:left w:val="single" w:sz="8" w:color="auto"/>
              <w:right w:val="single" w:sz="8" w:color="auto"/>
            </w:tcBorders>
            <w:shd w:val="clear" w:color="auto" w:fill="E8ECF5"/>
          </w:tcPr>
          <w:p>
            <w:pPr>
              <w:ind w:left="100"/>
              <w:spacing w:after="0"/>
              <w:rPr>
                <w:sz w:val="20"/>
                <w:szCs w:val="20"/>
                <w:color w:val="auto"/>
              </w:rPr>
            </w:pPr>
            <w:r>
              <w:rPr>
                <w:rFonts w:ascii="Arial" w:cs="Arial" w:eastAsia="Arial" w:hAnsi="Arial"/>
                <w:sz w:val="14"/>
                <w:szCs w:val="14"/>
                <w:color w:val="auto"/>
              </w:rPr>
              <w:t>CSG Systems International, Inc.</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rPr>
              <w:t>CSGS</w:t>
            </w:r>
          </w:p>
        </w:tc>
        <w:tc>
          <w:tcPr>
            <w:tcW w:w="278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Korn Ferry</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rPr>
              <w:t>KFY</w:t>
            </w:r>
          </w:p>
        </w:tc>
        <w:tc>
          <w:tcPr>
            <w:tcW w:w="266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Trinity Industries, Inc.</w:t>
            </w:r>
          </w:p>
        </w:tc>
        <w:tc>
          <w:tcPr>
            <w:tcW w:w="1040" w:type="dxa"/>
            <w:vAlign w:val="bottom"/>
            <w:shd w:val="clear" w:color="auto" w:fill="E8ECF5"/>
          </w:tcPr>
          <w:p>
            <w:pPr>
              <w:jc w:val="center"/>
              <w:spacing w:after="0"/>
              <w:rPr>
                <w:sz w:val="20"/>
                <w:szCs w:val="20"/>
                <w:color w:val="auto"/>
              </w:rPr>
            </w:pPr>
            <w:r>
              <w:rPr>
                <w:rFonts w:ascii="Arial" w:cs="Arial" w:eastAsia="Arial" w:hAnsi="Arial"/>
                <w:sz w:val="14"/>
                <w:szCs w:val="14"/>
                <w:color w:val="auto"/>
              </w:rPr>
              <w:t>TRN</w:t>
            </w:r>
          </w:p>
        </w:tc>
        <w:tc>
          <w:tcPr>
            <w:tcW w:w="20" w:type="dxa"/>
            <w:vAlign w:val="bottom"/>
            <w:shd w:val="clear" w:color="auto" w:fill="000000"/>
          </w:tcPr>
          <w:p>
            <w:pPr>
              <w:spacing w:after="0"/>
              <w:rPr>
                <w:sz w:val="17"/>
                <w:szCs w:val="17"/>
                <w:color w:val="auto"/>
              </w:rPr>
            </w:pPr>
          </w:p>
        </w:tc>
      </w:tr>
      <w:tr>
        <w:trPr>
          <w:trHeight w:val="198"/>
        </w:trPr>
        <w:tc>
          <w:tcPr>
            <w:tcW w:w="2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Deluxe Corporation</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DLX</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Lindsay Corporation</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LNN</w:t>
            </w:r>
          </w:p>
        </w:tc>
        <w:tc>
          <w:tcPr>
            <w:tcW w:w="26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Triumph Group, Inc.</w:t>
            </w:r>
          </w:p>
        </w:tc>
        <w:tc>
          <w:tcPr>
            <w:tcW w:w="1040" w:type="dxa"/>
            <w:vAlign w:val="bottom"/>
          </w:tcPr>
          <w:p>
            <w:pPr>
              <w:jc w:val="center"/>
              <w:spacing w:after="0"/>
              <w:rPr>
                <w:sz w:val="20"/>
                <w:szCs w:val="20"/>
                <w:color w:val="auto"/>
              </w:rPr>
            </w:pPr>
            <w:r>
              <w:rPr>
                <w:rFonts w:ascii="Arial" w:cs="Arial" w:eastAsia="Arial" w:hAnsi="Arial"/>
                <w:sz w:val="14"/>
                <w:szCs w:val="14"/>
                <w:color w:val="auto"/>
              </w:rPr>
              <w:t>TGI</w:t>
            </w:r>
          </w:p>
        </w:tc>
        <w:tc>
          <w:tcPr>
            <w:tcW w:w="20" w:type="dxa"/>
            <w:vAlign w:val="bottom"/>
            <w:shd w:val="clear" w:color="auto" w:fill="000000"/>
          </w:tcPr>
          <w:p>
            <w:pPr>
              <w:spacing w:after="0"/>
              <w:rPr>
                <w:sz w:val="17"/>
                <w:szCs w:val="17"/>
                <w:color w:val="auto"/>
              </w:rPr>
            </w:pPr>
          </w:p>
        </w:tc>
      </w:tr>
      <w:tr>
        <w:trPr>
          <w:trHeight w:val="207"/>
        </w:trPr>
        <w:tc>
          <w:tcPr>
            <w:tcW w:w="2840" w:type="dxa"/>
            <w:vAlign w:val="bottom"/>
            <w:tcBorders>
              <w:left w:val="single" w:sz="8" w:color="auto"/>
              <w:right w:val="single" w:sz="8" w:color="auto"/>
            </w:tcBorders>
            <w:shd w:val="clear" w:color="auto" w:fill="E8ECF5"/>
          </w:tcPr>
          <w:p>
            <w:pPr>
              <w:ind w:left="100"/>
              <w:spacing w:after="0"/>
              <w:rPr>
                <w:sz w:val="20"/>
                <w:szCs w:val="20"/>
                <w:color w:val="auto"/>
              </w:rPr>
            </w:pPr>
            <w:r>
              <w:rPr>
                <w:rFonts w:ascii="Arial" w:cs="Arial" w:eastAsia="Arial" w:hAnsi="Arial"/>
                <w:sz w:val="14"/>
                <w:szCs w:val="14"/>
                <w:color w:val="auto"/>
              </w:rPr>
              <w:t>DNOW Inc.</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rPr>
              <w:t>DNOW</w:t>
            </w:r>
          </w:p>
        </w:tc>
        <w:tc>
          <w:tcPr>
            <w:tcW w:w="278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Liquidity Services, Inc.</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rPr>
              <w:t>LQDT</w:t>
            </w:r>
          </w:p>
        </w:tc>
        <w:tc>
          <w:tcPr>
            <w:tcW w:w="266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TrueBlue, Inc.</w:t>
            </w:r>
          </w:p>
        </w:tc>
        <w:tc>
          <w:tcPr>
            <w:tcW w:w="1040" w:type="dxa"/>
            <w:vAlign w:val="bottom"/>
            <w:shd w:val="clear" w:color="auto" w:fill="E8ECF5"/>
          </w:tcPr>
          <w:p>
            <w:pPr>
              <w:jc w:val="center"/>
              <w:spacing w:after="0"/>
              <w:rPr>
                <w:sz w:val="20"/>
                <w:szCs w:val="20"/>
                <w:color w:val="auto"/>
              </w:rPr>
            </w:pPr>
            <w:r>
              <w:rPr>
                <w:rFonts w:ascii="Arial" w:cs="Arial" w:eastAsia="Arial" w:hAnsi="Arial"/>
                <w:sz w:val="14"/>
                <w:szCs w:val="14"/>
                <w:color w:val="auto"/>
              </w:rPr>
              <w:t>TBI</w:t>
            </w:r>
          </w:p>
        </w:tc>
        <w:tc>
          <w:tcPr>
            <w:tcW w:w="20" w:type="dxa"/>
            <w:vAlign w:val="bottom"/>
            <w:shd w:val="clear" w:color="auto" w:fill="000000"/>
          </w:tcPr>
          <w:p>
            <w:pPr>
              <w:spacing w:after="0"/>
              <w:rPr>
                <w:sz w:val="17"/>
                <w:szCs w:val="17"/>
                <w:color w:val="auto"/>
              </w:rPr>
            </w:pPr>
          </w:p>
        </w:tc>
      </w:tr>
      <w:tr>
        <w:trPr>
          <w:trHeight w:val="198"/>
        </w:trPr>
        <w:tc>
          <w:tcPr>
            <w:tcW w:w="2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DXP Enterprises, Inc.</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DXPE</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Marten Transport, Ltd.</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MRTN</w:t>
            </w:r>
          </w:p>
        </w:tc>
        <w:tc>
          <w:tcPr>
            <w:tcW w:w="26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TTEC Holdings, Inc.</w:t>
            </w:r>
          </w:p>
        </w:tc>
        <w:tc>
          <w:tcPr>
            <w:tcW w:w="1040" w:type="dxa"/>
            <w:vAlign w:val="bottom"/>
          </w:tcPr>
          <w:p>
            <w:pPr>
              <w:jc w:val="center"/>
              <w:spacing w:after="0"/>
              <w:rPr>
                <w:sz w:val="20"/>
                <w:szCs w:val="20"/>
                <w:color w:val="auto"/>
              </w:rPr>
            </w:pPr>
            <w:r>
              <w:rPr>
                <w:rFonts w:ascii="Arial" w:cs="Arial" w:eastAsia="Arial" w:hAnsi="Arial"/>
                <w:sz w:val="14"/>
                <w:szCs w:val="14"/>
                <w:color w:val="auto"/>
              </w:rPr>
              <w:t>TTEC</w:t>
            </w:r>
          </w:p>
        </w:tc>
        <w:tc>
          <w:tcPr>
            <w:tcW w:w="20" w:type="dxa"/>
            <w:vAlign w:val="bottom"/>
            <w:shd w:val="clear" w:color="auto" w:fill="000000"/>
          </w:tcPr>
          <w:p>
            <w:pPr>
              <w:spacing w:after="0"/>
              <w:rPr>
                <w:sz w:val="17"/>
                <w:szCs w:val="17"/>
                <w:color w:val="auto"/>
              </w:rPr>
            </w:pPr>
          </w:p>
        </w:tc>
      </w:tr>
      <w:tr>
        <w:trPr>
          <w:trHeight w:val="207"/>
        </w:trPr>
        <w:tc>
          <w:tcPr>
            <w:tcW w:w="2840" w:type="dxa"/>
            <w:vAlign w:val="bottom"/>
            <w:tcBorders>
              <w:left w:val="single" w:sz="8" w:color="auto"/>
              <w:right w:val="single" w:sz="8" w:color="auto"/>
            </w:tcBorders>
            <w:shd w:val="clear" w:color="auto" w:fill="E8ECF5"/>
          </w:tcPr>
          <w:p>
            <w:pPr>
              <w:ind w:left="100"/>
              <w:spacing w:after="0"/>
              <w:rPr>
                <w:sz w:val="20"/>
                <w:szCs w:val="20"/>
                <w:color w:val="auto"/>
              </w:rPr>
            </w:pPr>
            <w:r>
              <w:rPr>
                <w:rFonts w:ascii="Arial" w:cs="Arial" w:eastAsia="Arial" w:hAnsi="Arial"/>
                <w:sz w:val="14"/>
                <w:szCs w:val="14"/>
                <w:color w:val="auto"/>
              </w:rPr>
              <w:t>Dycom Industries, Inc.</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rPr>
              <w:t>DY</w:t>
            </w:r>
          </w:p>
        </w:tc>
        <w:tc>
          <w:tcPr>
            <w:tcW w:w="278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MasterBrand, Inc.</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rPr>
              <w:t>MBC</w:t>
            </w:r>
          </w:p>
        </w:tc>
        <w:tc>
          <w:tcPr>
            <w:tcW w:w="266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UniFirst Corporation</w:t>
            </w:r>
          </w:p>
        </w:tc>
        <w:tc>
          <w:tcPr>
            <w:tcW w:w="1040" w:type="dxa"/>
            <w:vAlign w:val="bottom"/>
            <w:shd w:val="clear" w:color="auto" w:fill="E8ECF5"/>
          </w:tcPr>
          <w:p>
            <w:pPr>
              <w:jc w:val="center"/>
              <w:spacing w:after="0"/>
              <w:rPr>
                <w:sz w:val="20"/>
                <w:szCs w:val="20"/>
                <w:color w:val="auto"/>
              </w:rPr>
            </w:pPr>
            <w:r>
              <w:rPr>
                <w:rFonts w:ascii="Arial" w:cs="Arial" w:eastAsia="Arial" w:hAnsi="Arial"/>
                <w:sz w:val="14"/>
                <w:szCs w:val="14"/>
                <w:color w:val="auto"/>
              </w:rPr>
              <w:t>UNF</w:t>
            </w:r>
          </w:p>
        </w:tc>
        <w:tc>
          <w:tcPr>
            <w:tcW w:w="20" w:type="dxa"/>
            <w:vAlign w:val="bottom"/>
            <w:shd w:val="clear" w:color="auto" w:fill="000000"/>
          </w:tcPr>
          <w:p>
            <w:pPr>
              <w:spacing w:after="0"/>
              <w:rPr>
                <w:sz w:val="17"/>
                <w:szCs w:val="17"/>
                <w:color w:val="auto"/>
              </w:rPr>
            </w:pPr>
          </w:p>
        </w:tc>
      </w:tr>
      <w:tr>
        <w:trPr>
          <w:trHeight w:val="198"/>
        </w:trPr>
        <w:tc>
          <w:tcPr>
            <w:tcW w:w="2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Encore Wire Corporation</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WIRE</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Matson, Inc.</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MATX</w:t>
            </w:r>
          </w:p>
        </w:tc>
        <w:tc>
          <w:tcPr>
            <w:tcW w:w="26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Verra Mobility Corporation</w:t>
            </w:r>
          </w:p>
        </w:tc>
        <w:tc>
          <w:tcPr>
            <w:tcW w:w="1040" w:type="dxa"/>
            <w:vAlign w:val="bottom"/>
          </w:tcPr>
          <w:p>
            <w:pPr>
              <w:jc w:val="center"/>
              <w:spacing w:after="0"/>
              <w:rPr>
                <w:sz w:val="20"/>
                <w:szCs w:val="20"/>
                <w:color w:val="auto"/>
              </w:rPr>
            </w:pPr>
            <w:r>
              <w:rPr>
                <w:rFonts w:ascii="Arial" w:cs="Arial" w:eastAsia="Arial" w:hAnsi="Arial"/>
                <w:sz w:val="14"/>
                <w:szCs w:val="14"/>
                <w:color w:val="auto"/>
              </w:rPr>
              <w:t>VRRM</w:t>
            </w:r>
          </w:p>
        </w:tc>
        <w:tc>
          <w:tcPr>
            <w:tcW w:w="20" w:type="dxa"/>
            <w:vAlign w:val="bottom"/>
            <w:shd w:val="clear" w:color="auto" w:fill="000000"/>
          </w:tcPr>
          <w:p>
            <w:pPr>
              <w:spacing w:after="0"/>
              <w:rPr>
                <w:sz w:val="17"/>
                <w:szCs w:val="17"/>
                <w:color w:val="auto"/>
              </w:rPr>
            </w:pPr>
          </w:p>
        </w:tc>
      </w:tr>
      <w:tr>
        <w:trPr>
          <w:trHeight w:val="207"/>
        </w:trPr>
        <w:tc>
          <w:tcPr>
            <w:tcW w:w="2840" w:type="dxa"/>
            <w:vAlign w:val="bottom"/>
            <w:tcBorders>
              <w:left w:val="single" w:sz="8" w:color="auto"/>
              <w:right w:val="single" w:sz="8" w:color="auto"/>
            </w:tcBorders>
            <w:shd w:val="clear" w:color="auto" w:fill="E8ECF5"/>
          </w:tcPr>
          <w:p>
            <w:pPr>
              <w:ind w:left="100"/>
              <w:spacing w:after="0"/>
              <w:rPr>
                <w:sz w:val="20"/>
                <w:szCs w:val="20"/>
                <w:color w:val="auto"/>
              </w:rPr>
            </w:pPr>
            <w:r>
              <w:rPr>
                <w:rFonts w:ascii="Arial" w:cs="Arial" w:eastAsia="Arial" w:hAnsi="Arial"/>
                <w:sz w:val="14"/>
                <w:szCs w:val="14"/>
                <w:color w:val="auto"/>
              </w:rPr>
              <w:t>Enerpac Tool Group Corp.</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w w:val="99"/>
              </w:rPr>
              <w:t>EPAC</w:t>
            </w:r>
          </w:p>
        </w:tc>
        <w:tc>
          <w:tcPr>
            <w:tcW w:w="278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Matthews International Corporation</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w w:val="98"/>
              </w:rPr>
              <w:t>MATW</w:t>
            </w:r>
          </w:p>
        </w:tc>
        <w:tc>
          <w:tcPr>
            <w:tcW w:w="266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Vestis Corporation</w:t>
            </w:r>
          </w:p>
        </w:tc>
        <w:tc>
          <w:tcPr>
            <w:tcW w:w="1040" w:type="dxa"/>
            <w:vAlign w:val="bottom"/>
            <w:shd w:val="clear" w:color="auto" w:fill="E8ECF5"/>
          </w:tcPr>
          <w:p>
            <w:pPr>
              <w:jc w:val="center"/>
              <w:spacing w:after="0"/>
              <w:rPr>
                <w:sz w:val="20"/>
                <w:szCs w:val="20"/>
                <w:color w:val="auto"/>
              </w:rPr>
            </w:pPr>
            <w:r>
              <w:rPr>
                <w:rFonts w:ascii="Arial" w:cs="Arial" w:eastAsia="Arial" w:hAnsi="Arial"/>
                <w:sz w:val="14"/>
                <w:szCs w:val="14"/>
                <w:color w:val="auto"/>
              </w:rPr>
              <w:t>VSTS</w:t>
            </w:r>
          </w:p>
        </w:tc>
        <w:tc>
          <w:tcPr>
            <w:tcW w:w="20" w:type="dxa"/>
            <w:vAlign w:val="bottom"/>
            <w:shd w:val="clear" w:color="auto" w:fill="000000"/>
          </w:tcPr>
          <w:p>
            <w:pPr>
              <w:spacing w:after="0"/>
              <w:rPr>
                <w:sz w:val="17"/>
                <w:szCs w:val="17"/>
                <w:color w:val="auto"/>
              </w:rPr>
            </w:pPr>
          </w:p>
        </w:tc>
      </w:tr>
      <w:tr>
        <w:trPr>
          <w:trHeight w:val="198"/>
        </w:trPr>
        <w:tc>
          <w:tcPr>
            <w:tcW w:w="2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Enpro Inc.</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NPO</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Mercury Systems, Inc.</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MRCY</w:t>
            </w:r>
          </w:p>
        </w:tc>
        <w:tc>
          <w:tcPr>
            <w:tcW w:w="26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Viad Corp</w:t>
            </w:r>
          </w:p>
        </w:tc>
        <w:tc>
          <w:tcPr>
            <w:tcW w:w="1040" w:type="dxa"/>
            <w:vAlign w:val="bottom"/>
          </w:tcPr>
          <w:p>
            <w:pPr>
              <w:jc w:val="center"/>
              <w:spacing w:after="0"/>
              <w:rPr>
                <w:sz w:val="20"/>
                <w:szCs w:val="20"/>
                <w:color w:val="auto"/>
              </w:rPr>
            </w:pPr>
            <w:r>
              <w:rPr>
                <w:rFonts w:ascii="Arial" w:cs="Arial" w:eastAsia="Arial" w:hAnsi="Arial"/>
                <w:sz w:val="14"/>
                <w:szCs w:val="14"/>
                <w:color w:val="auto"/>
                <w:w w:val="97"/>
              </w:rPr>
              <w:t>VVI</w:t>
            </w:r>
          </w:p>
        </w:tc>
        <w:tc>
          <w:tcPr>
            <w:tcW w:w="20" w:type="dxa"/>
            <w:vAlign w:val="bottom"/>
            <w:shd w:val="clear" w:color="auto" w:fill="000000"/>
          </w:tcPr>
          <w:p>
            <w:pPr>
              <w:spacing w:after="0"/>
              <w:rPr>
                <w:sz w:val="17"/>
                <w:szCs w:val="17"/>
                <w:color w:val="auto"/>
              </w:rPr>
            </w:pPr>
          </w:p>
        </w:tc>
      </w:tr>
      <w:tr>
        <w:trPr>
          <w:trHeight w:val="207"/>
        </w:trPr>
        <w:tc>
          <w:tcPr>
            <w:tcW w:w="2840" w:type="dxa"/>
            <w:vAlign w:val="bottom"/>
            <w:tcBorders>
              <w:left w:val="single" w:sz="8" w:color="auto"/>
              <w:right w:val="single" w:sz="8" w:color="auto"/>
            </w:tcBorders>
            <w:shd w:val="clear" w:color="auto" w:fill="E8ECF5"/>
          </w:tcPr>
          <w:p>
            <w:pPr>
              <w:ind w:left="100"/>
              <w:spacing w:after="0"/>
              <w:rPr>
                <w:sz w:val="20"/>
                <w:szCs w:val="20"/>
                <w:color w:val="auto"/>
              </w:rPr>
            </w:pPr>
            <w:r>
              <w:rPr>
                <w:rFonts w:ascii="Arial" w:cs="Arial" w:eastAsia="Arial" w:hAnsi="Arial"/>
                <w:sz w:val="14"/>
                <w:szCs w:val="14"/>
                <w:color w:val="auto"/>
              </w:rPr>
              <w:t>Enviri Corporation</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rPr>
              <w:t>NVRI</w:t>
            </w:r>
          </w:p>
        </w:tc>
        <w:tc>
          <w:tcPr>
            <w:tcW w:w="278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MillerKnoll, Inc.</w:t>
            </w:r>
          </w:p>
        </w:tc>
        <w:tc>
          <w:tcPr>
            <w:tcW w:w="960" w:type="dxa"/>
            <w:vAlign w:val="bottom"/>
            <w:tcBorders>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rPr>
              <w:t>MLKN</w:t>
            </w:r>
          </w:p>
        </w:tc>
        <w:tc>
          <w:tcPr>
            <w:tcW w:w="2660" w:type="dxa"/>
            <w:vAlign w:val="bottom"/>
            <w:tcBorders>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Vicor Corporation</w:t>
            </w:r>
          </w:p>
        </w:tc>
        <w:tc>
          <w:tcPr>
            <w:tcW w:w="1040" w:type="dxa"/>
            <w:vAlign w:val="bottom"/>
            <w:shd w:val="clear" w:color="auto" w:fill="E8ECF5"/>
          </w:tcPr>
          <w:p>
            <w:pPr>
              <w:jc w:val="center"/>
              <w:spacing w:after="0"/>
              <w:rPr>
                <w:sz w:val="20"/>
                <w:szCs w:val="20"/>
                <w:color w:val="auto"/>
              </w:rPr>
            </w:pPr>
            <w:r>
              <w:rPr>
                <w:rFonts w:ascii="Arial" w:cs="Arial" w:eastAsia="Arial" w:hAnsi="Arial"/>
                <w:sz w:val="14"/>
                <w:szCs w:val="14"/>
                <w:color w:val="auto"/>
              </w:rPr>
              <w:t>VICR</w:t>
            </w:r>
          </w:p>
        </w:tc>
        <w:tc>
          <w:tcPr>
            <w:tcW w:w="20" w:type="dxa"/>
            <w:vAlign w:val="bottom"/>
            <w:shd w:val="clear" w:color="auto" w:fill="000000"/>
          </w:tcPr>
          <w:p>
            <w:pPr>
              <w:spacing w:after="0"/>
              <w:rPr>
                <w:sz w:val="17"/>
                <w:szCs w:val="17"/>
                <w:color w:val="auto"/>
              </w:rPr>
            </w:pPr>
          </w:p>
        </w:tc>
      </w:tr>
      <w:tr>
        <w:trPr>
          <w:trHeight w:val="198"/>
        </w:trPr>
        <w:tc>
          <w:tcPr>
            <w:tcW w:w="2840" w:type="dxa"/>
            <w:vAlign w:val="bottom"/>
            <w:tcBorders>
              <w:left w:val="single" w:sz="8" w:color="auto"/>
              <w:bottom w:val="single" w:sz="8" w:color="E8ECF5"/>
              <w:right w:val="single" w:sz="8" w:color="auto"/>
            </w:tcBorders>
          </w:tcPr>
          <w:p>
            <w:pPr>
              <w:ind w:left="100"/>
              <w:spacing w:after="0"/>
              <w:rPr>
                <w:sz w:val="20"/>
                <w:szCs w:val="20"/>
                <w:color w:val="auto"/>
              </w:rPr>
            </w:pPr>
            <w:r>
              <w:rPr>
                <w:rFonts w:ascii="Arial" w:cs="Arial" w:eastAsia="Arial" w:hAnsi="Arial"/>
                <w:sz w:val="14"/>
                <w:szCs w:val="14"/>
                <w:color w:val="auto"/>
              </w:rPr>
              <w:t>ESCO Technologies Inc.</w:t>
            </w:r>
          </w:p>
        </w:tc>
        <w:tc>
          <w:tcPr>
            <w:tcW w:w="960" w:type="dxa"/>
            <w:vAlign w:val="bottom"/>
            <w:tcBorders>
              <w:bottom w:val="single" w:sz="8" w:color="E8ECF5"/>
              <w:right w:val="single" w:sz="8" w:color="auto"/>
            </w:tcBorders>
          </w:tcPr>
          <w:p>
            <w:pPr>
              <w:jc w:val="center"/>
              <w:spacing w:after="0"/>
              <w:rPr>
                <w:sz w:val="20"/>
                <w:szCs w:val="20"/>
                <w:color w:val="auto"/>
              </w:rPr>
            </w:pPr>
            <w:r>
              <w:rPr>
                <w:rFonts w:ascii="Arial" w:cs="Arial" w:eastAsia="Arial" w:hAnsi="Arial"/>
                <w:sz w:val="14"/>
                <w:szCs w:val="14"/>
                <w:color w:val="auto"/>
              </w:rPr>
              <w:t>ESE</w:t>
            </w:r>
          </w:p>
        </w:tc>
        <w:tc>
          <w:tcPr>
            <w:tcW w:w="2780" w:type="dxa"/>
            <w:vAlign w:val="bottom"/>
            <w:tcBorders>
              <w:bottom w:val="single" w:sz="8" w:color="E8ECF5"/>
              <w:right w:val="single" w:sz="8" w:color="auto"/>
            </w:tcBorders>
          </w:tcPr>
          <w:p>
            <w:pPr>
              <w:ind w:left="80"/>
              <w:spacing w:after="0"/>
              <w:rPr>
                <w:sz w:val="20"/>
                <w:szCs w:val="20"/>
                <w:color w:val="auto"/>
              </w:rPr>
            </w:pPr>
            <w:r>
              <w:rPr>
                <w:rFonts w:ascii="Arial" w:cs="Arial" w:eastAsia="Arial" w:hAnsi="Arial"/>
                <w:sz w:val="14"/>
                <w:szCs w:val="14"/>
                <w:color w:val="auto"/>
              </w:rPr>
              <w:t>Moog Inc.</w:t>
            </w:r>
          </w:p>
        </w:tc>
        <w:tc>
          <w:tcPr>
            <w:tcW w:w="960" w:type="dxa"/>
            <w:vAlign w:val="bottom"/>
            <w:tcBorders>
              <w:bottom w:val="single" w:sz="8" w:color="E8ECF5"/>
              <w:right w:val="single" w:sz="8" w:color="auto"/>
            </w:tcBorders>
          </w:tcPr>
          <w:p>
            <w:pPr>
              <w:jc w:val="center"/>
              <w:spacing w:after="0"/>
              <w:rPr>
                <w:sz w:val="20"/>
                <w:szCs w:val="20"/>
                <w:color w:val="auto"/>
              </w:rPr>
            </w:pPr>
            <w:r>
              <w:rPr>
                <w:rFonts w:ascii="Arial" w:cs="Arial" w:eastAsia="Arial" w:hAnsi="Arial"/>
                <w:sz w:val="14"/>
                <w:szCs w:val="14"/>
                <w:color w:val="auto"/>
              </w:rPr>
              <w:t>MOG.A</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Wabash National Corporation</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WNC</w:t>
            </w:r>
          </w:p>
        </w:tc>
        <w:tc>
          <w:tcPr>
            <w:tcW w:w="20" w:type="dxa"/>
            <w:vAlign w:val="bottom"/>
            <w:tcBorders>
              <w:bottom w:val="single" w:sz="8" w:color="auto"/>
            </w:tcBorders>
            <w:shd w:val="clear" w:color="auto" w:fill="000000"/>
          </w:tcPr>
          <w:p>
            <w:pPr>
              <w:spacing w:after="0"/>
              <w:rPr>
                <w:sz w:val="17"/>
                <w:szCs w:val="17"/>
                <w:color w:val="auto"/>
              </w:rPr>
            </w:pPr>
          </w:p>
        </w:tc>
      </w:tr>
      <w:tr>
        <w:trPr>
          <w:trHeight w:val="183"/>
        </w:trPr>
        <w:tc>
          <w:tcPr>
            <w:tcW w:w="2840" w:type="dxa"/>
            <w:vAlign w:val="bottom"/>
            <w:tcBorders>
              <w:left w:val="single" w:sz="8" w:color="auto"/>
              <w:bottom w:val="single" w:sz="8" w:color="auto"/>
              <w:right w:val="single" w:sz="8" w:color="auto"/>
            </w:tcBorders>
            <w:shd w:val="clear" w:color="auto" w:fill="E8ECF5"/>
          </w:tcPr>
          <w:p>
            <w:pPr>
              <w:ind w:left="100"/>
              <w:spacing w:after="0"/>
              <w:rPr>
                <w:sz w:val="20"/>
                <w:szCs w:val="20"/>
                <w:color w:val="auto"/>
              </w:rPr>
            </w:pPr>
            <w:r>
              <w:rPr>
                <w:rFonts w:ascii="Arial" w:cs="Arial" w:eastAsia="Arial" w:hAnsi="Arial"/>
                <w:sz w:val="14"/>
                <w:szCs w:val="14"/>
                <w:color w:val="auto"/>
              </w:rPr>
              <w:t>Federal Signal Corporation</w:t>
            </w:r>
          </w:p>
        </w:tc>
        <w:tc>
          <w:tcPr>
            <w:tcW w:w="960" w:type="dxa"/>
            <w:vAlign w:val="bottom"/>
            <w:tcBorders>
              <w:bottom w:val="single" w:sz="8" w:color="auto"/>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rPr>
              <w:t>FSS</w:t>
            </w:r>
          </w:p>
        </w:tc>
        <w:tc>
          <w:tcPr>
            <w:tcW w:w="2780" w:type="dxa"/>
            <w:vAlign w:val="bottom"/>
            <w:tcBorders>
              <w:bottom w:val="single" w:sz="8" w:color="auto"/>
              <w:right w:val="single" w:sz="8" w:color="auto"/>
            </w:tcBorders>
            <w:shd w:val="clear" w:color="auto" w:fill="E8ECF5"/>
          </w:tcPr>
          <w:p>
            <w:pPr>
              <w:ind w:left="80"/>
              <w:spacing w:after="0"/>
              <w:rPr>
                <w:sz w:val="20"/>
                <w:szCs w:val="20"/>
                <w:color w:val="auto"/>
              </w:rPr>
            </w:pPr>
            <w:r>
              <w:rPr>
                <w:rFonts w:ascii="Arial" w:cs="Arial" w:eastAsia="Arial" w:hAnsi="Arial"/>
                <w:sz w:val="14"/>
                <w:szCs w:val="14"/>
                <w:color w:val="auto"/>
              </w:rPr>
              <w:t>Mueller Industries, Inc.</w:t>
            </w:r>
          </w:p>
        </w:tc>
        <w:tc>
          <w:tcPr>
            <w:tcW w:w="960" w:type="dxa"/>
            <w:vAlign w:val="bottom"/>
            <w:tcBorders>
              <w:bottom w:val="single" w:sz="8" w:color="auto"/>
              <w:right w:val="single" w:sz="8" w:color="auto"/>
            </w:tcBorders>
            <w:shd w:val="clear" w:color="auto" w:fill="E8ECF5"/>
          </w:tcPr>
          <w:p>
            <w:pPr>
              <w:jc w:val="center"/>
              <w:spacing w:after="0"/>
              <w:rPr>
                <w:sz w:val="20"/>
                <w:szCs w:val="20"/>
                <w:color w:val="auto"/>
              </w:rPr>
            </w:pPr>
            <w:r>
              <w:rPr>
                <w:rFonts w:ascii="Arial" w:cs="Arial" w:eastAsia="Arial" w:hAnsi="Arial"/>
                <w:sz w:val="14"/>
                <w:szCs w:val="14"/>
                <w:color w:val="auto"/>
              </w:rPr>
              <w:t>MLI</w:t>
            </w:r>
          </w:p>
        </w:tc>
        <w:tc>
          <w:tcPr>
            <w:tcW w:w="2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-4293870</wp:posOffset>
            </wp:positionV>
            <wp:extent cx="23837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vi</w:t>
      </w:r>
    </w:p>
    <w:p>
      <w:pPr>
        <w:sectPr>
          <w:pgSz w:w="11900" w:h="16838" w:orient="portrait"/>
          <w:cols w:equalWidth="0" w:num="1">
            <w:col w:w="11260"/>
          </w:cols>
          <w:pgMar w:left="320" w:top="1418" w:right="3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UNITS AGREEMENT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GLOSSARY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Agreement:</w:t>
      </w:r>
    </w:p>
    <w:p>
      <w:pPr>
        <w:spacing w:after="0" w:line="2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means (a) Grantee’s conviction of or plea of guilty or nolo contendere to a crime constituting a felony under the laws of the United States or any State thereof or any other jurisdiction in which the Company or its Subsidiaries conduct business; (b) Grantee’s willful misconduct in the performance of his or her duties to the Company or its Subsidiaries and failure to cure such breach within thirty (30) days following written notice thereof from the Company; (c) Grantee’s willful failure or refusal to follow directions from the Board (or direct reporting executive) and failure to cure such breach within thirty (30) days following written notice thereof from the Board; or (d) Grantee’s breach of fiduciary duty to the Company or its Subsidiaries for personal profit. Any failure by the Company or a Subsidiary of the Company to notify Grantee after the first occurrence of an event constituting Cause shall not preclude any subsequent occurrences of such event (or a similar event) from constituting Cause.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(and similar terms) means Grantee’s physical or mental condition resulting from any medically determinable physical or mental impairment that renders Grantee incapable of engaging in any substantial gainful employment and that can be expected to result in death or that has lasted or can be expected to last for a continuous period of not less than 365 days. Notwithstanding the foregoing, Grantee shall not be deemed to be Disabled as a result of any condition that:</w:t>
      </w:r>
    </w:p>
    <w:p>
      <w:pPr>
        <w:spacing w:after="0" w:line="199" w:lineRule="exact"/>
        <w:rPr>
          <w:sz w:val="20"/>
          <w:szCs w:val="20"/>
          <w:color w:val="auto"/>
        </w:rPr>
      </w:pPr>
    </w:p>
    <w:p>
      <w:pPr>
        <w:ind w:left="1300" w:hanging="644"/>
        <w:spacing w:after="0" w:line="271" w:lineRule="auto"/>
        <w:tabs>
          <w:tab w:leader="none" w:pos="115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contracted, suffered, or incurred while Grantee was engaged in, or resulted from Grantee having engaged in, a felonious activity;</w:t>
      </w:r>
    </w:p>
    <w:p>
      <w:pPr>
        <w:spacing w:after="0" w:line="198"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21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an intentionally self-inflicted injury or an addiction to drugs, alcohol, or substances which are not administered under the direction of a licensed physician as part of a medical treatment plan; or</w:t>
      </w:r>
    </w:p>
    <w:p>
      <w:pPr>
        <w:spacing w:after="0" w:line="184" w:lineRule="exact"/>
        <w:rPr>
          <w:rFonts w:ascii="Times New Roman" w:cs="Times New Roman" w:eastAsia="Times New Roman" w:hAnsi="Times New Roman"/>
          <w:sz w:val="22"/>
          <w:szCs w:val="22"/>
          <w:color w:val="auto"/>
        </w:rPr>
      </w:pPr>
    </w:p>
    <w:p>
      <w:pPr>
        <w:ind w:left="1300" w:hanging="644"/>
        <w:spacing w:after="0" w:line="257" w:lineRule="auto"/>
        <w:tabs>
          <w:tab w:leader="none" w:pos="110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service in the Armed Forces of the United States for which Grantee received or is receiving a disability benefit or pension from the United States, or from service in the armed forces of any other country irrespective of any disability benefit or pension.</w:t>
      </w:r>
    </w:p>
    <w:p>
      <w:pPr>
        <w:spacing w:after="0" w:line="213"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The Disability of Grantee and the date on which Grantee ceases to be a Service Provider by reason of Disability shall be determined by the Committee, in accordance with uniform principles consistently applied, on the basis of such evidence as the Committee and the Company deem necessary and desirable, and its good faith determination shall be conclusive for all purposes of the Plan. The Committee or the Company shall have the right to require Grantee to submit to an examination by a physician or physicians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40"/>
          </w:cols>
          <w:pgMar w:left="320" w:top="1418" w:right="339" w:bottom="1440" w:gutter="0" w:footer="0" w:header="0"/>
        </w:sectPr>
      </w:pPr>
    </w:p>
    <w:bookmarkStart w:id="62" w:name="page63"/>
    <w:bookmarkEnd w:id="62"/>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submit to such reexaminations as the Committee or the Company shall require in order to make a determination concerning Grantee’s physical or mental condition; provided, however, that Grantee may not be required to undergo a medical examination more often than once each 180 days. If Grantee engages in any occupation or employment (except for rehabilitation as determined by the Committee) for remuneration or profit, which activity would be inconsistent with the finding of Disability, or if the Committee, on the recommendation of the Company, determines on the basis of a medical examination that Grantee no longer has a Disability, or if Grantee refuses to submit to any medical examination properly requested by the Committee or the Company, then in any such event Grantee shall be deemed to have recovered from such Disability.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means:</w:t>
      </w:r>
    </w:p>
    <w:p>
      <w:pPr>
        <w:spacing w:after="0" w:line="251" w:lineRule="exact"/>
        <w:rPr>
          <w:sz w:val="20"/>
          <w:szCs w:val="20"/>
          <w:color w:val="auto"/>
        </w:rPr>
      </w:pPr>
    </w:p>
    <w:p>
      <w:pPr>
        <w:ind w:left="1160" w:hanging="504"/>
        <w:spacing w:after="0"/>
        <w:tabs>
          <w:tab w:leader="none" w:pos="11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and permanent diminution in Grantee’s duties or responsibilities;</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25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aggregate value of base salary and bonus opportunity provided to Grantee by the Company; or</w:t>
      </w:r>
    </w:p>
    <w:p>
      <w:pPr>
        <w:spacing w:after="0" w:line="15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permanent reassignment of Grantee to another primary office more than 50 miles from the current office location.</w:t>
      </w:r>
    </w:p>
    <w:p>
      <w:pPr>
        <w:spacing w:after="0" w:line="2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Grantee must notify the Company of Grantee’s intention to invoke termination for Good Reason within 90 days after Grantee has knowledge of such event and provide the Company 30 days’ opportunity for cure, and Grantee must actually terminate Grantee’s employment with the Company prior to the 365th day following such occurrence or such event shall not constitute Good Reason. Grantee may not invoke termination for Good Reason if Cause exists or Grantee has violated Section II.B.3 of the Agreement at the time of such termination.</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“Qualifying Termination” </w:t>
      </w:r>
      <w:r>
        <w:rPr>
          <w:rFonts w:ascii="Times New Roman" w:cs="Times New Roman" w:eastAsia="Times New Roman" w:hAnsi="Times New Roman"/>
          <w:sz w:val="22"/>
          <w:szCs w:val="22"/>
          <w:color w:val="auto"/>
        </w:rPr>
        <w:t>means a termination of Grantee’s status as a Service Provider with the Company or a Subsidiary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reason other than:</w:t>
      </w:r>
    </w:p>
    <w:p>
      <w:pPr>
        <w:spacing w:after="0" w:line="168" w:lineRule="exact"/>
        <w:rPr>
          <w:sz w:val="20"/>
          <w:szCs w:val="20"/>
          <w:color w:val="auto"/>
        </w:rPr>
      </w:pPr>
    </w:p>
    <w:p>
      <w:pPr>
        <w:ind w:left="1080" w:hanging="424"/>
        <w:spacing w:after="0"/>
        <w:tabs>
          <w:tab w:leader="none" w:pos="108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1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w:t>
      </w:r>
    </w:p>
    <w:p>
      <w:pPr>
        <w:spacing w:after="0" w:line="219"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w:t>
      </w:r>
    </w:p>
    <w:p>
      <w:pPr>
        <w:spacing w:after="0" w:line="219" w:lineRule="exact"/>
        <w:rPr>
          <w:rFonts w:ascii="Times New Roman" w:cs="Times New Roman" w:eastAsia="Times New Roman" w:hAnsi="Times New Roman"/>
          <w:sz w:val="22"/>
          <w:szCs w:val="22"/>
          <w:color w:val="auto"/>
        </w:rPr>
      </w:pPr>
    </w:p>
    <w:p>
      <w:pPr>
        <w:ind w:left="760" w:hanging="536"/>
        <w:spacing w:after="0"/>
        <w:tabs>
          <w:tab w:leader="none" w:pos="7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Grantee without Good Reason; or</w:t>
      </w:r>
    </w:p>
    <w:p>
      <w:pPr>
        <w:spacing w:after="0" w:line="260" w:lineRule="exact"/>
        <w:rPr>
          <w:rFonts w:ascii="Times New Roman" w:cs="Times New Roman" w:eastAsia="Times New Roman" w:hAnsi="Times New Roman"/>
          <w:sz w:val="22"/>
          <w:szCs w:val="22"/>
          <w:color w:val="auto"/>
        </w:rPr>
      </w:pPr>
    </w:p>
    <w:p>
      <w:pPr>
        <w:ind w:left="700" w:hanging="476"/>
        <w:spacing w:after="0"/>
        <w:tabs>
          <w:tab w:leader="none" w:pos="7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w:t>
      </w:r>
    </w:p>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means termination of Grantee’s status as a Service Provider after attaining age 60 and five years of service with the Company and its Subsidiaries, provided that Grantee provides written notice of the date of such Retirement to the Chief Executive Officer of the Company at least 90 days prior to the date of such Retirement (further provided that, for purposes of determining satisfaction of the years of service requirement described herein, years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240"/>
          </w:cols>
          <w:pgMar w:left="320" w:top="1422"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1"/>
          <w:szCs w:val="21"/>
          <w:color w:val="auto"/>
        </w:rPr>
        <w:t>with a Subsidiary shall only include service provided by Grantee after such Subsidiary becomes a subsidiary of the Company).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 individual actively providing services to the Company or a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0960"/>
          </w:cols>
          <w:pgMar w:left="320" w:top="1422" w:right="61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2"/>
          <w:szCs w:val="22"/>
          <w:b w:val="1"/>
          <w:bCs w:val="1"/>
          <w:color w:val="auto"/>
        </w:rPr>
        <w:t>APPENDIX 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 AGREEMENT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NON-U.S. ADDENDUM</w:t>
      </w:r>
    </w:p>
    <w:p>
      <w:pPr>
        <w:spacing w:after="0" w:line="247"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b w:val="1"/>
          <w:bCs w:val="1"/>
          <w:color w:val="auto"/>
        </w:rPr>
        <w:t>Additional Terms and Conditions for Equity Grants Under the TriMas Corporation 2023 Equity and Incentive Compensation Plan,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This Addendum includes additional terms and conditions that govern the performance-based Restricted Stock Units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granted to you under the TriMas Corporation 2023 Equity and Incentive Compensation Plan (referred to as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if you reside in the United Kingdom. Certain capitalized terms used but not defined in this Addendum have the meanings set forth in the Plan and/or your award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UNITED KINGDOM</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UK Sub-Plan</w:t>
      </w:r>
      <w:r>
        <w:rPr>
          <w:rFonts w:ascii="Times New Roman" w:cs="Times New Roman" w:eastAsia="Times New Roman" w:hAnsi="Times New Roman"/>
          <w:sz w:val="22"/>
          <w:szCs w:val="22"/>
          <w:color w:val="auto"/>
        </w:rPr>
        <w:t>. Your grant of PSUs is being made pursuant to the UK Sub-Plan, which contains additional terms and conditions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govern your PSUs and participation in the Plan. Please review that document carefully.</w:t>
      </w:r>
    </w:p>
    <w:p>
      <w:pPr>
        <w:spacing w:after="0" w:line="192" w:lineRule="exact"/>
        <w:rPr>
          <w:sz w:val="20"/>
          <w:szCs w:val="20"/>
          <w:color w:val="auto"/>
        </w:rPr>
      </w:pPr>
    </w:p>
    <w:p>
      <w:pPr>
        <w:jc w:val="both"/>
        <w:spacing w:after="0" w:line="241" w:lineRule="auto"/>
        <w:rPr>
          <w:sz w:val="20"/>
          <w:szCs w:val="20"/>
          <w:color w:val="auto"/>
        </w:rPr>
      </w:pPr>
      <w:r>
        <w:rPr>
          <w:rFonts w:ascii="Cambria" w:cs="Cambria" w:eastAsia="Cambria" w:hAnsi="Cambria"/>
          <w:sz w:val="22"/>
          <w:szCs w:val="22"/>
          <w:b w:val="1"/>
          <w:bCs w:val="1"/>
          <w:color w:val="auto"/>
        </w:rPr>
        <w:t>Disability. For purposes of the Agreement, the definition of “Disability” in Appendix B hereto shall be qualified by the inclusion of the following phrase after the word “means”: “, subject to and in compliance with the requirements of laws of the United Kingdom,”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Retirement. </w:t>
      </w:r>
      <w:r>
        <w:rPr>
          <w:rFonts w:ascii="Times New Roman" w:cs="Times New Roman" w:eastAsia="Times New Roman" w:hAnsi="Times New Roman"/>
          <w:sz w:val="22"/>
          <w:szCs w:val="22"/>
          <w:color w:val="auto"/>
        </w:rPr>
        <w:t>For purposes of the Agreement</w:t>
      </w:r>
      <w:r>
        <w:rPr>
          <w:rFonts w:ascii="Cambria" w:cs="Cambria" w:eastAsia="Cambria" w:hAnsi="Cambria"/>
          <w:sz w:val="22"/>
          <w:szCs w:val="22"/>
          <w:b w:val="1"/>
          <w:bCs w:val="1"/>
          <w:color w:val="auto"/>
        </w:rPr>
        <w:t>, the definition of “Retirement” in Appendix B hereto shall not apply.</w:t>
      </w:r>
    </w:p>
    <w:p>
      <w:pPr>
        <w:spacing w:after="0" w:line="7" w:lineRule="exact"/>
        <w:rPr>
          <w:sz w:val="20"/>
          <w:szCs w:val="20"/>
          <w:color w:val="auto"/>
        </w:rPr>
      </w:pPr>
    </w:p>
    <w:p>
      <w:pPr>
        <w:spacing w:after="0"/>
        <w:rPr>
          <w:sz w:val="20"/>
          <w:szCs w:val="20"/>
          <w:color w:val="auto"/>
        </w:rPr>
      </w:pPr>
      <w:r>
        <w:rPr>
          <w:rFonts w:ascii="Cambria" w:cs="Cambria" w:eastAsia="Cambria" w:hAnsi="Cambria"/>
          <w:sz w:val="22"/>
          <w:szCs w:val="22"/>
          <w:b w:val="1"/>
          <w:bCs w:val="1"/>
          <w:color w:val="auto"/>
        </w:rPr>
        <w:t>Further, Section II.A.6(e) of the Agreement is hereby amended in its entirety to read as follows:</w:t>
      </w:r>
    </w:p>
    <w:p>
      <w:pPr>
        <w:spacing w:after="0" w:line="23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If Grantee ceases to be a Service Provider prior to prior to the Settlement Date due to Grantee’s retirement, Grantee shall become vested at the end of the Performance Period in the number of PSUs that would have been actually earned due to the achievement of the performance measures specified in Appendix A, assuming Grantee had continued to be a Service Provider through the Settlement Date.”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 Equivalent Rights</w:t>
      </w:r>
      <w:r>
        <w:rPr>
          <w:rFonts w:ascii="Times New Roman" w:cs="Times New Roman" w:eastAsia="Times New Roman" w:hAnsi="Times New Roman"/>
          <w:sz w:val="22"/>
          <w:szCs w:val="22"/>
          <w:color w:val="auto"/>
        </w:rPr>
        <w:t>. Section II.A.3 of the Agreement is hereby amended in its entirety to read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40"/>
          </w:cols>
          <w:pgMar w:left="320" w:top="1418" w:right="339" w:bottom="1440" w:gutter="0" w:footer="0" w:header="0"/>
        </w:sectPr>
      </w:pPr>
    </w:p>
    <w:bookmarkStart w:id="65" w:name="page66"/>
    <w:bookmarkEnd w:id="65"/>
    <w:p>
      <w:pPr>
        <w:spacing w:after="0" w:line="225"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2"/>
          <w:szCs w:val="22"/>
          <w:color w:val="auto"/>
        </w:rPr>
        <w:t>“Grantee shall be notionally credited with cash per PSU equal to the amount of each cash dividend paid by the Company (if any) to holders of Common Stock generally with a record date occurring on or after the Date of Grant and prior to the time when the PSUs are earned and/or vest and are settled in accordance with Section II.A.7 hereof. Any amounts notionally credited pursuant to the immediately preceding sentence shall be subject to the same applicable terms and conditions (including earning, vesting, payment, and forfeitability) as apply to the PSUs based on which the dividend equivalents were notionally credited, and such amounts shall be paid in Common Stock at the same time as the PSUs to which they relate. The number of shares so paid shall be rounded down to the nearest whole number and shall be determined by dividing the amounts so notionally credited by the Market Value per Share on the payment date. Notwithstanding the foregoing provisions of this Section II.A.3, Grantee shall not be entitled to the cash notionally credited at any time to the PSUs (or the Common Stock representing the same, as the case may be) either legally or beneficially unless and until Grantee becomes entitled to receive the actual Common Stock in respect of this Award pursuant to Section II.A.7 of this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Withholding</w:t>
      </w:r>
      <w:r>
        <w:rPr>
          <w:rFonts w:ascii="Times New Roman" w:cs="Times New Roman" w:eastAsia="Times New Roman" w:hAnsi="Times New Roman"/>
          <w:sz w:val="22"/>
          <w:szCs w:val="22"/>
          <w:color w:val="auto"/>
        </w:rPr>
        <w:t>. Section II.B.2 of the Agreement is hereby amended in its entirety to read as follows:</w:t>
      </w:r>
    </w:p>
    <w:p>
      <w:pPr>
        <w:spacing w:after="0" w:line="2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“Grantee hereby indemnifies the Company, Grantee’s employer or any other person in respect of:</w:t>
      </w:r>
    </w:p>
    <w:p>
      <w:pPr>
        <w:spacing w:after="0" w:line="260" w:lineRule="exact"/>
        <w:rPr>
          <w:sz w:val="20"/>
          <w:szCs w:val="20"/>
          <w:color w:val="auto"/>
        </w:rPr>
      </w:pPr>
    </w:p>
    <w:p>
      <w:pPr>
        <w:ind w:left="1960" w:right="640" w:hanging="656"/>
        <w:spacing w:after="0" w:line="252" w:lineRule="auto"/>
        <w:tabs>
          <w:tab w:leader="none" w:pos="175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of income tax for which the Company, Grantee’s employer or any other person is obliged to account under the Pay-As-You-Earn system and any amounts of employee’s national insurance contributions arising from the earning and/or vesting of this Award (or which would not otherwise have arisen but for the grant of this Award to Grantee); and</w:t>
      </w:r>
    </w:p>
    <w:p>
      <w:pPr>
        <w:spacing w:after="0" w:line="206" w:lineRule="exact"/>
        <w:rPr>
          <w:rFonts w:ascii="Times New Roman" w:cs="Times New Roman" w:eastAsia="Times New Roman" w:hAnsi="Times New Roman"/>
          <w:sz w:val="22"/>
          <w:szCs w:val="22"/>
          <w:color w:val="auto"/>
        </w:rPr>
      </w:pPr>
    </w:p>
    <w:p>
      <w:pPr>
        <w:ind w:left="1960" w:right="640" w:hanging="656"/>
        <w:spacing w:after="0" w:line="249" w:lineRule="auto"/>
        <w:tabs>
          <w:tab w:leader="none" w:pos="179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of income tax for which the Company, Grantee’s employer or any other person is obliged to account under the Pay-As-You-Earn system and any amounts of employee’s national insurance contributions arising in respect of, or in connection with the holding or disposal by Grantee of the shares of Common Stock acquired pursuant to this Award or the conversion of such shares of Common Stock into securities of another description whilst such shares of Common Stock are held by Grantee,</w:t>
      </w:r>
    </w:p>
    <w:p>
      <w:pPr>
        <w:spacing w:after="0" w:line="4" w:lineRule="exact"/>
        <w:rPr>
          <w:sz w:val="20"/>
          <w:szCs w:val="20"/>
          <w:color w:val="auto"/>
        </w:rPr>
      </w:pPr>
    </w:p>
    <w:p>
      <w:pPr>
        <w:jc w:val="both"/>
        <w:ind w:left="660" w:right="660" w:hanging="381"/>
        <w:spacing w:after="0" w:line="248" w:lineRule="auto"/>
        <w:rPr>
          <w:sz w:val="20"/>
          <w:szCs w:val="20"/>
          <w:color w:val="auto"/>
        </w:rPr>
      </w:pPr>
      <w:r>
        <w:rPr>
          <w:rFonts w:ascii="Times New Roman" w:cs="Times New Roman" w:eastAsia="Times New Roman" w:hAnsi="Times New Roman"/>
          <w:sz w:val="22"/>
          <w:szCs w:val="22"/>
          <w:color w:val="auto"/>
        </w:rPr>
        <w:t>and in pursuance of such indemnity, Grantee hereby agrees that he or she shall pay to the Company (or to such other entity as directed by it) such amount as shall be notified to Grantee by the Company as being due on any occasion under such indemnity, within seven days after being so notified. To the extent that Grantee fails to pay any amount so notified to him or her by the Company within seven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240"/>
          </w:cols>
          <w:pgMar w:left="320" w:top="1440" w:right="339" w:bottom="1440" w:gutter="0" w:footer="0" w:header="0"/>
        </w:sectPr>
      </w:pPr>
    </w:p>
    <w:bookmarkStart w:id="66" w:name="page67"/>
    <w:bookmarkEnd w:id="66"/>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days after such notification, Grantee hereby agrees that the Company may withhold, or procure the withholding, from any salary, wages, payment or payments due to Grantee from the Company or Grantee’s employer an amount which is equal to the amount notified to Grantee, sell or procure the sale of sufficient of the shares of Common Stock acquired by Grantee pursuant to this Award on behalf of Grantee to produce a sum which after any costs of sale is sufficient to discharge the amount so notified to Grantee and retain such sum or make such other arrangements, by which Grantee hereby agrees to be bound, so as to ensure that the amount notified to Grantee is discharged in full.</w:t>
      </w:r>
    </w:p>
    <w:p>
      <w:pPr>
        <w:spacing w:after="0" w:line="207" w:lineRule="exact"/>
        <w:rPr>
          <w:sz w:val="20"/>
          <w:szCs w:val="20"/>
          <w:color w:val="auto"/>
        </w:rPr>
      </w:pPr>
    </w:p>
    <w:p>
      <w:pPr>
        <w:jc w:val="both"/>
        <w:ind w:left="660" w:hanging="406"/>
        <w:spacing w:after="0" w:line="251" w:lineRule="auto"/>
        <w:rPr>
          <w:sz w:val="20"/>
          <w:szCs w:val="20"/>
          <w:color w:val="auto"/>
        </w:rPr>
      </w:pPr>
      <w:r>
        <w:rPr>
          <w:rFonts w:ascii="Times New Roman" w:cs="Times New Roman" w:eastAsia="Times New Roman" w:hAnsi="Times New Roman"/>
          <w:sz w:val="22"/>
          <w:szCs w:val="22"/>
          <w:color w:val="auto"/>
        </w:rPr>
        <w:t>In the alternative to satisfying the indemnity in (i) above, Grantee hereby agrees that the Company may withhold from the total number of shares of Common Stock that become issuable to Grantee on vesting of this Award a number of shares of Common Stock with an aggregate Market Value per Share on the date of withholding equal to the amount due under (i) above as determined by the Company, in which case Grantee will be taken to have forfeited the right to be issued the number of shares of Common Stock so withheld in order to make good the amounts due under (i) above.</w:t>
      </w:r>
    </w:p>
    <w:p>
      <w:pPr>
        <w:spacing w:after="0" w:line="208" w:lineRule="exact"/>
        <w:rPr>
          <w:sz w:val="20"/>
          <w:szCs w:val="20"/>
          <w:color w:val="auto"/>
        </w:rPr>
      </w:pPr>
    </w:p>
    <w:p>
      <w:pPr>
        <w:jc w:val="both"/>
        <w:ind w:left="660" w:right="20" w:hanging="428"/>
        <w:spacing w:after="0" w:line="263" w:lineRule="auto"/>
        <w:rPr>
          <w:sz w:val="20"/>
          <w:szCs w:val="20"/>
          <w:color w:val="auto"/>
        </w:rPr>
      </w:pPr>
      <w:r>
        <w:rPr>
          <w:rFonts w:ascii="Times New Roman" w:cs="Times New Roman" w:eastAsia="Times New Roman" w:hAnsi="Times New Roman"/>
          <w:sz w:val="22"/>
          <w:szCs w:val="22"/>
          <w:color w:val="auto"/>
        </w:rPr>
        <w:t>The Company will not be obliged to deliver any shares of Common Stock to Grantee pursuant to this Award, if Grantee fails to comply with his or her obligations under the foregoing provisions of this Section II.B.2 and Grantee shall not be entitled to receive the delivery of such shares of Common Stock.</w:t>
      </w:r>
    </w:p>
    <w:p>
      <w:pPr>
        <w:spacing w:after="0" w:line="194" w:lineRule="exact"/>
        <w:rPr>
          <w:sz w:val="20"/>
          <w:szCs w:val="20"/>
          <w:color w:val="auto"/>
        </w:rPr>
      </w:pPr>
    </w:p>
    <w:p>
      <w:pPr>
        <w:jc w:val="both"/>
        <w:ind w:left="660" w:right="20" w:hanging="401"/>
        <w:spacing w:after="0" w:line="253" w:lineRule="auto"/>
        <w:rPr>
          <w:sz w:val="20"/>
          <w:szCs w:val="20"/>
          <w:color w:val="auto"/>
        </w:rPr>
      </w:pPr>
      <w:r>
        <w:rPr>
          <w:rFonts w:ascii="Times New Roman" w:cs="Times New Roman" w:eastAsia="Times New Roman" w:hAnsi="Times New Roman"/>
          <w:sz w:val="22"/>
          <w:szCs w:val="22"/>
          <w:color w:val="auto"/>
        </w:rPr>
        <w:t>It is a further condition of delivery of any shares of Common Stock pursuant to the vesting of this Award that Grantee will, if required to do so by the Company, enter into a joint election under section 431(1) of the United Kingdom Income Tax (Earnings and Pensions) Act 2003 (“</w:t>
      </w:r>
      <w:r>
        <w:rPr>
          <w:rFonts w:ascii="Times New Roman" w:cs="Times New Roman" w:eastAsia="Times New Roman" w:hAnsi="Times New Roman"/>
          <w:sz w:val="22"/>
          <w:szCs w:val="22"/>
          <w:u w:val="single" w:color="auto"/>
          <w:color w:val="auto"/>
        </w:rPr>
        <w:t>ITEPA</w:t>
      </w:r>
      <w:r>
        <w:rPr>
          <w:rFonts w:ascii="Times New Roman" w:cs="Times New Roman" w:eastAsia="Times New Roman" w:hAnsi="Times New Roman"/>
          <w:sz w:val="22"/>
          <w:szCs w:val="22"/>
          <w:color w:val="auto"/>
        </w:rPr>
        <w:t>”), the effect of which is that the Common Stock will be treated as if they were not restricted securities and that sections 425 to 430 of ITEPA will not apply to those shares.”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Whistleblower Protection. </w:t>
      </w:r>
      <w:r>
        <w:rPr>
          <w:rFonts w:ascii="Times New Roman" w:cs="Times New Roman" w:eastAsia="Times New Roman" w:hAnsi="Times New Roman"/>
          <w:sz w:val="22"/>
          <w:szCs w:val="22"/>
          <w:color w:val="auto"/>
        </w:rPr>
        <w:t>The last sentence of Section II.B.3(b) is hereby amended in its entirety to read as follows:</w:t>
      </w:r>
    </w:p>
    <w:p>
      <w:pPr>
        <w:spacing w:after="0" w:line="251"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“Notwithstanding anything in this Agreement to the contrary, nothing in this Agreement prevents Grantee, in accordance with applicable law, from (i) making a protected disclosure under section 43A of the Employment Rights Act 1996; (ii) making a disclosure to a regulator regarding any misconduct, wrongdoing or serious breach of regulatory requirements, or reporting a criminal offence to any law enforcement agency; (iii) co-operating with any law enforcement agency regarding a criminal investigation or prosecution; or (iv)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0600"/>
          </w:cols>
          <w:pgMar w:left="320" w:top="1422" w:right="979" w:bottom="1440" w:gutter="0" w:footer="0" w:header="0"/>
        </w:sectPr>
      </w:pPr>
    </w:p>
    <w:bookmarkStart w:id="67" w:name="page68"/>
    <w:bookmarkEnd w:id="67"/>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Restrictive Covenants. </w:t>
      </w:r>
      <w:r>
        <w:rPr>
          <w:rFonts w:ascii="Times New Roman" w:cs="Times New Roman" w:eastAsia="Times New Roman" w:hAnsi="Times New Roman"/>
          <w:sz w:val="22"/>
          <w:szCs w:val="22"/>
          <w:color w:val="auto"/>
        </w:rPr>
        <w:t>Section II.B.3(c) is hereby amended in its entirety to read as follows:</w:t>
      </w:r>
    </w:p>
    <w:p>
      <w:pPr>
        <w:spacing w:after="0" w:line="247" w:lineRule="exact"/>
        <w:rPr>
          <w:sz w:val="20"/>
          <w:szCs w:val="20"/>
          <w:color w:val="auto"/>
        </w:rPr>
      </w:pPr>
    </w:p>
    <w:p>
      <w:pPr>
        <w:jc w:val="both"/>
        <w:ind w:left="660" w:hanging="330"/>
        <w:spacing w:after="0" w:line="252" w:lineRule="auto"/>
        <w:tabs>
          <w:tab w:leader="none" w:pos="6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b w:val="1"/>
          <w:bCs w:val="1"/>
          <w:color w:val="auto"/>
        </w:rPr>
        <w:t xml:space="preserve">Covenants Against Competition and Solicitation. </w:t>
      </w:r>
      <w:r>
        <w:rPr>
          <w:rFonts w:ascii="Times New Roman" w:cs="Times New Roman" w:eastAsia="Times New Roman" w:hAnsi="Times New Roman"/>
          <w:sz w:val="22"/>
          <w:szCs w:val="22"/>
          <w:color w:val="auto"/>
        </w:rPr>
        <w:t>Each of the restrictions set out in this Section II.B.3(c)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constitutes an entirely separate, severable and independent obligation of Grantee. They are entered into in order to safeguard the legitimate business interests of the Company and particularly the goodwill of the Company in connection with its clients, suppliers and employees. Each separate restriction applies whether Grantee undertakes the activity in question directly or indirectly through a third party and whether it is undertaken on his own behalf or on behalf of, or in conjunction with, any firm, company or person.</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Grantee covenants that Grantee will not for the Restricted Period:</w:t>
      </w:r>
    </w:p>
    <w:p>
      <w:pPr>
        <w:spacing w:after="0" w:line="233" w:lineRule="exact"/>
        <w:rPr>
          <w:sz w:val="20"/>
          <w:szCs w:val="20"/>
          <w:color w:val="auto"/>
        </w:rPr>
      </w:pPr>
    </w:p>
    <w:p>
      <w:pPr>
        <w:ind w:left="1280" w:right="20" w:hanging="644"/>
        <w:spacing w:after="0" w:line="271" w:lineRule="auto"/>
        <w:tabs>
          <w:tab w:leader="none" w:pos="119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entice or solicit or endeavour to entice or solicit away from the Company or any Group Company any Relevant Employee;</w:t>
      </w:r>
    </w:p>
    <w:p>
      <w:pPr>
        <w:spacing w:after="0" w:line="157" w:lineRule="exact"/>
        <w:rPr>
          <w:rFonts w:ascii="Times New Roman" w:cs="Times New Roman" w:eastAsia="Times New Roman" w:hAnsi="Times New Roman"/>
          <w:sz w:val="22"/>
          <w:szCs w:val="22"/>
          <w:color w:val="auto"/>
        </w:rPr>
      </w:pPr>
    </w:p>
    <w:p>
      <w:pPr>
        <w:ind w:left="1280" w:hanging="644"/>
        <w:spacing w:after="0" w:line="271" w:lineRule="auto"/>
        <w:tabs>
          <w:tab w:leader="none" w:pos="132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 or otherwise engage or otherwise facilitate the employment or engagement of any Relevant Employee;</w:t>
      </w:r>
    </w:p>
    <w:p>
      <w:pPr>
        <w:spacing w:after="0" w:line="157" w:lineRule="exact"/>
        <w:rPr>
          <w:rFonts w:ascii="Times New Roman" w:cs="Times New Roman" w:eastAsia="Times New Roman" w:hAnsi="Times New Roman"/>
          <w:sz w:val="22"/>
          <w:szCs w:val="22"/>
          <w:color w:val="auto"/>
        </w:rPr>
      </w:pPr>
    </w:p>
    <w:p>
      <w:pPr>
        <w:ind w:left="1180" w:hanging="544"/>
        <w:spacing w:after="0"/>
        <w:tabs>
          <w:tab w:leader="none" w:pos="11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endeavour to supply Restricted Goods or Services to any Relevant Customer;</w:t>
      </w:r>
    </w:p>
    <w:p>
      <w:pPr>
        <w:spacing w:after="0" w:line="219" w:lineRule="exact"/>
        <w:rPr>
          <w:rFonts w:ascii="Times New Roman" w:cs="Times New Roman" w:eastAsia="Times New Roman" w:hAnsi="Times New Roman"/>
          <w:sz w:val="22"/>
          <w:szCs w:val="22"/>
          <w:color w:val="auto"/>
        </w:rPr>
      </w:pPr>
    </w:p>
    <w:p>
      <w:pPr>
        <w:ind w:left="1160" w:hanging="524"/>
        <w:spacing w:after="0"/>
        <w:tabs>
          <w:tab w:leader="none" w:pos="11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supply or be involved with the supply of Restricted Goods or Services to any Relevant Customer;</w:t>
      </w:r>
    </w:p>
    <w:p>
      <w:pPr>
        <w:spacing w:after="0" w:line="233" w:lineRule="exact"/>
        <w:rPr>
          <w:rFonts w:ascii="Times New Roman" w:cs="Times New Roman" w:eastAsia="Times New Roman" w:hAnsi="Times New Roman"/>
          <w:sz w:val="22"/>
          <w:szCs w:val="22"/>
          <w:color w:val="auto"/>
        </w:rPr>
      </w:pPr>
    </w:p>
    <w:p>
      <w:pPr>
        <w:ind w:left="1100" w:hanging="464"/>
        <w:spacing w:after="0"/>
        <w:tabs>
          <w:tab w:leader="none" w:pos="11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any business dealings with any Relevant Customer on behalf of a Relevant Business;</w:t>
      </w:r>
    </w:p>
    <w:p>
      <w:pPr>
        <w:spacing w:after="0" w:line="219" w:lineRule="exact"/>
        <w:rPr>
          <w:rFonts w:ascii="Times New Roman" w:cs="Times New Roman" w:eastAsia="Times New Roman" w:hAnsi="Times New Roman"/>
          <w:sz w:val="22"/>
          <w:szCs w:val="22"/>
          <w:color w:val="auto"/>
        </w:rPr>
      </w:pPr>
    </w:p>
    <w:p>
      <w:pPr>
        <w:ind w:left="1160" w:hanging="524"/>
        <w:spacing w:after="0"/>
        <w:tabs>
          <w:tab w:leader="none" w:pos="11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principal or agent in any Relevant Business within the Restricted Area;</w:t>
      </w:r>
    </w:p>
    <w:p>
      <w:pPr>
        <w:spacing w:after="0" w:line="219" w:lineRule="exact"/>
        <w:rPr>
          <w:rFonts w:ascii="Times New Roman" w:cs="Times New Roman" w:eastAsia="Times New Roman" w:hAnsi="Times New Roman"/>
          <w:sz w:val="22"/>
          <w:szCs w:val="22"/>
          <w:color w:val="auto"/>
        </w:rPr>
      </w:pPr>
    </w:p>
    <w:p>
      <w:pPr>
        <w:ind w:left="1220" w:hanging="584"/>
        <w:spacing w:after="0"/>
        <w:tabs>
          <w:tab w:leader="none" w:pos="12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partner or member in any Relevant Business within the Restricted Area;</w:t>
      </w:r>
    </w:p>
    <w:p>
      <w:pPr>
        <w:spacing w:after="0" w:line="219" w:lineRule="exact"/>
        <w:rPr>
          <w:rFonts w:ascii="Times New Roman" w:cs="Times New Roman" w:eastAsia="Times New Roman" w:hAnsi="Times New Roman"/>
          <w:sz w:val="22"/>
          <w:szCs w:val="22"/>
          <w:color w:val="auto"/>
        </w:rPr>
      </w:pPr>
    </w:p>
    <w:p>
      <w:pPr>
        <w:ind w:left="1280" w:right="20" w:hanging="644"/>
        <w:spacing w:after="0" w:line="271" w:lineRule="auto"/>
        <w:tabs>
          <w:tab w:leader="none" w:pos="130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employed or engaged as a worker in any Relevant Business that operates or seeks to operate within the Restricted Area;</w:t>
      </w:r>
    </w:p>
    <w:p>
      <w:pPr>
        <w:spacing w:after="0" w:line="171" w:lineRule="exact"/>
        <w:rPr>
          <w:rFonts w:ascii="Times New Roman" w:cs="Times New Roman" w:eastAsia="Times New Roman" w:hAnsi="Times New Roman"/>
          <w:sz w:val="22"/>
          <w:szCs w:val="22"/>
          <w:color w:val="auto"/>
        </w:rPr>
      </w:pPr>
    </w:p>
    <w:p>
      <w:pPr>
        <w:ind w:left="1280" w:hanging="644"/>
        <w:spacing w:after="0" w:line="271" w:lineRule="auto"/>
        <w:tabs>
          <w:tab w:leader="none" w:pos="122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engaged as a consultant (directly or through another entity) or adviser to any Relevant Business within the Restricted Area;</w:t>
      </w:r>
    </w:p>
    <w:p>
      <w:pPr>
        <w:spacing w:after="0" w:line="157" w:lineRule="exact"/>
        <w:rPr>
          <w:rFonts w:ascii="Times New Roman" w:cs="Times New Roman" w:eastAsia="Times New Roman" w:hAnsi="Times New Roman"/>
          <w:sz w:val="22"/>
          <w:szCs w:val="22"/>
          <w:color w:val="auto"/>
        </w:rPr>
      </w:pPr>
    </w:p>
    <w:p>
      <w:pPr>
        <w:ind w:left="1100" w:hanging="464"/>
        <w:spacing w:after="0"/>
        <w:tabs>
          <w:tab w:leader="none" w:pos="11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director of any Relevant Business within the Restricted Area;</w:t>
      </w:r>
    </w:p>
    <w:p>
      <w:pPr>
        <w:spacing w:after="0" w:line="219" w:lineRule="exact"/>
        <w:rPr>
          <w:rFonts w:ascii="Times New Roman" w:cs="Times New Roman" w:eastAsia="Times New Roman" w:hAnsi="Times New Roman"/>
          <w:sz w:val="22"/>
          <w:szCs w:val="22"/>
          <w:color w:val="auto"/>
        </w:rPr>
      </w:pPr>
    </w:p>
    <w:p>
      <w:pPr>
        <w:ind w:left="1160" w:hanging="524"/>
        <w:spacing w:after="0"/>
        <w:tabs>
          <w:tab w:leader="none" w:pos="11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 material financial interest in any Relevant Business within the Restricted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0600"/>
          </w:cols>
          <w:pgMar w:left="320" w:top="1440" w:right="979" w:bottom="1440" w:gutter="0" w:footer="0" w:header="0"/>
        </w:sectPr>
      </w:pPr>
    </w:p>
    <w:bookmarkStart w:id="68" w:name="page69"/>
    <w:bookmarkEnd w:id="68"/>
    <w:p>
      <w:pPr>
        <w:jc w:val="both"/>
        <w:ind w:left="1280" w:right="20" w:hanging="644"/>
        <w:spacing w:after="0" w:line="253" w:lineRule="auto"/>
        <w:tabs>
          <w:tab w:leader="none" w:pos="122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 shareholding in any Relevant Business within the Restricted Area, disregarding any financial interest of a person in securities which are listed or dealt in on any Recognised Stock Exchange if that person, Grantee and any person connected with Grantee are interested in securities which amount to less than five per cent of the issued securities of that class and which, in all circumstances, carry less than five per cent of the voting rights (if any) attaching to the issued securities of that class; and</w:t>
      </w:r>
    </w:p>
    <w:p>
      <w:pPr>
        <w:spacing w:after="0" w:line="178" w:lineRule="exact"/>
        <w:rPr>
          <w:rFonts w:ascii="Times New Roman" w:cs="Times New Roman" w:eastAsia="Times New Roman" w:hAnsi="Times New Roman"/>
          <w:sz w:val="22"/>
          <w:szCs w:val="22"/>
          <w:color w:val="auto"/>
        </w:rPr>
      </w:pPr>
    </w:p>
    <w:p>
      <w:pPr>
        <w:ind w:left="1280" w:right="20" w:hanging="644"/>
        <w:spacing w:after="0" w:line="271" w:lineRule="auto"/>
        <w:tabs>
          <w:tab w:leader="none" w:pos="132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 person with significant control (under part 21A of the United Kingdom Companies Act 2006) in any Relevant Business within the Restricted Area.</w:t>
      </w:r>
    </w:p>
    <w:p>
      <w:pPr>
        <w:spacing w:after="0" w:line="158"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22"/>
          <w:szCs w:val="22"/>
          <w:color w:val="auto"/>
        </w:rPr>
        <w:t>The restrictions above only apply in respect of business activities which compete or seek to compete with the Company and nothing in these provisions seeks to prevent Grantee in connection with activities which do not compete with the Company.</w:t>
      </w:r>
    </w:p>
    <w:p>
      <w:pPr>
        <w:spacing w:after="0" w:line="16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While the restrictions above are considered by Grantee and the Company to be reasonable in all the circumstances, it is recognized that such restrictions may fail for unforeseen reasons and, it is therefore agreed that if any of the restrictions are held to be void, but would be valid if part of the wording were deleted or if the periods (if any) specified were reduced or the areas dealt with reduced in scope, such restrictions shall apply with such modifications as may be necessary to make them valid and effective.”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Section II.B.3(e) is hereby amended in its entirety to read as follows:</w:t>
      </w:r>
    </w:p>
    <w:p>
      <w:pPr>
        <w:spacing w:after="0" w:line="32" w:lineRule="exact"/>
        <w:rPr>
          <w:sz w:val="20"/>
          <w:szCs w:val="20"/>
          <w:color w:val="auto"/>
        </w:rPr>
      </w:pPr>
    </w:p>
    <w:p>
      <w:pPr>
        <w:jc w:val="both"/>
        <w:ind w:left="1300"/>
        <w:spacing w:after="0" w:line="246" w:lineRule="auto"/>
        <w:rPr>
          <w:sz w:val="20"/>
          <w:szCs w:val="20"/>
          <w:color w:val="auto"/>
        </w:rPr>
      </w:pPr>
      <w:r>
        <w:rPr>
          <w:rFonts w:ascii="Times New Roman" w:cs="Times New Roman" w:eastAsia="Times New Roman" w:hAnsi="Times New Roman"/>
          <w:sz w:val="22"/>
          <w:szCs w:val="22"/>
          <w:color w:val="auto"/>
        </w:rPr>
        <w:t>“(1)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82" w:lineRule="exact"/>
        <w:rPr>
          <w:sz w:val="20"/>
          <w:szCs w:val="20"/>
          <w:color w:val="auto"/>
        </w:rPr>
      </w:pPr>
    </w:p>
    <w:p>
      <w:pPr>
        <w:jc w:val="both"/>
        <w:ind w:left="1300" w:right="20" w:firstLine="4"/>
        <w:spacing w:after="0" w:line="272" w:lineRule="auto"/>
        <w:tabs>
          <w:tab w:leader="none" w:pos="160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means a person or entity that engages in any business engaged in by the 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and that does so in a geographic area in which the Company engage(s) in that business, as evidenced on the Company’s website, in the marketing materials of the Company or by the books and records of the Company, and “engages” includes actively planning to engage in the business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0600"/>
          </w:cols>
          <w:pgMar w:left="320" w:top="1422" w:right="979" w:bottom="1440" w:gutter="0" w:footer="0" w:header="0"/>
        </w:sectPr>
      </w:pPr>
    </w:p>
    <w:bookmarkStart w:id="69" w:name="page70"/>
    <w:bookmarkEnd w:id="69"/>
    <w:p>
      <w:pPr>
        <w:jc w:val="both"/>
        <w:ind w:left="1140" w:firstLine="4"/>
        <w:spacing w:after="0" w:line="247" w:lineRule="auto"/>
        <w:tabs>
          <w:tab w:leader="none" w:pos="181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202" w:lineRule="exact"/>
        <w:rPr>
          <w:rFonts w:ascii="Times New Roman" w:cs="Times New Roman" w:eastAsia="Times New Roman" w:hAnsi="Times New Roman"/>
          <w:sz w:val="22"/>
          <w:szCs w:val="22"/>
          <w:color w:val="auto"/>
        </w:rPr>
      </w:pPr>
    </w:p>
    <w:p>
      <w:pPr>
        <w:jc w:val="both"/>
        <w:ind w:left="1140" w:right="20" w:firstLine="4"/>
        <w:spacing w:after="0" w:line="259" w:lineRule="auto"/>
        <w:tabs>
          <w:tab w:leader="none" w:pos="172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Area</w:t>
      </w:r>
      <w:r>
        <w:rPr>
          <w:rFonts w:ascii="Times New Roman" w:cs="Times New Roman" w:eastAsia="Times New Roman" w:hAnsi="Times New Roman"/>
          <w:sz w:val="22"/>
          <w:szCs w:val="22"/>
          <w:color w:val="auto"/>
        </w:rPr>
        <w:t>” means the United Kingdom and any other country in the world where, on the Relevant Date, the Company carries on a Relevant Business and with which Grantee had material involvement during the 12 months prior to the Relevant Date.</w:t>
      </w:r>
    </w:p>
    <w:p>
      <w:pPr>
        <w:spacing w:after="0" w:line="166" w:lineRule="exact"/>
        <w:rPr>
          <w:rFonts w:ascii="Times New Roman" w:cs="Times New Roman" w:eastAsia="Times New Roman" w:hAnsi="Times New Roman"/>
          <w:sz w:val="22"/>
          <w:szCs w:val="22"/>
          <w:color w:val="auto"/>
        </w:rPr>
      </w:pPr>
    </w:p>
    <w:p>
      <w:pPr>
        <w:ind w:left="1140" w:right="20" w:firstLine="4"/>
        <w:spacing w:after="0" w:line="275" w:lineRule="auto"/>
        <w:tabs>
          <w:tab w:leader="none" w:pos="171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Business</w:t>
      </w:r>
      <w:r>
        <w:rPr>
          <w:rFonts w:ascii="Times New Roman" w:cs="Times New Roman" w:eastAsia="Times New Roman" w:hAnsi="Times New Roman"/>
          <w:sz w:val="22"/>
          <w:szCs w:val="22"/>
          <w:color w:val="auto"/>
        </w:rPr>
        <w:t>” means any business or part of a business involving the supply of Restricted Goods or Services.</w:t>
      </w:r>
    </w:p>
    <w:p>
      <w:pPr>
        <w:spacing w:after="0" w:line="162" w:lineRule="exact"/>
        <w:rPr>
          <w:rFonts w:ascii="Times New Roman" w:cs="Times New Roman" w:eastAsia="Times New Roman" w:hAnsi="Times New Roman"/>
          <w:sz w:val="22"/>
          <w:szCs w:val="22"/>
          <w:color w:val="auto"/>
        </w:rPr>
      </w:pPr>
    </w:p>
    <w:p>
      <w:pPr>
        <w:jc w:val="both"/>
        <w:ind w:left="1140" w:right="20" w:firstLine="4"/>
        <w:spacing w:after="0" w:line="253" w:lineRule="auto"/>
        <w:tabs>
          <w:tab w:leader="none" w:pos="160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Customer</w:t>
      </w:r>
      <w:r>
        <w:rPr>
          <w:rFonts w:ascii="Times New Roman" w:cs="Times New Roman" w:eastAsia="Times New Roman" w:hAnsi="Times New Roman"/>
          <w:sz w:val="22"/>
          <w:szCs w:val="22"/>
          <w:color w:val="auto"/>
        </w:rPr>
        <w:t>” means a person, firm or company who in the twelve months immediately before the Relevant Date conducted a business relationship (including, without limitation, the provision of services and the negotiation for the same) with the Company and with whom Grantee had significant contact in the course of Grantee’s employment with the Company.</w:t>
      </w:r>
    </w:p>
    <w:p>
      <w:pPr>
        <w:spacing w:after="0" w:line="175" w:lineRule="exact"/>
        <w:rPr>
          <w:rFonts w:ascii="Times New Roman" w:cs="Times New Roman" w:eastAsia="Times New Roman" w:hAnsi="Times New Roman"/>
          <w:sz w:val="22"/>
          <w:szCs w:val="22"/>
          <w:color w:val="auto"/>
        </w:rPr>
      </w:pPr>
    </w:p>
    <w:p>
      <w:pPr>
        <w:jc w:val="both"/>
        <w:ind w:left="1140" w:right="20" w:firstLine="4"/>
        <w:spacing w:after="0" w:line="265" w:lineRule="auto"/>
        <w:tabs>
          <w:tab w:leader="none" w:pos="160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Date</w:t>
      </w:r>
      <w:r>
        <w:rPr>
          <w:rFonts w:ascii="Times New Roman" w:cs="Times New Roman" w:eastAsia="Times New Roman" w:hAnsi="Times New Roman"/>
          <w:sz w:val="22"/>
          <w:szCs w:val="22"/>
          <w:color w:val="auto"/>
        </w:rPr>
        <w:t>” means the earlier of (x) the date of termination of Grantee’s employment, and (y) the start of any period of garden leave or exclusion under Grantee’s contract of employment with the Company.</w:t>
      </w:r>
    </w:p>
    <w:p>
      <w:pPr>
        <w:spacing w:after="0" w:line="161" w:lineRule="exact"/>
        <w:rPr>
          <w:rFonts w:ascii="Times New Roman" w:cs="Times New Roman" w:eastAsia="Times New Roman" w:hAnsi="Times New Roman"/>
          <w:sz w:val="22"/>
          <w:szCs w:val="22"/>
          <w:color w:val="auto"/>
        </w:rPr>
      </w:pPr>
    </w:p>
    <w:p>
      <w:pPr>
        <w:jc w:val="both"/>
        <w:ind w:left="1140" w:right="20" w:firstLine="4"/>
        <w:spacing w:after="0" w:line="259" w:lineRule="auto"/>
        <w:tabs>
          <w:tab w:leader="none" w:pos="164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Employee</w:t>
      </w:r>
      <w:r>
        <w:rPr>
          <w:rFonts w:ascii="Times New Roman" w:cs="Times New Roman" w:eastAsia="Times New Roman" w:hAnsi="Times New Roman"/>
          <w:sz w:val="22"/>
          <w:szCs w:val="22"/>
          <w:color w:val="auto"/>
        </w:rPr>
        <w:t>” means any senior employee who has significant customer or client contact, or valuable technical skills, and with whom Grantee has had significant contact during the course of his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w:t>
      </w:r>
    </w:p>
    <w:p>
      <w:pPr>
        <w:sectPr>
          <w:pgSz w:w="11900" w:h="16838" w:orient="portrait"/>
          <w:cols w:equalWidth="0" w:num="1">
            <w:col w:w="10440"/>
          </w:cols>
          <w:pgMar w:left="480" w:top="1418" w:right="979" w:bottom="1440" w:gutter="0" w:footer="0" w:header="0"/>
        </w:sectPr>
      </w:pPr>
    </w:p>
    <w:bookmarkStart w:id="70" w:name="page71"/>
    <w:bookmarkEnd w:id="70"/>
    <w:p>
      <w:pPr>
        <w:jc w:val="both"/>
        <w:ind w:left="1300" w:right="640" w:firstLine="4"/>
        <w:spacing w:after="0" w:line="259" w:lineRule="auto"/>
        <w:tabs>
          <w:tab w:leader="none" w:pos="1822"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Goods or Services</w:t>
      </w:r>
      <w:r>
        <w:rPr>
          <w:rFonts w:ascii="Times New Roman" w:cs="Times New Roman" w:eastAsia="Times New Roman" w:hAnsi="Times New Roman"/>
          <w:sz w:val="22"/>
          <w:szCs w:val="22"/>
          <w:color w:val="auto"/>
        </w:rPr>
        <w:t>” means products for customers in the consumer products, aerospace, industrial, petrochemical, refinery and oil and gas end markets, and the design, manufacture and marketing thereof.</w:t>
      </w:r>
    </w:p>
    <w:p>
      <w:pPr>
        <w:spacing w:after="0" w:line="179" w:lineRule="exact"/>
        <w:rPr>
          <w:rFonts w:ascii="Times New Roman" w:cs="Times New Roman" w:eastAsia="Times New Roman" w:hAnsi="Times New Roman"/>
          <w:sz w:val="22"/>
          <w:szCs w:val="22"/>
          <w:color w:val="auto"/>
        </w:rPr>
      </w:pPr>
    </w:p>
    <w:p>
      <w:pPr>
        <w:jc w:val="both"/>
        <w:ind w:left="1300" w:right="660" w:firstLine="4"/>
        <w:spacing w:after="0" w:line="253" w:lineRule="auto"/>
        <w:tabs>
          <w:tab w:leader="none" w:pos="197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Period</w:t>
      </w:r>
      <w:r>
        <w:rPr>
          <w:rFonts w:ascii="Times New Roman" w:cs="Times New Roman" w:eastAsia="Times New Roman" w:hAnsi="Times New Roman"/>
          <w:sz w:val="22"/>
          <w:szCs w:val="22"/>
          <w:color w:val="auto"/>
        </w:rPr>
        <w:t>” means: (x) for restrictions set forth in clauses (i) to (v) of Section II.B.3(c), during Grantee’s employment and for a period of twelve months after the Relevant Date; and (y) for restrictions set forth in clauses (vi) to (xiii) of Section II.B.3(c), during Grantee’s employment and for a period of nine months after the Relevant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Data Privacy</w:t>
      </w:r>
      <w:r>
        <w:rPr>
          <w:rFonts w:ascii="Times New Roman" w:cs="Times New Roman" w:eastAsia="Times New Roman" w:hAnsi="Times New Roman"/>
          <w:sz w:val="22"/>
          <w:szCs w:val="22"/>
          <w:color w:val="auto"/>
        </w:rPr>
        <w:t>. A new Section II.B.17 is added to the Agreement to read as follows:</w:t>
      </w:r>
    </w:p>
    <w:p>
      <w:pPr>
        <w:spacing w:after="0" w:line="264" w:lineRule="exact"/>
        <w:rPr>
          <w:sz w:val="20"/>
          <w:szCs w:val="20"/>
          <w:color w:val="auto"/>
        </w:rPr>
      </w:pPr>
    </w:p>
    <w:p>
      <w:pPr>
        <w:jc w:val="both"/>
        <w:ind w:left="1300"/>
        <w:spacing w:after="0" w:line="252" w:lineRule="auto"/>
        <w:rPr>
          <w:sz w:val="20"/>
          <w:szCs w:val="20"/>
          <w:color w:val="auto"/>
        </w:rPr>
      </w:pPr>
      <w:r>
        <w:rPr>
          <w:rFonts w:ascii="Times New Roman" w:cs="Times New Roman" w:eastAsia="Times New Roman" w:hAnsi="Times New Roman"/>
          <w:sz w:val="22"/>
          <w:szCs w:val="22"/>
          <w:color w:val="auto"/>
        </w:rPr>
        <w:t>The Company and Rieke Packaging Systems Limited (the “Grantee’s Employer”), (together the “Relevant TriMas Companies”) will process the Grantee’s personal data in connection with the Plan. For the purposes of data protection legislation, the Relevant TriMas Companies will each act as independent controllers in relation to such personal data.</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Categories of Personal Data</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categories of personal data that we will process in connection with the Plan are the Grantee’s:</w:t>
      </w:r>
    </w:p>
    <w:p>
      <w:pPr>
        <w:spacing w:after="0" w:line="233" w:lineRule="exact"/>
        <w:rPr>
          <w:sz w:val="20"/>
          <w:szCs w:val="20"/>
          <w:color w:val="auto"/>
        </w:rPr>
      </w:pPr>
    </w:p>
    <w:p>
      <w:pPr>
        <w:ind w:left="1940" w:hanging="312"/>
        <w:spacing w:after="0"/>
        <w:tabs>
          <w:tab w:leader="none" w:pos="19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name;</w:t>
      </w:r>
    </w:p>
    <w:p>
      <w:pPr>
        <w:spacing w:after="0" w:line="21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date of birth;</w:t>
      </w:r>
    </w:p>
    <w:p>
      <w:pPr>
        <w:spacing w:after="0" w:line="21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job title;</w:t>
      </w:r>
    </w:p>
    <w:p>
      <w:pPr>
        <w:spacing w:after="0" w:line="21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home address (and, if different, mailing address) and postal code;</w:t>
      </w:r>
    </w:p>
    <w:p>
      <w:pPr>
        <w:spacing w:after="0" w:line="21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telephone number;</w:t>
      </w:r>
    </w:p>
    <w:p>
      <w:pPr>
        <w:spacing w:after="0" w:line="23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social insurance, national insurance, US taxpayer and/or foreign tax identification number;</w:t>
      </w:r>
    </w:p>
    <w:p>
      <w:pPr>
        <w:spacing w:after="0" w:line="21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salary;</w:t>
      </w:r>
    </w:p>
    <w:p>
      <w:pPr>
        <w:spacing w:after="0" w:line="21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country of citizenship and nationality;</w:t>
      </w:r>
    </w:p>
    <w:p>
      <w:pPr>
        <w:spacing w:after="0" w:line="21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Common Stock or directorships held in any of the Relevant TriMas Companies;</w:t>
      </w:r>
    </w:p>
    <w:p>
      <w:pPr>
        <w:spacing w:after="0" w:line="219" w:lineRule="exact"/>
        <w:rPr>
          <w:rFonts w:ascii="Times New Roman" w:cs="Times New Roman" w:eastAsia="Times New Roman" w:hAnsi="Times New Roman"/>
          <w:sz w:val="18"/>
          <w:szCs w:val="18"/>
          <w:color w:val="auto"/>
        </w:rPr>
      </w:pPr>
    </w:p>
    <w:p>
      <w:pPr>
        <w:ind w:left="1960" w:hanging="332"/>
        <w:spacing w:after="0" w:line="284" w:lineRule="auto"/>
        <w:tabs>
          <w:tab w:leader="none" w:pos="19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details of all awards or any other entitlement to Common Stock awarded, cancelled, exercised, vested, unvested or outstanding in Grantee’s favour;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vii</w:t>
      </w:r>
    </w:p>
    <w:p>
      <w:pPr>
        <w:sectPr>
          <w:pgSz w:w="11900" w:h="16838" w:orient="portrait"/>
          <w:cols w:equalWidth="0" w:num="1">
            <w:col w:w="11240"/>
          </w:cols>
          <w:pgMar w:left="320" w:top="1418" w:right="339" w:bottom="1440" w:gutter="0" w:footer="0" w:header="0"/>
        </w:sectPr>
      </w:pPr>
    </w:p>
    <w:bookmarkStart w:id="71" w:name="page72"/>
    <w:bookmarkEnd w:id="71"/>
    <w:p>
      <w:pPr>
        <w:ind w:left="1800" w:hanging="332"/>
        <w:spacing w:after="0" w:line="271" w:lineRule="auto"/>
        <w:tabs>
          <w:tab w:leader="none" w:pos="17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reference number (where relevant to link the Grantee’s benefits under the Plan to other documentation issued to or from the US Department of the Treasury Internal Revenue Service).</w:t>
      </w:r>
    </w:p>
    <w:p>
      <w:pPr>
        <w:spacing w:after="0" w:line="158" w:lineRule="exact"/>
        <w:rPr>
          <w:sz w:val="20"/>
          <w:szCs w:val="20"/>
          <w:color w:val="auto"/>
        </w:rPr>
      </w:pPr>
    </w:p>
    <w:p>
      <w:pPr>
        <w:ind w:left="1140"/>
        <w:spacing w:after="0" w:line="284" w:lineRule="auto"/>
        <w:rPr>
          <w:sz w:val="20"/>
          <w:szCs w:val="20"/>
          <w:color w:val="auto"/>
        </w:rPr>
      </w:pPr>
      <w:r>
        <w:rPr>
          <w:rFonts w:ascii="Times New Roman" w:cs="Times New Roman" w:eastAsia="Times New Roman" w:hAnsi="Times New Roman"/>
          <w:sz w:val="22"/>
          <w:szCs w:val="22"/>
          <w:color w:val="auto"/>
        </w:rPr>
        <w:t>The processing of the personal data set out above is mandatory in order for the Relevant TriMas Companies to provide and administer the Plan.</w:t>
      </w:r>
    </w:p>
    <w:p>
      <w:pPr>
        <w:spacing w:after="0" w:line="1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Purposes of Processing Personal Data</w:t>
      </w:r>
    </w:p>
    <w:p>
      <w:pPr>
        <w:spacing w:after="0" w:line="2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The Relevant TriMas Companies will process the Grantee’s personal data for the purposes of:</w:t>
      </w:r>
    </w:p>
    <w:p>
      <w:pPr>
        <w:spacing w:after="0" w:line="220" w:lineRule="exact"/>
        <w:rPr>
          <w:sz w:val="20"/>
          <w:szCs w:val="20"/>
          <w:color w:val="auto"/>
        </w:rPr>
      </w:pPr>
    </w:p>
    <w:p>
      <w:pPr>
        <w:ind w:left="1800" w:right="20" w:hanging="332"/>
        <w:spacing w:after="0" w:line="271" w:lineRule="auto"/>
        <w:tabs>
          <w:tab w:leader="none" w:pos="17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administering and maintaining the Plan relating to the Grantee and records associated with the Plan (including maintaining a database of Participants in the Plan);</w:t>
      </w:r>
    </w:p>
    <w:p>
      <w:pPr>
        <w:spacing w:after="0" w:line="171" w:lineRule="exact"/>
        <w:rPr>
          <w:rFonts w:ascii="Times New Roman" w:cs="Times New Roman" w:eastAsia="Times New Roman" w:hAnsi="Times New Roman"/>
          <w:sz w:val="18"/>
          <w:szCs w:val="18"/>
          <w:color w:val="auto"/>
        </w:rPr>
      </w:pPr>
    </w:p>
    <w:p>
      <w:pPr>
        <w:jc w:val="both"/>
        <w:ind w:left="1800" w:hanging="332"/>
        <w:spacing w:after="0" w:line="257" w:lineRule="auto"/>
        <w:tabs>
          <w:tab w:leader="none" w:pos="17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providing information to (i) trustees of any employee benefit trust or (ii) the third party administrators involved directly or indirectly in the operation of the Plan (as set out in the “Sharing Personal Data with Third Parties” section below);</w:t>
      </w:r>
    </w:p>
    <w:p>
      <w:pPr>
        <w:spacing w:after="0" w:line="172" w:lineRule="exact"/>
        <w:rPr>
          <w:rFonts w:ascii="Times New Roman" w:cs="Times New Roman" w:eastAsia="Times New Roman" w:hAnsi="Times New Roman"/>
          <w:sz w:val="18"/>
          <w:szCs w:val="18"/>
          <w:color w:val="auto"/>
        </w:rPr>
      </w:pPr>
    </w:p>
    <w:p>
      <w:pPr>
        <w:ind w:left="1800" w:right="20" w:hanging="332"/>
        <w:spacing w:after="0" w:line="271" w:lineRule="auto"/>
        <w:tabs>
          <w:tab w:leader="none" w:pos="17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providing information relating to Grantee in connection with the operation of the Plan to HM Revenue and Customs in the United Kingdom as required by law;</w:t>
      </w:r>
    </w:p>
    <w:p>
      <w:pPr>
        <w:spacing w:after="0" w:line="157" w:lineRule="exact"/>
        <w:rPr>
          <w:rFonts w:ascii="Times New Roman" w:cs="Times New Roman" w:eastAsia="Times New Roman" w:hAnsi="Times New Roman"/>
          <w:sz w:val="18"/>
          <w:szCs w:val="18"/>
          <w:color w:val="auto"/>
        </w:rPr>
      </w:pPr>
    </w:p>
    <w:p>
      <w:pPr>
        <w:jc w:val="both"/>
        <w:ind w:left="1800" w:hanging="332"/>
        <w:spacing w:after="0" w:line="263" w:lineRule="auto"/>
        <w:tabs>
          <w:tab w:leader="none" w:pos="17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enable any potential purchasers of the business and/or assets of any of the Relevant TriMas Companies and/or their Subsidiaries to (i) complete due diligence on, and value, the business and/or assets; and (ii) use such personal data for the operation of their business;</w:t>
      </w:r>
    </w:p>
    <w:p>
      <w:pPr>
        <w:spacing w:after="0" w:line="167" w:lineRule="exact"/>
        <w:rPr>
          <w:rFonts w:ascii="Times New Roman" w:cs="Times New Roman" w:eastAsia="Times New Roman" w:hAnsi="Times New Roman"/>
          <w:sz w:val="18"/>
          <w:szCs w:val="18"/>
          <w:color w:val="auto"/>
        </w:rPr>
      </w:pPr>
    </w:p>
    <w:p>
      <w:pPr>
        <w:ind w:left="1780" w:hanging="312"/>
        <w:spacing w:after="0"/>
        <w:tabs>
          <w:tab w:leader="none" w:pos="17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obtaining legal and other professional advice; and</w:t>
      </w:r>
    </w:p>
    <w:p>
      <w:pPr>
        <w:spacing w:after="0" w:line="219" w:lineRule="exact"/>
        <w:rPr>
          <w:rFonts w:ascii="Times New Roman" w:cs="Times New Roman" w:eastAsia="Times New Roman" w:hAnsi="Times New Roman"/>
          <w:sz w:val="18"/>
          <w:szCs w:val="18"/>
          <w:color w:val="auto"/>
        </w:rPr>
      </w:pPr>
    </w:p>
    <w:p>
      <w:pPr>
        <w:ind w:left="1780" w:hanging="312"/>
        <w:spacing w:after="0"/>
        <w:tabs>
          <w:tab w:leader="none" w:pos="17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establishing, exercising or defending legal rights.</w:t>
      </w:r>
    </w:p>
    <w:p>
      <w:pPr>
        <w:spacing w:after="0" w:line="2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Legal Basis for Processing Personal Data</w:t>
      </w:r>
    </w:p>
    <w:p>
      <w:pPr>
        <w:spacing w:after="0" w:line="2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The processing of the Grantee’s personal data:</w:t>
      </w:r>
    </w:p>
    <w:p>
      <w:pPr>
        <w:spacing w:after="0" w:line="220" w:lineRule="exact"/>
        <w:rPr>
          <w:sz w:val="20"/>
          <w:szCs w:val="20"/>
          <w:color w:val="auto"/>
        </w:rPr>
      </w:pPr>
    </w:p>
    <w:p>
      <w:pPr>
        <w:jc w:val="both"/>
        <w:ind w:left="1800" w:hanging="332"/>
        <w:spacing w:after="0" w:line="257" w:lineRule="auto"/>
        <w:tabs>
          <w:tab w:leader="none" w:pos="17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relation to the information provided to HM Revenue and Customs in the United Kingdom and the Department of the Treasury Internal Revenue Service in the United States of America, is necessary for compliance with a legal obligation to which the Relevant TriMas Companies are subject;</w:t>
      </w:r>
    </w:p>
    <w:p>
      <w:pPr>
        <w:spacing w:after="0" w:line="172" w:lineRule="exact"/>
        <w:rPr>
          <w:rFonts w:ascii="Times New Roman" w:cs="Times New Roman" w:eastAsia="Times New Roman" w:hAnsi="Times New Roman"/>
          <w:sz w:val="18"/>
          <w:szCs w:val="18"/>
          <w:color w:val="auto"/>
        </w:rPr>
      </w:pPr>
    </w:p>
    <w:p>
      <w:pPr>
        <w:jc w:val="both"/>
        <w:ind w:left="1800" w:hanging="332"/>
        <w:spacing w:after="0" w:line="263" w:lineRule="auto"/>
        <w:tabs>
          <w:tab w:leader="none" w:pos="17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relation to (i) obtaining legal and other professional advice; and (ii) establishing, exercising or defending legal rights, is pursuant to the Relevant TriMas Companies’ legitimate interests of commencing and/or handling any legal proceedings (including prospective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viii</w:t>
      </w:r>
    </w:p>
    <w:p>
      <w:pPr>
        <w:sectPr>
          <w:pgSz w:w="11900" w:h="16838" w:orient="portrait"/>
          <w:cols w:equalWidth="0" w:num="1">
            <w:col w:w="11080"/>
          </w:cols>
          <w:pgMar w:left="480" w:top="1422" w:right="339" w:bottom="1440" w:gutter="0" w:footer="0" w:header="0"/>
        </w:sectPr>
      </w:pPr>
    </w:p>
    <w:bookmarkStart w:id="72" w:name="page73"/>
    <w:bookmarkEnd w:id="72"/>
    <w:p>
      <w:pPr>
        <w:ind w:left="1800"/>
        <w:spacing w:after="0"/>
        <w:rPr>
          <w:sz w:val="20"/>
          <w:szCs w:val="20"/>
          <w:color w:val="auto"/>
        </w:rPr>
      </w:pPr>
      <w:r>
        <w:rPr>
          <w:rFonts w:ascii="Times New Roman" w:cs="Times New Roman" w:eastAsia="Times New Roman" w:hAnsi="Times New Roman"/>
          <w:sz w:val="22"/>
          <w:szCs w:val="22"/>
          <w:color w:val="auto"/>
        </w:rPr>
        <w:t>for obtaining legal advice or for establishing, exercising or defending legal rights;</w:t>
      </w:r>
    </w:p>
    <w:p>
      <w:pPr>
        <w:spacing w:after="0" w:line="220" w:lineRule="exact"/>
        <w:rPr>
          <w:sz w:val="20"/>
          <w:szCs w:val="20"/>
          <w:color w:val="auto"/>
        </w:rPr>
      </w:pPr>
    </w:p>
    <w:p>
      <w:pPr>
        <w:ind w:left="1800" w:hanging="332"/>
        <w:spacing w:after="0" w:line="271" w:lineRule="auto"/>
        <w:tabs>
          <w:tab w:leader="none" w:pos="17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respect of all other personal data set out above, is necessary for the performance of the Performance Stock Units Agreement between the Grantee and TriMas Corporation.</w:t>
      </w:r>
    </w:p>
    <w:p>
      <w:pPr>
        <w:spacing w:after="0" w:line="171" w:lineRule="exact"/>
        <w:rPr>
          <w:sz w:val="20"/>
          <w:szCs w:val="20"/>
          <w:color w:val="auto"/>
        </w:rPr>
      </w:pPr>
    </w:p>
    <w:p>
      <w:pPr>
        <w:jc w:val="both"/>
        <w:ind w:left="1140" w:right="20"/>
        <w:spacing w:after="0" w:line="271" w:lineRule="auto"/>
        <w:rPr>
          <w:sz w:val="20"/>
          <w:szCs w:val="20"/>
          <w:color w:val="auto"/>
        </w:rPr>
      </w:pPr>
      <w:r>
        <w:rPr>
          <w:rFonts w:ascii="Times New Roman" w:cs="Times New Roman" w:eastAsia="Times New Roman" w:hAnsi="Times New Roman"/>
          <w:sz w:val="22"/>
          <w:szCs w:val="22"/>
          <w:color w:val="auto"/>
        </w:rPr>
        <w:t>The Relevant TriMas Companies will also process the Grantee’s personal data as necessary to comply with any legal obligations to which the Relevant TriMas Companies are subject.</w:t>
      </w:r>
    </w:p>
    <w:p>
      <w:pPr>
        <w:spacing w:after="0" w:line="1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Sharing Personal Data with Third Parties</w:t>
      </w:r>
    </w:p>
    <w:p>
      <w:pPr>
        <w:spacing w:after="0" w:line="224" w:lineRule="exact"/>
        <w:rPr>
          <w:sz w:val="20"/>
          <w:szCs w:val="20"/>
          <w:color w:val="auto"/>
        </w:rPr>
      </w:pPr>
    </w:p>
    <w:p>
      <w:pPr>
        <w:jc w:val="both"/>
        <w:ind w:left="1140" w:right="20"/>
        <w:spacing w:after="0" w:line="271" w:lineRule="auto"/>
        <w:rPr>
          <w:sz w:val="20"/>
          <w:szCs w:val="20"/>
          <w:color w:val="auto"/>
        </w:rPr>
      </w:pPr>
      <w:r>
        <w:rPr>
          <w:rFonts w:ascii="Times New Roman" w:cs="Times New Roman" w:eastAsia="Times New Roman" w:hAnsi="Times New Roman"/>
          <w:sz w:val="22"/>
          <w:szCs w:val="22"/>
          <w:color w:val="auto"/>
        </w:rPr>
        <w:t>The Grantee’s personal details as set out above will be transferred between the Grantee’s Employer and the Company in order to administer and maintain the Plan and records associated with the Plan.</w:t>
      </w:r>
    </w:p>
    <w:p>
      <w:pPr>
        <w:spacing w:after="0" w:line="171" w:lineRule="exact"/>
        <w:rPr>
          <w:sz w:val="20"/>
          <w:szCs w:val="20"/>
          <w:color w:val="auto"/>
        </w:rPr>
      </w:pPr>
    </w:p>
    <w:p>
      <w:pPr>
        <w:jc w:val="both"/>
        <w:ind w:left="1140"/>
        <w:spacing w:after="0" w:line="248" w:lineRule="auto"/>
        <w:rPr>
          <w:sz w:val="20"/>
          <w:szCs w:val="20"/>
          <w:color w:val="auto"/>
        </w:rPr>
      </w:pPr>
      <w:r>
        <w:rPr>
          <w:rFonts w:ascii="Times New Roman" w:cs="Times New Roman" w:eastAsia="Times New Roman" w:hAnsi="Times New Roman"/>
          <w:sz w:val="22"/>
          <w:szCs w:val="22"/>
          <w:color w:val="auto"/>
        </w:rPr>
        <w:t>The Company is based in the United States of America which is not designated by the European Commission as providing an adequate level of protection for personal data. As such, the Grantee’s Employer and the Company have entered into a data transfer agreement governed by standard data protection clauses adopted by the Commission to safeguard personal data in respect of these transfers. The Grantee can obtain a copy of this data transfer agreement by contacting the TriMas Corporate Benefits Group at 248-631-5450 or 38505 Woodward Avenue, Suite 200, Bloomfield Hills, Michigan 48304.</w:t>
      </w:r>
    </w:p>
    <w:p>
      <w:pPr>
        <w:spacing w:after="0" w:line="200" w:lineRule="exact"/>
        <w:rPr>
          <w:sz w:val="20"/>
          <w:szCs w:val="20"/>
          <w:color w:val="auto"/>
        </w:rPr>
      </w:pPr>
    </w:p>
    <w:p>
      <w:pPr>
        <w:jc w:val="both"/>
        <w:ind w:left="1140"/>
        <w:spacing w:after="0" w:line="249" w:lineRule="auto"/>
        <w:rPr>
          <w:sz w:val="20"/>
          <w:szCs w:val="20"/>
          <w:color w:val="auto"/>
        </w:rPr>
      </w:pPr>
      <w:r>
        <w:rPr>
          <w:rFonts w:ascii="Times New Roman" w:cs="Times New Roman" w:eastAsia="Times New Roman" w:hAnsi="Times New Roman"/>
          <w:sz w:val="22"/>
          <w:szCs w:val="22"/>
          <w:color w:val="auto"/>
        </w:rPr>
        <w:t xml:space="preserve">The Relevant TriMas Companies will also share the Grantee’s personal data with National Financial Services LLC, Fidelity Stock Plan Services LLC and Fidelity Brokerage Services LLC (part of the FMR LLC group of companies) which are based in the United States of America. The Company has entered into a data transfer agreement governed by standard data protection clauses adopted by the Commission to safeguard personal data in respect of these transfers. The Grantee can obtain a copy of this data transfer agreement by either, (1) contacting your local human resources representative, (2) contacting Fidelity Stock Plan Services by calling 1-800-544-9354 (Domestic) or 1-800-544-0275 (International), and (3) by logging into Grantee’s Fidelity account at </w:t>
      </w:r>
      <w:r>
        <w:rPr>
          <w:rFonts w:ascii="Times New Roman" w:cs="Times New Roman" w:eastAsia="Times New Roman" w:hAnsi="Times New Roman"/>
          <w:sz w:val="22"/>
          <w:szCs w:val="22"/>
          <w:u w:val="single" w:color="auto"/>
          <w:color w:val="0000FF"/>
        </w:rPr>
        <w:t>www.netbenefits.fidelity.com</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visiting the Plan &amp; Grant Documents section of the Grantee’s account.</w:t>
      </w:r>
    </w:p>
    <w:p>
      <w:pPr>
        <w:spacing w:after="0" w:line="182" w:lineRule="exact"/>
        <w:rPr>
          <w:sz w:val="20"/>
          <w:szCs w:val="20"/>
          <w:color w:val="auto"/>
        </w:rPr>
      </w:pPr>
    </w:p>
    <w:p>
      <w:pPr>
        <w:jc w:val="both"/>
        <w:ind w:left="1140"/>
        <w:spacing w:after="0" w:line="263" w:lineRule="auto"/>
        <w:rPr>
          <w:sz w:val="20"/>
          <w:szCs w:val="20"/>
          <w:color w:val="auto"/>
        </w:rPr>
      </w:pPr>
      <w:r>
        <w:rPr>
          <w:rFonts w:ascii="Times New Roman" w:cs="Times New Roman" w:eastAsia="Times New Roman" w:hAnsi="Times New Roman"/>
          <w:sz w:val="22"/>
          <w:szCs w:val="22"/>
          <w:color w:val="auto"/>
        </w:rPr>
        <w:t>In the event that the Relevant TriMas Companies sell any part(s) of their business and/or assets, they will also disclose the Grantee’s personal data to actual or potential purchasers of parts of its business or assets, and their respective advisers and insurers for the potential purchaser’s legitimate interests of:</w:t>
      </w:r>
    </w:p>
    <w:p>
      <w:pPr>
        <w:spacing w:after="0" w:line="167" w:lineRule="exact"/>
        <w:rPr>
          <w:sz w:val="20"/>
          <w:szCs w:val="20"/>
          <w:color w:val="auto"/>
        </w:rPr>
      </w:pPr>
    </w:p>
    <w:p>
      <w:pPr>
        <w:ind w:left="1780" w:hanging="312"/>
        <w:spacing w:after="0"/>
        <w:tabs>
          <w:tab w:leader="none" w:pos="17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enabling potential purchasers to complete due diligence on, and value, the business and/or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ix</w:t>
      </w:r>
    </w:p>
    <w:p>
      <w:pPr>
        <w:sectPr>
          <w:pgSz w:w="11900" w:h="16838" w:orient="portrait"/>
          <w:cols w:equalWidth="0" w:num="1">
            <w:col w:w="11080"/>
          </w:cols>
          <w:pgMar w:left="480" w:top="1422" w:right="339" w:bottom="1440" w:gutter="0" w:footer="0" w:header="0"/>
        </w:sectPr>
      </w:pPr>
    </w:p>
    <w:bookmarkStart w:id="73" w:name="page74"/>
    <w:bookmarkEnd w:id="73"/>
    <w:p>
      <w:pPr>
        <w:ind w:left="1800" w:right="20" w:hanging="332"/>
        <w:spacing w:after="0" w:line="271" w:lineRule="auto"/>
        <w:tabs>
          <w:tab w:leader="none" w:pos="17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transferring the personal data in connection with any relevant sale and the transfer of the Relevant TriMas Company’s contractual rights and/or obligations; and</w:t>
      </w:r>
    </w:p>
    <w:p>
      <w:pPr>
        <w:spacing w:after="0" w:line="157" w:lineRule="exact"/>
        <w:rPr>
          <w:rFonts w:ascii="Times New Roman" w:cs="Times New Roman" w:eastAsia="Times New Roman" w:hAnsi="Times New Roman"/>
          <w:sz w:val="18"/>
          <w:szCs w:val="18"/>
          <w:color w:val="auto"/>
        </w:rPr>
      </w:pPr>
    </w:p>
    <w:p>
      <w:pPr>
        <w:ind w:left="1780" w:hanging="312"/>
        <w:spacing w:after="0"/>
        <w:tabs>
          <w:tab w:leader="none" w:pos="17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use of such personal data by a purchaser for the operation of its business.</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The Relevant TriMas Companies will also share the Grantee’s personal data with:</w:t>
      </w:r>
    </w:p>
    <w:p>
      <w:pPr>
        <w:spacing w:after="0" w:line="220" w:lineRule="exact"/>
        <w:rPr>
          <w:sz w:val="20"/>
          <w:szCs w:val="20"/>
          <w:color w:val="auto"/>
        </w:rPr>
      </w:pPr>
    </w:p>
    <w:p>
      <w:pPr>
        <w:ind w:left="1780" w:hanging="312"/>
        <w:spacing w:after="0"/>
        <w:tabs>
          <w:tab w:leader="none" w:pos="17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its professional advisors, auditors, service providers;</w:t>
      </w:r>
    </w:p>
    <w:p>
      <w:pPr>
        <w:spacing w:after="0" w:line="219" w:lineRule="exact"/>
        <w:rPr>
          <w:rFonts w:ascii="Times New Roman" w:cs="Times New Roman" w:eastAsia="Times New Roman" w:hAnsi="Times New Roman"/>
          <w:sz w:val="18"/>
          <w:szCs w:val="18"/>
          <w:color w:val="auto"/>
        </w:rPr>
      </w:pPr>
    </w:p>
    <w:p>
      <w:pPr>
        <w:jc w:val="both"/>
        <w:ind w:left="1800" w:hanging="332"/>
        <w:spacing w:after="0" w:line="257" w:lineRule="auto"/>
        <w:tabs>
          <w:tab w:leader="none" w:pos="17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HM Revenue and Customs in the United Kingdom and the Department of the Treasury Internal Revenue Service in the United States of America and other regulators, and governmental and law enforcement agencies; and</w:t>
      </w:r>
    </w:p>
    <w:p>
      <w:pPr>
        <w:spacing w:after="0" w:line="186" w:lineRule="exact"/>
        <w:rPr>
          <w:rFonts w:ascii="Times New Roman" w:cs="Times New Roman" w:eastAsia="Times New Roman" w:hAnsi="Times New Roman"/>
          <w:sz w:val="18"/>
          <w:szCs w:val="18"/>
          <w:color w:val="auto"/>
        </w:rPr>
      </w:pPr>
    </w:p>
    <w:p>
      <w:pPr>
        <w:jc w:val="both"/>
        <w:ind w:left="1800" w:hanging="332"/>
        <w:spacing w:after="0" w:line="257" w:lineRule="auto"/>
        <w:tabs>
          <w:tab w:leader="none" w:pos="17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third parties if it is under a duty to disclose or share the Grantee’s personal data in order to comply with any laws, regulations or good governance obligations, or in order to enforce or to protect its rights, property or safety, or that of its customers or other persons with whom it has a business relationship.</w:t>
      </w:r>
    </w:p>
    <w:p>
      <w:pPr>
        <w:spacing w:after="0" w:line="16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Retention of Personal Data</w:t>
      </w:r>
    </w:p>
    <w:p>
      <w:pPr>
        <w:spacing w:after="0" w:line="224" w:lineRule="exact"/>
        <w:rPr>
          <w:sz w:val="20"/>
          <w:szCs w:val="20"/>
          <w:color w:val="auto"/>
        </w:rPr>
      </w:pPr>
    </w:p>
    <w:p>
      <w:pPr>
        <w:jc w:val="both"/>
        <w:ind w:left="1140"/>
        <w:spacing w:after="0" w:line="271" w:lineRule="auto"/>
        <w:rPr>
          <w:sz w:val="20"/>
          <w:szCs w:val="20"/>
          <w:color w:val="auto"/>
        </w:rPr>
      </w:pPr>
      <w:r>
        <w:rPr>
          <w:rFonts w:ascii="Times New Roman" w:cs="Times New Roman" w:eastAsia="Times New Roman" w:hAnsi="Times New Roman"/>
          <w:sz w:val="22"/>
          <w:szCs w:val="22"/>
          <w:color w:val="auto"/>
        </w:rPr>
        <w:t>The Relevant TriMas Companies will retain the Grantee’s personal data for the duration of the Plan and for a further period of eight years after the Grantee ceases to be a member of the Plan.</w:t>
      </w:r>
    </w:p>
    <w:p>
      <w:pPr>
        <w:spacing w:after="0" w:line="171" w:lineRule="exact"/>
        <w:rPr>
          <w:sz w:val="20"/>
          <w:szCs w:val="20"/>
          <w:color w:val="auto"/>
        </w:rPr>
      </w:pPr>
    </w:p>
    <w:p>
      <w:pPr>
        <w:jc w:val="both"/>
        <w:ind w:left="1140"/>
        <w:spacing w:after="0" w:line="257" w:lineRule="auto"/>
        <w:rPr>
          <w:sz w:val="20"/>
          <w:szCs w:val="20"/>
          <w:color w:val="auto"/>
        </w:rPr>
      </w:pPr>
      <w:r>
        <w:rPr>
          <w:rFonts w:ascii="Times New Roman" w:cs="Times New Roman" w:eastAsia="Times New Roman" w:hAnsi="Times New Roman"/>
          <w:sz w:val="22"/>
          <w:szCs w:val="22"/>
          <w:color w:val="auto"/>
        </w:rPr>
        <w:t>The Relevant TriMas Companies will retain the Grantee’s personal data for longer than the period specified above if required by law, to defend or exercise legal rights (such as defending legal claims) or to comply with regulatory obligations.</w:t>
      </w:r>
    </w:p>
    <w:p>
      <w:pPr>
        <w:spacing w:after="0" w:line="16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The Grantee’s Rights</w:t>
      </w:r>
    </w:p>
    <w:p>
      <w:pPr>
        <w:spacing w:after="0" w:line="2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In order to control the use of their personal data, each Grantee has the following controls over their personal data:</w:t>
      </w:r>
    </w:p>
    <w:p>
      <w:pPr>
        <w:spacing w:after="0" w:line="245" w:lineRule="exact"/>
        <w:rPr>
          <w:sz w:val="20"/>
          <w:szCs w:val="20"/>
          <w:color w:val="auto"/>
        </w:rPr>
      </w:pPr>
    </w:p>
    <w:p>
      <w:pPr>
        <w:ind w:left="1800" w:right="20" w:hanging="332"/>
        <w:spacing w:after="0" w:line="271" w:lineRule="auto"/>
        <w:tabs>
          <w:tab w:leader="none" w:pos="17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Each Grantee may request access to or copies of the personal data that the Relevant TriMas Companies hold about them by contacting their local human resources representative;</w:t>
      </w:r>
    </w:p>
    <w:p>
      <w:pPr>
        <w:spacing w:after="0" w:line="157" w:lineRule="exact"/>
        <w:rPr>
          <w:rFonts w:ascii="Times New Roman" w:cs="Times New Roman" w:eastAsia="Times New Roman" w:hAnsi="Times New Roman"/>
          <w:sz w:val="18"/>
          <w:szCs w:val="18"/>
          <w:color w:val="auto"/>
        </w:rPr>
      </w:pPr>
    </w:p>
    <w:p>
      <w:pPr>
        <w:jc w:val="both"/>
        <w:ind w:left="1800" w:hanging="332"/>
        <w:spacing w:after="0" w:line="253" w:lineRule="auto"/>
        <w:tabs>
          <w:tab w:leader="none" w:pos="17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the Grantee believes that any information the Relevant TriMas Companies hold about them is incorrect or incomplete, the Grantee should contact their local human resources representative as soon as possible. The Relevant TriMas Companies will take steps to seek to correct or update any information if they are satisfied that the information they hold is inaccurate. In certain circumstances, the Grantee may also request that the Relevant TriMas Companies restrict their processing;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w:t>
      </w:r>
    </w:p>
    <w:p>
      <w:pPr>
        <w:sectPr>
          <w:pgSz w:w="11900" w:h="16838" w:orient="portrait"/>
          <w:cols w:equalWidth="0" w:num="1">
            <w:col w:w="11080"/>
          </w:cols>
          <w:pgMar w:left="480" w:top="1422" w:right="339" w:bottom="1440" w:gutter="0" w:footer="0" w:header="0"/>
        </w:sectPr>
      </w:pPr>
    </w:p>
    <w:bookmarkStart w:id="74" w:name="page75"/>
    <w:bookmarkEnd w:id="74"/>
    <w:p>
      <w:pPr>
        <w:jc w:val="both"/>
        <w:ind w:left="1960" w:hanging="332"/>
        <w:spacing w:after="0" w:line="256" w:lineRule="auto"/>
        <w:tabs>
          <w:tab w:leader="none" w:pos="19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Each grantee may request that their personal data be deleted where it is no longer necessary for the purposes for which it is being processed and provided there is no other lawful basis for which the Relevant TriMas Companies may continue to process such personal data. The Grantee can exercise this right by contacting their local human resources representative;</w:t>
      </w:r>
    </w:p>
    <w:p>
      <w:pPr>
        <w:spacing w:after="0" w:line="176" w:lineRule="exact"/>
        <w:rPr>
          <w:rFonts w:ascii="Times New Roman" w:cs="Times New Roman" w:eastAsia="Times New Roman" w:hAnsi="Times New Roman"/>
          <w:sz w:val="18"/>
          <w:szCs w:val="18"/>
          <w:color w:val="auto"/>
        </w:rPr>
      </w:pPr>
    </w:p>
    <w:p>
      <w:pPr>
        <w:jc w:val="both"/>
        <w:ind w:left="1960" w:hanging="332"/>
        <w:spacing w:after="0" w:line="253" w:lineRule="auto"/>
        <w:tabs>
          <w:tab w:leader="none" w:pos="19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the Relevant TriMas Companies are processing the Grantee’s personal data to meet their legitimate interests (as set out above), the Grantee may object to the processing of their personal information by the Relevant TriMas Companies. If the Relevant TriMas Companies are unable to demonstrate their legitimate grounds for that processing, they will no longer process the Grantee’s personal information for those purposes;</w:t>
      </w:r>
    </w:p>
    <w:p>
      <w:pPr>
        <w:spacing w:after="0" w:line="205" w:lineRule="exact"/>
        <w:rPr>
          <w:rFonts w:ascii="Times New Roman" w:cs="Times New Roman" w:eastAsia="Times New Roman" w:hAnsi="Times New Roman"/>
          <w:sz w:val="18"/>
          <w:szCs w:val="18"/>
          <w:color w:val="auto"/>
        </w:rPr>
      </w:pPr>
    </w:p>
    <w:p>
      <w:pPr>
        <w:jc w:val="both"/>
        <w:ind w:left="1960" w:hanging="332"/>
        <w:spacing w:after="0" w:line="252" w:lineRule="auto"/>
        <w:tabs>
          <w:tab w:leader="none" w:pos="19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Where the Grantee has provided the Relevant TriMas Companies with their personal data that the Relevant TriMas Companies process using automated means, the Grantee may be entitled to a copy of that personal data in a structured, commonly-used and machine readable format. The Grantee can exercise this right by contacting their local human resources representative.</w:t>
      </w:r>
    </w:p>
    <w:p>
      <w:pPr>
        <w:spacing w:after="0" w:line="179"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22"/>
          <w:szCs w:val="22"/>
          <w:color w:val="auto"/>
        </w:rPr>
        <w:t xml:space="preserve">The Grantee should contact their local human resources representative in relation to any concerns about how their personal data is processed and the Relevant TriMas Companies will try to resolve the Grantee’s concerns. However, if the Grantee considers that the Relevant TriMas Companies is in breach of its obligations under data protection laws, the Grantee may lodge a complaint with the Information Commissioner’s Office in the United Kingdom (such as by accessing </w:t>
      </w:r>
      <w:r>
        <w:rPr>
          <w:rFonts w:ascii="Times New Roman" w:cs="Times New Roman" w:eastAsia="Times New Roman" w:hAnsi="Times New Roman"/>
          <w:sz w:val="22"/>
          <w:szCs w:val="22"/>
          <w:u w:val="single" w:color="auto"/>
          <w:color w:val="0000FF"/>
        </w:rPr>
        <w:t>https://ico.org.uk/concerns/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Loss of Office or Employment</w:t>
      </w:r>
      <w:r>
        <w:rPr>
          <w:rFonts w:ascii="Times New Roman" w:cs="Times New Roman" w:eastAsia="Times New Roman" w:hAnsi="Times New Roman"/>
          <w:sz w:val="22"/>
          <w:szCs w:val="22"/>
          <w:color w:val="auto"/>
        </w:rPr>
        <w:t>. A new Section II.B.18 is added to the Agreement to read as follows:</w:t>
      </w:r>
    </w:p>
    <w:p>
      <w:pPr>
        <w:spacing w:after="0" w:line="264" w:lineRule="exact"/>
        <w:rPr>
          <w:sz w:val="20"/>
          <w:szCs w:val="20"/>
          <w:color w:val="auto"/>
        </w:rPr>
      </w:pPr>
    </w:p>
    <w:p>
      <w:pPr>
        <w:jc w:val="both"/>
        <w:ind w:left="1300" w:right="640"/>
        <w:spacing w:after="0" w:line="250" w:lineRule="auto"/>
        <w:rPr>
          <w:sz w:val="20"/>
          <w:szCs w:val="20"/>
          <w:color w:val="auto"/>
        </w:rPr>
      </w:pPr>
      <w:r>
        <w:rPr>
          <w:rFonts w:ascii="Times New Roman" w:cs="Times New Roman" w:eastAsia="Times New Roman" w:hAnsi="Times New Roman"/>
          <w:sz w:val="22"/>
          <w:szCs w:val="22"/>
          <w:color w:val="auto"/>
        </w:rPr>
        <w:t>“In no circumstances shall Grantee, on ceasing to hold the office or employment by virtue of which he has been granted this Award, be entitled to any compensation for any loss of any right or benefit or prospective right or benefit under this Award or the Plan which he might otherwise have enjoyed whether such compensation is claimed by way of damages for wrongful dismissal or other breach of contract or by way of compensation for loss of office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xi</w:t>
      </w:r>
    </w:p>
    <w:p>
      <w:pPr>
        <w:sectPr>
          <w:pgSz w:w="11900" w:h="16838" w:orient="portrait"/>
          <w:cols w:equalWidth="0" w:num="1">
            <w:col w:w="11240"/>
          </w:cols>
          <w:pgMar w:left="320" w:top="1422"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22"/>
          <w:szCs w:val="22"/>
          <w:b w:val="1"/>
          <w:bCs w:val="1"/>
          <w:color w:val="auto"/>
        </w:rPr>
        <w:t>APPENDIX 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 AGREEMENT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CALIFORNIA ADDENDUM</w:t>
      </w:r>
    </w:p>
    <w:p>
      <w:pPr>
        <w:spacing w:after="0" w:line="247"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b w:val="1"/>
          <w:bCs w:val="1"/>
          <w:color w:val="auto"/>
        </w:rPr>
        <w:t>Additional Terms and Conditions for Equity Grants Under the TriMas Corporation 2023 Equity and Incentive Compensation Plan,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Addendum includes additional terms and conditions that govern the performance-based Restricted Stock Units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granted to you under the TriMas Corporation 2023 Equity and Incentive Compensation Plan (referred to as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if you are employed and/or reside in California or if the Company determines that the application of such terms and conditions is necessary or advisable in order to comply with applicable law. Certain capitalized terms used but not defined in this Addendum have the meanings set forth in the Plan and/or your award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Restrictive Covenants</w:t>
      </w:r>
      <w:r>
        <w:rPr>
          <w:rFonts w:ascii="Times New Roman" w:cs="Times New Roman" w:eastAsia="Times New Roman" w:hAnsi="Times New Roman"/>
          <w:sz w:val="22"/>
          <w:szCs w:val="22"/>
          <w:color w:val="auto"/>
        </w:rPr>
        <w:t>. Section II.B.3 of the Agreement is hereby amended in its entirety to read as follows:</w:t>
      </w:r>
    </w:p>
    <w:p>
      <w:pPr>
        <w:spacing w:after="0" w:line="247" w:lineRule="exact"/>
        <w:rPr>
          <w:sz w:val="20"/>
          <w:szCs w:val="20"/>
          <w:color w:val="auto"/>
        </w:rPr>
      </w:pPr>
    </w:p>
    <w:p>
      <w:pPr>
        <w:ind w:left="220"/>
        <w:spacing w:after="0"/>
        <w:tabs>
          <w:tab w:leader="none" w:pos="68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3.</w:t>
      </w:r>
      <w:r>
        <w:rPr>
          <w:sz w:val="20"/>
          <w:szCs w:val="20"/>
          <w:color w:val="auto"/>
        </w:rPr>
        <w:tab/>
      </w:r>
      <w:r>
        <w:rPr>
          <w:rFonts w:ascii="Times New Roman" w:cs="Times New Roman" w:eastAsia="Times New Roman" w:hAnsi="Times New Roman"/>
          <w:sz w:val="21"/>
          <w:szCs w:val="21"/>
          <w:b w:val="1"/>
          <w:bCs w:val="1"/>
          <w:u w:val="single" w:color="auto"/>
          <w:color w:val="auto"/>
        </w:rPr>
        <w:t>Restrictive Covenants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40" w:firstLine="644"/>
        <w:spacing w:after="0" w:line="258" w:lineRule="auto"/>
        <w:tabs>
          <w:tab w:leader="none" w:pos="193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PSUs or Common Stock to Grantee without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w:t>
      </w:r>
    </w:p>
    <w:p>
      <w:pPr>
        <w:spacing w:after="0" w:line="167" w:lineRule="exact"/>
        <w:rPr>
          <w:rFonts w:ascii="Times New Roman" w:cs="Times New Roman" w:eastAsia="Times New Roman" w:hAnsi="Times New Roman"/>
          <w:sz w:val="22"/>
          <w:szCs w:val="22"/>
          <w:color w:val="auto"/>
        </w:rPr>
      </w:pPr>
    </w:p>
    <w:p>
      <w:pPr>
        <w:jc w:val="both"/>
        <w:ind w:left="640" w:firstLine="644"/>
        <w:spacing w:after="0" w:line="248" w:lineRule="auto"/>
        <w:tabs>
          <w:tab w:leader="none" w:pos="193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w:t>
      </w:r>
      <w:r>
        <w:rPr>
          <w:rFonts w:ascii="Times New Roman" w:cs="Times New Roman" w:eastAsia="Times New Roman" w:hAnsi="Times New Roman"/>
          <w:sz w:val="22"/>
          <w:szCs w:val="22"/>
          <w:color w:val="auto"/>
        </w:rPr>
        <w:t>. Recognizing Grantee’s fiduciary duties to the Company, as a condition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II.B.3 shall not result in the forfeiture of PSUs or any clawback or recoupment of the Award for the disclosure of a trade secret if that disclosure (1) is made in confidence to a federal, state or local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40"/>
          </w:cols>
          <w:pgMar w:left="320" w:top="1418" w:right="339" w:bottom="1440" w:gutter="0" w:footer="0" w:header="0"/>
        </w:sectPr>
      </w:pPr>
    </w:p>
    <w:bookmarkStart w:id="76" w:name="page77"/>
    <w:bookmarkEnd w:id="76"/>
    <w:p>
      <w:pPr>
        <w:jc w:val="both"/>
        <w:ind w:left="480"/>
        <w:spacing w:after="0" w:line="247" w:lineRule="auto"/>
        <w:rPr>
          <w:sz w:val="20"/>
          <w:szCs w:val="20"/>
          <w:color w:val="auto"/>
        </w:rPr>
      </w:pPr>
      <w:r>
        <w:rPr>
          <w:rFonts w:ascii="Times New Roman" w:cs="Times New Roman" w:eastAsia="Times New Roman" w:hAnsi="Times New Roman"/>
          <w:sz w:val="22"/>
          <w:szCs w:val="22"/>
          <w:color w:val="auto"/>
        </w:rPr>
        <w:t>government official or to an attorney for the sole purpose of reporting or investigating a suspected violation of law or (2) is made in a complaint or other document filed in a lawsuit or other proceeding, if such filing is made under seal. Pursuant to 18 U.S.C. § 1833(b), and as set forth fully therein, notice is hereby given that Grantee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nothing in this Agreement prohibits or is intended to restrict or impede Grantee from discussing the terms and conditions of their employment with coworkers or union representatives or exercising protected rights under Section 7 of the National Labor Relations Act, or prevents Grantee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187" w:lineRule="exact"/>
        <w:rPr>
          <w:sz w:val="20"/>
          <w:szCs w:val="20"/>
          <w:color w:val="auto"/>
        </w:rPr>
      </w:pPr>
    </w:p>
    <w:p>
      <w:pPr>
        <w:jc w:val="both"/>
        <w:ind w:left="480" w:firstLine="644"/>
        <w:spacing w:after="0" w:line="249" w:lineRule="auto"/>
        <w:tabs>
          <w:tab w:leader="none" w:pos="177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 Against Solicitation</w:t>
      </w:r>
      <w:r>
        <w:rPr>
          <w:rFonts w:ascii="Times New Roman" w:cs="Times New Roman" w:eastAsia="Times New Roman" w:hAnsi="Times New Roman"/>
          <w:sz w:val="22"/>
          <w:szCs w:val="22"/>
          <w:color w:val="auto"/>
        </w:rPr>
        <w:t>. Grantee further understands and agrees that while Grantee is employed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 The “Business” shall mean the design, development, manufacture, distribution, sale or marketing of the type of products or services sold, distributed or provided by the Company during the one-year period prior to the date of employment termination and with which Grantee was involved and/or oversaw.</w:t>
      </w:r>
    </w:p>
    <w:p>
      <w:pPr>
        <w:spacing w:after="0" w:line="183" w:lineRule="exact"/>
        <w:rPr>
          <w:rFonts w:ascii="Times New Roman" w:cs="Times New Roman" w:eastAsia="Times New Roman" w:hAnsi="Times New Roman"/>
          <w:sz w:val="22"/>
          <w:szCs w:val="22"/>
          <w:color w:val="auto"/>
        </w:rPr>
      </w:pPr>
    </w:p>
    <w:p>
      <w:pPr>
        <w:jc w:val="both"/>
        <w:ind w:left="480" w:firstLine="644"/>
        <w:spacing w:after="0" w:line="258" w:lineRule="auto"/>
        <w:tabs>
          <w:tab w:leader="none" w:pos="177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Determination by the Board</w:t>
      </w:r>
      <w:r>
        <w:rPr>
          <w:rFonts w:ascii="Times New Roman" w:cs="Times New Roman" w:eastAsia="Times New Roman" w:hAnsi="Times New Roman"/>
          <w:sz w:val="22"/>
          <w:szCs w:val="22"/>
          <w:color w:val="auto"/>
        </w:rPr>
        <w:t>. Upon entering into this Agreement, Grantee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080"/>
          </w:cols>
          <w:pgMar w:left="480" w:top="1422" w:right="339" w:bottom="1440" w:gutter="0" w:footer="0" w:header="0"/>
        </w:sectPr>
      </w:pPr>
    </w:p>
    <w:bookmarkStart w:id="77" w:name="page78"/>
    <w:bookmarkEnd w:id="77"/>
    <w:p>
      <w:pPr>
        <w:ind w:left="1940" w:hanging="656"/>
        <w:spacing w:after="0"/>
        <w:tabs>
          <w:tab w:leader="none" w:pos="19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The following definitions shall apply solely with respect to this Section II.B.3:</w:t>
      </w:r>
    </w:p>
    <w:p>
      <w:pPr>
        <w:spacing w:after="0" w:line="219" w:lineRule="exact"/>
        <w:rPr>
          <w:rFonts w:ascii="Times New Roman" w:cs="Times New Roman" w:eastAsia="Times New Roman" w:hAnsi="Times New Roman"/>
          <w:sz w:val="22"/>
          <w:szCs w:val="22"/>
          <w:color w:val="auto"/>
        </w:rPr>
      </w:pPr>
    </w:p>
    <w:p>
      <w:pPr>
        <w:jc w:val="both"/>
        <w:ind w:left="1300" w:firstLine="622"/>
        <w:spacing w:after="0" w:line="250" w:lineRule="auto"/>
        <w:tabs>
          <w:tab w:leader="none" w:pos="244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93" w:lineRule="exact"/>
        <w:rPr>
          <w:rFonts w:ascii="Times New Roman" w:cs="Times New Roman" w:eastAsia="Times New Roman" w:hAnsi="Times New Roman"/>
          <w:sz w:val="22"/>
          <w:szCs w:val="22"/>
          <w:color w:val="auto"/>
        </w:rPr>
      </w:pPr>
    </w:p>
    <w:p>
      <w:pPr>
        <w:jc w:val="both"/>
        <w:ind w:left="1300" w:firstLine="622"/>
        <w:spacing w:after="0" w:line="248" w:lineRule="auto"/>
        <w:tabs>
          <w:tab w:leader="none" w:pos="2589"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79" w:lineRule="exact"/>
        <w:rPr>
          <w:rFonts w:ascii="Times New Roman" w:cs="Times New Roman" w:eastAsia="Times New Roman" w:hAnsi="Times New Roman"/>
          <w:sz w:val="22"/>
          <w:szCs w:val="22"/>
          <w:color w:val="auto"/>
        </w:rPr>
      </w:pPr>
    </w:p>
    <w:p>
      <w:pPr>
        <w:ind w:left="640" w:firstLine="644"/>
        <w:spacing w:after="0" w:line="275" w:lineRule="auto"/>
        <w:tabs>
          <w:tab w:leader="none" w:pos="188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Privacy</w:t>
      </w:r>
      <w:r>
        <w:rPr>
          <w:rFonts w:ascii="Times New Roman" w:cs="Times New Roman" w:eastAsia="Times New Roman" w:hAnsi="Times New Roman"/>
          <w:sz w:val="22"/>
          <w:szCs w:val="22"/>
          <w:color w:val="auto"/>
        </w:rPr>
        <w:t>. A new Section II.B.17 is added to the Agreement to read as follows:</w:t>
      </w:r>
    </w:p>
    <w:p>
      <w:pPr>
        <w:spacing w:after="0" w:line="260" w:lineRule="exact"/>
        <w:rPr>
          <w:sz w:val="20"/>
          <w:szCs w:val="20"/>
          <w:color w:val="auto"/>
        </w:rPr>
      </w:pPr>
    </w:p>
    <w:p>
      <w:pPr>
        <w:jc w:val="both"/>
        <w:ind w:firstLine="594"/>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Privacy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Company respects Grantee’s privacy. In order to administer Grantee’s equity award, the Company collects and uses certain personal information about Grantee, including Grantee’s prior equity grant information where applicable. If Grantee is a California resident, Grantee should refer to the Company’s California Consumer Privacy Act Notice for more information about the personal information the Company collects about Grantee and the purposes for which the Company will use such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1240"/>
          </w:cols>
          <w:pgMar w:left="320" w:top="1418"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Restricted Stock Units Award</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Three-Year (Ratable) Vest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EQUITY AND INCENTIVE COMPENSATION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TriMas Corporation (the “Company”), as permitted by the TriMas Corporation 2023 Equity and Incentive Compensation Plan (“Plan”), and as provided for by the Committee, has granted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Unless otherwise defined in this Agreement or in Appendix A to this Agreement, the terms used in this Agreement have the same meanings as defined in the Plan.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I.  NOTICE OF AWARD</w:t>
            </w:r>
          </w:p>
        </w:tc>
        <w:tc>
          <w:tcPr>
            <w:tcW w:w="4580" w:type="dxa"/>
            <w:vAlign w:val="bottom"/>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516"/>
        </w:trPr>
        <w:tc>
          <w:tcPr>
            <w:tcW w:w="4900" w:type="dxa"/>
            <w:vAlign w:val="bottom"/>
            <w:gridSpan w:val="3"/>
          </w:tcPr>
          <w:p>
            <w:pPr>
              <w:ind w:left="180"/>
              <w:spacing w:after="0"/>
              <w:rPr>
                <w:sz w:val="20"/>
                <w:szCs w:val="20"/>
                <w:color w:val="auto"/>
              </w:rPr>
            </w:pPr>
            <w:r>
              <w:rPr>
                <w:rFonts w:ascii="Times New Roman" w:cs="Times New Roman" w:eastAsia="Times New Roman" w:hAnsi="Times New Roman"/>
                <w:sz w:val="22"/>
                <w:szCs w:val="22"/>
                <w:b w:val="1"/>
                <w:bCs w:val="1"/>
                <w:color w:val="auto"/>
              </w:rPr>
              <w:t>Grantee:</w:t>
            </w:r>
          </w:p>
        </w:tc>
        <w:tc>
          <w:tcPr>
            <w:tcW w:w="458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[specify Grantee’s name]</w:t>
            </w:r>
          </w:p>
        </w:tc>
      </w:tr>
      <w:tr>
        <w:trPr>
          <w:trHeight w:val="270"/>
        </w:trPr>
        <w:tc>
          <w:tcPr>
            <w:tcW w:w="4900" w:type="dxa"/>
            <w:vAlign w:val="bottom"/>
            <w:gridSpan w:val="3"/>
          </w:tcPr>
          <w:p>
            <w:pPr>
              <w:ind w:left="180"/>
              <w:spacing w:after="0"/>
              <w:rPr>
                <w:sz w:val="20"/>
                <w:szCs w:val="20"/>
                <w:color w:val="auto"/>
              </w:rPr>
            </w:pPr>
            <w:r>
              <w:rPr>
                <w:rFonts w:ascii="Times New Roman" w:cs="Times New Roman" w:eastAsia="Times New Roman" w:hAnsi="Times New Roman"/>
                <w:sz w:val="22"/>
                <w:szCs w:val="22"/>
                <w:b w:val="1"/>
                <w:bCs w:val="1"/>
                <w:color w:val="auto"/>
              </w:rPr>
              <w:t>Date of Agreement:</w:t>
            </w:r>
          </w:p>
        </w:tc>
        <w:tc>
          <w:tcPr>
            <w:tcW w:w="458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As of [enter date]</w:t>
            </w:r>
          </w:p>
        </w:tc>
      </w:tr>
      <w:tr>
        <w:trPr>
          <w:trHeight w:val="270"/>
        </w:trPr>
        <w:tc>
          <w:tcPr>
            <w:tcW w:w="4900" w:type="dxa"/>
            <w:vAlign w:val="bottom"/>
            <w:gridSpan w:val="3"/>
          </w:tcPr>
          <w:p>
            <w:pPr>
              <w:ind w:left="180"/>
              <w:spacing w:after="0"/>
              <w:rPr>
                <w:sz w:val="20"/>
                <w:szCs w:val="20"/>
                <w:color w:val="auto"/>
              </w:rPr>
            </w:pPr>
            <w:r>
              <w:rPr>
                <w:rFonts w:ascii="Times New Roman" w:cs="Times New Roman" w:eastAsia="Times New Roman" w:hAnsi="Times New Roman"/>
                <w:sz w:val="22"/>
                <w:szCs w:val="22"/>
                <w:b w:val="1"/>
                <w:bCs w:val="1"/>
                <w:color w:val="auto"/>
              </w:rPr>
              <w:t>Date of Grant:</w:t>
            </w:r>
          </w:p>
        </w:tc>
        <w:tc>
          <w:tcPr>
            <w:tcW w:w="458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[grant date]</w:t>
            </w:r>
          </w:p>
        </w:tc>
      </w:tr>
      <w:tr>
        <w:trPr>
          <w:trHeight w:val="286"/>
        </w:trPr>
        <w:tc>
          <w:tcPr>
            <w:tcW w:w="4900" w:type="dxa"/>
            <w:vAlign w:val="bottom"/>
            <w:gridSpan w:val="3"/>
          </w:tcPr>
          <w:p>
            <w:pPr>
              <w:ind w:left="180"/>
              <w:spacing w:after="0"/>
              <w:rPr>
                <w:sz w:val="20"/>
                <w:szCs w:val="20"/>
                <w:color w:val="auto"/>
              </w:rPr>
            </w:pPr>
            <w:r>
              <w:rPr>
                <w:rFonts w:ascii="Times New Roman" w:cs="Times New Roman" w:eastAsia="Times New Roman" w:hAnsi="Times New Roman"/>
                <w:sz w:val="22"/>
                <w:szCs w:val="22"/>
                <w:b w:val="1"/>
                <w:bCs w:val="1"/>
                <w:color w:val="auto"/>
              </w:rPr>
              <w:t>Number of Restricted Stock Units:</w:t>
            </w:r>
          </w:p>
        </w:tc>
        <w:tc>
          <w:tcPr>
            <w:tcW w:w="458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[number of Restricted Stock Units]</w:t>
            </w:r>
          </w:p>
        </w:tc>
      </w:tr>
    </w:tbl>
    <w:p>
      <w:pPr>
        <w:spacing w:after="0" w:line="321" w:lineRule="exact"/>
        <w:rPr>
          <w:sz w:val="20"/>
          <w:szCs w:val="20"/>
          <w:color w:val="auto"/>
        </w:rPr>
      </w:pPr>
    </w:p>
    <w:p>
      <w:pPr>
        <w:ind w:left="420" w:hanging="412"/>
        <w:spacing w:after="0"/>
        <w:tabs>
          <w:tab w:leader="none" w:pos="4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AGREEMENT</w:t>
      </w:r>
    </w:p>
    <w:p>
      <w:pPr>
        <w:spacing w:after="0" w:line="206" w:lineRule="exact"/>
        <w:rPr>
          <w:rFonts w:ascii="Times New Roman" w:cs="Times New Roman" w:eastAsia="Times New Roman" w:hAnsi="Times New Roman"/>
          <w:sz w:val="22"/>
          <w:szCs w:val="22"/>
          <w:color w:val="auto"/>
        </w:rPr>
      </w:pPr>
    </w:p>
    <w:p>
      <w:pPr>
        <w:jc w:val="both"/>
        <w:ind w:firstLine="231"/>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b w:val="1"/>
          <w:bCs w:val="1"/>
          <w:u w:val="single" w:color="auto"/>
          <w:color w:val="auto"/>
        </w:rPr>
        <w:t>Grant of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granted to Grantee (who, pursuant to this Award is a Participant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the number of Restricted Stock Units set forth above, subject to the terms of this Agreement. The Restricted Stock Units granted under this Agreement are payable only in shares of Common Stock as described in Section II.A.2. Notwithstanding anything to the contrary anywhere else in this Agreement, the Restricted Stock Units evidenced by this Award are subject to the terms and provisions of the Plan, which are incorporated by reference into this Agreement.</w:t>
      </w:r>
    </w:p>
    <w:p>
      <w:pPr>
        <w:spacing w:after="0" w:line="185" w:lineRule="exact"/>
        <w:rPr>
          <w:rFonts w:ascii="Times New Roman" w:cs="Times New Roman" w:eastAsia="Times New Roman" w:hAnsi="Times New Roman"/>
          <w:sz w:val="22"/>
          <w:szCs w:val="22"/>
          <w:color w:val="auto"/>
        </w:rPr>
      </w:pPr>
    </w:p>
    <w:p>
      <w:pPr>
        <w:ind w:left="820" w:hanging="380"/>
        <w:spacing w:after="0"/>
        <w:tabs>
          <w:tab w:leader="none" w:pos="820" w:val="left"/>
        </w:tabs>
        <w:numPr>
          <w:ilvl w:val="2"/>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left="660" w:firstLine="644"/>
        <w:spacing w:after="0" w:line="265" w:lineRule="auto"/>
        <w:tabs>
          <w:tab w:leader="none" w:pos="1953" w:val="left"/>
        </w:tabs>
        <w:numPr>
          <w:ilvl w:val="3"/>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II.A.1(b), the Restricted Stock Units will vest in three substantially equal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installments on the first three anniversaries of the Date of Grant (each, a “Vesting Date”), subject generally to Grantee’s continued status as a Service Provider through each such Vesting Date.</w:t>
      </w:r>
    </w:p>
    <w:p>
      <w:pPr>
        <w:sectPr>
          <w:pgSz w:w="11900" w:h="16838" w:orient="portrait"/>
          <w:cols w:equalWidth="0" w:num="1">
            <w:col w:w="11240"/>
          </w:cols>
          <w:pgMar w:left="320" w:top="338" w:right="339" w:bottom="1440" w:gutter="0" w:footer="0" w:header="0"/>
        </w:sectPr>
      </w:pPr>
    </w:p>
    <w:bookmarkStart w:id="79" w:name="page80"/>
    <w:bookmarkEnd w:id="79"/>
    <w:p>
      <w:pPr>
        <w:spacing w:after="0" w:line="200" w:lineRule="exact"/>
        <w:rPr>
          <w:sz w:val="20"/>
          <w:szCs w:val="20"/>
          <w:color w:val="auto"/>
        </w:rPr>
      </w:pPr>
    </w:p>
    <w:p>
      <w:pPr>
        <w:spacing w:after="0" w:line="237" w:lineRule="exact"/>
        <w:rPr>
          <w:sz w:val="20"/>
          <w:szCs w:val="20"/>
          <w:color w:val="auto"/>
        </w:rPr>
      </w:pPr>
    </w:p>
    <w:p>
      <w:pPr>
        <w:ind w:left="1780" w:hanging="636"/>
        <w:spacing w:after="0"/>
        <w:tabs>
          <w:tab w:leader="none" w:pos="17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Service; Forfeiture</w:t>
      </w:r>
      <w:r>
        <w:rPr>
          <w:rFonts w:ascii="Times New Roman" w:cs="Times New Roman" w:eastAsia="Times New Roman" w:hAnsi="Times New Roman"/>
          <w:sz w:val="22"/>
          <w:szCs w:val="22"/>
          <w:color w:val="auto"/>
        </w:rPr>
        <w:t>. Notwithstanding any other provision of this Agreement:</w:t>
      </w:r>
    </w:p>
    <w:p>
      <w:pPr>
        <w:spacing w:after="0" w:line="219" w:lineRule="exact"/>
        <w:rPr>
          <w:rFonts w:ascii="Times New Roman" w:cs="Times New Roman" w:eastAsia="Times New Roman" w:hAnsi="Times New Roman"/>
          <w:sz w:val="22"/>
          <w:szCs w:val="22"/>
          <w:color w:val="auto"/>
        </w:rPr>
      </w:pPr>
    </w:p>
    <w:p>
      <w:pPr>
        <w:jc w:val="both"/>
        <w:ind w:left="1140" w:firstLine="652"/>
        <w:spacing w:after="0" w:line="249" w:lineRule="auto"/>
        <w:tabs>
          <w:tab w:leader="none" w:pos="2343"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Voluntary Termination; Termination for Cause; Breach of Other Obligations</w:t>
      </w:r>
      <w:r>
        <w:rPr>
          <w:rFonts w:ascii="Times New Roman" w:cs="Times New Roman" w:eastAsia="Times New Roman" w:hAnsi="Times New Roman"/>
          <w:sz w:val="22"/>
          <w:szCs w:val="22"/>
          <w:color w:val="auto"/>
        </w:rPr>
        <w:t>. Any unvested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Units subject to this Award will be canceled and forfeited if Grantee voluntarily terminates as a Service Provider (other than for Good Reason or as a result of Retirement as provided below), if Grantee’s status as a Service Provider is involuntarily terminated by the Company or a Subsidiary for Cause, or if Grantee violates the provisions of Section II.B.3 below. Notwithstanding the foregoing, no termination of Grantee’s employment shall qualify as a termination for Cause unless (x) the Company notifies Grantee in writing of the Company’s intention to terminate Grantee’s employment for Cause within 90 days following the initial existence of the occurrence or event giving rise to Cause, (y) Grantee fails to cure such occurrence or event within 30 days after receipt of such notice from the Company and (z) the Company terminates Grantee’s employment within 45 days after the expiration of Grantee’s cure period in subsection (y).</w:t>
      </w:r>
    </w:p>
    <w:p>
      <w:pPr>
        <w:spacing w:after="0" w:line="183" w:lineRule="exact"/>
        <w:rPr>
          <w:rFonts w:ascii="Times New Roman" w:cs="Times New Roman" w:eastAsia="Times New Roman" w:hAnsi="Times New Roman"/>
          <w:sz w:val="22"/>
          <w:szCs w:val="22"/>
          <w:color w:val="auto"/>
        </w:rPr>
      </w:pPr>
    </w:p>
    <w:p>
      <w:pPr>
        <w:jc w:val="both"/>
        <w:ind w:left="1140" w:firstLine="652"/>
        <w:spacing w:after="0" w:line="258" w:lineRule="auto"/>
        <w:tabs>
          <w:tab w:leader="none" w:pos="2281"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 Disability</w:t>
      </w:r>
      <w:r>
        <w:rPr>
          <w:rFonts w:ascii="Times New Roman" w:cs="Times New Roman" w:eastAsia="Times New Roman" w:hAnsi="Times New Roman"/>
          <w:sz w:val="22"/>
          <w:szCs w:val="22"/>
          <w:color w:val="auto"/>
        </w:rPr>
        <w:t>. If Grantee ceases to be a Service Provider prior to any Vesting Date as a result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death or Disability, Grantee shall fully vest in the Restricted Stock Units subject to this Award that have not already vested as of the date on which Grantee ceases to be a Service Provider due to Grantee’s death or Disability.</w:t>
      </w:r>
    </w:p>
    <w:p>
      <w:pPr>
        <w:spacing w:after="0" w:line="167" w:lineRule="exact"/>
        <w:rPr>
          <w:rFonts w:ascii="Times New Roman" w:cs="Times New Roman" w:eastAsia="Times New Roman" w:hAnsi="Times New Roman"/>
          <w:sz w:val="22"/>
          <w:szCs w:val="22"/>
          <w:color w:val="auto"/>
        </w:rPr>
      </w:pPr>
    </w:p>
    <w:p>
      <w:pPr>
        <w:jc w:val="both"/>
        <w:ind w:left="1140" w:firstLine="652"/>
        <w:spacing w:after="0" w:line="250" w:lineRule="auto"/>
        <w:tabs>
          <w:tab w:leader="none" w:pos="2382"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Qualifying Termination Prior to a Change in Control</w:t>
      </w:r>
      <w:r>
        <w:rPr>
          <w:rFonts w:ascii="Times New Roman" w:cs="Times New Roman" w:eastAsia="Times New Roman" w:hAnsi="Times New Roman"/>
          <w:sz w:val="22"/>
          <w:szCs w:val="22"/>
          <w:color w:val="auto"/>
        </w:rPr>
        <w:t>. If Grantee has a Qualifying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occurs prior to (or more than two years after) a Change in Control and before the final Vesting Date, Grantee shall vest in a pro-rata portion of Grantee’s unvested Restricted Stock Units, with the pro-rata amount calculated by (x) multiplying the total number of Restricted Stock Units subject to this Award by a fraction with (i) a numerator equaling the number of whole calendar months that have elapsed from the Date of Grant to the date of Grantee’s Qualifying Termination, and (ii) a denominator equal to 36, and then (y) subtracting the number of Restricted Stock Units that have already vested under this Award.</w:t>
      </w:r>
    </w:p>
    <w:p>
      <w:pPr>
        <w:spacing w:after="0" w:line="180" w:lineRule="exact"/>
        <w:rPr>
          <w:rFonts w:ascii="Times New Roman" w:cs="Times New Roman" w:eastAsia="Times New Roman" w:hAnsi="Times New Roman"/>
          <w:sz w:val="22"/>
          <w:szCs w:val="22"/>
          <w:color w:val="auto"/>
        </w:rPr>
      </w:pPr>
    </w:p>
    <w:p>
      <w:pPr>
        <w:jc w:val="both"/>
        <w:ind w:left="1140" w:firstLine="652"/>
        <w:spacing w:after="0" w:line="258" w:lineRule="auto"/>
        <w:tabs>
          <w:tab w:leader="none" w:pos="237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If Grantee ceases to be a Service Provider prior to any Vesting Date due to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Retirement, Grantee shall continue to vest in the Restricted Stock Units subject to this Award to the same extent that Grantee would have vested in such Restricted Stock Units had Grantee continued to be a Service Provider through the final Vesting Date.</w:t>
      </w:r>
    </w:p>
    <w:p>
      <w:pPr>
        <w:spacing w:after="0" w:line="167" w:lineRule="exact"/>
        <w:rPr>
          <w:rFonts w:ascii="Times New Roman" w:cs="Times New Roman" w:eastAsia="Times New Roman" w:hAnsi="Times New Roman"/>
          <w:sz w:val="22"/>
          <w:szCs w:val="22"/>
          <w:color w:val="auto"/>
        </w:rPr>
      </w:pPr>
    </w:p>
    <w:p>
      <w:pPr>
        <w:ind w:left="1140" w:right="20" w:firstLine="652"/>
        <w:spacing w:after="0" w:line="275" w:lineRule="auto"/>
        <w:tabs>
          <w:tab w:leader="none" w:pos="2364"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In the event of a Change in Control that occurs prior to the vesting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portion of the Restricted Stock Units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80"/>
          </w:cols>
          <w:pgMar w:left="480" w:top="1440" w:right="339" w:bottom="1440" w:gutter="0" w:footer="0" w:header="0"/>
        </w:sectPr>
      </w:pPr>
    </w:p>
    <w:bookmarkStart w:id="80" w:name="page81"/>
    <w:bookmarkEnd w:id="80"/>
    <w:p>
      <w:pPr>
        <w:ind w:left="1140"/>
        <w:spacing w:after="0"/>
        <w:rPr>
          <w:sz w:val="20"/>
          <w:szCs w:val="20"/>
          <w:color w:val="auto"/>
        </w:rPr>
      </w:pPr>
      <w:r>
        <w:rPr>
          <w:rFonts w:ascii="Times New Roman" w:cs="Times New Roman" w:eastAsia="Times New Roman" w:hAnsi="Times New Roman"/>
          <w:sz w:val="22"/>
          <w:szCs w:val="22"/>
          <w:color w:val="auto"/>
        </w:rPr>
        <w:t>this Award, such unvested Restricted Stock Units shall vest in accordance with this Section II.A.1(b)(v).</w:t>
      </w:r>
    </w:p>
    <w:p>
      <w:pPr>
        <w:spacing w:after="0" w:line="220" w:lineRule="exact"/>
        <w:rPr>
          <w:sz w:val="20"/>
          <w:szCs w:val="20"/>
          <w:color w:val="auto"/>
        </w:rPr>
      </w:pPr>
    </w:p>
    <w:p>
      <w:pPr>
        <w:jc w:val="both"/>
        <w:ind w:left="2040" w:firstLine="643"/>
        <w:spacing w:after="0" w:line="251" w:lineRule="auto"/>
        <w:tabs>
          <w:tab w:leader="none" w:pos="3353"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if at any time before the vesting or forfeiture of Restricted Stock Units subject to this Award, and while Grantee is continuously a Service Provider, a Change in Control occurs, then the Restricted Stock Units will become nonforfeitable and payable to Grantee in accordance with Section II.A.2 hereof, except to the extent that a Replacement Award is provided to Grantee in accordance with Section II.A.1(b)(v)(B) to continue, replace or assume the Restricted Stock Units covered by this Award (the “Replaced Award”).</w:t>
      </w:r>
    </w:p>
    <w:p>
      <w:pPr>
        <w:spacing w:after="0" w:line="181" w:lineRule="exact"/>
        <w:rPr>
          <w:rFonts w:ascii="Times New Roman" w:cs="Times New Roman" w:eastAsia="Times New Roman" w:hAnsi="Times New Roman"/>
          <w:sz w:val="22"/>
          <w:szCs w:val="22"/>
          <w:color w:val="auto"/>
        </w:rPr>
      </w:pPr>
    </w:p>
    <w:p>
      <w:pPr>
        <w:jc w:val="both"/>
        <w:ind w:left="2040" w:firstLine="643"/>
        <w:spacing w:after="0" w:line="247" w:lineRule="auto"/>
        <w:tabs>
          <w:tab w:leader="none" w:pos="3225"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“Replacement Award” means an award (1) of the same type (e.g., time-based restricted stock units) as the Replaced Award, (2) that has a value at least equal to the value of the Replaced Award, (3) that relates to publicly traded equity securities of the Company or its successor in the Change in Control or another entity that is affiliated with the Company or its successor following the Change in Control, (3) if Grantee holding the Replaced Award is subject to U.S. federal income tax under the Code, the tax consequences of which to such Grantee under the Code are not less favorable to such Grantee than the tax consequences of the Replaced Award, and (E) the other terms and conditions of which are not less favorable to Grantee holding the Replaced Award than the terms and conditions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Section II.A.1(b)(v)(B) are satisfied will be made by the Committee, as constituted immediately before the Change in Control, in its sole discretion.</w:t>
      </w:r>
    </w:p>
    <w:p>
      <w:pPr>
        <w:spacing w:after="0" w:line="194" w:lineRule="exact"/>
        <w:rPr>
          <w:rFonts w:ascii="Times New Roman" w:cs="Times New Roman" w:eastAsia="Times New Roman" w:hAnsi="Times New Roman"/>
          <w:sz w:val="22"/>
          <w:szCs w:val="22"/>
          <w:color w:val="auto"/>
        </w:rPr>
      </w:pPr>
    </w:p>
    <w:p>
      <w:pPr>
        <w:jc w:val="both"/>
        <w:ind w:left="2040" w:firstLine="643"/>
        <w:spacing w:after="0" w:line="273" w:lineRule="auto"/>
        <w:tabs>
          <w:tab w:leader="none" w:pos="3196"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receiving a Replacement Award, (1) Grantee experiences a Qualifying Termination with the Company or a Subsidiary (or any of their successors) (as applicable, the “Successor”), or</w:t>
      </w:r>
    </w:p>
    <w:p>
      <w:pPr>
        <w:spacing w:after="0" w:line="1" w:lineRule="exact"/>
        <w:rPr>
          <w:rFonts w:ascii="Times New Roman" w:cs="Times New Roman" w:eastAsia="Times New Roman" w:hAnsi="Times New Roman"/>
          <w:sz w:val="21"/>
          <w:szCs w:val="21"/>
          <w:color w:val="auto"/>
        </w:rPr>
      </w:pPr>
    </w:p>
    <w:p>
      <w:pPr>
        <w:jc w:val="both"/>
        <w:ind w:left="2040" w:hanging="5"/>
        <w:spacing w:after="0" w:line="245" w:lineRule="auto"/>
        <w:tabs>
          <w:tab w:leader="none" w:pos="237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ceases to be a Service Provider as a result of Grantee’s Retirement or Disability, in each case within a period of two years after the Change in Control and during the remaining vesting period for the Replacement Award, the Replacement Award shall become fully vested and nonforfeitable with respect to the time-based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80"/>
          </w:cols>
          <w:pgMar w:left="480" w:top="1422" w:right="339" w:bottom="1440" w:gutter="0" w:footer="0" w:header="0"/>
        </w:sectPr>
      </w:pPr>
    </w:p>
    <w:bookmarkStart w:id="81" w:name="page82"/>
    <w:bookmarkEnd w:id="81"/>
    <w:p>
      <w:pPr>
        <w:ind w:left="2040"/>
        <w:spacing w:after="0"/>
        <w:rPr>
          <w:sz w:val="20"/>
          <w:szCs w:val="20"/>
          <w:color w:val="auto"/>
        </w:rPr>
      </w:pPr>
      <w:r>
        <w:rPr>
          <w:rFonts w:ascii="Times New Roman" w:cs="Times New Roman" w:eastAsia="Times New Roman" w:hAnsi="Times New Roman"/>
          <w:sz w:val="22"/>
          <w:szCs w:val="22"/>
          <w:color w:val="auto"/>
        </w:rPr>
        <w:t>covered by such Replacement Award upon such termination or Retirement or Disability.</w:t>
      </w:r>
    </w:p>
    <w:p>
      <w:pPr>
        <w:spacing w:after="0" w:line="220" w:lineRule="exact"/>
        <w:rPr>
          <w:sz w:val="20"/>
          <w:szCs w:val="20"/>
          <w:color w:val="auto"/>
        </w:rPr>
      </w:pPr>
    </w:p>
    <w:p>
      <w:pPr>
        <w:jc w:val="both"/>
        <w:ind w:left="2040" w:firstLine="643"/>
        <w:spacing w:after="0" w:line="256" w:lineRule="auto"/>
        <w:tabs>
          <w:tab w:leader="none" w:pos="328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Replacement Award is provided, notwithstanding anything in this Agreement to the contrary, any outstanding Restricted Stock Units subject to this Award that at the time of the Change in Control are not subject to a “substantial risk of forfeiture” (within the meaning of Section 409A of the Code) will be deemed to be vested and nonforfeitable at the time of such Change in Control.</w:t>
      </w:r>
    </w:p>
    <w:p>
      <w:pPr>
        <w:spacing w:after="0" w:line="176" w:lineRule="exact"/>
        <w:rPr>
          <w:sz w:val="20"/>
          <w:szCs w:val="20"/>
          <w:color w:val="auto"/>
        </w:rPr>
      </w:pPr>
    </w:p>
    <w:p>
      <w:pPr>
        <w:jc w:val="both"/>
        <w:ind w:left="500"/>
        <w:spacing w:after="0" w:line="257" w:lineRule="auto"/>
        <w:rPr>
          <w:sz w:val="20"/>
          <w:szCs w:val="20"/>
          <w:color w:val="auto"/>
        </w:rPr>
      </w:pPr>
      <w:r>
        <w:rPr>
          <w:rFonts w:ascii="Times New Roman" w:cs="Times New Roman" w:eastAsia="Times New Roman" w:hAnsi="Times New Roman"/>
          <w:sz w:val="22"/>
          <w:szCs w:val="22"/>
          <w:color w:val="auto"/>
        </w:rPr>
        <w:t>Any Restricted Stock Units that do not vest in accordance with Section II.A.1(a) or this Section II.A.1(b) shall be canceled and forfeited as of the date Grantee ceases to be a Service Provider. However, in particular, this Award is subject to Section 18(c) of the Plan.</w:t>
      </w:r>
    </w:p>
    <w:p>
      <w:pPr>
        <w:spacing w:after="0" w:line="182" w:lineRule="exact"/>
        <w:rPr>
          <w:sz w:val="20"/>
          <w:szCs w:val="20"/>
          <w:color w:val="auto"/>
        </w:rPr>
      </w:pPr>
    </w:p>
    <w:p>
      <w:pPr>
        <w:ind w:left="660" w:hanging="380"/>
        <w:spacing w:after="0"/>
        <w:tabs>
          <w:tab w:leader="none" w:pos="66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Settlement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left="500" w:firstLine="259"/>
        <w:spacing w:after="0" w:line="259" w:lineRule="auto"/>
        <w:tabs>
          <w:tab w:leader="none" w:pos="1266"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II.A.2(b) below, and as soon as administratively practicable following (but no later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thirty (30) days following) each applicable Vesting Date, the Company shall issue Grantee one share of Common Stock for each Restricted Stock Unit that is vested (but has not previously been settled) on such Vesting Date.</w:t>
      </w:r>
    </w:p>
    <w:p>
      <w:pPr>
        <w:spacing w:after="0" w:line="166" w:lineRule="exact"/>
        <w:rPr>
          <w:rFonts w:ascii="Times New Roman" w:cs="Times New Roman" w:eastAsia="Times New Roman" w:hAnsi="Times New Roman"/>
          <w:sz w:val="22"/>
          <w:szCs w:val="22"/>
          <w:color w:val="auto"/>
        </w:rPr>
      </w:pPr>
    </w:p>
    <w:p>
      <w:pPr>
        <w:ind w:left="500" w:firstLine="306"/>
        <w:spacing w:after="0" w:line="275" w:lineRule="auto"/>
        <w:tabs>
          <w:tab w:leader="none" w:pos="1373"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Payment Events</w:t>
      </w:r>
      <w:r>
        <w:rPr>
          <w:rFonts w:ascii="Times New Roman" w:cs="Times New Roman" w:eastAsia="Times New Roman" w:hAnsi="Times New Roman"/>
          <w:sz w:val="22"/>
          <w:szCs w:val="22"/>
          <w:color w:val="auto"/>
        </w:rPr>
        <w:t>. Notwithstanding Section II.A.2(a), to the extent that the Restricted Stock Units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vested on the dates set forth below, payment with respect to the Restricted Stock Units will be made as follows:</w:t>
      </w:r>
    </w:p>
    <w:p>
      <w:pPr>
        <w:spacing w:after="0" w:line="166" w:lineRule="exact"/>
        <w:rPr>
          <w:rFonts w:ascii="Times New Roman" w:cs="Times New Roman" w:eastAsia="Times New Roman" w:hAnsi="Times New Roman"/>
          <w:sz w:val="22"/>
          <w:szCs w:val="22"/>
          <w:color w:val="auto"/>
        </w:rPr>
      </w:pPr>
    </w:p>
    <w:p>
      <w:pPr>
        <w:jc w:val="both"/>
        <w:ind w:left="1140" w:firstLine="571"/>
        <w:spacing w:after="0" w:line="252" w:lineRule="auto"/>
        <w:tabs>
          <w:tab w:leader="none" w:pos="2266" w:val="left"/>
        </w:tabs>
        <w:numPr>
          <w:ilvl w:val="3"/>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Restricted Stock Units are vested as a result of Section II.A.1(b) (and have not previously been settled) on the date of Grantee’s death, the Company shall issue Grantee one share of Common Stock for each vested Restricted Stock Unit as soon as practicable following (but no later than thirty (30) days following) the date of Grantee’s death;</w:t>
      </w:r>
    </w:p>
    <w:p>
      <w:pPr>
        <w:spacing w:after="0" w:line="179" w:lineRule="exact"/>
        <w:rPr>
          <w:rFonts w:ascii="Times New Roman" w:cs="Times New Roman" w:eastAsia="Times New Roman" w:hAnsi="Times New Roman"/>
          <w:sz w:val="22"/>
          <w:szCs w:val="22"/>
          <w:color w:val="auto"/>
        </w:rPr>
      </w:pPr>
    </w:p>
    <w:p>
      <w:pPr>
        <w:jc w:val="both"/>
        <w:ind w:left="1140" w:firstLine="571"/>
        <w:spacing w:after="0" w:line="250" w:lineRule="auto"/>
        <w:tabs>
          <w:tab w:leader="none" w:pos="2315" w:val="left"/>
        </w:tabs>
        <w:numPr>
          <w:ilvl w:val="3"/>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Restricted Stock Units are vested as a result of Section II.A.1(b) (and have not previously been settled) on the date of a Change in Control, the Company shall issue Grantee one share of Common Stock for each vested Restricted Stock Unit as soon as practicable following (but no later than thirty (30) days following) the date of the Change in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Change in Control would not qualify as a permissible date of distribution under Section 409A(a)(2)(A) of the Code, and the regulations thereunder, and where Section 409A of the Code applies to such distribution, payment for the Restricted Stock Units shall be made upon the earlier of (A) a Change in Control that constitutes a “change in control” for purposes of Section 409A(a)(2)(A)(v) of the Code, or (B) the date that would have otherwise applied pursuant to this Agreement had such Change in Control not occurred;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80"/>
          </w:cols>
          <w:pgMar w:left="480" w:top="1422" w:right="339" w:bottom="1440" w:gutter="0" w:footer="0" w:header="0"/>
        </w:sectPr>
      </w:pPr>
    </w:p>
    <w:bookmarkStart w:id="82" w:name="page83"/>
    <w:bookmarkEnd w:id="82"/>
    <w:p>
      <w:pPr>
        <w:jc w:val="both"/>
        <w:ind w:left="1140" w:firstLine="571"/>
        <w:spacing w:after="0" w:line="265" w:lineRule="auto"/>
        <w:tabs>
          <w:tab w:leader="none" w:pos="2363" w:val="left"/>
        </w:tabs>
        <w:numPr>
          <w:ilvl w:val="6"/>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Restricted Stock Units are vested as a result of Section II.A.1(b) (and have not previously been settled) on the date of Grantee’s “separation from service” with the Company and its Subsidiaries (determined in accordance with Section 409A(a)(2)(A)(i) of the Code) within two years following the occurrence of a Change in Control that constitutes a “change in control” for purposes of Section 409A(a)(2)(A)(v) of the Code, the Company shall issue Grantee one share of Common Stock for each vested Restricted Stock Unit as soon as practicable following (but no later than thirty (30) days following) the date of such separation from service.</w:t>
      </w:r>
    </w:p>
    <w:p>
      <w:pPr>
        <w:spacing w:after="0" w:line="164" w:lineRule="exact"/>
        <w:rPr>
          <w:rFonts w:ascii="Times New Roman" w:cs="Times New Roman" w:eastAsia="Times New Roman" w:hAnsi="Times New Roman"/>
          <w:sz w:val="21"/>
          <w:szCs w:val="21"/>
          <w:color w:val="auto"/>
        </w:rPr>
      </w:pPr>
    </w:p>
    <w:p>
      <w:pPr>
        <w:jc w:val="both"/>
        <w:ind w:left="-160" w:firstLine="449"/>
        <w:spacing w:after="0" w:line="250" w:lineRule="auto"/>
        <w:tabs>
          <w:tab w:leader="none" w:pos="663" w:val="left"/>
        </w:tabs>
        <w:numPr>
          <w:ilvl w:val="2"/>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 Equivalent Rights</w:t>
      </w:r>
      <w:r>
        <w:rPr>
          <w:rFonts w:ascii="Times New Roman" w:cs="Times New Roman" w:eastAsia="Times New Roman" w:hAnsi="Times New Roman"/>
          <w:sz w:val="22"/>
          <w:szCs w:val="22"/>
          <w:color w:val="auto"/>
        </w:rPr>
        <w:t>. Grantee shall be credited with cash per Restricted Stock Unit equal to the amount of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 dividend paid by the Company (if any) to holders of Common Stock generally with a record date occurring on or after the Date of Grant and prior to the time when the Restricted Stock Units are settled in accordance with Section II.A.2 hereof.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Common Stock, as determined by the Committee in its sole discretion, at the same time as the Restricted Stock Units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79" w:lineRule="exact"/>
        <w:rPr>
          <w:rFonts w:ascii="Times New Roman" w:cs="Times New Roman" w:eastAsia="Times New Roman" w:hAnsi="Times New Roman"/>
          <w:sz w:val="22"/>
          <w:szCs w:val="22"/>
          <w:b w:val="1"/>
          <w:bCs w:val="1"/>
          <w:color w:val="auto"/>
        </w:rPr>
      </w:pPr>
    </w:p>
    <w:p>
      <w:pPr>
        <w:ind w:left="-160" w:right="20" w:firstLine="467"/>
        <w:spacing w:after="0" w:line="275" w:lineRule="auto"/>
        <w:tabs>
          <w:tab w:leader="none" w:pos="690" w:val="left"/>
        </w:tabs>
        <w:numPr>
          <w:ilvl w:val="3"/>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Rights as a Stockholder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will not have any rights of a stockholder (including voting and dividend rights)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the Restricted Stock Units covered by this Award (except as otherwise provided in Section II.A.3).</w:t>
      </w:r>
    </w:p>
    <w:p>
      <w:pPr>
        <w:spacing w:after="0" w:line="149" w:lineRule="exact"/>
        <w:rPr>
          <w:rFonts w:ascii="Times New Roman" w:cs="Times New Roman" w:eastAsia="Times New Roman" w:hAnsi="Times New Roman"/>
          <w:sz w:val="22"/>
          <w:szCs w:val="22"/>
          <w:b w:val="1"/>
          <w:bCs w:val="1"/>
          <w:color w:val="auto"/>
        </w:rPr>
      </w:pPr>
    </w:p>
    <w:p>
      <w:pPr>
        <w:ind w:left="-160" w:firstLine="440"/>
        <w:spacing w:after="0" w:line="275" w:lineRule="auto"/>
        <w:tabs>
          <w:tab w:leader="none" w:pos="650" w:val="left"/>
        </w:tabs>
        <w:numPr>
          <w:ilvl w:val="2"/>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color w:val="auto"/>
        </w:rPr>
        <w:t>. The Restricted Stock Units covered by this Award will be subject to adjustment as provided in Section 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Plan.</w:t>
      </w:r>
    </w:p>
    <w:p>
      <w:pPr>
        <w:spacing w:after="0" w:line="162" w:lineRule="exact"/>
        <w:rPr>
          <w:rFonts w:ascii="Times New Roman" w:cs="Times New Roman" w:eastAsia="Times New Roman" w:hAnsi="Times New Roman"/>
          <w:sz w:val="22"/>
          <w:szCs w:val="22"/>
          <w:b w:val="1"/>
          <w:bCs w:val="1"/>
          <w:color w:val="auto"/>
        </w:rPr>
      </w:pPr>
    </w:p>
    <w:p>
      <w:pPr>
        <w:ind w:left="480" w:hanging="416"/>
        <w:spacing w:after="0"/>
        <w:tabs>
          <w:tab w:leader="none" w:pos="48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Terms and Conditions</w:t>
      </w:r>
      <w:r>
        <w:rPr>
          <w:rFonts w:ascii="Times New Roman" w:cs="Times New Roman" w:eastAsia="Times New Roman" w:hAnsi="Times New Roman"/>
          <w:sz w:val="22"/>
          <w:szCs w:val="22"/>
          <w:b w:val="1"/>
          <w:bCs w:val="1"/>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left="-160" w:firstLine="494"/>
        <w:spacing w:after="0" w:line="253" w:lineRule="auto"/>
        <w:tabs>
          <w:tab w:leader="none" w:pos="731" w:val="left"/>
        </w:tabs>
        <w:numPr>
          <w:ilvl w:val="4"/>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Non-Transferability of Award</w:t>
      </w:r>
      <w:r>
        <w:rPr>
          <w:rFonts w:ascii="Times New Roman" w:cs="Times New Roman" w:eastAsia="Times New Roman" w:hAnsi="Times New Roman"/>
          <w:sz w:val="22"/>
          <w:szCs w:val="22"/>
          <w:color w:val="auto"/>
        </w:rPr>
        <w:t>. Except as described below, and subject to the Plan and Section 409A, this Award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Restricted Stock Units subject to this 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88" w:lineRule="exact"/>
        <w:rPr>
          <w:rFonts w:ascii="Times New Roman" w:cs="Times New Roman" w:eastAsia="Times New Roman" w:hAnsi="Times New Roman"/>
          <w:sz w:val="22"/>
          <w:szCs w:val="22"/>
          <w:b w:val="1"/>
          <w:bCs w:val="1"/>
          <w:color w:val="auto"/>
        </w:rPr>
      </w:pPr>
    </w:p>
    <w:p>
      <w:pPr>
        <w:jc w:val="both"/>
        <w:ind w:left="-160" w:firstLine="593"/>
        <w:spacing w:after="0" w:line="249" w:lineRule="auto"/>
        <w:tabs>
          <w:tab w:leader="none" w:pos="879" w:val="left"/>
        </w:tabs>
        <w:numPr>
          <w:ilvl w:val="5"/>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that the Company is required to withhold federal, state, local or foreign taxes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in connection with any payment made or benefit realized by Grantee under this Agreement, and the amounts available to the Company for such withholding are insufficient, it shall be a condition to the receipt of such payment or the realization of such benefit that Grantee make arrangements satisfactory to the Company for payment of the balance of such taxes or other amounts required to be withheld. If Grantee’s benefit is to be received in the form of shares of Common Stock, then (a) if Grantee is subject to Section 16 of the Exchange Act, Grantee agrees that the Company will withhold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80"/>
          </w:cols>
          <w:pgMar w:left="480" w:top="1422" w:right="339" w:bottom="1440" w:gutter="0" w:footer="0" w:header="0"/>
        </w:sectPr>
      </w:pPr>
    </w:p>
    <w:bookmarkStart w:id="83" w:name="page84"/>
    <w:bookmarkEnd w:id="83"/>
    <w:p>
      <w:pPr>
        <w:jc w:val="both"/>
        <w:spacing w:after="0" w:line="250" w:lineRule="auto"/>
        <w:rPr>
          <w:sz w:val="20"/>
          <w:szCs w:val="20"/>
          <w:color w:val="auto"/>
        </w:rPr>
      </w:pPr>
      <w:r>
        <w:rPr>
          <w:rFonts w:ascii="Times New Roman" w:cs="Times New Roman" w:eastAsia="Times New Roman" w:hAnsi="Times New Roman"/>
          <w:sz w:val="22"/>
          <w:szCs w:val="22"/>
          <w:color w:val="auto"/>
        </w:rPr>
        <w:t>Common Stock having a value equal to the amount required to be withheld, and (b) if Grantee is not subject to Section 16 of the Exchange Act, Grantee may elect that all or any part of such withholding requirement be satisfied by the retention by the Company a portion of the Common Stock to be delivered to Grantee, by delivering to the Company other Common Stock held by Grantee, or by tendering sufficient funds in cash or cash equivalent to the Company. The shares of Common Stock used for tax or other withholding will be valued at an amount equal to the fair market value of such shares of Common Stock on the date the benefit is to be included in Grantee’s income. In no event will the fair market value of the shares of Common Stock to be withheld or delivered pursuant to this Section II.B.2 to satisfy applicable withholding taxes or other amounts in connection with the benefit exceed (x) the maximum amount that could be required to be withheld or (y) if so determined by the Committee after the date hereof, the minimum amount required to be withheld.</w:t>
      </w:r>
    </w:p>
    <w:p>
      <w:pPr>
        <w:spacing w:after="0" w:line="176" w:lineRule="exact"/>
        <w:rPr>
          <w:sz w:val="20"/>
          <w:szCs w:val="20"/>
          <w:color w:val="auto"/>
        </w:rPr>
      </w:pPr>
    </w:p>
    <w:p>
      <w:pPr>
        <w:ind w:left="820" w:hanging="380"/>
        <w:spacing w:after="0"/>
        <w:tabs>
          <w:tab w:leader="none" w:pos="82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p>
    <w:p>
      <w:pPr>
        <w:spacing w:after="0" w:line="219" w:lineRule="exact"/>
        <w:rPr>
          <w:rFonts w:ascii="Times New Roman" w:cs="Times New Roman" w:eastAsia="Times New Roman" w:hAnsi="Times New Roman"/>
          <w:sz w:val="22"/>
          <w:szCs w:val="22"/>
          <w:b w:val="1"/>
          <w:bCs w:val="1"/>
          <w:color w:val="auto"/>
        </w:rPr>
      </w:pPr>
    </w:p>
    <w:p>
      <w:pPr>
        <w:jc w:val="both"/>
        <w:ind w:left="660" w:firstLine="259"/>
        <w:spacing w:after="0" w:line="248" w:lineRule="auto"/>
        <w:tabs>
          <w:tab w:leader="none" w:pos="1426"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Restricted Stock Units or Common Stock to Grantee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 Notwithstanding anything herein to the contrary, if Grantee is subject to the restrictive covenants set forth in Section 7 (or any successor provision) of the TriMas Corporation Executive Severance/Change of Control Policy (or any successor policy), then (1) such restrictive covenants, rather than the restrictive covenants in this Section II.B.3, shall apply to Grantee, and (2) Grantee’s violation of such restrictive covenants shall be treated as a violation of the restrictive covenants in this Section II.B.3 for purposes of this Agreement.</w:t>
      </w:r>
    </w:p>
    <w:p>
      <w:pPr>
        <w:spacing w:after="0" w:line="198" w:lineRule="exact"/>
        <w:rPr>
          <w:rFonts w:ascii="Times New Roman" w:cs="Times New Roman" w:eastAsia="Times New Roman" w:hAnsi="Times New Roman"/>
          <w:sz w:val="22"/>
          <w:szCs w:val="22"/>
          <w:color w:val="auto"/>
        </w:rPr>
      </w:pPr>
    </w:p>
    <w:p>
      <w:pPr>
        <w:jc w:val="both"/>
        <w:ind w:left="660" w:firstLine="327"/>
        <w:spacing w:after="0" w:line="248" w:lineRule="auto"/>
        <w:tabs>
          <w:tab w:leader="none" w:pos="1573" w:val="left"/>
        </w:tabs>
        <w:numPr>
          <w:ilvl w:val="2"/>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w:t>
      </w:r>
      <w:r>
        <w:rPr>
          <w:rFonts w:ascii="Times New Roman" w:cs="Times New Roman" w:eastAsia="Times New Roman" w:hAnsi="Times New Roman"/>
          <w:sz w:val="22"/>
          <w:szCs w:val="22"/>
          <w:color w:val="auto"/>
        </w:rPr>
        <w:t>. Recognizing Grantee’s fiduciary duties to the Company, as a condition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II.B.3 shall not result in the forfeiture of Restricted Stock Units or any clawback or recoupment of the Award for the disclosure of a trade secret if that disclosure (1) is made in confidence to a federal, state or local government official or to an attorney for the sole purpose of reporting or investigating a suspected violation of law or (2) is made in a complaint or other document filed in a lawsuit or other proceeding, if such filing is made under seal. Pursuant to 18 U.S.C. § 1833(b), and as set forth fully therein, notice is hereby given that Grantee shall not be held criminally or civilly liable under any federal or state trade secret law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84" w:name="page85"/>
    <w:bookmarkEnd w:id="84"/>
    <w:p>
      <w:pPr>
        <w:jc w:val="both"/>
        <w:ind w:left="500"/>
        <w:spacing w:after="0" w:line="247" w:lineRule="auto"/>
        <w:rPr>
          <w:sz w:val="20"/>
          <w:szCs w:val="20"/>
          <w:color w:val="auto"/>
        </w:rPr>
      </w:pPr>
      <w:r>
        <w:rPr>
          <w:rFonts w:ascii="Times New Roman" w:cs="Times New Roman" w:eastAsia="Times New Roman" w:hAnsi="Times New Roman"/>
          <w:sz w:val="22"/>
          <w:szCs w:val="22"/>
          <w:color w:val="auto"/>
        </w:rPr>
        <w:t>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nothing in this Agreement prohibits or is intended to restrict or impede Grantee from discussing the terms and conditions of their employment with coworkers or union representatives or exercising protected rights under Section 7 of the National Labor Relations Act, or prevents Grantee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189" w:lineRule="exact"/>
        <w:rPr>
          <w:sz w:val="20"/>
          <w:szCs w:val="20"/>
          <w:color w:val="auto"/>
        </w:rPr>
      </w:pPr>
    </w:p>
    <w:p>
      <w:pPr>
        <w:ind w:left="1160" w:hanging="448"/>
        <w:spacing w:after="0"/>
        <w:tabs>
          <w:tab w:leader="none" w:pos="11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Covenants Against Competition and Solicitation</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left="1140" w:hanging="208"/>
        <w:spacing w:after="0" w:line="247" w:lineRule="auto"/>
        <w:tabs>
          <w:tab w:leader="none" w:pos="1349"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while Grantee is employed by the Company, and for 12 months thereafter, Grantee shall not engage, either directly or indirectly, as a principal for Grantee’s own account or jointly with others, or as a stockholder in any corporation or joint stock association, or as a partner or member of a general or limited liability entity, or as an employee, officer, director, agent, consultant or in any other advisory capacity in any Competitive Business that designs, develops, manufactures, distributes, sells or markets the type of products or services sold, distributed or provided by the Company, during the one-year period prior to the date of employment termination and with which Grantee was involved and/or oversaw (the “Business”); provided that nothing herein shall prevent Grantee from owning, directly or indirectly, not more than five percent of the outstanding shares of, or any other equity interest in, any entity engaged in the Business and listed or traded on a national securities exchange or in an over-the-counter securities market.</w:t>
      </w:r>
    </w:p>
    <w:p>
      <w:pPr>
        <w:spacing w:after="0" w:line="204" w:lineRule="exact"/>
        <w:rPr>
          <w:rFonts w:ascii="Times New Roman" w:cs="Times New Roman" w:eastAsia="Times New Roman" w:hAnsi="Times New Roman"/>
          <w:sz w:val="22"/>
          <w:szCs w:val="22"/>
          <w:color w:val="auto"/>
        </w:rPr>
      </w:pPr>
    </w:p>
    <w:p>
      <w:pPr>
        <w:jc w:val="both"/>
        <w:ind w:left="1140" w:firstLine="337"/>
        <w:spacing w:after="0" w:line="250" w:lineRule="auto"/>
        <w:tabs>
          <w:tab w:leader="none" w:pos="2071" w:val="left"/>
        </w:tabs>
        <w:numPr>
          <w:ilvl w:val="2"/>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solicit business (relating to the Business) from, attempt to entice away from the Company, or interfere with the Company’s relationship with any entity that is a client or customer of the Company at the time of such solicitation, enticement, or interference, or that was identified or solicited as a client or customer of the Company during the time that Grantee performed services for the Company, unless such entity shall have ceased to have been such a customer for a period of at least six months as of the time of such solicitation.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80"/>
          </w:cols>
          <w:pgMar w:left="480" w:top="1422" w:right="339" w:bottom="1440" w:gutter="0" w:footer="0" w:header="0"/>
        </w:sectPr>
      </w:pPr>
    </w:p>
    <w:bookmarkStart w:id="85" w:name="page86"/>
    <w:bookmarkEnd w:id="85"/>
    <w:p>
      <w:pPr>
        <w:jc w:val="both"/>
        <w:ind w:left="1140" w:hanging="112"/>
        <w:spacing w:after="0" w:line="249" w:lineRule="auto"/>
        <w:tabs>
          <w:tab w:leader="none" w:pos="1614" w:val="left"/>
        </w:tabs>
        <w:numPr>
          <w:ilvl w:val="2"/>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w:t>
      </w:r>
    </w:p>
    <w:p>
      <w:pPr>
        <w:spacing w:after="0" w:line="191" w:lineRule="exact"/>
        <w:rPr>
          <w:rFonts w:ascii="Times New Roman" w:cs="Times New Roman" w:eastAsia="Times New Roman" w:hAnsi="Times New Roman"/>
          <w:sz w:val="22"/>
          <w:szCs w:val="22"/>
          <w:color w:val="auto"/>
        </w:rPr>
      </w:pPr>
    </w:p>
    <w:p>
      <w:pPr>
        <w:jc w:val="both"/>
        <w:ind w:left="500" w:firstLine="354"/>
        <w:spacing w:after="0" w:line="253" w:lineRule="auto"/>
        <w:tabs>
          <w:tab w:leader="none" w:pos="1467"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Determination by the Board</w:t>
      </w:r>
      <w:r>
        <w:rPr>
          <w:rFonts w:ascii="Times New Roman" w:cs="Times New Roman" w:eastAsia="Times New Roman" w:hAnsi="Times New Roman"/>
          <w:sz w:val="22"/>
          <w:szCs w:val="22"/>
          <w:color w:val="auto"/>
        </w:rPr>
        <w:t>. Upon entering into this Agreement, Grantee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175" w:lineRule="exact"/>
        <w:rPr>
          <w:rFonts w:ascii="Times New Roman" w:cs="Times New Roman" w:eastAsia="Times New Roman" w:hAnsi="Times New Roman"/>
          <w:sz w:val="22"/>
          <w:szCs w:val="22"/>
          <w:color w:val="auto"/>
        </w:rPr>
      </w:pPr>
    </w:p>
    <w:p>
      <w:pPr>
        <w:ind w:left="1160" w:hanging="448"/>
        <w:spacing w:after="0"/>
        <w:tabs>
          <w:tab w:leader="none" w:pos="11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The following definitions shall apply solely with respect to this Section II.B.3:</w:t>
      </w:r>
    </w:p>
    <w:p>
      <w:pPr>
        <w:spacing w:after="0" w:line="219" w:lineRule="exact"/>
        <w:rPr>
          <w:rFonts w:ascii="Times New Roman" w:cs="Times New Roman" w:eastAsia="Times New Roman" w:hAnsi="Times New Roman"/>
          <w:sz w:val="22"/>
          <w:szCs w:val="22"/>
          <w:color w:val="auto"/>
        </w:rPr>
      </w:pPr>
    </w:p>
    <w:p>
      <w:pPr>
        <w:jc w:val="both"/>
        <w:ind w:left="1140" w:firstLine="622"/>
        <w:spacing w:after="0" w:line="252" w:lineRule="auto"/>
        <w:tabs>
          <w:tab w:leader="none" w:pos="2246" w:val="left"/>
        </w:tabs>
        <w:numPr>
          <w:ilvl w:val="3"/>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79" w:lineRule="exact"/>
        <w:rPr>
          <w:rFonts w:ascii="Times New Roman" w:cs="Times New Roman" w:eastAsia="Times New Roman" w:hAnsi="Times New Roman"/>
          <w:sz w:val="22"/>
          <w:szCs w:val="22"/>
          <w:color w:val="auto"/>
        </w:rPr>
      </w:pPr>
    </w:p>
    <w:p>
      <w:pPr>
        <w:jc w:val="both"/>
        <w:ind w:left="1140" w:firstLine="622"/>
        <w:spacing w:after="0" w:line="253" w:lineRule="auto"/>
        <w:tabs>
          <w:tab w:leader="none" w:pos="2346" w:val="left"/>
        </w:tabs>
        <w:numPr>
          <w:ilvl w:val="3"/>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means a person or entity that engages in any business engaged in by the Company, and that does so in a geographic area in which the Company engage(s) in that business, as evidenced on the Company’s website, in the marketing materials of the Company or by the books and records of the Company, and “engages” includes actively planning to engage in the business.</w:t>
      </w:r>
    </w:p>
    <w:p>
      <w:pPr>
        <w:spacing w:after="0" w:line="188" w:lineRule="exact"/>
        <w:rPr>
          <w:rFonts w:ascii="Times New Roman" w:cs="Times New Roman" w:eastAsia="Times New Roman" w:hAnsi="Times New Roman"/>
          <w:sz w:val="22"/>
          <w:szCs w:val="22"/>
          <w:color w:val="auto"/>
        </w:rPr>
      </w:pPr>
    </w:p>
    <w:p>
      <w:pPr>
        <w:jc w:val="both"/>
        <w:ind w:left="1140" w:firstLine="622"/>
        <w:spacing w:after="0" w:line="250" w:lineRule="auto"/>
        <w:tabs>
          <w:tab w:leader="none" w:pos="2487" w:val="left"/>
        </w:tabs>
        <w:numPr>
          <w:ilvl w:val="3"/>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080"/>
          </w:cols>
          <w:pgMar w:left="480" w:top="1422" w:right="339" w:bottom="1440" w:gutter="0" w:footer="0" w:header="0"/>
        </w:sectPr>
      </w:pPr>
    </w:p>
    <w:bookmarkStart w:id="86" w:name="page87"/>
    <w:bookmarkEnd w:id="86"/>
    <w:p>
      <w:pPr>
        <w:jc w:val="both"/>
        <w:ind w:left="1140"/>
        <w:spacing w:after="0" w:line="251" w:lineRule="auto"/>
        <w:rPr>
          <w:sz w:val="20"/>
          <w:szCs w:val="20"/>
          <w:color w:val="auto"/>
        </w:rPr>
      </w:pPr>
      <w:r>
        <w:rPr>
          <w:rFonts w:ascii="Times New Roman" w:cs="Times New Roman" w:eastAsia="Times New Roman" w:hAnsi="Times New Roman"/>
          <w:sz w:val="22"/>
          <w:szCs w:val="22"/>
          <w:color w:val="auto"/>
        </w:rPr>
        <w:t>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77" w:lineRule="exact"/>
        <w:rPr>
          <w:sz w:val="20"/>
          <w:szCs w:val="20"/>
          <w:color w:val="auto"/>
        </w:rPr>
      </w:pPr>
    </w:p>
    <w:p>
      <w:pPr>
        <w:jc w:val="both"/>
        <w:ind w:left="480" w:firstLine="644"/>
        <w:spacing w:after="0" w:line="258" w:lineRule="auto"/>
        <w:tabs>
          <w:tab w:leader="none" w:pos="1563"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Tolling. </w:t>
      </w:r>
      <w:r>
        <w:rPr>
          <w:rFonts w:ascii="Times New Roman" w:cs="Times New Roman" w:eastAsia="Times New Roman" w:hAnsi="Times New Roman"/>
          <w:sz w:val="22"/>
          <w:szCs w:val="22"/>
          <w:color w:val="auto"/>
        </w:rPr>
        <w:t>The restricted time periods in Section II.B.3 shall be tolled during any time period that Grantee is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violation of such covenants, as determined by a court of competent jurisdiction, so that the Company may realize the full benefit of its bargain. This tolling shall include any time period during which litigation is pending, but during which Grantee has continued to violate such protective covenants.</w:t>
      </w:r>
    </w:p>
    <w:p>
      <w:pPr>
        <w:spacing w:after="0" w:line="167" w:lineRule="exact"/>
        <w:rPr>
          <w:rFonts w:ascii="Times New Roman" w:cs="Times New Roman" w:eastAsia="Times New Roman" w:hAnsi="Times New Roman"/>
          <w:sz w:val="22"/>
          <w:szCs w:val="22"/>
          <w:color w:val="auto"/>
        </w:rPr>
      </w:pPr>
    </w:p>
    <w:p>
      <w:pPr>
        <w:jc w:val="both"/>
        <w:ind w:left="480" w:firstLine="644"/>
        <w:spacing w:after="0" w:line="248" w:lineRule="auto"/>
        <w:tabs>
          <w:tab w:leader="none" w:pos="160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Relief, Remedies, and Enforcement. </w:t>
      </w:r>
      <w:r>
        <w:rPr>
          <w:rFonts w:ascii="Times New Roman" w:cs="Times New Roman" w:eastAsia="Times New Roman" w:hAnsi="Times New Roman"/>
          <w:sz w:val="22"/>
          <w:szCs w:val="22"/>
          <w:color w:val="auto"/>
        </w:rPr>
        <w:t>Grantee acknowledges that the covenants contained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reasonable and necessary to protect the legitimate interests of the Company and that any breach or threatened breach of any such covenants will cause irreparable injury to the Company for which money damages would not provide an adequate remedy. If Grantee breaches, or threatens to commit a breach of, any of the provisions of this Agreement, the Company shall have the right to seek appropriate equitable relief, including a permanent injunction or similar court order enjoining Grantee from violating any of such provisions, and that, pending the hearing and the decision on the application for permanent equitable relief, the Company shall be entitled to a temporary restraining order and a preliminary injunction, without the necessity of showing actual monetary damages or the posting of a bond or other security. No such remedy shall be construed to be the exclusive remedy of the Company and any and all such remedies shall be held and construed to be cumulative and not exclusive of any rights or remedies, whether at law or in equity, otherwise available under the terms of this Agreement, at common law or under federal, state or local statutes, rules and regulations. Grantee further agrees to pay any and all legal fees, including without limitation, all attorneys’ fees, court costs, and any other related fees and/or costs incurred by the Company in enforcing this Agreement.</w:t>
      </w:r>
    </w:p>
    <w:p>
      <w:pPr>
        <w:spacing w:after="0" w:line="179" w:lineRule="exact"/>
        <w:rPr>
          <w:rFonts w:ascii="Times New Roman" w:cs="Times New Roman" w:eastAsia="Times New Roman" w:hAnsi="Times New Roman"/>
          <w:sz w:val="22"/>
          <w:szCs w:val="22"/>
          <w:color w:val="auto"/>
        </w:rPr>
      </w:pPr>
    </w:p>
    <w:p>
      <w:pPr>
        <w:ind w:left="480" w:firstLine="644"/>
        <w:spacing w:after="0" w:line="287" w:lineRule="auto"/>
        <w:tabs>
          <w:tab w:leader="none" w:pos="1748"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37" w:lineRule="exact"/>
        <w:rPr>
          <w:rFonts w:ascii="Times New Roman" w:cs="Times New Roman" w:eastAsia="Times New Roman" w:hAnsi="Times New Roman"/>
          <w:sz w:val="22"/>
          <w:szCs w:val="22"/>
          <w:color w:val="auto"/>
        </w:rPr>
      </w:pPr>
    </w:p>
    <w:p>
      <w:pPr>
        <w:jc w:val="both"/>
        <w:ind w:left="-160" w:firstLine="485"/>
        <w:spacing w:after="0" w:line="252" w:lineRule="auto"/>
        <w:tabs>
          <w:tab w:leader="none" w:pos="717"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 of the Code</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applicable, it is intended that this Agreement and the Plan comply with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080"/>
          </w:cols>
          <w:pgMar w:left="480" w:top="1422" w:right="339" w:bottom="1440" w:gutter="0" w:footer="0" w:header="0"/>
        </w:sectPr>
      </w:pPr>
    </w:p>
    <w:bookmarkStart w:id="87" w:name="page88"/>
    <w:bookmarkEnd w:id="87"/>
    <w:p>
      <w:pPr>
        <w:jc w:val="both"/>
        <w:ind w:left="-160" w:firstLine="530"/>
        <w:spacing w:after="0" w:line="254" w:lineRule="auto"/>
        <w:tabs>
          <w:tab w:leader="none" w:pos="785" w:val="left"/>
        </w:tabs>
        <w:numPr>
          <w:ilvl w:val="1"/>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Continued Right as Service Provider.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the Plan or in this Agreement confers on Grantee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as a Service Provider, or interferes with or restricts in any way the rights of the Company or any Subsidiary or affiliate of the Company, which are hereby expressly reserved, to discharge Grantee at any time for any reason whatsoever, with or without Cause, except to the extent expressly provided otherwise in a written employment agreement between Grantee and the Company or any Subsidiary.</w:t>
      </w:r>
    </w:p>
    <w:p>
      <w:pPr>
        <w:spacing w:after="0" w:line="173" w:lineRule="exact"/>
        <w:rPr>
          <w:rFonts w:ascii="Times New Roman" w:cs="Times New Roman" w:eastAsia="Times New Roman" w:hAnsi="Times New Roman"/>
          <w:sz w:val="22"/>
          <w:szCs w:val="22"/>
          <w:b w:val="1"/>
          <w:bCs w:val="1"/>
          <w:color w:val="auto"/>
        </w:rPr>
      </w:pPr>
    </w:p>
    <w:p>
      <w:pPr>
        <w:jc w:val="both"/>
        <w:ind w:left="-160" w:firstLine="449"/>
        <w:spacing w:after="0" w:line="258" w:lineRule="auto"/>
        <w:tabs>
          <w:tab w:leader="none" w:pos="663"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on Other Benefits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no event will the value, at any time, of the Restricted Stock Units or any other payment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payment under this Agreement be included as compensation or earnings for purposes of any other compensation, retirement, or benefit plan offered to employees of, or other Service Providers to, the Company or any Subsidiary unless otherwise specifically provided for in such plan.</w:t>
      </w:r>
    </w:p>
    <w:p>
      <w:pPr>
        <w:spacing w:after="0" w:line="167" w:lineRule="exact"/>
        <w:rPr>
          <w:rFonts w:ascii="Times New Roman" w:cs="Times New Roman" w:eastAsia="Times New Roman" w:hAnsi="Times New Roman"/>
          <w:sz w:val="22"/>
          <w:szCs w:val="22"/>
          <w:b w:val="1"/>
          <w:bCs w:val="1"/>
          <w:color w:val="auto"/>
        </w:rPr>
      </w:pPr>
    </w:p>
    <w:p>
      <w:pPr>
        <w:jc w:val="both"/>
        <w:ind w:left="-160" w:firstLine="561"/>
        <w:spacing w:after="0" w:line="259" w:lineRule="auto"/>
        <w:tabs>
          <w:tab w:leader="none" w:pos="825" w:val="left"/>
        </w:tabs>
        <w:numPr>
          <w:ilvl w:val="2"/>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If Grantee is or was employed by a subsidiary of the Company, then such subsidiary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intended to be a third-party beneficiary of this Agreement and shall have the right to enforce this Agreement, including, but not limited to, the provisions of Section II.B.3.</w:t>
      </w:r>
    </w:p>
    <w:p>
      <w:pPr>
        <w:spacing w:after="0" w:line="166" w:lineRule="exact"/>
        <w:rPr>
          <w:rFonts w:ascii="Times New Roman" w:cs="Times New Roman" w:eastAsia="Times New Roman" w:hAnsi="Times New Roman"/>
          <w:sz w:val="22"/>
          <w:szCs w:val="22"/>
          <w:b w:val="1"/>
          <w:bCs w:val="1"/>
          <w:color w:val="auto"/>
        </w:rPr>
      </w:pPr>
    </w:p>
    <w:p>
      <w:pPr>
        <w:jc w:val="both"/>
        <w:ind w:left="-160" w:firstLine="584"/>
        <w:spacing w:after="0" w:line="265" w:lineRule="auto"/>
        <w:tabs>
          <w:tab w:leader="none" w:pos="866" w:val="left"/>
        </w:tabs>
        <w:numPr>
          <w:ilvl w:val="3"/>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Unfunded and Unsecured General Creditor</w:t>
      </w:r>
      <w:r>
        <w:rPr>
          <w:rFonts w:ascii="Times New Roman" w:cs="Times New Roman" w:eastAsia="Times New Roman" w:hAnsi="Times New Roman"/>
          <w:sz w:val="22"/>
          <w:szCs w:val="22"/>
          <w:color w:val="auto"/>
        </w:rPr>
        <w:t>. Grantee, as a holder of Restricted Stock Units and rights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has no rights other than those of a general creditor of the Company. The Restricted Stock Units represent an unfunded and unsecured obligation of the Company, subject to the terms and conditions of this Agreement and the Plan.</w:t>
      </w:r>
    </w:p>
    <w:p>
      <w:pPr>
        <w:spacing w:after="0" w:line="161" w:lineRule="exact"/>
        <w:rPr>
          <w:rFonts w:ascii="Times New Roman" w:cs="Times New Roman" w:eastAsia="Times New Roman" w:hAnsi="Times New Roman"/>
          <w:sz w:val="22"/>
          <w:szCs w:val="22"/>
          <w:b w:val="1"/>
          <w:bCs w:val="1"/>
          <w:color w:val="auto"/>
        </w:rPr>
      </w:pPr>
    </w:p>
    <w:p>
      <w:pPr>
        <w:jc w:val="both"/>
        <w:ind w:left="-160" w:firstLine="746"/>
        <w:spacing w:after="0" w:line="253" w:lineRule="auto"/>
        <w:tabs>
          <w:tab w:leader="none" w:pos="1109" w:val="left"/>
        </w:tabs>
        <w:numPr>
          <w:ilvl w:val="4"/>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Agreement or the application of any provision hereof to any person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88" w:lineRule="exact"/>
        <w:rPr>
          <w:rFonts w:ascii="Times New Roman" w:cs="Times New Roman" w:eastAsia="Times New Roman" w:hAnsi="Times New Roman"/>
          <w:sz w:val="22"/>
          <w:szCs w:val="22"/>
          <w:b w:val="1"/>
          <w:bCs w:val="1"/>
          <w:color w:val="auto"/>
        </w:rPr>
      </w:pPr>
    </w:p>
    <w:p>
      <w:pPr>
        <w:jc w:val="both"/>
        <w:ind w:left="-160" w:firstLine="534"/>
        <w:spacing w:after="0" w:line="251" w:lineRule="auto"/>
        <w:tabs>
          <w:tab w:leader="none" w:pos="785" w:val="left"/>
        </w:tabs>
        <w:numPr>
          <w:ilvl w:val="1"/>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and 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89" w:lineRule="exact"/>
        <w:rPr>
          <w:sz w:val="20"/>
          <w:szCs w:val="20"/>
          <w:color w:val="auto"/>
        </w:rPr>
      </w:pPr>
    </w:p>
    <w:p>
      <w:pPr>
        <w:ind w:left="760" w:hanging="480"/>
        <w:spacing w:after="0"/>
        <w:tabs>
          <w:tab w:leader="none" w:pos="76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Nature of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accepting this Award, Grantee acknowledges that:</w:t>
      </w:r>
    </w:p>
    <w:p>
      <w:pPr>
        <w:spacing w:after="0" w:line="223" w:lineRule="exact"/>
        <w:rPr>
          <w:rFonts w:ascii="Times New Roman" w:cs="Times New Roman" w:eastAsia="Times New Roman" w:hAnsi="Times New Roman"/>
          <w:sz w:val="22"/>
          <w:szCs w:val="22"/>
          <w:b w:val="1"/>
          <w:bCs w:val="1"/>
          <w:color w:val="auto"/>
        </w:rPr>
      </w:pPr>
    </w:p>
    <w:p>
      <w:pPr>
        <w:ind w:left="500" w:right="20" w:firstLine="227"/>
        <w:spacing w:after="0" w:line="295" w:lineRule="auto"/>
        <w:tabs>
          <w:tab w:leader="none" w:pos="1201"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it is discretionary in nature and it may be modified, amended, suspended or terminated by the Company at any time unless otherwise provided in the Plan or this Agreement;</w:t>
      </w:r>
    </w:p>
    <w:p>
      <w:pPr>
        <w:spacing w:after="0" w:line="135" w:lineRule="exact"/>
        <w:rPr>
          <w:rFonts w:ascii="Times New Roman" w:cs="Times New Roman" w:eastAsia="Times New Roman" w:hAnsi="Times New Roman"/>
          <w:sz w:val="21"/>
          <w:szCs w:val="21"/>
          <w:color w:val="auto"/>
        </w:rPr>
      </w:pPr>
    </w:p>
    <w:p>
      <w:pPr>
        <w:ind w:left="500" w:firstLine="266"/>
        <w:spacing w:after="0" w:line="271" w:lineRule="auto"/>
        <w:tabs>
          <w:tab w:leader="none" w:pos="1292" w:val="left"/>
        </w:tabs>
        <w:numPr>
          <w:ilvl w:val="2"/>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voluntary and occasional and does not create any contractual or other right to receive future grants of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080"/>
          </w:cols>
          <w:pgMar w:left="480" w:top="1418" w:right="339" w:bottom="1440" w:gutter="0" w:footer="0" w:header="0"/>
        </w:sectPr>
      </w:pPr>
    </w:p>
    <w:bookmarkStart w:id="88" w:name="page89"/>
    <w:bookmarkEnd w:id="88"/>
    <w:p>
      <w:pPr>
        <w:ind w:left="500"/>
        <w:spacing w:after="0"/>
        <w:rPr>
          <w:sz w:val="20"/>
          <w:szCs w:val="20"/>
          <w:color w:val="auto"/>
        </w:rPr>
      </w:pPr>
      <w:r>
        <w:rPr>
          <w:rFonts w:ascii="Times New Roman" w:cs="Times New Roman" w:eastAsia="Times New Roman" w:hAnsi="Times New Roman"/>
          <w:sz w:val="22"/>
          <w:szCs w:val="22"/>
          <w:color w:val="auto"/>
        </w:rPr>
        <w:t>units, or benefits in lieu of restricted stock units, even if restricted stock units have been granted repeatedly in the past;</w:t>
      </w:r>
    </w:p>
    <w:p>
      <w:pPr>
        <w:spacing w:after="0" w:line="220" w:lineRule="exact"/>
        <w:rPr>
          <w:sz w:val="20"/>
          <w:szCs w:val="20"/>
          <w:color w:val="auto"/>
        </w:rPr>
      </w:pPr>
    </w:p>
    <w:p>
      <w:pPr>
        <w:ind w:left="500" w:firstLine="348"/>
        <w:spacing w:after="0" w:line="271" w:lineRule="auto"/>
        <w:tabs>
          <w:tab w:leader="none" w:pos="1444" w:val="left"/>
        </w:tabs>
        <w:numPr>
          <w:ilvl w:val="4"/>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 grants, if any, will be at the sole discretion of the Committee;</w:t>
      </w:r>
    </w:p>
    <w:p>
      <w:pPr>
        <w:spacing w:after="0" w:line="171" w:lineRule="exact"/>
        <w:rPr>
          <w:rFonts w:ascii="Times New Roman" w:cs="Times New Roman" w:eastAsia="Times New Roman" w:hAnsi="Times New Roman"/>
          <w:sz w:val="22"/>
          <w:szCs w:val="22"/>
          <w:color w:val="auto"/>
        </w:rPr>
      </w:pPr>
    </w:p>
    <w:p>
      <w:pPr>
        <w:ind w:left="1180" w:hanging="468"/>
        <w:spacing w:after="0"/>
        <w:tabs>
          <w:tab w:leader="none" w:pos="1180" w:val="left"/>
        </w:tabs>
        <w:numPr>
          <w:ilvl w:val="3"/>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is voluntarily participating in the Plan;</w:t>
      </w:r>
    </w:p>
    <w:p>
      <w:pPr>
        <w:spacing w:after="0" w:line="219" w:lineRule="exact"/>
        <w:rPr>
          <w:rFonts w:ascii="Times New Roman" w:cs="Times New Roman" w:eastAsia="Times New Roman" w:hAnsi="Times New Roman"/>
          <w:sz w:val="22"/>
          <w:szCs w:val="22"/>
          <w:color w:val="auto"/>
        </w:rPr>
      </w:pPr>
    </w:p>
    <w:p>
      <w:pPr>
        <w:jc w:val="both"/>
        <w:ind w:left="500" w:firstLine="231"/>
        <w:spacing w:after="0" w:line="257" w:lineRule="auto"/>
        <w:tabs>
          <w:tab w:leader="none" w:pos="1211" w:val="left"/>
        </w:tabs>
        <w:numPr>
          <w:ilvl w:val="3"/>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Common Stock subject to the Restricted Stock Units are an extraordinary item that does not constitute compensation of any kind for services of any kind rendered to the Company or Grantee’s employer, and which is outside the scope of Grantee’s employment contract, if any;</w:t>
      </w:r>
    </w:p>
    <w:p>
      <w:pPr>
        <w:spacing w:after="0" w:line="172" w:lineRule="exact"/>
        <w:rPr>
          <w:rFonts w:ascii="Times New Roman" w:cs="Times New Roman" w:eastAsia="Times New Roman" w:hAnsi="Times New Roman"/>
          <w:sz w:val="22"/>
          <w:szCs w:val="22"/>
          <w:color w:val="auto"/>
        </w:rPr>
      </w:pPr>
    </w:p>
    <w:p>
      <w:pPr>
        <w:ind w:left="500" w:right="20" w:firstLine="216"/>
        <w:spacing w:after="0" w:line="284" w:lineRule="auto"/>
        <w:tabs>
          <w:tab w:leader="none" w:pos="1156" w:val="left"/>
        </w:tabs>
        <w:numPr>
          <w:ilvl w:val="2"/>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Common Stock subject to the Restricted Stock Units are not intended to replace any pension rights or compensation;</w:t>
      </w:r>
    </w:p>
    <w:p>
      <w:pPr>
        <w:spacing w:after="0" w:line="143" w:lineRule="exact"/>
        <w:rPr>
          <w:rFonts w:ascii="Times New Roman" w:cs="Times New Roman" w:eastAsia="Times New Roman" w:hAnsi="Times New Roman"/>
          <w:sz w:val="22"/>
          <w:szCs w:val="22"/>
          <w:color w:val="auto"/>
        </w:rPr>
      </w:pPr>
    </w:p>
    <w:p>
      <w:pPr>
        <w:ind w:left="1180" w:hanging="468"/>
        <w:spacing w:after="0"/>
        <w:tabs>
          <w:tab w:leader="none" w:pos="1180" w:val="left"/>
        </w:tabs>
        <w:numPr>
          <w:ilvl w:val="3"/>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Common Stock is unknown and cannot be predicted with certainty;</w:t>
      </w:r>
    </w:p>
    <w:p>
      <w:pPr>
        <w:spacing w:after="0" w:line="219" w:lineRule="exact"/>
        <w:rPr>
          <w:rFonts w:ascii="Times New Roman" w:cs="Times New Roman" w:eastAsia="Times New Roman" w:hAnsi="Times New Roman"/>
          <w:sz w:val="22"/>
          <w:szCs w:val="22"/>
          <w:color w:val="auto"/>
        </w:rPr>
      </w:pPr>
    </w:p>
    <w:p>
      <w:pPr>
        <w:jc w:val="both"/>
        <w:ind w:left="500" w:firstLine="212"/>
        <w:spacing w:after="0" w:line="275" w:lineRule="auto"/>
        <w:tabs>
          <w:tab w:leader="none" w:pos="1184" w:val="left"/>
        </w:tabs>
        <w:numPr>
          <w:ilvl w:val="3"/>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Restricted Stock Units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55" w:lineRule="exact"/>
        <w:rPr>
          <w:rFonts w:ascii="Times New Roman" w:cs="Times New Roman" w:eastAsia="Times New Roman" w:hAnsi="Times New Roman"/>
          <w:sz w:val="21"/>
          <w:szCs w:val="21"/>
          <w:color w:val="auto"/>
        </w:rPr>
      </w:pPr>
    </w:p>
    <w:p>
      <w:pPr>
        <w:jc w:val="both"/>
        <w:ind w:left="500" w:firstLine="264"/>
        <w:spacing w:after="0" w:line="251" w:lineRule="auto"/>
        <w:tabs>
          <w:tab w:leader="none" w:pos="1240" w:val="left"/>
        </w:tabs>
        <w:numPr>
          <w:ilvl w:val="3"/>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the Restricted Stock Units, no claim or entitlement to compensation or damages shall arise from forfeiture of the Restricted Stock Units resulting from termination of Grantee’s employment with the Company or Grantee’s employer (for any reason whatsoever and whether or not in breach of local labor laws) and Grantee irrevocably releases the Company and Grantee’s employer from any such claim that may arise; if, notwithstanding the foregoing, any such claim is found by a court of competent jurisdiction to have arisen, Grantee shall be deemed irrevocably to have waived any entitlement to pursue such claim; and</w:t>
      </w:r>
    </w:p>
    <w:p>
      <w:pPr>
        <w:spacing w:after="0" w:line="194" w:lineRule="exact"/>
        <w:rPr>
          <w:rFonts w:ascii="Times New Roman" w:cs="Times New Roman" w:eastAsia="Times New Roman" w:hAnsi="Times New Roman"/>
          <w:sz w:val="22"/>
          <w:szCs w:val="22"/>
          <w:color w:val="auto"/>
        </w:rPr>
      </w:pPr>
    </w:p>
    <w:p>
      <w:pPr>
        <w:jc w:val="both"/>
        <w:ind w:left="500" w:firstLine="225"/>
        <w:spacing w:after="0" w:line="265" w:lineRule="auto"/>
        <w:tabs>
          <w:tab w:leader="none" w:pos="1163" w:val="left"/>
        </w:tabs>
        <w:numPr>
          <w:ilvl w:val="2"/>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Grantee ceases to be a Service Provider (whether or not in breach of local labor laws), Grantee’s right to vest in the Restricted Stock Units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Restricted Stock Units.</w:t>
      </w:r>
    </w:p>
    <w:p>
      <w:pPr>
        <w:spacing w:after="0" w:line="174" w:lineRule="exact"/>
        <w:rPr>
          <w:rFonts w:ascii="Times New Roman" w:cs="Times New Roman" w:eastAsia="Times New Roman" w:hAnsi="Times New Roman"/>
          <w:sz w:val="21"/>
          <w:szCs w:val="21"/>
          <w:color w:val="auto"/>
        </w:rPr>
      </w:pPr>
    </w:p>
    <w:p>
      <w:pPr>
        <w:ind w:left="760" w:hanging="480"/>
        <w:spacing w:after="0"/>
        <w:tabs>
          <w:tab w:leader="none" w:pos="76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Addenda for Certain Participants</w:t>
      </w:r>
      <w:r>
        <w:rPr>
          <w:rFonts w:ascii="Times New Roman" w:cs="Times New Roman" w:eastAsia="Times New Roman" w:hAnsi="Times New Roman"/>
          <w:sz w:val="22"/>
          <w:szCs w:val="22"/>
          <w:b w:val="1"/>
          <w:bCs w:val="1"/>
          <w:color w:val="auto"/>
        </w:rPr>
        <w:t>.</w:t>
      </w:r>
    </w:p>
    <w:p>
      <w:pPr>
        <w:spacing w:after="0" w:line="219" w:lineRule="exact"/>
        <w:rPr>
          <w:rFonts w:ascii="Times New Roman" w:cs="Times New Roman" w:eastAsia="Times New Roman" w:hAnsi="Times New Roman"/>
          <w:sz w:val="22"/>
          <w:szCs w:val="22"/>
          <w:b w:val="1"/>
          <w:bCs w:val="1"/>
          <w:color w:val="auto"/>
        </w:rPr>
      </w:pPr>
    </w:p>
    <w:p>
      <w:pPr>
        <w:ind w:left="500" w:firstLine="644"/>
        <w:spacing w:after="0" w:line="275" w:lineRule="auto"/>
        <w:tabs>
          <w:tab w:leader="none" w:pos="1631" w:val="left"/>
        </w:tabs>
        <w:numPr>
          <w:ilvl w:val="5"/>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Non-U.S. Participants</w:t>
      </w:r>
      <w:r>
        <w:rPr>
          <w:rFonts w:ascii="Times New Roman" w:cs="Times New Roman" w:eastAsia="Times New Roman" w:hAnsi="Times New Roman"/>
          <w:sz w:val="22"/>
          <w:szCs w:val="22"/>
          <w:color w:val="auto"/>
        </w:rPr>
        <w:t>. Notwithstanding any provisions in this Agreement, the Restricted Stock Units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also be subject to the special terms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080"/>
          </w:cols>
          <w:pgMar w:left="480" w:top="1422" w:right="339" w:bottom="1440" w:gutter="0" w:footer="0" w:header="0"/>
        </w:sectPr>
      </w:pPr>
    </w:p>
    <w:bookmarkStart w:id="89" w:name="page90"/>
    <w:bookmarkEnd w:id="89"/>
    <w:p>
      <w:pPr>
        <w:jc w:val="both"/>
        <w:ind w:left="660"/>
        <w:spacing w:after="0" w:line="268" w:lineRule="auto"/>
        <w:rPr>
          <w:sz w:val="20"/>
          <w:szCs w:val="20"/>
          <w:color w:val="auto"/>
        </w:rPr>
      </w:pPr>
      <w:r>
        <w:rPr>
          <w:rFonts w:ascii="Times New Roman" w:cs="Times New Roman" w:eastAsia="Times New Roman" w:hAnsi="Times New Roman"/>
          <w:sz w:val="21"/>
          <w:szCs w:val="21"/>
          <w:color w:val="auto"/>
        </w:rPr>
        <w:t>conditions set forth in the Non-U.S. Addendum attached as Appendix B to this Agreement for Grantees who reside in any country covered therein. Moreover, if Grantee relocates to one of the countries included in the Non-U.S. Addendum, the special terms and conditions for such country will apply to Grantee to the extent the Company determines that the application of such terms and conditions are necessary or advisable in order to comply with local law or facilitate the administration of the Plan. The Non-U.S. Addendum attached hereto as Appendix B constitutes part of this Agreement.</w:t>
      </w:r>
    </w:p>
    <w:p>
      <w:pPr>
        <w:spacing w:after="0" w:line="160" w:lineRule="exact"/>
        <w:rPr>
          <w:sz w:val="20"/>
          <w:szCs w:val="20"/>
          <w:color w:val="auto"/>
        </w:rPr>
      </w:pPr>
    </w:p>
    <w:p>
      <w:pPr>
        <w:jc w:val="both"/>
        <w:ind w:left="660" w:firstLine="644"/>
        <w:spacing w:after="0" w:line="254" w:lineRule="auto"/>
        <w:tabs>
          <w:tab w:leader="none" w:pos="1776" w:val="left"/>
        </w:tabs>
        <w:numPr>
          <w:ilvl w:val="3"/>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California Participants</w:t>
      </w:r>
      <w:r>
        <w:rPr>
          <w:rFonts w:ascii="Times New Roman" w:cs="Times New Roman" w:eastAsia="Times New Roman" w:hAnsi="Times New Roman"/>
          <w:sz w:val="22"/>
          <w:szCs w:val="22"/>
          <w:color w:val="auto"/>
        </w:rPr>
        <w:t>. Notwithstanding any provisions in this Agreement, the Restricted Stock Units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also be subject to the special terms and conditions set forth in the California Addendum attached as Appendix C to this Agreement if Grantee is employed and/or resides in California or if the Company determines that the application of such terms and conditions is necessary or advisable in order to comply with applicable law. The California Addendum attached hereto as Appendix C constitutes part of this Agreement.</w:t>
      </w:r>
    </w:p>
    <w:p>
      <w:pPr>
        <w:spacing w:after="0" w:line="173" w:lineRule="exact"/>
        <w:rPr>
          <w:rFonts w:ascii="Times New Roman" w:cs="Times New Roman" w:eastAsia="Times New Roman" w:hAnsi="Times New Roman"/>
          <w:sz w:val="22"/>
          <w:szCs w:val="22"/>
          <w:color w:val="auto"/>
        </w:rPr>
      </w:pPr>
    </w:p>
    <w:p>
      <w:pPr>
        <w:jc w:val="both"/>
        <w:ind w:firstLine="494"/>
        <w:spacing w:after="0" w:line="254" w:lineRule="auto"/>
        <w:tabs>
          <w:tab w:leader="none" w:pos="999" w:val="left"/>
        </w:tabs>
        <w:numPr>
          <w:ilvl w:val="2"/>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amendment to the Plan shall be deemed to be an amendment to this Agreement to the extent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amendment is applicable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73" w:lineRule="exact"/>
        <w:rPr>
          <w:rFonts w:ascii="Times New Roman" w:cs="Times New Roman" w:eastAsia="Times New Roman" w:hAnsi="Times New Roman"/>
          <w:sz w:val="22"/>
          <w:szCs w:val="22"/>
          <w:b w:val="1"/>
          <w:bCs w:val="1"/>
          <w:color w:val="auto"/>
        </w:rPr>
      </w:pPr>
    </w:p>
    <w:p>
      <w:pPr>
        <w:jc w:val="both"/>
        <w:ind w:firstLine="467"/>
        <w:spacing w:after="0" w:line="253" w:lineRule="auto"/>
        <w:tabs>
          <w:tab w:leader="none" w:pos="958" w:val="left"/>
        </w:tabs>
        <w:numPr>
          <w:ilvl w:val="1"/>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subject to the terms and conditions of the Plan. In the event of any inconsistency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188" w:lineRule="exact"/>
        <w:rPr>
          <w:rFonts w:ascii="Times New Roman" w:cs="Times New Roman" w:eastAsia="Times New Roman" w:hAnsi="Times New Roman"/>
          <w:sz w:val="22"/>
          <w:szCs w:val="22"/>
          <w:b w:val="1"/>
          <w:bCs w:val="1"/>
          <w:color w:val="auto"/>
        </w:rPr>
      </w:pPr>
    </w:p>
    <w:p>
      <w:pPr>
        <w:jc w:val="both"/>
        <w:ind w:firstLine="449"/>
        <w:spacing w:after="0" w:line="259" w:lineRule="auto"/>
        <w:tabs>
          <w:tab w:leader="none" w:pos="931" w:val="left"/>
        </w:tabs>
        <w:numPr>
          <w:ilvl w:val="0"/>
          <w:numId w:val="10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 Choice of Forum; Jury Trial Waiver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is governed by and construed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with the laws of the State of Michigan, notwithstanding conflict of law provisions. Grantee further agrees that any action by Grantee to challenge the enforceability of this Agreement must be brought or litigated exclusively in the appropriate state or federal court located in the State of Michigan. Grantee also agrees that any action by the Company to enforce this Agreement, as well as any related disputes or litigation related to this Agreement, may be brought in the appropriate state or federal court located in the State of Michigan. Grantee agrees and consents to the personal jurisdiction and venue of the federal or state courts of Michigan for resolution of any disputes or litigation arising under or in connection with this Agreement or any challenge to this Agreement and waives any objections or defenses to personal jurisdiction or venue in any such proceeding before any such court. </w:t>
      </w:r>
      <w:r>
        <w:rPr>
          <w:rFonts w:ascii="Times New Roman" w:cs="Times New Roman" w:eastAsia="Times New Roman" w:hAnsi="Times New Roman"/>
          <w:sz w:val="21"/>
          <w:szCs w:val="21"/>
          <w:b w:val="1"/>
          <w:bCs w:val="1"/>
          <w:color w:val="auto"/>
        </w:rPr>
        <w:t>GRANTEE AGREE THAT, TO THE FULLEST EXTENT PERMITTED BY LAW, EACH PARTY WAIVES ANY</w:t>
      </w:r>
    </w:p>
    <w:p>
      <w:pPr>
        <w:spacing w:after="0" w:line="4" w:lineRule="exact"/>
        <w:rPr>
          <w:rFonts w:ascii="Times New Roman" w:cs="Times New Roman" w:eastAsia="Times New Roman" w:hAnsi="Times New Roman"/>
          <w:sz w:val="21"/>
          <w:szCs w:val="21"/>
          <w:b w:val="1"/>
          <w:bCs w:val="1"/>
          <w:color w:val="auto"/>
        </w:rPr>
      </w:pPr>
    </w:p>
    <w:p>
      <w:pPr>
        <w:spacing w:after="0" w:line="248"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RIGHT TO TRIAL BY JURY WITH RESPECT TO ANY PROCEEDING ARISING OUT OF OR RELATING TO THIS AGREEMENT.</w:t>
      </w:r>
    </w:p>
    <w:p>
      <w:pPr>
        <w:spacing w:after="0" w:line="191" w:lineRule="exact"/>
        <w:rPr>
          <w:rFonts w:ascii="Times New Roman" w:cs="Times New Roman" w:eastAsia="Times New Roman" w:hAnsi="Times New Roman"/>
          <w:sz w:val="21"/>
          <w:szCs w:val="21"/>
          <w:b w:val="1"/>
          <w:bCs w:val="1"/>
          <w:color w:val="auto"/>
        </w:rPr>
      </w:pPr>
    </w:p>
    <w:p>
      <w:pPr>
        <w:ind w:left="920" w:hanging="480"/>
        <w:spacing w:after="0"/>
        <w:tabs>
          <w:tab w:leader="none" w:pos="92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Clawback Policy</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90" w:name="page91"/>
    <w:bookmarkEnd w:id="90"/>
    <w:p>
      <w:pPr>
        <w:jc w:val="both"/>
        <w:ind w:left="480" w:firstLine="644"/>
        <w:spacing w:after="0" w:line="247" w:lineRule="auto"/>
        <w:tabs>
          <w:tab w:leader="none" w:pos="170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Grantee acknowledges and agrees that this Agreement and the Award described herein (and any settlement thereof) are subject to the terms and conditions of the Company’s clawback policy or policies as may be in effect from time to time, including specifically to implement Section 10D of the Exchange Act and any applicable rules or regulations promulgated thereunder (including applicable rules and regulations of any national securities exchange on which the Common Stock at any point may be traded) (the “Compensation Recovery Policy”), and that, to the extent the Compensation Recovery Policy, by its terms, is applicable to the Award, applicable terms of this Agreement will be (if necessary) deemed superseded by and subject to the terms and conditions of the Compensation Recovery Policy from and after the effective date thereof. Further, by accepting the Award covered by this Agreement, Grantee (i) consents to be bound by the terms of the Compensation Recovery Policy, as applicable, (ii) agrees and acknowledges that Grantee is obligated to and will cooperate with, and will provide any and all assistance necessary to, the Company in any effort to recover or recoup any compensation or other amounts subject to clawback or recovery pursuant to the Compensation Recovery Policy and/or applicable laws, rules, regulations, stock exchange listing standards or other Company policy, and (iii) agrees that the Company may enforce its rights under the Compensation Recovery Policy through any and all reasonable means permitted under applicable law as it deems necessary or desirable under the Compensation Recovery Policy, in each case from and after the effective dates thereof. Such cooperation and assistance shall include, but is not limited to, executing, completing and submitting any documentation necessary to facilitate the recovery or recoupment by the Company from Grantee of any such amounts, including from Grantee’s accounts or from any other compensation, to the extent permissible under Section 409A of the Code.</w:t>
      </w:r>
    </w:p>
    <w:p>
      <w:pPr>
        <w:spacing w:after="0" w:line="196" w:lineRule="exact"/>
        <w:rPr>
          <w:rFonts w:ascii="Times New Roman" w:cs="Times New Roman" w:eastAsia="Times New Roman" w:hAnsi="Times New Roman"/>
          <w:sz w:val="22"/>
          <w:szCs w:val="22"/>
          <w:color w:val="auto"/>
        </w:rPr>
      </w:pPr>
    </w:p>
    <w:p>
      <w:pPr>
        <w:jc w:val="both"/>
        <w:ind w:left="480" w:firstLine="644"/>
        <w:spacing w:after="0" w:line="252" w:lineRule="auto"/>
        <w:tabs>
          <w:tab w:leader="none" w:pos="1628"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violation of Section II.B.3 of this Agreement prior to the final Vesting Date and thereafter, as determined by the Board, shall result in the forfeiture of the Restricted Stock Units, and clawback and recoupment of any shares of Common Stock issued or transferred to Grantee in settlement of the Restricted Stock Units (plus dividend equivalent payments).</w:t>
      </w:r>
    </w:p>
    <w:p>
      <w:pPr>
        <w:spacing w:after="0" w:line="17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080"/>
          </w:cols>
          <w:pgMar w:left="480" w:top="1422" w:right="339" w:bottom="1440" w:gutter="0" w:footer="0" w:header="0"/>
        </w:sectPr>
      </w:pPr>
    </w:p>
    <w:bookmarkStart w:id="91" w:name="page92"/>
    <w:bookmarkEnd w:id="91"/>
    <w:p>
      <w:pPr>
        <w:ind w:firstLine="648"/>
        <w:spacing w:after="0" w:line="271" w:lineRule="auto"/>
        <w:rPr>
          <w:sz w:val="20"/>
          <w:szCs w:val="20"/>
          <w:color w:val="auto"/>
        </w:rPr>
      </w:pPr>
      <w:r>
        <w:rPr>
          <w:rFonts w:ascii="Times New Roman" w:cs="Times New Roman" w:eastAsia="Times New Roman" w:hAnsi="Times New Roman"/>
          <w:sz w:val="22"/>
          <w:szCs w:val="22"/>
          <w:color w:val="auto"/>
        </w:rPr>
        <w:t>This Agreement may be executed in two or more counterparts, each of which is deemed an original and all of which constitute one document.</w:t>
      </w:r>
    </w:p>
    <w:p>
      <w:pPr>
        <w:spacing w:after="0" w:line="1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Dated as of: [grant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Thomas A. Amato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President &amp; CEO</w:t>
      </w:r>
    </w:p>
    <w:p>
      <w:pPr>
        <w:spacing w:after="0" w:line="200" w:lineRule="exact"/>
        <w:rPr>
          <w:sz w:val="20"/>
          <w:szCs w:val="20"/>
          <w:color w:val="auto"/>
        </w:rPr>
      </w:pPr>
    </w:p>
    <w:p>
      <w:pPr>
        <w:sectPr>
          <w:pgSz w:w="11900" w:h="16838" w:orient="portrait"/>
          <w:cols w:equalWidth="0" w:num="2">
            <w:col w:w="4220" w:space="720"/>
            <w:col w:w="6300"/>
          </w:cols>
          <w:pgMar w:left="320" w:top="14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75"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b w:val="1"/>
          <w:bCs w:val="1"/>
          <w:color w:val="auto"/>
        </w:rPr>
        <w:t>BY CLICKING THE “ACCEPT” BUTTON BELOW, GRANTEE ACKNOWLEDGES RECEIPT OF A COPY OF THE PLAN AND REPRESENTS THAT GRANTEE IS FAMILIAR WITH THE TERMS AND PROVISIONS OF THE PLAN. GRANTEE ACCEPTS THIS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type w:val="continuous"/>
        </w:sectPr>
      </w:pPr>
    </w:p>
    <w:bookmarkStart w:id="92" w:name="page93"/>
    <w:bookmarkEnd w:id="92"/>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GLOSSARY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Agreement:</w:t>
      </w:r>
    </w:p>
    <w:p>
      <w:pPr>
        <w:spacing w:after="0" w:line="243" w:lineRule="exact"/>
        <w:rPr>
          <w:sz w:val="20"/>
          <w:szCs w:val="20"/>
          <w:color w:val="auto"/>
        </w:rPr>
      </w:pPr>
    </w:p>
    <w:p>
      <w:pPr>
        <w:jc w:val="both"/>
        <w:ind w:left="100"/>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means (a) Grantee’s conviction of or plea of guilty or nolo contendere to a crime constituting a felony under the laws of the United States or any State thereof or any other jurisdiction in which the Company or its Subsidiaries conduct business; (b) Grantee’s willful misconduct in the performance of his or her duties to the Company or its Subsidiaries and failure to cure such breach within thirty (30) days following written notice thereof from the Company; (c) Grantee’s willful failure or refusal to follow directions from the Board (or direct reporting executive) and failure to cure such breach within thirty (30) days following written notice thereof from the Board; or (d) Grantee’s breach of fiduciary duty to the Company or its Subsidiaries for personal profit. Any failure by the Company or a Subsidiary of the Company to notify Grantee after the first occurrence of an event constituting Cause shall not preclude any subsequent occurrences of such event (or a similar event) from constituting Cause.</w:t>
      </w:r>
    </w:p>
    <w:p>
      <w:pPr>
        <w:spacing w:after="0" w:line="192" w:lineRule="exact"/>
        <w:rPr>
          <w:sz w:val="20"/>
          <w:szCs w:val="20"/>
          <w:color w:val="auto"/>
        </w:rPr>
      </w:pPr>
    </w:p>
    <w:p>
      <w:pPr>
        <w:jc w:val="both"/>
        <w:ind w:left="10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(and similar terms) means Grantee’s physical or mental condition resulting from any medically determinable physical or mental impairment that renders Grantee incapable of engaging in any substantial gainful employment and that can be expected to result in death or that has lasted or can be expected to last for a continuous period of not less than 365 days. Notwithstanding the foregoing, Grantee shall not be deemed to be Disabled as a result of any condition that:</w:t>
      </w:r>
    </w:p>
    <w:p>
      <w:pPr>
        <w:spacing w:after="0" w:line="199" w:lineRule="exact"/>
        <w:rPr>
          <w:sz w:val="20"/>
          <w:szCs w:val="20"/>
          <w:color w:val="auto"/>
        </w:rPr>
      </w:pPr>
    </w:p>
    <w:p>
      <w:pPr>
        <w:ind w:left="1400" w:hanging="644"/>
        <w:spacing w:after="0" w:line="271" w:lineRule="auto"/>
        <w:tabs>
          <w:tab w:leader="none" w:pos="125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contracted, suffered, or incurred while Grantee was engaged in, or resulted from Grantee having engaged in, a felonious activity;</w:t>
      </w:r>
    </w:p>
    <w:p>
      <w:pPr>
        <w:spacing w:after="0" w:line="198" w:lineRule="exact"/>
        <w:rPr>
          <w:rFonts w:ascii="Times New Roman" w:cs="Times New Roman" w:eastAsia="Times New Roman" w:hAnsi="Times New Roman"/>
          <w:sz w:val="22"/>
          <w:szCs w:val="22"/>
          <w:color w:val="auto"/>
        </w:rPr>
      </w:pPr>
    </w:p>
    <w:p>
      <w:pPr>
        <w:ind w:left="1400" w:right="20" w:hanging="644"/>
        <w:spacing w:after="0" w:line="271" w:lineRule="auto"/>
        <w:tabs>
          <w:tab w:leader="none" w:pos="131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an intentionally self-inflicted injury or an addiction to drugs, alcohol, or substances which are not administered under the direction of a licensed physician as part of a medical treatment plan; or</w:t>
      </w:r>
    </w:p>
    <w:p>
      <w:pPr>
        <w:spacing w:after="0" w:line="184" w:lineRule="exact"/>
        <w:rPr>
          <w:rFonts w:ascii="Times New Roman" w:cs="Times New Roman" w:eastAsia="Times New Roman" w:hAnsi="Times New Roman"/>
          <w:sz w:val="22"/>
          <w:szCs w:val="22"/>
          <w:color w:val="auto"/>
        </w:rPr>
      </w:pPr>
    </w:p>
    <w:p>
      <w:pPr>
        <w:ind w:left="1400" w:hanging="644"/>
        <w:spacing w:after="0" w:line="257" w:lineRule="auto"/>
        <w:tabs>
          <w:tab w:leader="none" w:pos="120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service in the Armed Forces of the United States for which Grantee received or is receiving a disability benefit or pension from the United States, or from service in the armed forces of any other country irrespective of any disability benefit or pension.</w:t>
      </w:r>
    </w:p>
    <w:p>
      <w:pPr>
        <w:spacing w:after="0" w:line="213" w:lineRule="exact"/>
        <w:rPr>
          <w:sz w:val="20"/>
          <w:szCs w:val="20"/>
          <w:color w:val="auto"/>
        </w:rPr>
      </w:pPr>
    </w:p>
    <w:p>
      <w:pPr>
        <w:jc w:val="both"/>
        <w:ind w:left="760"/>
        <w:spacing w:after="0" w:line="250" w:lineRule="auto"/>
        <w:rPr>
          <w:sz w:val="20"/>
          <w:szCs w:val="20"/>
          <w:color w:val="auto"/>
        </w:rPr>
      </w:pPr>
      <w:r>
        <w:rPr>
          <w:rFonts w:ascii="Times New Roman" w:cs="Times New Roman" w:eastAsia="Times New Roman" w:hAnsi="Times New Roman"/>
          <w:sz w:val="22"/>
          <w:szCs w:val="22"/>
          <w:color w:val="auto"/>
        </w:rPr>
        <w:t>The Disability of Grantee and the date on which Grantee ceases to be a Service Provider by reason of Disability shall be determined by the Committee, in accordance with uniform principles consistently applied, on the basis of such evidence as the Committee and the Company deem necessary and desirable, and its good faith determination shall be conclusive for all purposes of the Plan. The Committee or the Company shall have the right to require Grantee to submit to an examination by a physician or physicians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340"/>
          </w:cols>
          <w:pgMar w:left="220" w:top="1418" w:right="339" w:bottom="1440" w:gutter="0" w:footer="0" w:header="0"/>
        </w:sectPr>
      </w:pPr>
    </w:p>
    <w:bookmarkStart w:id="93" w:name="page94"/>
    <w:bookmarkEnd w:id="93"/>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submit to such reexaminations as the Committee or the Company shall require in order to make a determination concerning Grantee’s physical or mental condition; provided, however, that Grantee may not be required to undergo a medical examination more often than once each 180 days. If Grantee engages in any occupation or employment (except for rehabilitation as determined by the Committee) for remuneration or profit, which activity would be inconsistent with the finding of Disability, or if the Committee, on the recommendation of the Company, determines on the basis of a medical examination that Grantee no longer has a Disability, or if Grantee refuses to submit to any medical examination properly requested by the Committee or the Company, then in any such event Grantee shall be deemed to have recovered from such Disability.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means:</w:t>
      </w:r>
    </w:p>
    <w:p>
      <w:pPr>
        <w:spacing w:after="0" w:line="251" w:lineRule="exact"/>
        <w:rPr>
          <w:sz w:val="20"/>
          <w:szCs w:val="20"/>
          <w:color w:val="auto"/>
        </w:rPr>
      </w:pPr>
    </w:p>
    <w:p>
      <w:pPr>
        <w:ind w:left="1160" w:hanging="504"/>
        <w:spacing w:after="0"/>
        <w:tabs>
          <w:tab w:leader="none" w:pos="11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and permanent diminution in Grantee’s duties or responsibilities;</w:t>
      </w:r>
    </w:p>
    <w:p>
      <w:pPr>
        <w:spacing w:after="0" w:line="246" w:lineRule="exact"/>
        <w:rPr>
          <w:rFonts w:ascii="Times New Roman" w:cs="Times New Roman" w:eastAsia="Times New Roman" w:hAnsi="Times New Roman"/>
          <w:sz w:val="22"/>
          <w:szCs w:val="22"/>
          <w:color w:val="auto"/>
        </w:rPr>
      </w:pPr>
    </w:p>
    <w:p>
      <w:pPr>
        <w:ind w:left="1300" w:hanging="644"/>
        <w:spacing w:after="0" w:line="271" w:lineRule="auto"/>
        <w:tabs>
          <w:tab w:leader="none" w:pos="1255"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aggregate value of base salary and bonus opportunity provided to Grantee by the Company; or</w:t>
      </w:r>
    </w:p>
    <w:p>
      <w:pPr>
        <w:spacing w:after="0" w:line="184"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permanent reassignment of Grantee to another primary office more than 50 miles from the current office location.</w:t>
      </w:r>
    </w:p>
    <w:p>
      <w:pPr>
        <w:spacing w:after="0" w:line="258"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Grantee must notify the Company of Grantee’s intention to invoke termination for Good Reason within 90 days after Grantee has knowledge of such event and provide the Company 30 days’ opportunity for cure, and Grantee must actually terminate Grantee’s employment with the Company prior to the 365th day following such occurrence or such event shall not constitute Good Reason. Grantee may not invoke termination for Good Reason if Cause exists or Grantee has violated Section II.B.3 of the Agreement at the time of such termination.</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“Qualifying Termination” </w:t>
      </w:r>
      <w:r>
        <w:rPr>
          <w:rFonts w:ascii="Times New Roman" w:cs="Times New Roman" w:eastAsia="Times New Roman" w:hAnsi="Times New Roman"/>
          <w:sz w:val="22"/>
          <w:szCs w:val="22"/>
          <w:color w:val="auto"/>
        </w:rPr>
        <w:t>means a termination of Grantee’s status as a Service Provider with the Company or a Subsidiary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reason other than:</w:t>
      </w:r>
    </w:p>
    <w:p>
      <w:pPr>
        <w:spacing w:after="0" w:line="141" w:lineRule="exact"/>
        <w:rPr>
          <w:sz w:val="20"/>
          <w:szCs w:val="20"/>
          <w:color w:val="auto"/>
        </w:rPr>
      </w:pPr>
    </w:p>
    <w:p>
      <w:pPr>
        <w:ind w:left="1120" w:hanging="464"/>
        <w:spacing w:after="0"/>
        <w:tabs>
          <w:tab w:leader="none" w:pos="112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19"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w:t>
      </w:r>
    </w:p>
    <w:p>
      <w:pPr>
        <w:spacing w:after="0" w:line="219"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w:t>
      </w:r>
    </w:p>
    <w:p>
      <w:pPr>
        <w:spacing w:after="0" w:line="219"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Grantee without Good Reason; or</w:t>
      </w:r>
    </w:p>
    <w:p>
      <w:pPr>
        <w:spacing w:after="0" w:line="23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w:t>
      </w:r>
    </w:p>
    <w:p>
      <w:pPr>
        <w:spacing w:after="0" w:line="2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means termination of Grantee’s status as a Service Provider after attaining age 60 and five years of service with the Company and its Subsidiaries, provided that Grantee provides written notice of the date of such Retirement to the Chief Executive Officer of the Company at least 90 days prior to the date of such Retirement (further provided that, for purposes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240"/>
          </w:cols>
          <w:pgMar w:left="320" w:top="1422" w:right="339" w:bottom="1440" w:gutter="0" w:footer="0" w:header="0"/>
        </w:sectPr>
      </w:pPr>
    </w:p>
    <w:bookmarkStart w:id="94" w:name="page95"/>
    <w:bookmarkEnd w:id="94"/>
    <w:p>
      <w:pPr>
        <w:spacing w:after="0" w:line="271" w:lineRule="auto"/>
        <w:rPr>
          <w:sz w:val="20"/>
          <w:szCs w:val="20"/>
          <w:color w:val="auto"/>
        </w:rPr>
      </w:pPr>
      <w:r>
        <w:rPr>
          <w:rFonts w:ascii="Times New Roman" w:cs="Times New Roman" w:eastAsia="Times New Roman" w:hAnsi="Times New Roman"/>
          <w:sz w:val="22"/>
          <w:szCs w:val="22"/>
          <w:color w:val="auto"/>
        </w:rPr>
        <w:t>determining satisfaction of the years of service requirement described herein, years of service with a Subsidiary shall only include service provided by Grantee after such Subsidiary becomes a subsidiary of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 individual actively providing services to the Company or a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1220"/>
          </w:cols>
          <w:pgMar w:left="320" w:top="1422" w:right="35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NON-U.S. ADDENDUM</w:t>
      </w:r>
    </w:p>
    <w:p>
      <w:pPr>
        <w:spacing w:after="0" w:line="247"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b w:val="1"/>
          <w:bCs w:val="1"/>
          <w:color w:val="auto"/>
        </w:rPr>
        <w:t>Additional Terms and Conditions for Equity Grants Under the TriMas Corporation 2023 Equity and Incentive Compensation Plan, as amended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This Addendum includes additional terms and conditions that govern the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granted to you under the TriMas Corporation 2023 Equity and Incentive Compensation Plan (referred to as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if you reside in the United Kingdom. Certain capitalized terms used but not defined in this Addendum have the meanings set forth in the Plan and/or your award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UNITED KINGDOM</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60" w:lineRule="exact"/>
        <w:rPr>
          <w:sz w:val="20"/>
          <w:szCs w:val="20"/>
          <w:color w:val="auto"/>
        </w:rPr>
      </w:pPr>
    </w:p>
    <w:p>
      <w:pPr>
        <w:ind w:right="80"/>
        <w:spacing w:after="0" w:line="339" w:lineRule="auto"/>
        <w:rPr>
          <w:sz w:val="20"/>
          <w:szCs w:val="20"/>
          <w:color w:val="auto"/>
        </w:rPr>
      </w:pPr>
      <w:r>
        <w:rPr>
          <w:rFonts w:ascii="Times New Roman" w:cs="Times New Roman" w:eastAsia="Times New Roman" w:hAnsi="Times New Roman"/>
          <w:sz w:val="21"/>
          <w:szCs w:val="21"/>
          <w:b w:val="1"/>
          <w:bCs w:val="1"/>
          <w:color w:val="auto"/>
        </w:rPr>
        <w:t>UK Sub-Plan</w:t>
      </w:r>
      <w:r>
        <w:rPr>
          <w:rFonts w:ascii="Times New Roman" w:cs="Times New Roman" w:eastAsia="Times New Roman" w:hAnsi="Times New Roman"/>
          <w:sz w:val="21"/>
          <w:szCs w:val="21"/>
          <w:color w:val="auto"/>
        </w:rPr>
        <w:t>. Your grant of Restricted Stock Units is being made pursuant to the UK Sub-Plan, which contains additional terms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conditions that govern your Restricted Stock Units and participation in the Plan. Please review that document carefully.</w:t>
      </w:r>
    </w:p>
    <w:p>
      <w:pPr>
        <w:spacing w:after="0" w:line="170" w:lineRule="exact"/>
        <w:rPr>
          <w:sz w:val="20"/>
          <w:szCs w:val="20"/>
          <w:color w:val="auto"/>
        </w:rPr>
      </w:pPr>
    </w:p>
    <w:p>
      <w:pPr>
        <w:ind w:right="100"/>
        <w:spacing w:after="0" w:line="279" w:lineRule="auto"/>
        <w:rPr>
          <w:sz w:val="20"/>
          <w:szCs w:val="20"/>
          <w:color w:val="auto"/>
        </w:rPr>
      </w:pPr>
      <w:r>
        <w:rPr>
          <w:rFonts w:ascii="Cambria" w:cs="Cambria" w:eastAsia="Cambria" w:hAnsi="Cambria"/>
          <w:sz w:val="22"/>
          <w:szCs w:val="22"/>
          <w:b w:val="1"/>
          <w:bCs w:val="1"/>
          <w:color w:val="auto"/>
        </w:rPr>
        <w:t>Disability. For purposes of the Agreement, the definition of “Disability” in Appendix A hereto shall be qualified by the inclusion of the following phrase after the word “means”: “, subject to and in compliance with the requirements of laws of the United Kingdom,”.</w:t>
      </w:r>
    </w:p>
    <w:p>
      <w:pPr>
        <w:spacing w:after="0" w:line="248" w:lineRule="exact"/>
        <w:rPr>
          <w:sz w:val="20"/>
          <w:szCs w:val="20"/>
          <w:color w:val="auto"/>
        </w:rPr>
      </w:pPr>
    </w:p>
    <w:p>
      <w:pPr>
        <w:ind w:right="240"/>
        <w:spacing w:after="0" w:line="273" w:lineRule="auto"/>
        <w:rPr>
          <w:sz w:val="20"/>
          <w:szCs w:val="20"/>
          <w:color w:val="auto"/>
        </w:rPr>
      </w:pPr>
      <w:r>
        <w:rPr>
          <w:rFonts w:ascii="Cambria" w:cs="Cambria" w:eastAsia="Cambria" w:hAnsi="Cambria"/>
          <w:sz w:val="22"/>
          <w:szCs w:val="22"/>
          <w:b w:val="1"/>
          <w:bCs w:val="1"/>
          <w:color w:val="auto"/>
        </w:rPr>
        <w:t>Retirement. For purposes of the Agreement, the definition of “Retirement” in Appendix A hereto shall not apply. Further, each use of the capitalized term “Retirement” in the Agreement is hereby amended to read as “retirement”.</w:t>
      </w:r>
    </w:p>
    <w:p>
      <w:pPr>
        <w:spacing w:after="0" w:line="261" w:lineRule="exact"/>
        <w:rPr>
          <w:sz w:val="20"/>
          <w:szCs w:val="20"/>
          <w:color w:val="auto"/>
        </w:rPr>
      </w:pPr>
    </w:p>
    <w:p>
      <w:pPr>
        <w:spacing w:after="0"/>
        <w:rPr>
          <w:sz w:val="20"/>
          <w:szCs w:val="20"/>
          <w:color w:val="auto"/>
        </w:rPr>
      </w:pPr>
      <w:r>
        <w:rPr>
          <w:rFonts w:ascii="Cambria" w:cs="Cambria" w:eastAsia="Cambria" w:hAnsi="Cambria"/>
          <w:sz w:val="22"/>
          <w:szCs w:val="22"/>
          <w:b w:val="1"/>
          <w:bCs w:val="1"/>
          <w:color w:val="auto"/>
        </w:rPr>
        <w:t>Dividend Equivalent Rights. Section II.A.3 of the Agreement is hereby amended in its entirety to read as follows:</w:t>
      </w:r>
    </w:p>
    <w:p>
      <w:pPr>
        <w:spacing w:after="0" w:line="278" w:lineRule="exact"/>
        <w:rPr>
          <w:sz w:val="20"/>
          <w:szCs w:val="20"/>
          <w:color w:val="auto"/>
        </w:rPr>
      </w:pPr>
    </w:p>
    <w:p>
      <w:pPr>
        <w:jc w:val="both"/>
        <w:ind w:left="660" w:right="20"/>
        <w:spacing w:after="0" w:line="278" w:lineRule="auto"/>
        <w:rPr>
          <w:sz w:val="20"/>
          <w:szCs w:val="20"/>
          <w:color w:val="auto"/>
        </w:rPr>
      </w:pPr>
      <w:r>
        <w:rPr>
          <w:rFonts w:ascii="Times New Roman" w:cs="Times New Roman" w:eastAsia="Times New Roman" w:hAnsi="Times New Roman"/>
          <w:sz w:val="22"/>
          <w:szCs w:val="22"/>
          <w:color w:val="auto"/>
        </w:rPr>
        <w:t>“</w:t>
      </w:r>
      <w:r>
        <w:rPr>
          <w:rFonts w:ascii="Cambria" w:cs="Cambria" w:eastAsia="Cambria" w:hAnsi="Cambria"/>
          <w:sz w:val="22"/>
          <w:szCs w:val="22"/>
          <w:b w:val="1"/>
          <w:bCs w:val="1"/>
          <w:color w:val="auto"/>
        </w:rPr>
        <w:t>Grantee shall be notionally credited with cash per Restricted Stock Unit equal to the amount of each cash</w:t>
      </w:r>
      <w:r>
        <w:rPr>
          <w:rFonts w:ascii="Times New Roman" w:cs="Times New Roman" w:eastAsia="Times New Roman" w:hAnsi="Times New Roman"/>
          <w:sz w:val="22"/>
          <w:szCs w:val="22"/>
          <w:color w:val="auto"/>
        </w:rPr>
        <w:t xml:space="preserve"> </w:t>
      </w:r>
      <w:r>
        <w:rPr>
          <w:rFonts w:ascii="Cambria" w:cs="Cambria" w:eastAsia="Cambria" w:hAnsi="Cambria"/>
          <w:sz w:val="22"/>
          <w:szCs w:val="22"/>
          <w:b w:val="1"/>
          <w:bCs w:val="1"/>
          <w:color w:val="auto"/>
        </w:rPr>
        <w:t>dividend paid by the Company (if any) to holders of Common Stock generally with a record date occurring on or after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40"/>
          </w:cols>
          <w:pgMar w:left="320" w:top="1418" w:right="339" w:bottom="1440" w:gutter="0" w:footer="0" w:header="0"/>
        </w:sectPr>
      </w:pPr>
    </w:p>
    <w:bookmarkStart w:id="96" w:name="page97"/>
    <w:bookmarkEnd w:id="96"/>
    <w:p>
      <w:pPr>
        <w:spacing w:after="0" w:line="7" w:lineRule="exact"/>
        <w:rPr>
          <w:sz w:val="20"/>
          <w:szCs w:val="20"/>
          <w:color w:val="auto"/>
        </w:rPr>
      </w:pPr>
    </w:p>
    <w:p>
      <w:pPr>
        <w:jc w:val="both"/>
        <w:ind w:left="660"/>
        <w:spacing w:after="0" w:line="294" w:lineRule="auto"/>
        <w:rPr>
          <w:sz w:val="20"/>
          <w:szCs w:val="20"/>
          <w:color w:val="auto"/>
        </w:rPr>
      </w:pPr>
      <w:r>
        <w:rPr>
          <w:rFonts w:ascii="Cambria" w:cs="Cambria" w:eastAsia="Cambria" w:hAnsi="Cambria"/>
          <w:sz w:val="21"/>
          <w:szCs w:val="21"/>
          <w:b w:val="1"/>
          <w:bCs w:val="1"/>
          <w:color w:val="auto"/>
        </w:rPr>
        <w:t>and prior to the time when the Restricted Stock Units are settled in accordance with Section II.A.2 hereof. Any amounts notionally credited pursuant to the immediately preceding sentence shall be subject to the same applicable terms and conditions (including vesting, payment or forfeitability) as apply to the Restricted Stock Units based on which the dividend equivalents were notionally credited, and such amounts shall be paid in Common Stock at the same time as the Restricted Stock Units to which they relate. The number of shares so paid in Common Stock shall be rounded down to the nearest whole number and shall be determined by dividing the amounts so notionally credited by the Market Value per Share on the payment date. Notwithstanding the foregoing provisions of this Section II.A.3, Grantee shall not be entitled to the cash notionally credited at any time to the Restricted Stock Units (or the Common Stock representing the same, as the case may be) either legally or beneficially unless and until Grantee becomes entitled to receive the actual Common Stock in respect of this Award pursuant to Section II.A.2 of this Agreement.</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Withholding</w:t>
      </w:r>
      <w:r>
        <w:rPr>
          <w:rFonts w:ascii="Times New Roman" w:cs="Times New Roman" w:eastAsia="Times New Roman" w:hAnsi="Times New Roman"/>
          <w:sz w:val="22"/>
          <w:szCs w:val="22"/>
          <w:color w:val="auto"/>
        </w:rPr>
        <w:t>. Section II.B.2 of the Agreement is hereby amended in its entirety to read as follows:</w:t>
      </w:r>
    </w:p>
    <w:p>
      <w:pPr>
        <w:spacing w:after="0" w:line="2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“Grantee hereby indemnifies the Company, Grantee’s employer or any other person in respect of:</w:t>
      </w:r>
    </w:p>
    <w:p>
      <w:pPr>
        <w:spacing w:after="0" w:line="247" w:lineRule="exact"/>
        <w:rPr>
          <w:sz w:val="20"/>
          <w:szCs w:val="20"/>
          <w:color w:val="auto"/>
        </w:rPr>
      </w:pPr>
    </w:p>
    <w:p>
      <w:pPr>
        <w:ind w:left="1960" w:right="640" w:hanging="656"/>
        <w:spacing w:after="0" w:line="256" w:lineRule="auto"/>
        <w:tabs>
          <w:tab w:leader="none" w:pos="175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of income tax for which the Company, Grantee’s employer or any other person is obliged to account under the Pay-As-You-Earn system and any amounts of employee’s national insurance contributions arising from the vesting of this Award (or which would not otherwise have arisen but for the grant of this Award to Grantee); and</w:t>
      </w:r>
    </w:p>
    <w:p>
      <w:pPr>
        <w:spacing w:after="0" w:line="203" w:lineRule="exact"/>
        <w:rPr>
          <w:rFonts w:ascii="Times New Roman" w:cs="Times New Roman" w:eastAsia="Times New Roman" w:hAnsi="Times New Roman"/>
          <w:sz w:val="22"/>
          <w:szCs w:val="22"/>
          <w:color w:val="auto"/>
        </w:rPr>
      </w:pPr>
    </w:p>
    <w:p>
      <w:pPr>
        <w:jc w:val="right"/>
        <w:ind w:left="1960" w:right="640" w:hanging="656"/>
        <w:spacing w:after="0" w:line="260" w:lineRule="auto"/>
        <w:tabs>
          <w:tab w:leader="none" w:pos="1797"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amount of income tax for which the Company, Grantee’s employer or any other person is obliged to account under the Pay-As-You-Earn system and any amounts of employee’s national insurance contributions arising in respect of, or in connection with the holding or disposal by Grantee of the shares of Common Stock acquired pursuant to this Award or the conversion of such shares of Common Stock into securities of another description whilst such shares of Common Stock are held</w:t>
      </w:r>
    </w:p>
    <w:p>
      <w:pPr>
        <w:ind w:left="1960"/>
        <w:spacing w:after="0"/>
        <w:rPr>
          <w:sz w:val="20"/>
          <w:szCs w:val="20"/>
          <w:color w:val="auto"/>
        </w:rPr>
      </w:pPr>
      <w:r>
        <w:rPr>
          <w:rFonts w:ascii="Times New Roman" w:cs="Times New Roman" w:eastAsia="Times New Roman" w:hAnsi="Times New Roman"/>
          <w:sz w:val="22"/>
          <w:szCs w:val="22"/>
          <w:color w:val="auto"/>
        </w:rPr>
        <w:t>by Grantee,</w:t>
      </w:r>
    </w:p>
    <w:p>
      <w:pPr>
        <w:spacing w:after="0" w:line="15" w:lineRule="exact"/>
        <w:rPr>
          <w:sz w:val="20"/>
          <w:szCs w:val="20"/>
          <w:color w:val="auto"/>
        </w:rPr>
      </w:pPr>
    </w:p>
    <w:p>
      <w:pPr>
        <w:jc w:val="both"/>
        <w:ind w:left="660" w:right="660" w:hanging="381"/>
        <w:spacing w:after="0" w:line="247" w:lineRule="auto"/>
        <w:rPr>
          <w:sz w:val="20"/>
          <w:szCs w:val="20"/>
          <w:color w:val="auto"/>
        </w:rPr>
      </w:pPr>
      <w:r>
        <w:rPr>
          <w:rFonts w:ascii="Times New Roman" w:cs="Times New Roman" w:eastAsia="Times New Roman" w:hAnsi="Times New Roman"/>
          <w:sz w:val="22"/>
          <w:szCs w:val="22"/>
          <w:color w:val="auto"/>
        </w:rPr>
        <w:t>and in pursuance of such indemnity, Grantee hereby agrees that he or she shall pay to the Company (or to such other entity as directed by it) such amount as shall be notified to Grantee by the Company as being due on any occasion under such indemnity, within seven days after being so notified. To the extent that Grantee fails to pay any amount so notified to him or her by the Company within seven days after such notification, Grantee hereby agrees that the Company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240"/>
          </w:cols>
          <w:pgMar w:left="320" w:top="1440" w:right="339" w:bottom="1440" w:gutter="0" w:footer="0" w:header="0"/>
        </w:sectPr>
      </w:pPr>
    </w:p>
    <w:bookmarkStart w:id="97" w:name="page98"/>
    <w:bookmarkEnd w:id="97"/>
    <w:p>
      <w:pPr>
        <w:jc w:val="both"/>
        <w:ind w:left="660"/>
        <w:spacing w:after="0" w:line="251" w:lineRule="auto"/>
        <w:rPr>
          <w:sz w:val="20"/>
          <w:szCs w:val="20"/>
          <w:color w:val="auto"/>
        </w:rPr>
      </w:pPr>
      <w:r>
        <w:rPr>
          <w:rFonts w:ascii="Times New Roman" w:cs="Times New Roman" w:eastAsia="Times New Roman" w:hAnsi="Times New Roman"/>
          <w:sz w:val="22"/>
          <w:szCs w:val="22"/>
          <w:color w:val="auto"/>
        </w:rPr>
        <w:t>withhold, or procure the withholding, from any salary, wages, payment or payments due to Grantee from the Company or Grantee’s employer an amount which is equal to the amount notified to Grantee, sell or procure the sale of sufficient of the shares of Common Stock acquired by Grantee pursuant to this Award on behalf of Grantee to produce a sum which after any costs of sale is sufficient to discharge the amount so notified to Grantee and retain such sum or make such other arrangements, by which Grantee hereby agrees to be bound, so as to ensure that the amount notified to Grantee is discharged in full.</w:t>
      </w:r>
    </w:p>
    <w:p>
      <w:pPr>
        <w:spacing w:after="0" w:line="208" w:lineRule="exact"/>
        <w:rPr>
          <w:sz w:val="20"/>
          <w:szCs w:val="20"/>
          <w:color w:val="auto"/>
        </w:rPr>
      </w:pPr>
    </w:p>
    <w:p>
      <w:pPr>
        <w:jc w:val="both"/>
        <w:ind w:left="660" w:hanging="406"/>
        <w:spacing w:after="0" w:line="251" w:lineRule="auto"/>
        <w:rPr>
          <w:sz w:val="20"/>
          <w:szCs w:val="20"/>
          <w:color w:val="auto"/>
        </w:rPr>
      </w:pPr>
      <w:r>
        <w:rPr>
          <w:rFonts w:ascii="Times New Roman" w:cs="Times New Roman" w:eastAsia="Times New Roman" w:hAnsi="Times New Roman"/>
          <w:sz w:val="22"/>
          <w:szCs w:val="22"/>
          <w:color w:val="auto"/>
        </w:rPr>
        <w:t>In the alternative to satisfying the indemnity in (i) above, Grantee hereby agrees that the Company may withhold from the total number of shares of Common Stock that become issuable to Grantee on vesting of this Award a number of shares of Common Stock with an aggregate Market Value per Share on the date of withholding equal to the amount due under (i) above as determined by the Company, in which case Grantee will be taken to have forfeited the right to be issued the number of shares of Common Stock so withheld in order to make good the amounts due under (i) above.</w:t>
      </w:r>
    </w:p>
    <w:p>
      <w:pPr>
        <w:spacing w:after="0" w:line="208" w:lineRule="exact"/>
        <w:rPr>
          <w:sz w:val="20"/>
          <w:szCs w:val="20"/>
          <w:color w:val="auto"/>
        </w:rPr>
      </w:pPr>
    </w:p>
    <w:p>
      <w:pPr>
        <w:jc w:val="both"/>
        <w:ind w:left="660" w:right="20" w:hanging="419"/>
        <w:spacing w:after="0" w:line="263" w:lineRule="auto"/>
        <w:rPr>
          <w:sz w:val="20"/>
          <w:szCs w:val="20"/>
          <w:color w:val="auto"/>
        </w:rPr>
      </w:pPr>
      <w:r>
        <w:rPr>
          <w:rFonts w:ascii="Times New Roman" w:cs="Times New Roman" w:eastAsia="Times New Roman" w:hAnsi="Times New Roman"/>
          <w:sz w:val="22"/>
          <w:szCs w:val="22"/>
          <w:color w:val="auto"/>
        </w:rPr>
        <w:t>The Company will not be obliged to deliver any shares of Common Stock to Grantee pursuant to this Award if Grantee fails to comply with his or her obligations under the foregoing provisions of this Section II.B.2 and Grantee shall not be entitled to receive the delivery of such shares of Common Stock.</w:t>
      </w:r>
    </w:p>
    <w:p>
      <w:pPr>
        <w:spacing w:after="0" w:line="194" w:lineRule="exact"/>
        <w:rPr>
          <w:sz w:val="20"/>
          <w:szCs w:val="20"/>
          <w:color w:val="auto"/>
        </w:rPr>
      </w:pPr>
    </w:p>
    <w:p>
      <w:pPr>
        <w:jc w:val="both"/>
        <w:ind w:left="660" w:right="20" w:hanging="401"/>
        <w:spacing w:after="0" w:line="253" w:lineRule="auto"/>
        <w:rPr>
          <w:sz w:val="20"/>
          <w:szCs w:val="20"/>
          <w:color w:val="auto"/>
        </w:rPr>
      </w:pPr>
      <w:r>
        <w:rPr>
          <w:rFonts w:ascii="Times New Roman" w:cs="Times New Roman" w:eastAsia="Times New Roman" w:hAnsi="Times New Roman"/>
          <w:sz w:val="22"/>
          <w:szCs w:val="22"/>
          <w:color w:val="auto"/>
        </w:rPr>
        <w:t>It is a further condition of delivery of any shares of Common Stock pursuant to the vesting of this Award that Grantee will, if required to do so by the Company, enter into a joint election under section 431(1) of the United Kingdom Income Tax (Earnings and Pensions) Act 2003 (“</w:t>
      </w:r>
      <w:r>
        <w:rPr>
          <w:rFonts w:ascii="Times New Roman" w:cs="Times New Roman" w:eastAsia="Times New Roman" w:hAnsi="Times New Roman"/>
          <w:sz w:val="22"/>
          <w:szCs w:val="22"/>
          <w:u w:val="single" w:color="auto"/>
          <w:color w:val="auto"/>
        </w:rPr>
        <w:t>ITEPA</w:t>
      </w:r>
      <w:r>
        <w:rPr>
          <w:rFonts w:ascii="Times New Roman" w:cs="Times New Roman" w:eastAsia="Times New Roman" w:hAnsi="Times New Roman"/>
          <w:sz w:val="22"/>
          <w:szCs w:val="22"/>
          <w:color w:val="auto"/>
        </w:rPr>
        <w:t>”), the effect of which is that the Common Stock will be treated as if they were not restricted securities and that sections 425 to 430 of ITEPA will not apply to those shares.”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Whistleblower Protection. </w:t>
      </w:r>
      <w:r>
        <w:rPr>
          <w:rFonts w:ascii="Times New Roman" w:cs="Times New Roman" w:eastAsia="Times New Roman" w:hAnsi="Times New Roman"/>
          <w:sz w:val="22"/>
          <w:szCs w:val="22"/>
          <w:color w:val="auto"/>
        </w:rPr>
        <w:t>The last sentence of Section II.B.3(b) is hereby amended in its entirety to read as follows:</w:t>
      </w:r>
    </w:p>
    <w:p>
      <w:pPr>
        <w:spacing w:after="0" w:line="251"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“Notwithstanding anything in this Agreement to the contrary, nothing in this Agreement prevents Grantee, in accordance with applicable law, from (i) making a protected disclosure under section 43A of the Employment Rights Act 1996; (ii) making a disclosure to a regulator regarding any misconduct, wrongdoing or serious breach of regulatory requirements, or reporting a criminal offence to any law enforcement agency; (iii) co-operating with any law enforcement agency regarding a criminal investigation or prosecution; or (iv)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0600"/>
          </w:cols>
          <w:pgMar w:left="320" w:top="1422" w:right="9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2"/>
          <w:szCs w:val="22"/>
          <w:b w:val="1"/>
          <w:bCs w:val="1"/>
          <w:color w:val="auto"/>
        </w:rPr>
        <w:t xml:space="preserve">Restrictive Covenants. </w:t>
      </w:r>
      <w:r>
        <w:rPr>
          <w:rFonts w:ascii="Times New Roman" w:cs="Times New Roman" w:eastAsia="Times New Roman" w:hAnsi="Times New Roman"/>
          <w:sz w:val="22"/>
          <w:szCs w:val="22"/>
          <w:color w:val="auto"/>
        </w:rPr>
        <w:t>Section II.B.3(c) is hereby amended in its entirety to read as follows:</w:t>
      </w:r>
    </w:p>
    <w:p>
      <w:pPr>
        <w:spacing w:after="0" w:line="247" w:lineRule="exact"/>
        <w:rPr>
          <w:sz w:val="20"/>
          <w:szCs w:val="20"/>
          <w:color w:val="auto"/>
        </w:rPr>
      </w:pPr>
    </w:p>
    <w:p>
      <w:pPr>
        <w:jc w:val="both"/>
        <w:ind w:left="660" w:hanging="330"/>
        <w:spacing w:after="0" w:line="252" w:lineRule="auto"/>
        <w:tabs>
          <w:tab w:leader="none" w:pos="6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b w:val="1"/>
          <w:bCs w:val="1"/>
          <w:color w:val="auto"/>
        </w:rPr>
        <w:t xml:space="preserve">Covenants Against Competition and Solicitation. </w:t>
      </w:r>
      <w:r>
        <w:rPr>
          <w:rFonts w:ascii="Times New Roman" w:cs="Times New Roman" w:eastAsia="Times New Roman" w:hAnsi="Times New Roman"/>
          <w:sz w:val="22"/>
          <w:szCs w:val="22"/>
          <w:color w:val="auto"/>
        </w:rPr>
        <w:t>Each of the restrictions set out in this Section II.B.3(c)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constitutes an entirely separate, severable and independent obligation of Grantee. They are entered into in order to safeguard the legitimate business interests of the Company and particularly the goodwill of the Company in connection with its clients, suppliers and employees. Each separate restriction applies whether Grantee undertakes the activity in question directly or indirectly through a third party and whether it is undertaken on his own behalf or on behalf of, or in conjunction with, any firm, company or person.</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Grantee covenants that Grantee will not for the Restricted Period:</w:t>
      </w:r>
    </w:p>
    <w:p>
      <w:pPr>
        <w:spacing w:after="0" w:line="233" w:lineRule="exact"/>
        <w:rPr>
          <w:sz w:val="20"/>
          <w:szCs w:val="20"/>
          <w:color w:val="auto"/>
        </w:rPr>
      </w:pPr>
    </w:p>
    <w:p>
      <w:pPr>
        <w:ind w:left="1280" w:right="20" w:hanging="644"/>
        <w:spacing w:after="0" w:line="271" w:lineRule="auto"/>
        <w:tabs>
          <w:tab w:leader="none" w:pos="1193"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entice or solicit or endeavour to entice or solicit away from the Company or any Group Company any Relevant Employee;</w:t>
      </w:r>
    </w:p>
    <w:p>
      <w:pPr>
        <w:spacing w:after="0" w:line="157" w:lineRule="exact"/>
        <w:rPr>
          <w:rFonts w:ascii="Times New Roman" w:cs="Times New Roman" w:eastAsia="Times New Roman" w:hAnsi="Times New Roman"/>
          <w:sz w:val="22"/>
          <w:szCs w:val="22"/>
          <w:color w:val="auto"/>
        </w:rPr>
      </w:pPr>
    </w:p>
    <w:p>
      <w:pPr>
        <w:ind w:left="1280" w:hanging="644"/>
        <w:spacing w:after="0" w:line="271" w:lineRule="auto"/>
        <w:tabs>
          <w:tab w:leader="none" w:pos="132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 or otherwise engage or otherwise facilitate the employment or engagement of any Relevant Employee;</w:t>
      </w:r>
    </w:p>
    <w:p>
      <w:pPr>
        <w:spacing w:after="0" w:line="157" w:lineRule="exact"/>
        <w:rPr>
          <w:rFonts w:ascii="Times New Roman" w:cs="Times New Roman" w:eastAsia="Times New Roman" w:hAnsi="Times New Roman"/>
          <w:sz w:val="22"/>
          <w:szCs w:val="22"/>
          <w:color w:val="auto"/>
        </w:rPr>
      </w:pPr>
    </w:p>
    <w:p>
      <w:pPr>
        <w:ind w:left="1180" w:hanging="544"/>
        <w:spacing w:after="0"/>
        <w:tabs>
          <w:tab w:leader="none" w:pos="118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endeavour to supply Restricted Goods or Services to any Relevant Customer;</w:t>
      </w:r>
    </w:p>
    <w:p>
      <w:pPr>
        <w:spacing w:after="0" w:line="219" w:lineRule="exact"/>
        <w:rPr>
          <w:rFonts w:ascii="Times New Roman" w:cs="Times New Roman" w:eastAsia="Times New Roman" w:hAnsi="Times New Roman"/>
          <w:sz w:val="22"/>
          <w:szCs w:val="22"/>
          <w:color w:val="auto"/>
        </w:rPr>
      </w:pPr>
    </w:p>
    <w:p>
      <w:pPr>
        <w:ind w:left="1160" w:hanging="524"/>
        <w:spacing w:after="0"/>
        <w:tabs>
          <w:tab w:leader="none" w:pos="11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supply or be involved with the supply of Restricted Goods or Services to any Relevant Customer;</w:t>
      </w:r>
    </w:p>
    <w:p>
      <w:pPr>
        <w:spacing w:after="0" w:line="233" w:lineRule="exact"/>
        <w:rPr>
          <w:rFonts w:ascii="Times New Roman" w:cs="Times New Roman" w:eastAsia="Times New Roman" w:hAnsi="Times New Roman"/>
          <w:sz w:val="22"/>
          <w:szCs w:val="22"/>
          <w:color w:val="auto"/>
        </w:rPr>
      </w:pPr>
    </w:p>
    <w:p>
      <w:pPr>
        <w:ind w:left="1100" w:hanging="464"/>
        <w:spacing w:after="0"/>
        <w:tabs>
          <w:tab w:leader="none" w:pos="110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any business dealings with any Relevant Customer on behalf of a Relevant Business;</w:t>
      </w:r>
    </w:p>
    <w:p>
      <w:pPr>
        <w:spacing w:after="0" w:line="219" w:lineRule="exact"/>
        <w:rPr>
          <w:rFonts w:ascii="Times New Roman" w:cs="Times New Roman" w:eastAsia="Times New Roman" w:hAnsi="Times New Roman"/>
          <w:sz w:val="22"/>
          <w:szCs w:val="22"/>
          <w:color w:val="auto"/>
        </w:rPr>
      </w:pPr>
    </w:p>
    <w:p>
      <w:pPr>
        <w:ind w:left="1160" w:hanging="524"/>
        <w:spacing w:after="0"/>
        <w:tabs>
          <w:tab w:leader="none" w:pos="11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principal or agent in any Relevant Business within the Restricted Area;</w:t>
      </w:r>
    </w:p>
    <w:p>
      <w:pPr>
        <w:spacing w:after="0" w:line="219" w:lineRule="exact"/>
        <w:rPr>
          <w:rFonts w:ascii="Times New Roman" w:cs="Times New Roman" w:eastAsia="Times New Roman" w:hAnsi="Times New Roman"/>
          <w:sz w:val="22"/>
          <w:szCs w:val="22"/>
          <w:color w:val="auto"/>
        </w:rPr>
      </w:pPr>
    </w:p>
    <w:p>
      <w:pPr>
        <w:ind w:left="1220" w:hanging="584"/>
        <w:spacing w:after="0"/>
        <w:tabs>
          <w:tab w:leader="none" w:pos="122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partner or member in any Relevant Business within the Restricted Area;</w:t>
      </w:r>
    </w:p>
    <w:p>
      <w:pPr>
        <w:spacing w:after="0" w:line="219" w:lineRule="exact"/>
        <w:rPr>
          <w:rFonts w:ascii="Times New Roman" w:cs="Times New Roman" w:eastAsia="Times New Roman" w:hAnsi="Times New Roman"/>
          <w:sz w:val="22"/>
          <w:szCs w:val="22"/>
          <w:color w:val="auto"/>
        </w:rPr>
      </w:pPr>
    </w:p>
    <w:p>
      <w:pPr>
        <w:ind w:left="1280" w:right="20" w:hanging="644"/>
        <w:spacing w:after="0" w:line="271" w:lineRule="auto"/>
        <w:tabs>
          <w:tab w:leader="none" w:pos="1309"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employed or engaged as a worker in any Relevant Business that operates or seeks to operate within the Restricted Area;</w:t>
      </w:r>
    </w:p>
    <w:p>
      <w:pPr>
        <w:spacing w:after="0" w:line="171" w:lineRule="exact"/>
        <w:rPr>
          <w:rFonts w:ascii="Times New Roman" w:cs="Times New Roman" w:eastAsia="Times New Roman" w:hAnsi="Times New Roman"/>
          <w:sz w:val="22"/>
          <w:szCs w:val="22"/>
          <w:color w:val="auto"/>
        </w:rPr>
      </w:pPr>
    </w:p>
    <w:p>
      <w:pPr>
        <w:ind w:left="1280" w:hanging="644"/>
        <w:spacing w:after="0" w:line="271" w:lineRule="auto"/>
        <w:tabs>
          <w:tab w:leader="none" w:pos="122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engaged as a consultant (directly or through another entity) or adviser to any Relevant Business within the Restricted Area;</w:t>
      </w:r>
    </w:p>
    <w:p>
      <w:pPr>
        <w:spacing w:after="0" w:line="157" w:lineRule="exact"/>
        <w:rPr>
          <w:rFonts w:ascii="Times New Roman" w:cs="Times New Roman" w:eastAsia="Times New Roman" w:hAnsi="Times New Roman"/>
          <w:sz w:val="22"/>
          <w:szCs w:val="22"/>
          <w:color w:val="auto"/>
        </w:rPr>
      </w:pPr>
    </w:p>
    <w:p>
      <w:pPr>
        <w:ind w:left="1100" w:hanging="464"/>
        <w:spacing w:after="0"/>
        <w:tabs>
          <w:tab w:leader="none" w:pos="110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director of any Relevant Business within the Restricted Area;</w:t>
      </w:r>
    </w:p>
    <w:p>
      <w:pPr>
        <w:spacing w:after="0" w:line="219" w:lineRule="exact"/>
        <w:rPr>
          <w:rFonts w:ascii="Times New Roman" w:cs="Times New Roman" w:eastAsia="Times New Roman" w:hAnsi="Times New Roman"/>
          <w:sz w:val="22"/>
          <w:szCs w:val="22"/>
          <w:color w:val="auto"/>
        </w:rPr>
      </w:pPr>
    </w:p>
    <w:p>
      <w:pPr>
        <w:ind w:left="1160" w:hanging="524"/>
        <w:spacing w:after="0"/>
        <w:tabs>
          <w:tab w:leader="none" w:pos="11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 material financial interest in any Relevant Business within the Restricted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0600"/>
          </w:cols>
          <w:pgMar w:left="320" w:top="1418" w:right="979" w:bottom="1440" w:gutter="0" w:footer="0" w:header="0"/>
        </w:sectPr>
      </w:pPr>
    </w:p>
    <w:bookmarkStart w:id="99" w:name="page100"/>
    <w:bookmarkEnd w:id="99"/>
    <w:p>
      <w:pPr>
        <w:jc w:val="both"/>
        <w:ind w:left="1280" w:right="20" w:hanging="644"/>
        <w:spacing w:after="0" w:line="253" w:lineRule="auto"/>
        <w:tabs>
          <w:tab w:leader="none" w:pos="122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 shareholding in any Relevant Business within the Restricted Area, disregarding any financial interest of a person in securities which are listed or dealt in on any Recognised Stock Exchange if that person, Grantee and any person connected with Grantee are interested in securities which amount to less than five per cent of the issued securities of that class and which, in all circumstances, carry less than five per cent of the voting rights (if any) attaching to the issued securities of that class; and</w:t>
      </w:r>
    </w:p>
    <w:p>
      <w:pPr>
        <w:spacing w:after="0" w:line="178" w:lineRule="exact"/>
        <w:rPr>
          <w:rFonts w:ascii="Times New Roman" w:cs="Times New Roman" w:eastAsia="Times New Roman" w:hAnsi="Times New Roman"/>
          <w:sz w:val="22"/>
          <w:szCs w:val="22"/>
          <w:color w:val="auto"/>
        </w:rPr>
      </w:pPr>
    </w:p>
    <w:p>
      <w:pPr>
        <w:ind w:left="1280" w:right="20" w:hanging="644"/>
        <w:spacing w:after="0" w:line="271" w:lineRule="auto"/>
        <w:tabs>
          <w:tab w:leader="none" w:pos="1321"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 person with significant control (under part 21A of the United Kingdom Companies Act 2006) in any Relevant Business within the Restricted Area.</w:t>
      </w:r>
    </w:p>
    <w:p>
      <w:pPr>
        <w:spacing w:after="0" w:line="158"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22"/>
          <w:szCs w:val="22"/>
          <w:color w:val="auto"/>
        </w:rPr>
        <w:t>The restrictions above only apply in respect of business activities which compete or seek to compete with the Company and nothing in these provisions seeks to prevent Grantee in connection with activities which do not compete with the Company.</w:t>
      </w:r>
    </w:p>
    <w:p>
      <w:pPr>
        <w:spacing w:after="0" w:line="16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While the restrictions above are considered by Grantee and the Company to be reasonable in all the circumstances, it is recognized that such restrictions may fail for unforeseen reasons and, it is therefore agreed that if any of the restrictions are held to be void, but would be valid if part of the wording were deleted or if the periods (if any) specified were reduced or the areas dealt with reduced in scope, such restrictions shall apply with such modifications as may be necessary to make them valid and effective.”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Section II.B.3(e) is hereby amended in its entirety to read as follows:</w:t>
      </w:r>
    </w:p>
    <w:p>
      <w:pPr>
        <w:spacing w:after="0" w:line="247" w:lineRule="exact"/>
        <w:rPr>
          <w:sz w:val="20"/>
          <w:szCs w:val="20"/>
          <w:color w:val="auto"/>
        </w:rPr>
      </w:pPr>
    </w:p>
    <w:p>
      <w:pPr>
        <w:jc w:val="both"/>
        <w:ind w:left="1300"/>
        <w:spacing w:after="0" w:line="250" w:lineRule="auto"/>
        <w:rPr>
          <w:sz w:val="20"/>
          <w:szCs w:val="20"/>
          <w:color w:val="auto"/>
        </w:rPr>
      </w:pPr>
      <w:r>
        <w:rPr>
          <w:rFonts w:ascii="Times New Roman" w:cs="Times New Roman" w:eastAsia="Times New Roman" w:hAnsi="Times New Roman"/>
          <w:sz w:val="22"/>
          <w:szCs w:val="22"/>
          <w:color w:val="auto"/>
        </w:rPr>
        <w:t>“(1)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207" w:lineRule="exact"/>
        <w:rPr>
          <w:sz w:val="20"/>
          <w:szCs w:val="20"/>
          <w:color w:val="auto"/>
        </w:rPr>
      </w:pPr>
    </w:p>
    <w:p>
      <w:pPr>
        <w:jc w:val="both"/>
        <w:ind w:left="1300" w:firstLine="4"/>
        <w:spacing w:after="0" w:line="258" w:lineRule="auto"/>
        <w:tabs>
          <w:tab w:leader="none" w:pos="187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means a person or entity that engages in any business engaged in by the Company, and that does so in a geographic area in which the Company engage(s) in that business, as evidenced on the Company’s website, in the marketing materials of the Company or by the books and records of the Company, and “engages” includes actively planning to engage in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0600"/>
          </w:cols>
          <w:pgMar w:left="320" w:top="1422" w:right="979" w:bottom="1440" w:gutter="0" w:footer="0" w:header="0"/>
        </w:sectPr>
      </w:pPr>
    </w:p>
    <w:bookmarkStart w:id="100" w:name="page101"/>
    <w:bookmarkEnd w:id="100"/>
    <w:p>
      <w:pPr>
        <w:jc w:val="both"/>
        <w:ind w:left="1080" w:firstLine="4"/>
        <w:spacing w:after="0" w:line="247" w:lineRule="auto"/>
        <w:tabs>
          <w:tab w:leader="none" w:pos="175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202" w:lineRule="exact"/>
        <w:rPr>
          <w:rFonts w:ascii="Times New Roman" w:cs="Times New Roman" w:eastAsia="Times New Roman" w:hAnsi="Times New Roman"/>
          <w:sz w:val="22"/>
          <w:szCs w:val="22"/>
          <w:color w:val="auto"/>
        </w:rPr>
      </w:pPr>
    </w:p>
    <w:p>
      <w:pPr>
        <w:jc w:val="both"/>
        <w:ind w:left="1080" w:right="20" w:firstLine="4"/>
        <w:spacing w:after="0" w:line="259" w:lineRule="auto"/>
        <w:tabs>
          <w:tab w:leader="none" w:pos="1669"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Area</w:t>
      </w:r>
      <w:r>
        <w:rPr>
          <w:rFonts w:ascii="Times New Roman" w:cs="Times New Roman" w:eastAsia="Times New Roman" w:hAnsi="Times New Roman"/>
          <w:sz w:val="22"/>
          <w:szCs w:val="22"/>
          <w:color w:val="auto"/>
        </w:rPr>
        <w:t>” means the United Kingdom and any other country in the world where, on the Relevant Date, the Company carries on a Relevant Business and with which Grantee had material involvement during the 12 months prior to the Relevant Date.</w:t>
      </w:r>
    </w:p>
    <w:p>
      <w:pPr>
        <w:spacing w:after="0" w:line="166" w:lineRule="exact"/>
        <w:rPr>
          <w:rFonts w:ascii="Times New Roman" w:cs="Times New Roman" w:eastAsia="Times New Roman" w:hAnsi="Times New Roman"/>
          <w:sz w:val="22"/>
          <w:szCs w:val="22"/>
          <w:color w:val="auto"/>
        </w:rPr>
      </w:pPr>
    </w:p>
    <w:p>
      <w:pPr>
        <w:ind w:left="1080" w:right="20" w:firstLine="4"/>
        <w:spacing w:after="0" w:line="275" w:lineRule="auto"/>
        <w:tabs>
          <w:tab w:leader="none" w:pos="165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Business</w:t>
      </w:r>
      <w:r>
        <w:rPr>
          <w:rFonts w:ascii="Times New Roman" w:cs="Times New Roman" w:eastAsia="Times New Roman" w:hAnsi="Times New Roman"/>
          <w:sz w:val="22"/>
          <w:szCs w:val="22"/>
          <w:color w:val="auto"/>
        </w:rPr>
        <w:t>” means any business or part of a business involving the supply of Restricted Goods or Services.</w:t>
      </w:r>
    </w:p>
    <w:p>
      <w:pPr>
        <w:spacing w:after="0" w:line="162" w:lineRule="exact"/>
        <w:rPr>
          <w:rFonts w:ascii="Times New Roman" w:cs="Times New Roman" w:eastAsia="Times New Roman" w:hAnsi="Times New Roman"/>
          <w:sz w:val="22"/>
          <w:szCs w:val="22"/>
          <w:color w:val="auto"/>
        </w:rPr>
      </w:pPr>
    </w:p>
    <w:p>
      <w:pPr>
        <w:jc w:val="both"/>
        <w:ind w:left="1080" w:right="20" w:firstLine="4"/>
        <w:spacing w:after="0" w:line="253" w:lineRule="auto"/>
        <w:tabs>
          <w:tab w:leader="none" w:pos="154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Customer</w:t>
      </w:r>
      <w:r>
        <w:rPr>
          <w:rFonts w:ascii="Times New Roman" w:cs="Times New Roman" w:eastAsia="Times New Roman" w:hAnsi="Times New Roman"/>
          <w:sz w:val="22"/>
          <w:szCs w:val="22"/>
          <w:color w:val="auto"/>
        </w:rPr>
        <w:t>” means a person, firm or company who in the twelve months immediately before the Relevant Date conducted a business relationship (including, without limitation, the provision of services and the negotiation for the same) with the Company and with whom Grantee had significant contact in the course of Grantee’s employment with the Company.</w:t>
      </w:r>
    </w:p>
    <w:p>
      <w:pPr>
        <w:spacing w:after="0" w:line="175" w:lineRule="exact"/>
        <w:rPr>
          <w:rFonts w:ascii="Times New Roman" w:cs="Times New Roman" w:eastAsia="Times New Roman" w:hAnsi="Times New Roman"/>
          <w:sz w:val="22"/>
          <w:szCs w:val="22"/>
          <w:color w:val="auto"/>
        </w:rPr>
      </w:pPr>
    </w:p>
    <w:p>
      <w:pPr>
        <w:jc w:val="both"/>
        <w:ind w:left="1080" w:right="20" w:firstLine="4"/>
        <w:spacing w:after="0" w:line="265" w:lineRule="auto"/>
        <w:tabs>
          <w:tab w:leader="none" w:pos="154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Date</w:t>
      </w:r>
      <w:r>
        <w:rPr>
          <w:rFonts w:ascii="Times New Roman" w:cs="Times New Roman" w:eastAsia="Times New Roman" w:hAnsi="Times New Roman"/>
          <w:sz w:val="22"/>
          <w:szCs w:val="22"/>
          <w:color w:val="auto"/>
        </w:rPr>
        <w:t>” means the earlier of (x) the date of termination of Grantee’s employment, and (y) the start of any period of garden leave or exclusion under Grantee’s contract of employment with the Company.</w:t>
      </w:r>
    </w:p>
    <w:p>
      <w:pPr>
        <w:spacing w:after="0" w:line="161" w:lineRule="exact"/>
        <w:rPr>
          <w:rFonts w:ascii="Times New Roman" w:cs="Times New Roman" w:eastAsia="Times New Roman" w:hAnsi="Times New Roman"/>
          <w:sz w:val="22"/>
          <w:szCs w:val="22"/>
          <w:color w:val="auto"/>
        </w:rPr>
      </w:pPr>
    </w:p>
    <w:p>
      <w:pPr>
        <w:jc w:val="both"/>
        <w:ind w:left="1080" w:right="20" w:firstLine="4"/>
        <w:spacing w:after="0" w:line="259" w:lineRule="auto"/>
        <w:tabs>
          <w:tab w:leader="none" w:pos="158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Employee</w:t>
      </w:r>
      <w:r>
        <w:rPr>
          <w:rFonts w:ascii="Times New Roman" w:cs="Times New Roman" w:eastAsia="Times New Roman" w:hAnsi="Times New Roman"/>
          <w:sz w:val="22"/>
          <w:szCs w:val="22"/>
          <w:color w:val="auto"/>
        </w:rPr>
        <w:t>” means any senior employee who has significant customer or client contact, or valuable technical skills, and with whom Grantee has had significant contact during the course of his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w:t>
      </w:r>
    </w:p>
    <w:p>
      <w:pPr>
        <w:sectPr>
          <w:pgSz w:w="11900" w:h="16838" w:orient="portrait"/>
          <w:cols w:equalWidth="0" w:num="1">
            <w:col w:w="10380"/>
          </w:cols>
          <w:pgMar w:left="540" w:top="1418" w:right="979" w:bottom="1440" w:gutter="0" w:footer="0" w:header="0"/>
        </w:sectPr>
      </w:pPr>
    </w:p>
    <w:bookmarkStart w:id="101" w:name="page102"/>
    <w:bookmarkEnd w:id="101"/>
    <w:p>
      <w:pPr>
        <w:jc w:val="both"/>
        <w:ind w:left="1300" w:right="640" w:firstLine="4"/>
        <w:spacing w:after="0" w:line="259" w:lineRule="auto"/>
        <w:tabs>
          <w:tab w:leader="none" w:pos="182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Goods or Services</w:t>
      </w:r>
      <w:r>
        <w:rPr>
          <w:rFonts w:ascii="Times New Roman" w:cs="Times New Roman" w:eastAsia="Times New Roman" w:hAnsi="Times New Roman"/>
          <w:sz w:val="22"/>
          <w:szCs w:val="22"/>
          <w:color w:val="auto"/>
        </w:rPr>
        <w:t>” means products for customers in the consumer products, aerospace, industrial, petrochemical, refinery and oil and gas end markets, and the design, manufacture and marketing thereof.</w:t>
      </w:r>
    </w:p>
    <w:p>
      <w:pPr>
        <w:spacing w:after="0" w:line="179" w:lineRule="exact"/>
        <w:rPr>
          <w:rFonts w:ascii="Times New Roman" w:cs="Times New Roman" w:eastAsia="Times New Roman" w:hAnsi="Times New Roman"/>
          <w:sz w:val="22"/>
          <w:szCs w:val="22"/>
          <w:color w:val="auto"/>
        </w:rPr>
      </w:pPr>
    </w:p>
    <w:p>
      <w:pPr>
        <w:jc w:val="both"/>
        <w:ind w:left="1300" w:right="660" w:firstLine="4"/>
        <w:spacing w:after="0" w:line="253" w:lineRule="auto"/>
        <w:tabs>
          <w:tab w:leader="none" w:pos="197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Period</w:t>
      </w:r>
      <w:r>
        <w:rPr>
          <w:rFonts w:ascii="Times New Roman" w:cs="Times New Roman" w:eastAsia="Times New Roman" w:hAnsi="Times New Roman"/>
          <w:sz w:val="22"/>
          <w:szCs w:val="22"/>
          <w:color w:val="auto"/>
        </w:rPr>
        <w:t>” means: (x) for restrictions set forth in clauses (i) to (v) of Section II.B.3(c), during Grantee’s employment and for a period of twelve months after the Relevant Date; and (y) for restrictions set forth in clauses (vi) to (xiii) of Section II.B.3(c), during Grantee’s employment and for a period of nine months after the Relevant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Data Privacy</w:t>
      </w:r>
      <w:r>
        <w:rPr>
          <w:rFonts w:ascii="Times New Roman" w:cs="Times New Roman" w:eastAsia="Times New Roman" w:hAnsi="Times New Roman"/>
          <w:sz w:val="22"/>
          <w:szCs w:val="22"/>
          <w:color w:val="auto"/>
        </w:rPr>
        <w:t>. A new Section II.B.16 is added to the Agreement to read as follows:</w:t>
      </w:r>
    </w:p>
    <w:p>
      <w:pPr>
        <w:spacing w:after="0" w:line="264" w:lineRule="exact"/>
        <w:rPr>
          <w:sz w:val="20"/>
          <w:szCs w:val="20"/>
          <w:color w:val="auto"/>
        </w:rPr>
      </w:pPr>
    </w:p>
    <w:p>
      <w:pPr>
        <w:jc w:val="both"/>
        <w:ind w:left="1300"/>
        <w:spacing w:after="0" w:line="252" w:lineRule="auto"/>
        <w:rPr>
          <w:sz w:val="20"/>
          <w:szCs w:val="20"/>
          <w:color w:val="auto"/>
        </w:rPr>
      </w:pPr>
      <w:r>
        <w:rPr>
          <w:rFonts w:ascii="Times New Roman" w:cs="Times New Roman" w:eastAsia="Times New Roman" w:hAnsi="Times New Roman"/>
          <w:sz w:val="22"/>
          <w:szCs w:val="22"/>
          <w:color w:val="auto"/>
        </w:rPr>
        <w:t>The Company and Rieke Packaging Systems Limited (the “Grantee’s Employer”), (together the “Relevant TriMas Companies”) will process the Grantee’s personal data in connection with the Plan. For the purposes of data protection legislation, the Relevant TriMas Companies will each act as independent controllers in relation to such personal data.</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Categories of Personal Data</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categories of personal data that we will process in connection with the Plan are the Grantee’s:</w:t>
      </w:r>
    </w:p>
    <w:p>
      <w:pPr>
        <w:spacing w:after="0" w:line="233" w:lineRule="exact"/>
        <w:rPr>
          <w:sz w:val="20"/>
          <w:szCs w:val="20"/>
          <w:color w:val="auto"/>
        </w:rPr>
      </w:pPr>
    </w:p>
    <w:p>
      <w:pPr>
        <w:ind w:left="1940" w:hanging="312"/>
        <w:spacing w:after="0"/>
        <w:tabs>
          <w:tab w:leader="none" w:pos="19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name;</w:t>
      </w:r>
    </w:p>
    <w:p>
      <w:pPr>
        <w:spacing w:after="0" w:line="21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date of birth;</w:t>
      </w:r>
    </w:p>
    <w:p>
      <w:pPr>
        <w:spacing w:after="0" w:line="21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job title;</w:t>
      </w:r>
    </w:p>
    <w:p>
      <w:pPr>
        <w:spacing w:after="0" w:line="21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home address (and, if different, mailing address) and postal code;</w:t>
      </w:r>
    </w:p>
    <w:p>
      <w:pPr>
        <w:spacing w:after="0" w:line="21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telephone number;</w:t>
      </w:r>
    </w:p>
    <w:p>
      <w:pPr>
        <w:spacing w:after="0" w:line="23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social insurance, national insurance, US taxpayer and/or foreign tax identification number;</w:t>
      </w:r>
    </w:p>
    <w:p>
      <w:pPr>
        <w:spacing w:after="0" w:line="21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salary;</w:t>
      </w:r>
    </w:p>
    <w:p>
      <w:pPr>
        <w:spacing w:after="0" w:line="21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country of citizenship and nationality;</w:t>
      </w:r>
    </w:p>
    <w:p>
      <w:pPr>
        <w:spacing w:after="0" w:line="21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Common Stock or directorships held in any of the Relevant TriMas Companies;</w:t>
      </w:r>
    </w:p>
    <w:p>
      <w:pPr>
        <w:spacing w:after="0" w:line="219" w:lineRule="exact"/>
        <w:rPr>
          <w:rFonts w:ascii="Times New Roman" w:cs="Times New Roman" w:eastAsia="Times New Roman" w:hAnsi="Times New Roman"/>
          <w:sz w:val="18"/>
          <w:szCs w:val="18"/>
          <w:color w:val="auto"/>
        </w:rPr>
      </w:pPr>
    </w:p>
    <w:p>
      <w:pPr>
        <w:ind w:left="1960" w:hanging="332"/>
        <w:spacing w:after="0" w:line="284" w:lineRule="auto"/>
        <w:tabs>
          <w:tab w:leader="none" w:pos="195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details of all awards or any other entitlement to Common Stock awarded, cancelled, exercised, vested, unvested or outstanding in Grantee’s favour;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vii</w:t>
      </w:r>
    </w:p>
    <w:p>
      <w:pPr>
        <w:sectPr>
          <w:pgSz w:w="11900" w:h="16838" w:orient="portrait"/>
          <w:cols w:equalWidth="0" w:num="1">
            <w:col w:w="11240"/>
          </w:cols>
          <w:pgMar w:left="320" w:top="1418" w:right="339" w:bottom="1440" w:gutter="0" w:footer="0" w:header="0"/>
        </w:sectPr>
      </w:pPr>
    </w:p>
    <w:bookmarkStart w:id="102" w:name="page103"/>
    <w:bookmarkEnd w:id="102"/>
    <w:p>
      <w:pPr>
        <w:ind w:left="1740" w:hanging="332"/>
        <w:spacing w:after="0" w:line="271" w:lineRule="auto"/>
        <w:tabs>
          <w:tab w:leader="none" w:pos="173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reference number (where relevant to link the Grantee’s benefits under the Plan to other documentation issued to or from the US Department of the Treasury Internal Revenue Service).</w:t>
      </w:r>
    </w:p>
    <w:p>
      <w:pPr>
        <w:spacing w:after="0" w:line="158" w:lineRule="exact"/>
        <w:rPr>
          <w:sz w:val="20"/>
          <w:szCs w:val="20"/>
          <w:color w:val="auto"/>
        </w:rPr>
      </w:pPr>
    </w:p>
    <w:p>
      <w:pPr>
        <w:ind w:left="1080"/>
        <w:spacing w:after="0" w:line="284" w:lineRule="auto"/>
        <w:rPr>
          <w:sz w:val="20"/>
          <w:szCs w:val="20"/>
          <w:color w:val="auto"/>
        </w:rPr>
      </w:pPr>
      <w:r>
        <w:rPr>
          <w:rFonts w:ascii="Times New Roman" w:cs="Times New Roman" w:eastAsia="Times New Roman" w:hAnsi="Times New Roman"/>
          <w:sz w:val="22"/>
          <w:szCs w:val="22"/>
          <w:color w:val="auto"/>
        </w:rPr>
        <w:t>The processing of the personal data set out above is mandatory in order for the Relevant TriMas Companies to provide and administer the Plan.</w:t>
      </w:r>
    </w:p>
    <w:p>
      <w:pPr>
        <w:spacing w:after="0" w:line="14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b w:val="1"/>
          <w:bCs w:val="1"/>
          <w:color w:val="auto"/>
        </w:rPr>
        <w:t>Purposes of Processing Personal Data</w:t>
      </w:r>
    </w:p>
    <w:p>
      <w:pPr>
        <w:spacing w:after="0" w:line="22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The Relevant TriMas Companies will process the Grantee’s personal data for the purposes of:</w:t>
      </w:r>
    </w:p>
    <w:p>
      <w:pPr>
        <w:spacing w:after="0" w:line="220" w:lineRule="exact"/>
        <w:rPr>
          <w:sz w:val="20"/>
          <w:szCs w:val="20"/>
          <w:color w:val="auto"/>
        </w:rPr>
      </w:pPr>
    </w:p>
    <w:p>
      <w:pPr>
        <w:ind w:left="1740" w:right="20" w:hanging="332"/>
        <w:spacing w:after="0" w:line="271" w:lineRule="auto"/>
        <w:tabs>
          <w:tab w:leader="none" w:pos="173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administering and maintaining the Plan relating to the Grantee and records associated with the Plan (including maintaining a database of Participants in the Plan);</w:t>
      </w:r>
    </w:p>
    <w:p>
      <w:pPr>
        <w:spacing w:after="0" w:line="171" w:lineRule="exact"/>
        <w:rPr>
          <w:rFonts w:ascii="Times New Roman" w:cs="Times New Roman" w:eastAsia="Times New Roman" w:hAnsi="Times New Roman"/>
          <w:sz w:val="18"/>
          <w:szCs w:val="18"/>
          <w:color w:val="auto"/>
        </w:rPr>
      </w:pPr>
    </w:p>
    <w:p>
      <w:pPr>
        <w:jc w:val="both"/>
        <w:ind w:left="1740" w:hanging="332"/>
        <w:spacing w:after="0" w:line="257" w:lineRule="auto"/>
        <w:tabs>
          <w:tab w:leader="none" w:pos="173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providing information to (i) trustees of any employee benefit trust or (ii) the third party administrators involved directly or indirectly in the operation of the Plan (as set out in the “Sharing Personal Data with Third Parties” section below);</w:t>
      </w:r>
    </w:p>
    <w:p>
      <w:pPr>
        <w:spacing w:after="0" w:line="172" w:lineRule="exact"/>
        <w:rPr>
          <w:rFonts w:ascii="Times New Roman" w:cs="Times New Roman" w:eastAsia="Times New Roman" w:hAnsi="Times New Roman"/>
          <w:sz w:val="18"/>
          <w:szCs w:val="18"/>
          <w:color w:val="auto"/>
        </w:rPr>
      </w:pPr>
    </w:p>
    <w:p>
      <w:pPr>
        <w:ind w:left="1740" w:right="20" w:hanging="332"/>
        <w:spacing w:after="0" w:line="271" w:lineRule="auto"/>
        <w:tabs>
          <w:tab w:leader="none" w:pos="173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providing information relating to Grantee in connection with the operation of the Plan to HM Revenue and Customs in the United Kingdom as required by law;</w:t>
      </w:r>
    </w:p>
    <w:p>
      <w:pPr>
        <w:spacing w:after="0" w:line="157" w:lineRule="exact"/>
        <w:rPr>
          <w:rFonts w:ascii="Times New Roman" w:cs="Times New Roman" w:eastAsia="Times New Roman" w:hAnsi="Times New Roman"/>
          <w:sz w:val="18"/>
          <w:szCs w:val="18"/>
          <w:color w:val="auto"/>
        </w:rPr>
      </w:pPr>
    </w:p>
    <w:p>
      <w:pPr>
        <w:jc w:val="both"/>
        <w:ind w:left="1740" w:hanging="332"/>
        <w:spacing w:after="0" w:line="263" w:lineRule="auto"/>
        <w:tabs>
          <w:tab w:leader="none" w:pos="173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enable any potential purchasers of the business and/or assets of any of the Relevant TriMas Companies and/or their Subsidiaries to (i) complete due diligence on, and value, the business and/or assets; and (ii) use such personal data for the operation of their business;</w:t>
      </w:r>
    </w:p>
    <w:p>
      <w:pPr>
        <w:spacing w:after="0" w:line="167" w:lineRule="exact"/>
        <w:rPr>
          <w:rFonts w:ascii="Times New Roman" w:cs="Times New Roman" w:eastAsia="Times New Roman" w:hAnsi="Times New Roman"/>
          <w:sz w:val="18"/>
          <w:szCs w:val="18"/>
          <w:color w:val="auto"/>
        </w:rPr>
      </w:pPr>
    </w:p>
    <w:p>
      <w:pPr>
        <w:ind w:left="1720" w:hanging="312"/>
        <w:spacing w:after="0"/>
        <w:tabs>
          <w:tab w:leader="none" w:pos="17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obtaining legal and other professional advice; and</w:t>
      </w:r>
    </w:p>
    <w:p>
      <w:pPr>
        <w:spacing w:after="0" w:line="219" w:lineRule="exact"/>
        <w:rPr>
          <w:rFonts w:ascii="Times New Roman" w:cs="Times New Roman" w:eastAsia="Times New Roman" w:hAnsi="Times New Roman"/>
          <w:sz w:val="18"/>
          <w:szCs w:val="18"/>
          <w:color w:val="auto"/>
        </w:rPr>
      </w:pPr>
    </w:p>
    <w:p>
      <w:pPr>
        <w:ind w:left="1720" w:hanging="312"/>
        <w:spacing w:after="0"/>
        <w:tabs>
          <w:tab w:leader="none" w:pos="17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establishing, exercising or defending legal rights.</w:t>
      </w:r>
    </w:p>
    <w:p>
      <w:pPr>
        <w:spacing w:after="0" w:line="21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b w:val="1"/>
          <w:bCs w:val="1"/>
          <w:color w:val="auto"/>
        </w:rPr>
        <w:t>Legal Basis for Processing Personal Data</w:t>
      </w:r>
    </w:p>
    <w:p>
      <w:pPr>
        <w:spacing w:after="0" w:line="23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The processing of the Grantee’s personal data:</w:t>
      </w:r>
    </w:p>
    <w:p>
      <w:pPr>
        <w:spacing w:after="0" w:line="220" w:lineRule="exact"/>
        <w:rPr>
          <w:sz w:val="20"/>
          <w:szCs w:val="20"/>
          <w:color w:val="auto"/>
        </w:rPr>
      </w:pPr>
    </w:p>
    <w:p>
      <w:pPr>
        <w:jc w:val="both"/>
        <w:ind w:left="1740" w:hanging="332"/>
        <w:spacing w:after="0" w:line="257" w:lineRule="auto"/>
        <w:tabs>
          <w:tab w:leader="none" w:pos="173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relation to the information provided to HM Revenue and Customs in the United Kingdom and the Department of the Treasury Internal Revenue Service in the United States of America, is necessary for compliance with a legal obligation to which the Relevant TriMas Companies are subject;</w:t>
      </w:r>
    </w:p>
    <w:p>
      <w:pPr>
        <w:spacing w:after="0" w:line="172" w:lineRule="exact"/>
        <w:rPr>
          <w:rFonts w:ascii="Times New Roman" w:cs="Times New Roman" w:eastAsia="Times New Roman" w:hAnsi="Times New Roman"/>
          <w:sz w:val="18"/>
          <w:szCs w:val="18"/>
          <w:color w:val="auto"/>
        </w:rPr>
      </w:pPr>
    </w:p>
    <w:p>
      <w:pPr>
        <w:jc w:val="both"/>
        <w:ind w:left="1740" w:hanging="332"/>
        <w:spacing w:after="0" w:line="263" w:lineRule="auto"/>
        <w:tabs>
          <w:tab w:leader="none" w:pos="173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relation to (i) obtaining legal and other professional advice; and (ii) establishing, exercising or defending legal rights, is pursuant to the Relevant TriMas Companies’ legitimate interests of commencing and/or handling any legal proceedings (including prospective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viii</w:t>
      </w:r>
    </w:p>
    <w:p>
      <w:pPr>
        <w:sectPr>
          <w:pgSz w:w="11900" w:h="16838" w:orient="portrait"/>
          <w:cols w:equalWidth="0" w:num="1">
            <w:col w:w="11020"/>
          </w:cols>
          <w:pgMar w:left="540" w:top="1422" w:right="339" w:bottom="1440" w:gutter="0" w:footer="0" w:header="0"/>
        </w:sectPr>
      </w:pPr>
    </w:p>
    <w:bookmarkStart w:id="103" w:name="page104"/>
    <w:bookmarkEnd w:id="103"/>
    <w:p>
      <w:pPr>
        <w:ind w:left="1740"/>
        <w:spacing w:after="0"/>
        <w:rPr>
          <w:sz w:val="20"/>
          <w:szCs w:val="20"/>
          <w:color w:val="auto"/>
        </w:rPr>
      </w:pPr>
      <w:r>
        <w:rPr>
          <w:rFonts w:ascii="Times New Roman" w:cs="Times New Roman" w:eastAsia="Times New Roman" w:hAnsi="Times New Roman"/>
          <w:sz w:val="22"/>
          <w:szCs w:val="22"/>
          <w:color w:val="auto"/>
        </w:rPr>
        <w:t>for obtaining legal advice or for establishing, exercising or defending legal rights;</w:t>
      </w:r>
    </w:p>
    <w:p>
      <w:pPr>
        <w:spacing w:after="0" w:line="220" w:lineRule="exact"/>
        <w:rPr>
          <w:sz w:val="20"/>
          <w:szCs w:val="20"/>
          <w:color w:val="auto"/>
        </w:rPr>
      </w:pPr>
    </w:p>
    <w:p>
      <w:pPr>
        <w:ind w:left="1740" w:hanging="332"/>
        <w:spacing w:after="0" w:line="271" w:lineRule="auto"/>
        <w:tabs>
          <w:tab w:leader="none" w:pos="173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respect of all other personal data set out above, is necessary for the performance of the Restricted Stock Units Agreement between the Grantee and TriMas Corporation.</w:t>
      </w:r>
    </w:p>
    <w:p>
      <w:pPr>
        <w:spacing w:after="0" w:line="171" w:lineRule="exact"/>
        <w:rPr>
          <w:sz w:val="20"/>
          <w:szCs w:val="20"/>
          <w:color w:val="auto"/>
        </w:rPr>
      </w:pPr>
    </w:p>
    <w:p>
      <w:pPr>
        <w:jc w:val="both"/>
        <w:ind w:left="1080" w:right="20"/>
        <w:spacing w:after="0" w:line="271" w:lineRule="auto"/>
        <w:rPr>
          <w:sz w:val="20"/>
          <w:szCs w:val="20"/>
          <w:color w:val="auto"/>
        </w:rPr>
      </w:pPr>
      <w:r>
        <w:rPr>
          <w:rFonts w:ascii="Times New Roman" w:cs="Times New Roman" w:eastAsia="Times New Roman" w:hAnsi="Times New Roman"/>
          <w:sz w:val="22"/>
          <w:szCs w:val="22"/>
          <w:color w:val="auto"/>
        </w:rPr>
        <w:t>The Relevant TriMas Companies will also process the Grantee’s personal data as necessary to comply with any legal obligations to which the Relevant TriMas Companies are subject.</w:t>
      </w:r>
    </w:p>
    <w:p>
      <w:pPr>
        <w:spacing w:after="0" w:line="15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b w:val="1"/>
          <w:bCs w:val="1"/>
          <w:color w:val="auto"/>
        </w:rPr>
        <w:t>Sharing Personal Data with Third Parties</w:t>
      </w:r>
    </w:p>
    <w:p>
      <w:pPr>
        <w:spacing w:after="0" w:line="224" w:lineRule="exact"/>
        <w:rPr>
          <w:sz w:val="20"/>
          <w:szCs w:val="20"/>
          <w:color w:val="auto"/>
        </w:rPr>
      </w:pPr>
    </w:p>
    <w:p>
      <w:pPr>
        <w:jc w:val="both"/>
        <w:ind w:left="1080" w:right="20"/>
        <w:spacing w:after="0" w:line="271" w:lineRule="auto"/>
        <w:rPr>
          <w:sz w:val="20"/>
          <w:szCs w:val="20"/>
          <w:color w:val="auto"/>
        </w:rPr>
      </w:pPr>
      <w:r>
        <w:rPr>
          <w:rFonts w:ascii="Times New Roman" w:cs="Times New Roman" w:eastAsia="Times New Roman" w:hAnsi="Times New Roman"/>
          <w:sz w:val="22"/>
          <w:szCs w:val="22"/>
          <w:color w:val="auto"/>
        </w:rPr>
        <w:t>The Grantee’s personal details as set out above will be transferred between the Grantee’s Employer and the Company in order to administer and maintain the Plan and records associated with the Plan.</w:t>
      </w:r>
    </w:p>
    <w:p>
      <w:pPr>
        <w:spacing w:after="0" w:line="171" w:lineRule="exact"/>
        <w:rPr>
          <w:sz w:val="20"/>
          <w:szCs w:val="20"/>
          <w:color w:val="auto"/>
        </w:rPr>
      </w:pPr>
    </w:p>
    <w:p>
      <w:pPr>
        <w:jc w:val="both"/>
        <w:ind w:left="1080"/>
        <w:spacing w:after="0" w:line="248" w:lineRule="auto"/>
        <w:rPr>
          <w:sz w:val="20"/>
          <w:szCs w:val="20"/>
          <w:color w:val="auto"/>
        </w:rPr>
      </w:pPr>
      <w:r>
        <w:rPr>
          <w:rFonts w:ascii="Times New Roman" w:cs="Times New Roman" w:eastAsia="Times New Roman" w:hAnsi="Times New Roman"/>
          <w:sz w:val="22"/>
          <w:szCs w:val="22"/>
          <w:color w:val="auto"/>
        </w:rPr>
        <w:t>The Company is based in the United States of America which is not designated by the European Commission as providing an adequate level of protection for personal data. As such, the Grantee’s Employer and the Company have entered into a data transfer agreement governed by standard data protection clauses adopted by the Commission to safeguard personal data in respect of these transfers. The Grantee can obtain a copy of this data transfer agreement by contacting the TriMas Corporate Benefits Group at 248-631-5450 or 38505 Woodward Avenue, Suite 200, Bloomfield Hills, Michigan 48304.</w:t>
      </w:r>
    </w:p>
    <w:p>
      <w:pPr>
        <w:spacing w:after="0" w:line="200" w:lineRule="exact"/>
        <w:rPr>
          <w:sz w:val="20"/>
          <w:szCs w:val="20"/>
          <w:color w:val="auto"/>
        </w:rPr>
      </w:pPr>
    </w:p>
    <w:p>
      <w:pPr>
        <w:jc w:val="both"/>
        <w:ind w:left="1080"/>
        <w:spacing w:after="0" w:line="249" w:lineRule="auto"/>
        <w:rPr>
          <w:sz w:val="20"/>
          <w:szCs w:val="20"/>
          <w:color w:val="auto"/>
        </w:rPr>
      </w:pPr>
      <w:r>
        <w:rPr>
          <w:rFonts w:ascii="Times New Roman" w:cs="Times New Roman" w:eastAsia="Times New Roman" w:hAnsi="Times New Roman"/>
          <w:sz w:val="22"/>
          <w:szCs w:val="22"/>
          <w:color w:val="auto"/>
        </w:rPr>
        <w:t xml:space="preserve">The Relevant TriMas Companies will also share the Grantee’s personal data with National Financial Services LLC, Fidelity Stock Plan Services LLC and Fidelity Brokerage Services LLC (part of the FMR LLC group of companies) which are based in the United States of America. The Company has entered into a data transfer agreement governed by standard data protection clauses adopted by the Commission to safeguard personal data in respect of these transfers. The Grantee can obtain a copy of this data transfer agreement by either, (1) contacting your local human resources representative, (2) contacting Fidelity Stock Plan Services by calling 1-800-544-9354 (Domestic) or 1-800-544-0275 (International), and (3) by logging into Grantee’s Fidelity account at </w:t>
      </w:r>
      <w:r>
        <w:rPr>
          <w:rFonts w:ascii="Times New Roman" w:cs="Times New Roman" w:eastAsia="Times New Roman" w:hAnsi="Times New Roman"/>
          <w:sz w:val="22"/>
          <w:szCs w:val="22"/>
          <w:u w:val="single" w:color="auto"/>
          <w:color w:val="auto"/>
        </w:rPr>
        <w:t>www.netbenefits.fidelity.com</w:t>
      </w:r>
      <w:r>
        <w:rPr>
          <w:rFonts w:ascii="Times New Roman" w:cs="Times New Roman" w:eastAsia="Times New Roman" w:hAnsi="Times New Roman"/>
          <w:sz w:val="22"/>
          <w:szCs w:val="22"/>
          <w:color w:val="auto"/>
        </w:rPr>
        <w:t xml:space="preserve"> and visiting the Plan &amp; Grant Documents section of the Grantee’s account.</w:t>
      </w:r>
    </w:p>
    <w:p>
      <w:pPr>
        <w:spacing w:after="0" w:line="182" w:lineRule="exact"/>
        <w:rPr>
          <w:sz w:val="20"/>
          <w:szCs w:val="20"/>
          <w:color w:val="auto"/>
        </w:rPr>
      </w:pPr>
    </w:p>
    <w:p>
      <w:pPr>
        <w:jc w:val="both"/>
        <w:ind w:left="1080"/>
        <w:spacing w:after="0" w:line="263" w:lineRule="auto"/>
        <w:rPr>
          <w:sz w:val="20"/>
          <w:szCs w:val="20"/>
          <w:color w:val="auto"/>
        </w:rPr>
      </w:pPr>
      <w:r>
        <w:rPr>
          <w:rFonts w:ascii="Times New Roman" w:cs="Times New Roman" w:eastAsia="Times New Roman" w:hAnsi="Times New Roman"/>
          <w:sz w:val="22"/>
          <w:szCs w:val="22"/>
          <w:color w:val="auto"/>
        </w:rPr>
        <w:t>In the event that the Relevant TriMas Companies sell any part(s) of their business and/or assets, they will also disclose the Grantee’s personal data to actual or potential purchasers of parts of its business or assets, and their respective advisers and insurers for the potential purchaser’s legitimate interests of:</w:t>
      </w:r>
    </w:p>
    <w:p>
      <w:pPr>
        <w:spacing w:after="0" w:line="167" w:lineRule="exact"/>
        <w:rPr>
          <w:sz w:val="20"/>
          <w:szCs w:val="20"/>
          <w:color w:val="auto"/>
        </w:rPr>
      </w:pPr>
    </w:p>
    <w:p>
      <w:pPr>
        <w:ind w:left="1720" w:hanging="312"/>
        <w:spacing w:after="0"/>
        <w:tabs>
          <w:tab w:leader="none" w:pos="17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enabling potential purchasers to complete due diligence on, and value, the business and/or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ix</w:t>
      </w:r>
    </w:p>
    <w:p>
      <w:pPr>
        <w:sectPr>
          <w:pgSz w:w="11900" w:h="16838" w:orient="portrait"/>
          <w:cols w:equalWidth="0" w:num="1">
            <w:col w:w="11020"/>
          </w:cols>
          <w:pgMar w:left="540" w:top="1422" w:right="339" w:bottom="1440" w:gutter="0" w:footer="0" w:header="0"/>
        </w:sectPr>
      </w:pPr>
    </w:p>
    <w:bookmarkStart w:id="104" w:name="page105"/>
    <w:bookmarkEnd w:id="104"/>
    <w:p>
      <w:pPr>
        <w:ind w:left="1740" w:right="20" w:hanging="332"/>
        <w:spacing w:after="0" w:line="271" w:lineRule="auto"/>
        <w:tabs>
          <w:tab w:leader="none" w:pos="173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transferring the personal data in connection with any relevant sale and the transfer of the Relevant TriMas Company’s contractual rights and/or obligations; and</w:t>
      </w:r>
    </w:p>
    <w:p>
      <w:pPr>
        <w:spacing w:after="0" w:line="157" w:lineRule="exact"/>
        <w:rPr>
          <w:rFonts w:ascii="Times New Roman" w:cs="Times New Roman" w:eastAsia="Times New Roman" w:hAnsi="Times New Roman"/>
          <w:sz w:val="18"/>
          <w:szCs w:val="18"/>
          <w:color w:val="auto"/>
        </w:rPr>
      </w:pPr>
    </w:p>
    <w:p>
      <w:pPr>
        <w:ind w:left="1720" w:hanging="312"/>
        <w:spacing w:after="0"/>
        <w:tabs>
          <w:tab w:leader="none" w:pos="17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use of such personal data by a purchaser for the operation of its business.</w:t>
      </w:r>
    </w:p>
    <w:p>
      <w:pPr>
        <w:spacing w:after="0" w:line="23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The Relevant TriMas Companies will also share the Grantee’s personal data with:</w:t>
      </w:r>
    </w:p>
    <w:p>
      <w:pPr>
        <w:spacing w:after="0" w:line="220" w:lineRule="exact"/>
        <w:rPr>
          <w:sz w:val="20"/>
          <w:szCs w:val="20"/>
          <w:color w:val="auto"/>
        </w:rPr>
      </w:pPr>
    </w:p>
    <w:p>
      <w:pPr>
        <w:ind w:left="1720" w:hanging="312"/>
        <w:spacing w:after="0"/>
        <w:tabs>
          <w:tab w:leader="none" w:pos="17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its professional advisors, auditors, service providers;</w:t>
      </w:r>
    </w:p>
    <w:p>
      <w:pPr>
        <w:spacing w:after="0" w:line="219" w:lineRule="exact"/>
        <w:rPr>
          <w:rFonts w:ascii="Times New Roman" w:cs="Times New Roman" w:eastAsia="Times New Roman" w:hAnsi="Times New Roman"/>
          <w:sz w:val="18"/>
          <w:szCs w:val="18"/>
          <w:color w:val="auto"/>
        </w:rPr>
      </w:pPr>
    </w:p>
    <w:p>
      <w:pPr>
        <w:jc w:val="both"/>
        <w:ind w:left="1740" w:hanging="332"/>
        <w:spacing w:after="0" w:line="257" w:lineRule="auto"/>
        <w:tabs>
          <w:tab w:leader="none" w:pos="173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HM Revenue and Customs in the United Kingdom and the Department of the Treasury Internal Revenue Service in the United States of America and other regulators, and governmental and law enforcement agencies; and</w:t>
      </w:r>
    </w:p>
    <w:p>
      <w:pPr>
        <w:spacing w:after="0" w:line="186" w:lineRule="exact"/>
        <w:rPr>
          <w:rFonts w:ascii="Times New Roman" w:cs="Times New Roman" w:eastAsia="Times New Roman" w:hAnsi="Times New Roman"/>
          <w:sz w:val="18"/>
          <w:szCs w:val="18"/>
          <w:color w:val="auto"/>
        </w:rPr>
      </w:pPr>
    </w:p>
    <w:p>
      <w:pPr>
        <w:jc w:val="both"/>
        <w:ind w:left="1740" w:hanging="332"/>
        <w:spacing w:after="0" w:line="257" w:lineRule="auto"/>
        <w:tabs>
          <w:tab w:leader="none" w:pos="173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third parties if it is under a duty to disclose or share the Grantee’s personal data in order to comply with any laws, regulations or good governance obligations, or in order to enforce or to protect its rights, property or safety, or that of its customers or other persons with whom it has a business relationship.</w:t>
      </w:r>
    </w:p>
    <w:p>
      <w:pPr>
        <w:spacing w:after="0" w:line="16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b w:val="1"/>
          <w:bCs w:val="1"/>
          <w:color w:val="auto"/>
        </w:rPr>
        <w:t>Retention of Personal Data</w:t>
      </w:r>
    </w:p>
    <w:p>
      <w:pPr>
        <w:spacing w:after="0" w:line="224" w:lineRule="exact"/>
        <w:rPr>
          <w:sz w:val="20"/>
          <w:szCs w:val="20"/>
          <w:color w:val="auto"/>
        </w:rPr>
      </w:pPr>
    </w:p>
    <w:p>
      <w:pPr>
        <w:jc w:val="both"/>
        <w:ind w:left="1080"/>
        <w:spacing w:after="0" w:line="271" w:lineRule="auto"/>
        <w:rPr>
          <w:sz w:val="20"/>
          <w:szCs w:val="20"/>
          <w:color w:val="auto"/>
        </w:rPr>
      </w:pPr>
      <w:r>
        <w:rPr>
          <w:rFonts w:ascii="Times New Roman" w:cs="Times New Roman" w:eastAsia="Times New Roman" w:hAnsi="Times New Roman"/>
          <w:sz w:val="22"/>
          <w:szCs w:val="22"/>
          <w:color w:val="auto"/>
        </w:rPr>
        <w:t>The Relevant TriMas Companies will retain the Grantee’s personal data for the duration of the Plan and for a further period of eight years after the Grantee ceases to be a member of the Plan.</w:t>
      </w:r>
    </w:p>
    <w:p>
      <w:pPr>
        <w:spacing w:after="0" w:line="171" w:lineRule="exact"/>
        <w:rPr>
          <w:sz w:val="20"/>
          <w:szCs w:val="20"/>
          <w:color w:val="auto"/>
        </w:rPr>
      </w:pPr>
    </w:p>
    <w:p>
      <w:pPr>
        <w:jc w:val="both"/>
        <w:ind w:left="1080"/>
        <w:spacing w:after="0" w:line="257" w:lineRule="auto"/>
        <w:rPr>
          <w:sz w:val="20"/>
          <w:szCs w:val="20"/>
          <w:color w:val="auto"/>
        </w:rPr>
      </w:pPr>
      <w:r>
        <w:rPr>
          <w:rFonts w:ascii="Times New Roman" w:cs="Times New Roman" w:eastAsia="Times New Roman" w:hAnsi="Times New Roman"/>
          <w:sz w:val="22"/>
          <w:szCs w:val="22"/>
          <w:color w:val="auto"/>
        </w:rPr>
        <w:t>The Relevant TriMas Companies will retain the Grantee’s personal data for longer than the period specified above if required by law, to defend or exercise legal rights (such as defending legal claims) or to comply with regulatory obligations.</w:t>
      </w:r>
    </w:p>
    <w:p>
      <w:pPr>
        <w:spacing w:after="0" w:line="16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b w:val="1"/>
          <w:bCs w:val="1"/>
          <w:color w:val="auto"/>
        </w:rPr>
        <w:t>The Grantee’s Rights</w:t>
      </w:r>
    </w:p>
    <w:p>
      <w:pPr>
        <w:spacing w:after="0" w:line="22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1"/>
          <w:szCs w:val="21"/>
          <w:color w:val="auto"/>
        </w:rPr>
        <w:t>In order to control the use of their personal data, each Grantee has the following controls over their personal data:</w:t>
      </w:r>
    </w:p>
    <w:p>
      <w:pPr>
        <w:spacing w:after="0" w:line="245" w:lineRule="exact"/>
        <w:rPr>
          <w:sz w:val="20"/>
          <w:szCs w:val="20"/>
          <w:color w:val="auto"/>
        </w:rPr>
      </w:pPr>
    </w:p>
    <w:p>
      <w:pPr>
        <w:ind w:left="1740" w:right="20" w:hanging="332"/>
        <w:spacing w:after="0" w:line="271" w:lineRule="auto"/>
        <w:tabs>
          <w:tab w:leader="none" w:pos="173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Each Grantee may request access to or copies of the personal data that the Relevant TriMas Companies hold about them by contacting their local human resources representative;</w:t>
      </w:r>
    </w:p>
    <w:p>
      <w:pPr>
        <w:spacing w:after="0" w:line="157" w:lineRule="exact"/>
        <w:rPr>
          <w:rFonts w:ascii="Times New Roman" w:cs="Times New Roman" w:eastAsia="Times New Roman" w:hAnsi="Times New Roman"/>
          <w:sz w:val="18"/>
          <w:szCs w:val="18"/>
          <w:color w:val="auto"/>
        </w:rPr>
      </w:pPr>
    </w:p>
    <w:p>
      <w:pPr>
        <w:jc w:val="both"/>
        <w:ind w:left="1740" w:hanging="332"/>
        <w:spacing w:after="0" w:line="253" w:lineRule="auto"/>
        <w:tabs>
          <w:tab w:leader="none" w:pos="173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the Grantee believes that any information the Relevant TriMas Companies hold about them is incorrect or incomplete, the Grantee should contact their local human resources representative as soon as possible. The Relevant TriMas Companies will take steps to seek to correct or update any information if they are satisfied that the information they hold is inaccurate. In certain circumstances, the Grantee may also request that the Relevant TriMas Companies restrict their processing;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w:t>
      </w:r>
    </w:p>
    <w:p>
      <w:pPr>
        <w:sectPr>
          <w:pgSz w:w="11900" w:h="16838" w:orient="portrait"/>
          <w:cols w:equalWidth="0" w:num="1">
            <w:col w:w="11020"/>
          </w:cols>
          <w:pgMar w:left="540" w:top="1422" w:right="339" w:bottom="1440" w:gutter="0" w:footer="0" w:header="0"/>
        </w:sectPr>
      </w:pPr>
    </w:p>
    <w:bookmarkStart w:id="105" w:name="page106"/>
    <w:bookmarkEnd w:id="105"/>
    <w:p>
      <w:pPr>
        <w:jc w:val="both"/>
        <w:ind w:left="1960" w:hanging="332"/>
        <w:spacing w:after="0" w:line="256" w:lineRule="auto"/>
        <w:tabs>
          <w:tab w:leader="none" w:pos="19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Each grantee may request that their personal data be deleted where it is no longer necessary for the purposes for which it is being processed and provided there is no other lawful basis for which the Relevant TriMas Companies may continue to process such personal data. The Grantee can exercise this right by contacting their local human resources representative;</w:t>
      </w:r>
    </w:p>
    <w:p>
      <w:pPr>
        <w:spacing w:after="0" w:line="176" w:lineRule="exact"/>
        <w:rPr>
          <w:rFonts w:ascii="Times New Roman" w:cs="Times New Roman" w:eastAsia="Times New Roman" w:hAnsi="Times New Roman"/>
          <w:sz w:val="18"/>
          <w:szCs w:val="18"/>
          <w:color w:val="auto"/>
        </w:rPr>
      </w:pPr>
    </w:p>
    <w:p>
      <w:pPr>
        <w:jc w:val="both"/>
        <w:ind w:left="1960" w:hanging="332"/>
        <w:spacing w:after="0" w:line="253" w:lineRule="auto"/>
        <w:tabs>
          <w:tab w:leader="none" w:pos="19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the Relevant TriMas Companies are processing the Grantee’s personal data to meet their legitimate interests (as set out above), the Grantee may object to the processing of their personal information by the Relevant TriMas Companies. If the Relevant TriMas Companies are unable to demonstrate their legitimate grounds for that processing, they will no longer process the Grantee’s personal information for those purposes;</w:t>
      </w:r>
    </w:p>
    <w:p>
      <w:pPr>
        <w:spacing w:after="0" w:line="205" w:lineRule="exact"/>
        <w:rPr>
          <w:rFonts w:ascii="Times New Roman" w:cs="Times New Roman" w:eastAsia="Times New Roman" w:hAnsi="Times New Roman"/>
          <w:sz w:val="18"/>
          <w:szCs w:val="18"/>
          <w:color w:val="auto"/>
        </w:rPr>
      </w:pPr>
    </w:p>
    <w:p>
      <w:pPr>
        <w:jc w:val="both"/>
        <w:ind w:left="1960" w:hanging="332"/>
        <w:spacing w:after="0" w:line="252" w:lineRule="auto"/>
        <w:tabs>
          <w:tab w:leader="none" w:pos="19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Where the Grantee has provided the Relevant TriMas Companies with their personal data that the Relevant TriMas Companies process using automated means, the Grantee may be entitled to a copy of that personal data in a structured, commonly-used and machine readable format. The Grantee can exercise this right by contacting their local human resources representative.</w:t>
      </w:r>
    </w:p>
    <w:p>
      <w:pPr>
        <w:spacing w:after="0" w:line="17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 xml:space="preserve">The Grantee should contact their local human resources representative in relation to any concerns about how their personal data is processed and the Relevant TriMas Companies will try to resolve the Grantee’s concerns. However, if the Grantee considers that the Relevant TriMas Companies is in breach of its obligations under data protection laws, the Grantee may lodge a complaint with the Information Commissioner’s Office in the United Kingdom (such as by accessing </w:t>
      </w:r>
      <w:r>
        <w:rPr>
          <w:rFonts w:ascii="Times New Roman" w:cs="Times New Roman" w:eastAsia="Times New Roman" w:hAnsi="Times New Roman"/>
          <w:sz w:val="21"/>
          <w:szCs w:val="21"/>
          <w:u w:val="single" w:color="auto"/>
          <w:color w:val="0000FF"/>
        </w:rPr>
        <w:t>https://ico.org.uk/concerns/</w:t>
      </w:r>
      <w:r>
        <w:rPr>
          <w:rFonts w:ascii="Times New Roman" w:cs="Times New Roman" w:eastAsia="Times New Roman" w:hAnsi="Times New Roman"/>
          <w:sz w:val="21"/>
          <w:szCs w:val="21"/>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Loss of Office or Employment</w:t>
      </w:r>
      <w:r>
        <w:rPr>
          <w:rFonts w:ascii="Times New Roman" w:cs="Times New Roman" w:eastAsia="Times New Roman" w:hAnsi="Times New Roman"/>
          <w:sz w:val="22"/>
          <w:szCs w:val="22"/>
          <w:color w:val="auto"/>
        </w:rPr>
        <w:t>. A new Section II.B.17 is added to the Agreement to read as follows:</w:t>
      </w:r>
    </w:p>
    <w:p>
      <w:pPr>
        <w:spacing w:after="0" w:line="251" w:lineRule="exact"/>
        <w:rPr>
          <w:sz w:val="20"/>
          <w:szCs w:val="20"/>
          <w:color w:val="auto"/>
        </w:rPr>
      </w:pPr>
    </w:p>
    <w:p>
      <w:pPr>
        <w:jc w:val="both"/>
        <w:ind w:left="1300" w:right="640"/>
        <w:spacing w:after="0" w:line="253" w:lineRule="auto"/>
        <w:rPr>
          <w:sz w:val="20"/>
          <w:szCs w:val="20"/>
          <w:color w:val="auto"/>
        </w:rPr>
      </w:pPr>
      <w:r>
        <w:rPr>
          <w:rFonts w:ascii="Times New Roman" w:cs="Times New Roman" w:eastAsia="Times New Roman" w:hAnsi="Times New Roman"/>
          <w:sz w:val="22"/>
          <w:szCs w:val="22"/>
          <w:color w:val="auto"/>
        </w:rPr>
        <w:t>“In no circumstances shall Grantee, on ceasing to hold the office or employment by virtue of which he has been granted this Award, be entitled to any compensation for any loss of any right or benefit or prospective right or benefit under this Award or the Plan which he might otherwise have enjoyed whether such compensation is claimed by way of damages for wrongful dismissal or other breach of contract or by way of compensation for loss of office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xi</w:t>
      </w:r>
    </w:p>
    <w:p>
      <w:pPr>
        <w:sectPr>
          <w:pgSz w:w="11900" w:h="16838" w:orient="portrait"/>
          <w:cols w:equalWidth="0" w:num="1">
            <w:col w:w="11240"/>
          </w:cols>
          <w:pgMar w:left="320" w:top="1422"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2"/>
          <w:szCs w:val="22"/>
          <w:b w:val="1"/>
          <w:bCs w:val="1"/>
          <w:color w:val="auto"/>
        </w:rPr>
        <w:t>APPENDIX 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CALIFORNIA ADDENDUM</w:t>
      </w:r>
    </w:p>
    <w:p>
      <w:pPr>
        <w:spacing w:after="0" w:line="247"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b w:val="1"/>
          <w:bCs w:val="1"/>
          <w:color w:val="auto"/>
        </w:rPr>
        <w:t>Additional Terms and Conditions for Equity Grants Under the TriMas Corporation 2023 Equity and Incentive Compensation Plan,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Addendum includes additional terms and conditions that govern the Restricted Stock Units granted to you under the TriMas Corporation 2023 Equity and Incentive Compensation Plan (referred to as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if you are employed and/or reside in California or if the Company determines that the application of such terms and conditions is necessary or advisable in order to comply with applicable law. Certain capitalized terms used but not defined in this Addendum have the meanings set forth in the Plan and/or your award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Restrictive Covenants</w:t>
      </w:r>
      <w:r>
        <w:rPr>
          <w:rFonts w:ascii="Times New Roman" w:cs="Times New Roman" w:eastAsia="Times New Roman" w:hAnsi="Times New Roman"/>
          <w:sz w:val="22"/>
          <w:szCs w:val="22"/>
          <w:color w:val="auto"/>
        </w:rPr>
        <w:t>. Section II.B.3 of the Agreement is hereby amended in its entirety to read as follows:</w:t>
      </w:r>
    </w:p>
    <w:p>
      <w:pPr>
        <w:spacing w:after="0" w:line="247" w:lineRule="exact"/>
        <w:rPr>
          <w:sz w:val="20"/>
          <w:szCs w:val="20"/>
          <w:color w:val="auto"/>
        </w:rPr>
      </w:pPr>
    </w:p>
    <w:p>
      <w:pPr>
        <w:ind w:left="220"/>
        <w:spacing w:after="0"/>
        <w:tabs>
          <w:tab w:leader="none" w:pos="68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3.</w:t>
      </w:r>
      <w:r>
        <w:rPr>
          <w:sz w:val="20"/>
          <w:szCs w:val="20"/>
          <w:color w:val="auto"/>
        </w:rPr>
        <w:tab/>
      </w:r>
      <w:r>
        <w:rPr>
          <w:rFonts w:ascii="Times New Roman" w:cs="Times New Roman" w:eastAsia="Times New Roman" w:hAnsi="Times New Roman"/>
          <w:sz w:val="21"/>
          <w:szCs w:val="21"/>
          <w:b w:val="1"/>
          <w:bCs w:val="1"/>
          <w:u w:val="single" w:color="auto"/>
          <w:color w:val="auto"/>
        </w:rPr>
        <w:t>Restrictive Covenants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40" w:firstLine="644"/>
        <w:spacing w:after="0" w:line="258" w:lineRule="auto"/>
        <w:tabs>
          <w:tab w:leader="none" w:pos="1936"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Restricted Stock Units or Common Stock to Grantee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Grantee’s 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w:t>
      </w:r>
    </w:p>
    <w:p>
      <w:pPr>
        <w:spacing w:after="0" w:line="167" w:lineRule="exact"/>
        <w:rPr>
          <w:rFonts w:ascii="Times New Roman" w:cs="Times New Roman" w:eastAsia="Times New Roman" w:hAnsi="Times New Roman"/>
          <w:sz w:val="22"/>
          <w:szCs w:val="22"/>
          <w:color w:val="auto"/>
        </w:rPr>
      </w:pPr>
    </w:p>
    <w:p>
      <w:pPr>
        <w:jc w:val="both"/>
        <w:ind w:left="640" w:firstLine="644"/>
        <w:spacing w:after="0" w:line="248" w:lineRule="auto"/>
        <w:tabs>
          <w:tab w:leader="none" w:pos="1935"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w:t>
      </w:r>
      <w:r>
        <w:rPr>
          <w:rFonts w:ascii="Times New Roman" w:cs="Times New Roman" w:eastAsia="Times New Roman" w:hAnsi="Times New Roman"/>
          <w:sz w:val="22"/>
          <w:szCs w:val="22"/>
          <w:color w:val="auto"/>
        </w:rPr>
        <w:t>. Recognizing Grantee’s fiduciary duties to the Company, as a condition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II.B.3 shall not result in the forfeiture of Restricted Stock Units or any clawback or recoupment of the Award for the disclosure of a trade secret if that disclosure (1) is made in confidence to a federal, state or local government official or to an attorney for the sole purpose of reporting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40"/>
          </w:cols>
          <w:pgMar w:left="320" w:top="1418" w:right="339" w:bottom="1440" w:gutter="0" w:footer="0" w:header="0"/>
        </w:sectPr>
      </w:pPr>
    </w:p>
    <w:bookmarkStart w:id="107" w:name="page108"/>
    <w:bookmarkEnd w:id="107"/>
    <w:p>
      <w:pPr>
        <w:jc w:val="both"/>
        <w:ind w:left="420"/>
        <w:spacing w:after="0" w:line="247" w:lineRule="auto"/>
        <w:rPr>
          <w:sz w:val="20"/>
          <w:szCs w:val="20"/>
          <w:color w:val="auto"/>
        </w:rPr>
      </w:pPr>
      <w:r>
        <w:rPr>
          <w:rFonts w:ascii="Times New Roman" w:cs="Times New Roman" w:eastAsia="Times New Roman" w:hAnsi="Times New Roman"/>
          <w:sz w:val="22"/>
          <w:szCs w:val="22"/>
          <w:color w:val="auto"/>
        </w:rPr>
        <w:t>investigating a suspected violation of law or (2) is made in a complaint or other document filed in a lawsuit or other proceeding, if such filing is made under seal. Pursuant to 18 U.S.C. § 1833(b), and as set forth fully therein, notice is hereby given that Grantee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nothing in this Agreement prohibits or is intended to restrict or impede Grantee from discussing the terms and conditions of their employment with coworkers or union representatives or exercising protected rights under Section 7 of the National Labor Relations Act, or prevents Grantee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191" w:lineRule="exact"/>
        <w:rPr>
          <w:sz w:val="20"/>
          <w:szCs w:val="20"/>
          <w:color w:val="auto"/>
        </w:rPr>
      </w:pPr>
    </w:p>
    <w:p>
      <w:pPr>
        <w:jc w:val="both"/>
        <w:ind w:left="420" w:firstLine="644"/>
        <w:spacing w:after="0" w:line="249" w:lineRule="auto"/>
        <w:tabs>
          <w:tab w:leader="none" w:pos="171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 Against Solicitation</w:t>
      </w:r>
      <w:r>
        <w:rPr>
          <w:rFonts w:ascii="Times New Roman" w:cs="Times New Roman" w:eastAsia="Times New Roman" w:hAnsi="Times New Roman"/>
          <w:sz w:val="22"/>
          <w:szCs w:val="22"/>
          <w:color w:val="auto"/>
        </w:rPr>
        <w:t>. Grantee further understands and agrees that while Grantee is employed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 The “Business” shall mean the design, development, manufacture, distribution, sale or marketing of the type of products or services sold, distributed or provided by the Company during the one-year period prior to the date of employment termination and with which Grantee was involved and/or oversaw.</w:t>
      </w:r>
    </w:p>
    <w:p>
      <w:pPr>
        <w:spacing w:after="0" w:line="183" w:lineRule="exact"/>
        <w:rPr>
          <w:rFonts w:ascii="Times New Roman" w:cs="Times New Roman" w:eastAsia="Times New Roman" w:hAnsi="Times New Roman"/>
          <w:sz w:val="22"/>
          <w:szCs w:val="22"/>
          <w:color w:val="auto"/>
        </w:rPr>
      </w:pPr>
    </w:p>
    <w:p>
      <w:pPr>
        <w:jc w:val="both"/>
        <w:ind w:left="420" w:firstLine="644"/>
        <w:spacing w:after="0" w:line="253" w:lineRule="auto"/>
        <w:tabs>
          <w:tab w:leader="none" w:pos="1715"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Determination by the Board</w:t>
      </w:r>
      <w:r>
        <w:rPr>
          <w:rFonts w:ascii="Times New Roman" w:cs="Times New Roman" w:eastAsia="Times New Roman" w:hAnsi="Times New Roman"/>
          <w:sz w:val="22"/>
          <w:szCs w:val="22"/>
          <w:color w:val="auto"/>
        </w:rPr>
        <w:t>. Upon entering into this Agreement, Grantee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020"/>
          </w:cols>
          <w:pgMar w:left="540" w:top="1422" w:right="339" w:bottom="1440" w:gutter="0" w:footer="0" w:header="0"/>
        </w:sectPr>
      </w:pPr>
    </w:p>
    <w:bookmarkStart w:id="108" w:name="page109"/>
    <w:bookmarkEnd w:id="108"/>
    <w:p>
      <w:pPr>
        <w:ind w:left="1940" w:hanging="656"/>
        <w:spacing w:after="0"/>
        <w:tabs>
          <w:tab w:leader="none" w:pos="194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The following definitions shall apply solely with respect to this Section II.B.3:</w:t>
      </w:r>
    </w:p>
    <w:p>
      <w:pPr>
        <w:spacing w:after="0" w:line="219" w:lineRule="exact"/>
        <w:rPr>
          <w:rFonts w:ascii="Times New Roman" w:cs="Times New Roman" w:eastAsia="Times New Roman" w:hAnsi="Times New Roman"/>
          <w:sz w:val="22"/>
          <w:szCs w:val="22"/>
          <w:color w:val="auto"/>
        </w:rPr>
      </w:pPr>
    </w:p>
    <w:p>
      <w:pPr>
        <w:jc w:val="both"/>
        <w:ind w:left="1300" w:firstLine="622"/>
        <w:spacing w:after="0" w:line="250" w:lineRule="auto"/>
        <w:tabs>
          <w:tab w:leader="none" w:pos="2440"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93" w:lineRule="exact"/>
        <w:rPr>
          <w:rFonts w:ascii="Times New Roman" w:cs="Times New Roman" w:eastAsia="Times New Roman" w:hAnsi="Times New Roman"/>
          <w:sz w:val="22"/>
          <w:szCs w:val="22"/>
          <w:color w:val="auto"/>
        </w:rPr>
      </w:pPr>
    </w:p>
    <w:p>
      <w:pPr>
        <w:jc w:val="both"/>
        <w:ind w:left="1300" w:firstLine="622"/>
        <w:spacing w:after="0" w:line="248" w:lineRule="auto"/>
        <w:tabs>
          <w:tab w:leader="none" w:pos="2589"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79" w:lineRule="exact"/>
        <w:rPr>
          <w:rFonts w:ascii="Times New Roman" w:cs="Times New Roman" w:eastAsia="Times New Roman" w:hAnsi="Times New Roman"/>
          <w:sz w:val="22"/>
          <w:szCs w:val="22"/>
          <w:color w:val="auto"/>
        </w:rPr>
      </w:pPr>
    </w:p>
    <w:p>
      <w:pPr>
        <w:ind w:left="640" w:firstLine="644"/>
        <w:spacing w:after="0" w:line="275" w:lineRule="auto"/>
        <w:tabs>
          <w:tab w:leader="none" w:pos="1885"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Privacy</w:t>
      </w:r>
      <w:r>
        <w:rPr>
          <w:rFonts w:ascii="Times New Roman" w:cs="Times New Roman" w:eastAsia="Times New Roman" w:hAnsi="Times New Roman"/>
          <w:sz w:val="22"/>
          <w:szCs w:val="22"/>
          <w:color w:val="auto"/>
        </w:rPr>
        <w:t>. A new Section II.B.16 is added to the Agreement to read as follows:</w:t>
      </w:r>
    </w:p>
    <w:p>
      <w:pPr>
        <w:spacing w:after="0" w:line="260" w:lineRule="exact"/>
        <w:rPr>
          <w:sz w:val="20"/>
          <w:szCs w:val="20"/>
          <w:color w:val="auto"/>
        </w:rPr>
      </w:pPr>
    </w:p>
    <w:p>
      <w:pPr>
        <w:jc w:val="both"/>
        <w:ind w:firstLine="594"/>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Privacy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Company respects Grantee’s privacy. In order to administer Grantee’s equity award, the Company collects and uses certain personal information about Grantee, including Grantee’s prior equity grant information where applicable. If Grantee is a California resident, Grantee should refer to the Company’s California Consumer Privacy Act Notice for more information about the personal information the Company collects about Grantee and the purposes for which the Company will use such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1240"/>
          </w:cols>
          <w:pgMar w:left="320" w:top="1418"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Restricted Stock Units Award</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To Board of Directors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EQUITY AND INCENTIVE COMPENSATION PLAN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TriMas Corporation (the “Company”), as permitted by the TriMas Corporation 2023 Equity and Incentive Compensation Plan (“Plan”), and as approved by the Committee, has granted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Unless otherwise defined in this Agreement, the terms used in this Agreement have the same meanings as defined in the Plan. The term “Service Provider” as used in this Agreement means an individual actively providing services to the Company or a Subsidiary. A Service Provider includes a member of the Board.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I.  NOTICE OF AWARD</w:t>
            </w:r>
          </w:p>
        </w:tc>
        <w:tc>
          <w:tcPr>
            <w:tcW w:w="4380" w:type="dxa"/>
            <w:vAlign w:val="bottom"/>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516"/>
        </w:trPr>
        <w:tc>
          <w:tcPr>
            <w:tcW w:w="4720" w:type="dxa"/>
            <w:vAlign w:val="bottom"/>
            <w:gridSpan w:val="3"/>
          </w:tcPr>
          <w:p>
            <w:pPr>
              <w:ind w:left="180"/>
              <w:spacing w:after="0"/>
              <w:rPr>
                <w:sz w:val="20"/>
                <w:szCs w:val="20"/>
                <w:color w:val="auto"/>
              </w:rPr>
            </w:pPr>
            <w:r>
              <w:rPr>
                <w:rFonts w:ascii="Times New Roman" w:cs="Times New Roman" w:eastAsia="Times New Roman" w:hAnsi="Times New Roman"/>
                <w:sz w:val="22"/>
                <w:szCs w:val="22"/>
                <w:b w:val="1"/>
                <w:bCs w:val="1"/>
                <w:color w:val="auto"/>
              </w:rPr>
              <w:t>Grantee:</w:t>
            </w:r>
          </w:p>
        </w:tc>
        <w:tc>
          <w:tcPr>
            <w:tcW w:w="43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[specify Grantee’s name]</w:t>
            </w:r>
          </w:p>
        </w:tc>
      </w:tr>
      <w:tr>
        <w:trPr>
          <w:trHeight w:val="270"/>
        </w:trPr>
        <w:tc>
          <w:tcPr>
            <w:tcW w:w="4720" w:type="dxa"/>
            <w:vAlign w:val="bottom"/>
            <w:gridSpan w:val="3"/>
          </w:tcPr>
          <w:p>
            <w:pPr>
              <w:ind w:left="180"/>
              <w:spacing w:after="0"/>
              <w:rPr>
                <w:sz w:val="20"/>
                <w:szCs w:val="20"/>
                <w:color w:val="auto"/>
              </w:rPr>
            </w:pPr>
            <w:r>
              <w:rPr>
                <w:rFonts w:ascii="Times New Roman" w:cs="Times New Roman" w:eastAsia="Times New Roman" w:hAnsi="Times New Roman"/>
                <w:sz w:val="22"/>
                <w:szCs w:val="22"/>
                <w:b w:val="1"/>
                <w:bCs w:val="1"/>
                <w:color w:val="auto"/>
              </w:rPr>
              <w:t>Date of Agreement:</w:t>
            </w:r>
          </w:p>
        </w:tc>
        <w:tc>
          <w:tcPr>
            <w:tcW w:w="43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As of [enter date]</w:t>
            </w:r>
          </w:p>
        </w:tc>
      </w:tr>
      <w:tr>
        <w:trPr>
          <w:trHeight w:val="270"/>
        </w:trPr>
        <w:tc>
          <w:tcPr>
            <w:tcW w:w="4720" w:type="dxa"/>
            <w:vAlign w:val="bottom"/>
            <w:gridSpan w:val="3"/>
          </w:tcPr>
          <w:p>
            <w:pPr>
              <w:ind w:left="180"/>
              <w:spacing w:after="0"/>
              <w:rPr>
                <w:sz w:val="20"/>
                <w:szCs w:val="20"/>
                <w:color w:val="auto"/>
              </w:rPr>
            </w:pPr>
            <w:r>
              <w:rPr>
                <w:rFonts w:ascii="Times New Roman" w:cs="Times New Roman" w:eastAsia="Times New Roman" w:hAnsi="Times New Roman"/>
                <w:sz w:val="22"/>
                <w:szCs w:val="22"/>
                <w:b w:val="1"/>
                <w:bCs w:val="1"/>
                <w:color w:val="auto"/>
              </w:rPr>
              <w:t>Date of Grant:</w:t>
            </w:r>
          </w:p>
        </w:tc>
        <w:tc>
          <w:tcPr>
            <w:tcW w:w="43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[grant date]</w:t>
            </w:r>
          </w:p>
        </w:tc>
      </w:tr>
      <w:tr>
        <w:trPr>
          <w:trHeight w:val="286"/>
        </w:trPr>
        <w:tc>
          <w:tcPr>
            <w:tcW w:w="4720" w:type="dxa"/>
            <w:vAlign w:val="bottom"/>
            <w:gridSpan w:val="3"/>
          </w:tcPr>
          <w:p>
            <w:pPr>
              <w:ind w:left="180"/>
              <w:spacing w:after="0"/>
              <w:rPr>
                <w:sz w:val="20"/>
                <w:szCs w:val="20"/>
                <w:color w:val="auto"/>
              </w:rPr>
            </w:pPr>
            <w:r>
              <w:rPr>
                <w:rFonts w:ascii="Times New Roman" w:cs="Times New Roman" w:eastAsia="Times New Roman" w:hAnsi="Times New Roman"/>
                <w:sz w:val="22"/>
                <w:szCs w:val="22"/>
                <w:b w:val="1"/>
                <w:bCs w:val="1"/>
                <w:color w:val="auto"/>
              </w:rPr>
              <w:t>Number of Restricted Stock Units:</w:t>
            </w:r>
          </w:p>
        </w:tc>
        <w:tc>
          <w:tcPr>
            <w:tcW w:w="438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7"/>
              </w:rPr>
              <w:t>[number of Restricted Stock Units]</w:t>
            </w:r>
          </w:p>
        </w:tc>
      </w:tr>
    </w:tbl>
    <w:p>
      <w:pPr>
        <w:spacing w:after="0" w:line="321" w:lineRule="exact"/>
        <w:rPr>
          <w:sz w:val="20"/>
          <w:szCs w:val="20"/>
          <w:color w:val="auto"/>
        </w:rPr>
      </w:pPr>
    </w:p>
    <w:p>
      <w:pPr>
        <w:ind w:left="440" w:hanging="432"/>
        <w:spacing w:after="0"/>
        <w:tabs>
          <w:tab w:leader="none" w:pos="440"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AGREEMENT</w:t>
      </w:r>
    </w:p>
    <w:p>
      <w:pPr>
        <w:spacing w:after="0" w:line="206" w:lineRule="exact"/>
        <w:rPr>
          <w:sz w:val="20"/>
          <w:szCs w:val="20"/>
          <w:color w:val="auto"/>
        </w:rPr>
      </w:pPr>
    </w:p>
    <w:p>
      <w:pPr>
        <w:jc w:val="both"/>
        <w:ind w:firstLine="8"/>
        <w:spacing w:after="0" w:line="244" w:lineRule="auto"/>
        <w:tabs>
          <w:tab w:leader="none" w:pos="439"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Grant of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granted to Grantee (who, pursuant to this Award is a Participant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the number of Restricted Stock Units set forth above, subject to the terms of this Agreement. The Restricted Stock Units evidenced by this Agreement are payable only in shares of Common Stock as described in Section II.A.2. Notwithstanding anything to the contrary anywhere else in this Agreement, the Restricted Stock Units subject to this Award are subject to the terms and provisions of the Plan, which are incorporated by reference into this Agreement.</w:t>
      </w:r>
    </w:p>
    <w:p>
      <w:pPr>
        <w:spacing w:after="0" w:line="185" w:lineRule="exact"/>
        <w:rPr>
          <w:rFonts w:ascii="Times New Roman" w:cs="Times New Roman" w:eastAsia="Times New Roman" w:hAnsi="Times New Roman"/>
          <w:sz w:val="22"/>
          <w:szCs w:val="22"/>
          <w:b w:val="1"/>
          <w:bCs w:val="1"/>
          <w:color w:val="auto"/>
        </w:rPr>
      </w:pPr>
    </w:p>
    <w:p>
      <w:pPr>
        <w:ind w:left="600" w:hanging="376"/>
        <w:spacing w:after="0"/>
        <w:tabs>
          <w:tab w:leader="none" w:pos="600" w:val="left"/>
        </w:tabs>
        <w:numPr>
          <w:ilvl w:val="1"/>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left="660" w:firstLine="644"/>
        <w:spacing w:after="0" w:line="265" w:lineRule="auto"/>
        <w:tabs>
          <w:tab w:leader="none" w:pos="1953" w:val="left"/>
        </w:tabs>
        <w:numPr>
          <w:ilvl w:val="2"/>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II.A.1(b), the Restricted Stock Units will vest in full on the first anniversary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Date of Grant (the “Vesting Date”), subject generally to Grantee’s continued status as a Service Provider through such Vesting Date. In particular, this Award is subject to Section 18(c) of the Plan.</w:t>
      </w:r>
    </w:p>
    <w:p>
      <w:pPr>
        <w:sectPr>
          <w:pgSz w:w="11900" w:h="16838" w:orient="portrait"/>
          <w:cols w:equalWidth="0" w:num="1">
            <w:col w:w="11240"/>
          </w:cols>
          <w:pgMar w:left="320" w:top="338" w:right="339" w:bottom="1440" w:gutter="0" w:footer="0" w:header="0"/>
        </w:sectPr>
      </w:pPr>
    </w:p>
    <w:bookmarkStart w:id="110" w:name="page111"/>
    <w:bookmarkEnd w:id="110"/>
    <w:p>
      <w:pPr>
        <w:jc w:val="both"/>
        <w:ind w:left="440" w:firstLine="644"/>
        <w:spacing w:after="0" w:line="252" w:lineRule="auto"/>
        <w:tabs>
          <w:tab w:leader="none" w:pos="173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Service; Forfeiture</w:t>
      </w:r>
      <w:r>
        <w:rPr>
          <w:rFonts w:ascii="Times New Roman" w:cs="Times New Roman" w:eastAsia="Times New Roman" w:hAnsi="Times New Roman"/>
          <w:sz w:val="22"/>
          <w:szCs w:val="22"/>
          <w:color w:val="auto"/>
        </w:rPr>
        <w:t>. Any unvested Restricted Stock Units subject to this Award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canceled and forfeited if Grantee terminates as a Service Provider, or if Grantee’s status as a Service Provider is terminated by the Company, for any reason before the Vesting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if Grantee ceases to be a Service Provider prior to the Vesting Date as a result of Grantee’s death, Disability or Retirement, Grantee shall fully vest in the Restricted Stock Units subject to this Award as of the date on which Grantee ceases to be a Service Provider due to Grantee’s death, Disability or Retirement.</w:t>
      </w:r>
    </w:p>
    <w:p>
      <w:pPr>
        <w:spacing w:after="0" w:line="174" w:lineRule="exact"/>
        <w:rPr>
          <w:rFonts w:ascii="Times New Roman" w:cs="Times New Roman" w:eastAsia="Times New Roman" w:hAnsi="Times New Roman"/>
          <w:sz w:val="22"/>
          <w:szCs w:val="22"/>
          <w:color w:val="auto"/>
        </w:rPr>
      </w:pPr>
    </w:p>
    <w:p>
      <w:pPr>
        <w:jc w:val="both"/>
        <w:ind w:left="440" w:firstLine="644"/>
        <w:spacing w:after="0" w:line="254" w:lineRule="auto"/>
        <w:tabs>
          <w:tab w:leader="none" w:pos="1733"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Disability Definition</w:t>
      </w:r>
      <w:r>
        <w:rPr>
          <w:rFonts w:ascii="Times New Roman" w:cs="Times New Roman" w:eastAsia="Times New Roman" w:hAnsi="Times New Roman"/>
          <w:sz w:val="22"/>
          <w:szCs w:val="22"/>
          <w:color w:val="auto"/>
        </w:rPr>
        <w:t>. For purposes of this Agreement, “Disability” (and similar terms) means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physical or mental condition resulting from any medically determinable physical or mental impairment that renders Grantee incapable of engaging in any substantial gainful employment and that can be expected to result in death or that has lasted or can be expected to last for a continuous period of not less than 365 days. Notwithstanding the foregoing, Grantee shall not be deemed to be Disabled as a result of any condition that:</w:t>
      </w:r>
    </w:p>
    <w:p>
      <w:pPr>
        <w:spacing w:after="0" w:line="177" w:lineRule="exact"/>
        <w:rPr>
          <w:rFonts w:ascii="Times New Roman" w:cs="Times New Roman" w:eastAsia="Times New Roman" w:hAnsi="Times New Roman"/>
          <w:sz w:val="22"/>
          <w:szCs w:val="22"/>
          <w:color w:val="auto"/>
        </w:rPr>
      </w:pPr>
    </w:p>
    <w:p>
      <w:pPr>
        <w:ind w:left="1080" w:firstLine="652"/>
        <w:spacing w:after="0" w:line="271" w:lineRule="auto"/>
        <w:tabs>
          <w:tab w:leader="none" w:pos="2223"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contracted, suffered, or incurred while Grantee was engaged in, or resulted from Grantee having engaged in, a felonious activity;</w:t>
      </w:r>
    </w:p>
    <w:p>
      <w:pPr>
        <w:spacing w:after="0" w:line="184" w:lineRule="exact"/>
        <w:rPr>
          <w:rFonts w:ascii="Times New Roman" w:cs="Times New Roman" w:eastAsia="Times New Roman" w:hAnsi="Times New Roman"/>
          <w:sz w:val="22"/>
          <w:szCs w:val="22"/>
          <w:color w:val="auto"/>
        </w:rPr>
      </w:pPr>
    </w:p>
    <w:p>
      <w:pPr>
        <w:ind w:left="1080" w:right="20" w:firstLine="652"/>
        <w:spacing w:after="0" w:line="284" w:lineRule="auto"/>
        <w:tabs>
          <w:tab w:leader="none" w:pos="2291"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an intentionally self-inflicted injury or an addiction to drugs, alcohol, or substances which are not administered under the direction of a licensed physician as part of a medical treatment plan; or</w:t>
      </w:r>
    </w:p>
    <w:p>
      <w:pPr>
        <w:spacing w:after="0" w:line="170" w:lineRule="exact"/>
        <w:rPr>
          <w:rFonts w:ascii="Times New Roman" w:cs="Times New Roman" w:eastAsia="Times New Roman" w:hAnsi="Times New Roman"/>
          <w:sz w:val="22"/>
          <w:szCs w:val="22"/>
          <w:color w:val="auto"/>
        </w:rPr>
      </w:pPr>
    </w:p>
    <w:p>
      <w:pPr>
        <w:jc w:val="both"/>
        <w:ind w:left="1080" w:firstLine="652"/>
        <w:spacing w:after="0" w:line="257" w:lineRule="auto"/>
        <w:tabs>
          <w:tab w:leader="none" w:pos="2309"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service in the Armed Forces of the United States for which Grantee received or is receiving a disability benefit or pension from the United States, or from service in the armed forces of any other country irrespective of any disability benefit or pension.</w:t>
      </w:r>
    </w:p>
    <w:p>
      <w:pPr>
        <w:spacing w:after="0" w:line="200" w:lineRule="exact"/>
        <w:rPr>
          <w:sz w:val="20"/>
          <w:szCs w:val="20"/>
          <w:color w:val="auto"/>
        </w:rPr>
      </w:pPr>
    </w:p>
    <w:p>
      <w:pPr>
        <w:jc w:val="both"/>
        <w:ind w:left="440"/>
        <w:spacing w:after="0" w:line="248" w:lineRule="auto"/>
        <w:rPr>
          <w:sz w:val="20"/>
          <w:szCs w:val="20"/>
          <w:color w:val="auto"/>
        </w:rPr>
      </w:pPr>
      <w:r>
        <w:rPr>
          <w:rFonts w:ascii="Times New Roman" w:cs="Times New Roman" w:eastAsia="Times New Roman" w:hAnsi="Times New Roman"/>
          <w:sz w:val="22"/>
          <w:szCs w:val="22"/>
          <w:color w:val="auto"/>
        </w:rPr>
        <w:t>The Disability of Grantee and the date on which Grantee ceases to be a Service Provider by reason of Disability shall be determined by the Committee, in accordance with uniform principles consistently applied, on the basis of such evidence as the Committee and the Company deem necessary and desirable, and its good faith determination shall be conclusive for all purposes of the Plan. The Committee or the Company shall have the right to require Grantee to submit to an examination by a physician or physicians and to submit to such reexaminations as the Committee or the Company shall require in order to make a determination concerning Grantee’s physical or mental condition; provided, however, that Grantee may not be required to undergo a medical examination more often than once each 180 days. If Grantee engages in any occupation or employment (except for rehabilitation as determined by the Committee) for remuneration or profit, which activity would be inconsistent with the finding of Disability, or if the Committee, on the recommendation of the Company, determines on the basis of a medical examination that Grantee no longer has a Disability, or if Grantee refuses to submit to any medical examination properly requested by the Committee or the Company, then in any such event Grantee shall be deemed to have recovered from such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20"/>
          </w:cols>
          <w:pgMar w:left="540" w:top="1418" w:right="339" w:bottom="1440" w:gutter="0" w:footer="0" w:header="0"/>
        </w:sectPr>
      </w:pPr>
    </w:p>
    <w:bookmarkStart w:id="111" w:name="page112"/>
    <w:bookmarkEnd w:id="111"/>
    <w:p>
      <w:pPr>
        <w:spacing w:after="0" w:line="221" w:lineRule="exact"/>
        <w:rPr>
          <w:sz w:val="20"/>
          <w:szCs w:val="20"/>
          <w:color w:val="auto"/>
        </w:rPr>
      </w:pPr>
    </w:p>
    <w:p>
      <w:pPr>
        <w:jc w:val="both"/>
        <w:ind w:left="652" w:right="360" w:firstLine="644"/>
        <w:spacing w:after="0" w:line="259" w:lineRule="auto"/>
        <w:tabs>
          <w:tab w:leader="none" w:pos="1943" w:val="left"/>
        </w:tabs>
        <w:numPr>
          <w:ilvl w:val="3"/>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Retirement Definition</w:t>
      </w:r>
      <w:r>
        <w:rPr>
          <w:rFonts w:ascii="Times New Roman" w:cs="Times New Roman" w:eastAsia="Times New Roman" w:hAnsi="Times New Roman"/>
          <w:sz w:val="22"/>
          <w:szCs w:val="22"/>
          <w:color w:val="auto"/>
        </w:rPr>
        <w:t>. For purposes of this Agreement, “Retirement” means termination of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status as a Service Provider with the consent of the Committee after attaining age 55 and five years of service with the Company and its Subsidiaries.</w:t>
      </w:r>
    </w:p>
    <w:p>
      <w:pPr>
        <w:spacing w:after="0" w:line="179" w:lineRule="exact"/>
        <w:rPr>
          <w:rFonts w:ascii="Times New Roman" w:cs="Times New Roman" w:eastAsia="Times New Roman" w:hAnsi="Times New Roman"/>
          <w:sz w:val="22"/>
          <w:szCs w:val="22"/>
          <w:color w:val="auto"/>
        </w:rPr>
      </w:pPr>
    </w:p>
    <w:p>
      <w:pPr>
        <w:ind w:left="592" w:hanging="376"/>
        <w:spacing w:after="0"/>
        <w:tabs>
          <w:tab w:leader="none" w:pos="592"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Settlement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left="652" w:firstLine="644"/>
        <w:spacing w:after="0" w:line="259" w:lineRule="auto"/>
        <w:tabs>
          <w:tab w:leader="none" w:pos="1945" w:val="left"/>
        </w:tabs>
        <w:numPr>
          <w:ilvl w:val="3"/>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II.A.2(b) below, and as soon as administratively practicable following (but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later than thirty (30) days following) the Vesting Date, the Company shall issue Grantee one share of Common Stock for each vested Restricted Stock Unit.</w:t>
      </w:r>
    </w:p>
    <w:p>
      <w:pPr>
        <w:spacing w:after="0" w:line="166" w:lineRule="exact"/>
        <w:rPr>
          <w:rFonts w:ascii="Times New Roman" w:cs="Times New Roman" w:eastAsia="Times New Roman" w:hAnsi="Times New Roman"/>
          <w:sz w:val="22"/>
          <w:szCs w:val="22"/>
          <w:color w:val="auto"/>
        </w:rPr>
      </w:pPr>
    </w:p>
    <w:p>
      <w:pPr>
        <w:jc w:val="both"/>
        <w:ind w:left="652" w:firstLine="644"/>
        <w:spacing w:after="0" w:line="254" w:lineRule="auto"/>
        <w:tabs>
          <w:tab w:leader="none" w:pos="1943" w:val="left"/>
        </w:tabs>
        <w:numPr>
          <w:ilvl w:val="3"/>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Payment Events</w:t>
      </w:r>
      <w:r>
        <w:rPr>
          <w:rFonts w:ascii="Times New Roman" w:cs="Times New Roman" w:eastAsia="Times New Roman" w:hAnsi="Times New Roman"/>
          <w:sz w:val="22"/>
          <w:szCs w:val="22"/>
          <w:color w:val="auto"/>
        </w:rPr>
        <w:t>. Notwithstanding Section II.A.2(a), to the extent the Restricted Stock Units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vested as a result of Section II.A.1(b) (and have not previously been settled) on the date of Grantee’s “separation from service” (within the meaning of Treasury Regulation Section 1.409A-1(h)), the Company shall issue Grantee one share of Common Stock for each vested Restricted Stock Unit as soon as practicable following (but no later than thirty (30) days following) the date of such separation from service.</w:t>
      </w:r>
    </w:p>
    <w:p>
      <w:pPr>
        <w:spacing w:after="0" w:line="173" w:lineRule="exact"/>
        <w:rPr>
          <w:rFonts w:ascii="Times New Roman" w:cs="Times New Roman" w:eastAsia="Times New Roman" w:hAnsi="Times New Roman"/>
          <w:sz w:val="22"/>
          <w:szCs w:val="22"/>
          <w:color w:val="auto"/>
        </w:rPr>
      </w:pPr>
    </w:p>
    <w:p>
      <w:pPr>
        <w:jc w:val="both"/>
        <w:ind w:left="72" w:firstLine="238"/>
        <w:spacing w:after="0" w:line="250" w:lineRule="auto"/>
        <w:tabs>
          <w:tab w:leader="none" w:pos="706" w:val="left"/>
        </w:tabs>
        <w:numPr>
          <w:ilvl w:val="1"/>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 Equivalent Rights</w:t>
      </w:r>
      <w:r>
        <w:rPr>
          <w:rFonts w:ascii="Times New Roman" w:cs="Times New Roman" w:eastAsia="Times New Roman" w:hAnsi="Times New Roman"/>
          <w:sz w:val="22"/>
          <w:szCs w:val="22"/>
          <w:color w:val="auto"/>
        </w:rPr>
        <w:t>. Grantee shall be credited with cash per Restricted Stock Unit equal to the amount of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 dividend paid by the Company (if any) to holders of Common Stock generally with a record date occurring on or after the Date of Grant and prior to the time when the Restricted Stock Units are settled in accordance with Section II.A.2 hereof.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Common Stock, as determined by the Committee in its sole discretion, at the same time as the Restricted Stock Units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79" w:lineRule="exact"/>
        <w:rPr>
          <w:rFonts w:ascii="Times New Roman" w:cs="Times New Roman" w:eastAsia="Times New Roman" w:hAnsi="Times New Roman"/>
          <w:sz w:val="22"/>
          <w:szCs w:val="22"/>
          <w:b w:val="1"/>
          <w:bCs w:val="1"/>
          <w:color w:val="auto"/>
        </w:rPr>
      </w:pPr>
    </w:p>
    <w:p>
      <w:pPr>
        <w:ind w:left="72" w:right="20" w:firstLine="265"/>
        <w:spacing w:after="0" w:line="275" w:lineRule="auto"/>
        <w:tabs>
          <w:tab w:leader="none" w:pos="747" w:val="left"/>
        </w:tabs>
        <w:numPr>
          <w:ilvl w:val="2"/>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Rights as a Stockholder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will not have any rights of a stockholder (including voting and dividend rights)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the Restricted Stock Units covered by this Award (except as otherwise provided in Section II.A.3).</w:t>
      </w:r>
    </w:p>
    <w:p>
      <w:pPr>
        <w:spacing w:after="0" w:line="149" w:lineRule="exact"/>
        <w:rPr>
          <w:sz w:val="20"/>
          <w:szCs w:val="20"/>
          <w:color w:val="auto"/>
        </w:rPr>
      </w:pPr>
    </w:p>
    <w:p>
      <w:pPr>
        <w:ind w:left="-8" w:right="20" w:firstLine="224"/>
        <w:spacing w:after="0" w:line="287" w:lineRule="auto"/>
        <w:tabs>
          <w:tab w:leader="none" w:pos="586" w:val="left"/>
        </w:tabs>
        <w:numPr>
          <w:ilvl w:val="1"/>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Restricted Stock Units covered by this Award will be subject to adjustment as provided in Section 11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w:t>
      </w:r>
    </w:p>
    <w:p>
      <w:pPr>
        <w:spacing w:after="0" w:line="137" w:lineRule="exact"/>
        <w:rPr>
          <w:rFonts w:ascii="Times New Roman" w:cs="Times New Roman" w:eastAsia="Times New Roman" w:hAnsi="Times New Roman"/>
          <w:sz w:val="22"/>
          <w:szCs w:val="22"/>
          <w:b w:val="1"/>
          <w:bCs w:val="1"/>
          <w:color w:val="auto"/>
        </w:rPr>
      </w:pPr>
    </w:p>
    <w:p>
      <w:pPr>
        <w:ind w:left="412" w:hanging="412"/>
        <w:spacing w:after="0"/>
        <w:tabs>
          <w:tab w:leader="none" w:pos="412"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Terms and Conditions</w:t>
      </w:r>
      <w:r>
        <w:rPr>
          <w:rFonts w:ascii="Times New Roman" w:cs="Times New Roman" w:eastAsia="Times New Roman" w:hAnsi="Times New Roman"/>
          <w:sz w:val="22"/>
          <w:szCs w:val="22"/>
          <w:b w:val="1"/>
          <w:bCs w:val="1"/>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left="-8" w:firstLine="237"/>
        <w:spacing w:after="0" w:line="259" w:lineRule="auto"/>
        <w:tabs>
          <w:tab w:leader="none" w:pos="613" w:val="left"/>
        </w:tabs>
        <w:numPr>
          <w:ilvl w:val="2"/>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Non-Transferability of Award</w:t>
      </w:r>
      <w:r>
        <w:rPr>
          <w:rFonts w:ascii="Times New Roman" w:cs="Times New Roman" w:eastAsia="Times New Roman" w:hAnsi="Times New Roman"/>
          <w:sz w:val="22"/>
          <w:szCs w:val="22"/>
          <w:color w:val="auto"/>
        </w:rPr>
        <w:t>. Except as described below, and subject to the Plan and Section 409A, this Award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Units subject to this Award may not be sold, pledged, assigned, hypothecated, transferred, or disposed of in any manner other than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32"/>
          </w:cols>
          <w:pgMar w:left="328" w:top="1440" w:right="339" w:bottom="1440" w:gutter="0" w:footer="0" w:header="0"/>
        </w:sectPr>
      </w:pPr>
    </w:p>
    <w:bookmarkStart w:id="112" w:name="page113"/>
    <w:bookmarkEnd w:id="112"/>
    <w:p>
      <w:pPr>
        <w:spacing w:after="0" w:line="271" w:lineRule="auto"/>
        <w:rPr>
          <w:sz w:val="20"/>
          <w:szCs w:val="20"/>
          <w:color w:val="auto"/>
        </w:rPr>
      </w:pPr>
      <w:r>
        <w:rPr>
          <w:rFonts w:ascii="Times New Roman" w:cs="Times New Roman" w:eastAsia="Times New Roman" w:hAnsi="Times New Roman"/>
          <w:sz w:val="22"/>
          <w:szCs w:val="22"/>
          <w:color w:val="auto"/>
        </w:rPr>
        <w:t>will or by the laws of descent or distribution. The terms of this Award are binding on the executors, administrators, heirs, successors and assigns of Grantee.</w:t>
      </w:r>
    </w:p>
    <w:p>
      <w:pPr>
        <w:spacing w:after="0" w:line="154" w:lineRule="exact"/>
        <w:rPr>
          <w:sz w:val="20"/>
          <w:szCs w:val="20"/>
          <w:color w:val="auto"/>
        </w:rPr>
      </w:pPr>
    </w:p>
    <w:p>
      <w:pPr>
        <w:jc w:val="both"/>
        <w:ind w:firstLine="244"/>
        <w:spacing w:after="0" w:line="265" w:lineRule="auto"/>
        <w:tabs>
          <w:tab w:leader="none" w:pos="634"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is responsible for the payment of any and all taxes that arise with respect to this Award. Grantee agrees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tender sufficient funds to satisfy any applicable taxes arising in connection with the vesting of the Restricted Stock Units (or other applicable events) under this Award.</w:t>
      </w:r>
    </w:p>
    <w:p>
      <w:pPr>
        <w:spacing w:after="0" w:line="161" w:lineRule="exact"/>
        <w:rPr>
          <w:rFonts w:ascii="Times New Roman" w:cs="Times New Roman" w:eastAsia="Times New Roman" w:hAnsi="Times New Roman"/>
          <w:sz w:val="22"/>
          <w:szCs w:val="22"/>
          <w:b w:val="1"/>
          <w:bCs w:val="1"/>
          <w:color w:val="auto"/>
        </w:rPr>
      </w:pPr>
    </w:p>
    <w:p>
      <w:pPr>
        <w:jc w:val="both"/>
        <w:ind w:firstLine="251"/>
        <w:spacing w:after="0" w:line="258" w:lineRule="auto"/>
        <w:tabs>
          <w:tab w:leader="none" w:pos="648"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Dispute Resolution</w:t>
      </w:r>
      <w:r>
        <w:rPr>
          <w:rFonts w:ascii="Times New Roman" w:cs="Times New Roman" w:eastAsia="Times New Roman" w:hAnsi="Times New Roman"/>
          <w:sz w:val="22"/>
          <w:szCs w:val="22"/>
          <w:color w:val="auto"/>
        </w:rPr>
        <w:t>. Grantee and the Company agree that any disagreement, dispute, controversy, or claim arising out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167" w:lineRule="exact"/>
        <w:rPr>
          <w:rFonts w:ascii="Times New Roman" w:cs="Times New Roman" w:eastAsia="Times New Roman" w:hAnsi="Times New Roman"/>
          <w:sz w:val="22"/>
          <w:szCs w:val="22"/>
          <w:b w:val="1"/>
          <w:bCs w:val="1"/>
          <w:color w:val="auto"/>
        </w:rPr>
      </w:pPr>
    </w:p>
    <w:p>
      <w:pPr>
        <w:jc w:val="both"/>
        <w:ind w:left="580" w:firstLine="643"/>
        <w:spacing w:after="0" w:line="259" w:lineRule="auto"/>
        <w:tabs>
          <w:tab w:leader="none" w:pos="1954"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Negotiation</w:t>
      </w:r>
      <w:r>
        <w:rPr>
          <w:rFonts w:ascii="Times New Roman" w:cs="Times New Roman" w:eastAsia="Times New Roman" w:hAnsi="Times New Roman"/>
          <w:sz w:val="22"/>
          <w:szCs w:val="22"/>
          <w:color w:val="auto"/>
        </w:rPr>
        <w:t>. Grantee and the Company will use their best efforts to settle the dispute, claim, question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166" w:lineRule="exact"/>
        <w:rPr>
          <w:rFonts w:ascii="Times New Roman" w:cs="Times New Roman" w:eastAsia="Times New Roman" w:hAnsi="Times New Roman"/>
          <w:sz w:val="22"/>
          <w:szCs w:val="22"/>
          <w:color w:val="auto"/>
        </w:rPr>
      </w:pPr>
    </w:p>
    <w:p>
      <w:pPr>
        <w:jc w:val="both"/>
        <w:ind w:left="580" w:firstLine="643"/>
        <w:spacing w:after="0" w:line="254" w:lineRule="auto"/>
        <w:tabs>
          <w:tab w:leader="none" w:pos="1952"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Arbitration</w:t>
      </w:r>
      <w:r>
        <w:rPr>
          <w:rFonts w:ascii="Times New Roman" w:cs="Times New Roman" w:eastAsia="Times New Roman" w:hAnsi="Times New Roman"/>
          <w:sz w:val="22"/>
          <w:szCs w:val="22"/>
          <w:color w:val="auto"/>
        </w:rPr>
        <w:t>. If Grantee and the Company do not reach a solution within a period of 30 days from the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which the dispute, claim, disagreement, or controversy arises, then, upon written notice by Grantee to the Company or the Company to Grantee, all disputes, claims, questions, controversies, or differences will be submitted to arbitration administered by the American Arbitration Association (the “AAA”) in accordance with the provisions of its Employment Arbitration Rules and Mediation Procedures (the “Arbitration Rules”).</w:t>
      </w:r>
    </w:p>
    <w:p>
      <w:pPr>
        <w:spacing w:after="0" w:line="173"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429" w:val="left"/>
        </w:tabs>
        <w:numPr>
          <w:ilvl w:val="2"/>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Arbitrator</w:t>
      </w:r>
      <w:r>
        <w:rPr>
          <w:rFonts w:ascii="Times New Roman" w:cs="Times New Roman" w:eastAsia="Times New Roman" w:hAnsi="Times New Roman"/>
          <w:sz w:val="22"/>
          <w:szCs w:val="22"/>
          <w:color w:val="auto"/>
        </w:rPr>
        <w:t>. The arbitration will be conducted by one arbitrator skilled in the arbitration of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Company will pay all of the reasonable fees, if any, and expenses of the arbitrator and the arbitration, unless otherwise determined by the arbitrator. Each party to the arbitration will be responsible for his/its respective attorneys’ fees or other costs of representation.</w:t>
      </w:r>
    </w:p>
    <w:p>
      <w:pPr>
        <w:spacing w:after="0" w:line="193"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2"/>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Location</w:t>
      </w:r>
      <w:r>
        <w:rPr>
          <w:rFonts w:ascii="Times New Roman" w:cs="Times New Roman" w:eastAsia="Times New Roman" w:hAnsi="Times New Roman"/>
          <w:sz w:val="22"/>
          <w:szCs w:val="22"/>
          <w:color w:val="auto"/>
        </w:rPr>
        <w:t>. The arbitration will be conducted in Oakland County, Michigan.</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429" w:val="left"/>
        </w:tabs>
        <w:numPr>
          <w:ilvl w:val="2"/>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Procedure</w:t>
      </w:r>
      <w:r>
        <w:rPr>
          <w:rFonts w:ascii="Times New Roman" w:cs="Times New Roman" w:eastAsia="Times New Roman" w:hAnsi="Times New Roman"/>
          <w:sz w:val="22"/>
          <w:szCs w:val="22"/>
          <w:color w:val="auto"/>
        </w:rPr>
        <w:t>. At any oral hearing of evidence in connection with the arbitration, each party or its 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counsel will have the right to examine its witnesses and cross-examine the witnesses of any opposing party. No evidence of any witness may be presented in any form unless the opposing party or parties has the opportunity to cross-examine the witness, except under extraordinary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13" w:name="page114"/>
    <w:bookmarkEnd w:id="113"/>
    <w:p>
      <w:pPr>
        <w:ind w:left="1300"/>
        <w:spacing w:after="0"/>
        <w:rPr>
          <w:sz w:val="20"/>
          <w:szCs w:val="20"/>
          <w:color w:val="auto"/>
        </w:rPr>
      </w:pPr>
      <w:r>
        <w:rPr>
          <w:rFonts w:ascii="Times New Roman" w:cs="Times New Roman" w:eastAsia="Times New Roman" w:hAnsi="Times New Roman"/>
          <w:sz w:val="22"/>
          <w:szCs w:val="22"/>
          <w:color w:val="auto"/>
        </w:rPr>
        <w:t>circumstances in which the arbitrator determines that the interests of justice require a different procedure.</w:t>
      </w:r>
    </w:p>
    <w:p>
      <w:pPr>
        <w:spacing w:after="0" w:line="216" w:lineRule="exact"/>
        <w:rPr>
          <w:sz w:val="20"/>
          <w:szCs w:val="20"/>
          <w:color w:val="auto"/>
        </w:rPr>
      </w:pPr>
    </w:p>
    <w:p>
      <w:pPr>
        <w:jc w:val="both"/>
        <w:ind w:left="1300" w:firstLine="652"/>
        <w:spacing w:after="0" w:line="258" w:lineRule="auto"/>
        <w:tabs>
          <w:tab w:leader="none" w:pos="242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Decision</w:t>
      </w:r>
      <w:r>
        <w:rPr>
          <w:rFonts w:ascii="Times New Roman" w:cs="Times New Roman" w:eastAsia="Times New Roman" w:hAnsi="Times New Roman"/>
          <w:sz w:val="22"/>
          <w:szCs w:val="22"/>
          <w:color w:val="auto"/>
        </w:rPr>
        <w:t>. Any decision or award of the arbitrator is final and binding on the parties to the arbitration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proceeding. The parties agree that the arbitration award may be enforced against the parties to the arbitration proceeding or their assets wherever they may be found and that a judgment upon the arbitration award may be entered in any court having jurisdiction.</w:t>
      </w:r>
    </w:p>
    <w:p>
      <w:pPr>
        <w:spacing w:after="0" w:line="167" w:lineRule="exact"/>
        <w:rPr>
          <w:rFonts w:ascii="Times New Roman" w:cs="Times New Roman" w:eastAsia="Times New Roman" w:hAnsi="Times New Roman"/>
          <w:sz w:val="22"/>
          <w:szCs w:val="22"/>
          <w:color w:val="auto"/>
        </w:rPr>
      </w:pPr>
    </w:p>
    <w:p>
      <w:pPr>
        <w:ind w:left="1300" w:firstLine="652"/>
        <w:spacing w:after="0" w:line="299" w:lineRule="auto"/>
        <w:tabs>
          <w:tab w:leader="none" w:pos="2510"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Power</w:t>
      </w:r>
      <w:r>
        <w:rPr>
          <w:rFonts w:ascii="Times New Roman" w:cs="Times New Roman" w:eastAsia="Times New Roman" w:hAnsi="Times New Roman"/>
          <w:sz w:val="21"/>
          <w:szCs w:val="21"/>
          <w:color w:val="auto"/>
        </w:rPr>
        <w:t>. Nothing contained in this Agreement may be deemed to give the arbitrator any authority,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power, or right to alter, change, amend, modify, add to, or subtract from any of the provisions of this Agreement.</w:t>
      </w:r>
    </w:p>
    <w:p>
      <w:pPr>
        <w:spacing w:after="0" w:line="13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provisions of this Section II.B.3 survive the termination or expiration of this Agreement, are binding on the Company’s and Grantee’s respective successors, heirs, personal representatives, designated beneficiaries and any other person asserting a claim described above, and may not be modified without the consent of the Company.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177" w:lineRule="exact"/>
        <w:rPr>
          <w:sz w:val="20"/>
          <w:szCs w:val="20"/>
          <w:color w:val="auto"/>
        </w:rPr>
      </w:pPr>
    </w:p>
    <w:p>
      <w:pPr>
        <w:jc w:val="both"/>
        <w:ind w:firstLine="278"/>
        <w:spacing w:after="0" w:line="252" w:lineRule="auto"/>
        <w:tabs>
          <w:tab w:leader="none" w:pos="702" w:val="left"/>
        </w:tabs>
        <w:numPr>
          <w:ilvl w:val="2"/>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 of the Code</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applicable, it is intended that this Agreement and the Plan comply with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Grantee).</w:t>
      </w:r>
    </w:p>
    <w:p>
      <w:pPr>
        <w:spacing w:after="0" w:line="188" w:lineRule="exact"/>
        <w:rPr>
          <w:rFonts w:ascii="Times New Roman" w:cs="Times New Roman" w:eastAsia="Times New Roman" w:hAnsi="Times New Roman"/>
          <w:sz w:val="22"/>
          <w:szCs w:val="22"/>
          <w:b w:val="1"/>
          <w:bCs w:val="1"/>
          <w:color w:val="auto"/>
        </w:rPr>
      </w:pPr>
    </w:p>
    <w:p>
      <w:pPr>
        <w:jc w:val="both"/>
        <w:ind w:firstLine="305"/>
        <w:spacing w:after="0" w:line="259" w:lineRule="auto"/>
        <w:tabs>
          <w:tab w:leader="none" w:pos="756" w:val="left"/>
        </w:tabs>
        <w:numPr>
          <w:ilvl w:val="4"/>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Continued Right as Service Provider.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the Plan or in this Agreement confers on Grantee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as a Service Provider, or interferes with or restricts in any way the rights of the Company or any Subsidiary of the Company, which are hereby expressly reserved.</w:t>
      </w:r>
    </w:p>
    <w:p>
      <w:pPr>
        <w:spacing w:after="0" w:line="166" w:lineRule="exact"/>
        <w:rPr>
          <w:rFonts w:ascii="Times New Roman" w:cs="Times New Roman" w:eastAsia="Times New Roman" w:hAnsi="Times New Roman"/>
          <w:sz w:val="22"/>
          <w:szCs w:val="22"/>
          <w:b w:val="1"/>
          <w:bCs w:val="1"/>
          <w:color w:val="auto"/>
        </w:rPr>
      </w:pPr>
    </w:p>
    <w:p>
      <w:pPr>
        <w:jc w:val="both"/>
        <w:ind w:firstLine="231"/>
        <w:spacing w:after="0" w:line="258" w:lineRule="auto"/>
        <w:tabs>
          <w:tab w:leader="none" w:pos="607" w:val="left"/>
        </w:tabs>
        <w:numPr>
          <w:ilvl w:val="1"/>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any provision of this Agreement or the application of any provision hereof to any person or circumstances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67" w:lineRule="exact"/>
        <w:rPr>
          <w:rFonts w:ascii="Times New Roman" w:cs="Times New Roman" w:eastAsia="Times New Roman" w:hAnsi="Times New Roman"/>
          <w:sz w:val="22"/>
          <w:szCs w:val="22"/>
          <w:b w:val="1"/>
          <w:bCs w:val="1"/>
          <w:color w:val="auto"/>
        </w:rPr>
      </w:pPr>
    </w:p>
    <w:p>
      <w:pPr>
        <w:ind w:firstLine="291"/>
        <w:spacing w:after="0" w:line="275" w:lineRule="auto"/>
        <w:tabs>
          <w:tab w:leader="none" w:pos="729" w:val="left"/>
        </w:tabs>
        <w:numPr>
          <w:ilvl w:val="3"/>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governed by and construed in accordance with the laws of the State of Delaware,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conflict of law provisions.</w:t>
      </w:r>
    </w:p>
    <w:p>
      <w:pPr>
        <w:spacing w:after="0" w:line="149" w:lineRule="exact"/>
        <w:rPr>
          <w:rFonts w:ascii="Times New Roman" w:cs="Times New Roman" w:eastAsia="Times New Roman" w:hAnsi="Times New Roman"/>
          <w:sz w:val="22"/>
          <w:szCs w:val="22"/>
          <w:b w:val="1"/>
          <w:bCs w:val="1"/>
          <w:color w:val="auto"/>
        </w:rPr>
      </w:pPr>
    </w:p>
    <w:p>
      <w:pPr>
        <w:ind w:right="20" w:firstLine="224"/>
        <w:spacing w:after="0" w:line="275" w:lineRule="auto"/>
        <w:tabs>
          <w:tab w:leader="none" w:pos="594" w:val="left"/>
        </w:tabs>
        <w:numPr>
          <w:ilvl w:val="1"/>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Grantee’s participation in the Plan, or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14" w:name="page115"/>
    <w:bookmarkEnd w:id="114"/>
    <w:p>
      <w:pPr>
        <w:jc w:val="both"/>
        <w:spacing w:after="0" w:line="256" w:lineRule="auto"/>
        <w:rPr>
          <w:sz w:val="20"/>
          <w:szCs w:val="20"/>
          <w:color w:val="auto"/>
        </w:rPr>
      </w:pPr>
      <w:r>
        <w:rPr>
          <w:rFonts w:ascii="Times New Roman" w:cs="Times New Roman" w:eastAsia="Times New Roman" w:hAnsi="Times New Roman"/>
          <w:sz w:val="22"/>
          <w:szCs w:val="22"/>
          <w:color w:val="auto"/>
        </w:rPr>
        <w:t>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72" w:lineRule="exact"/>
        <w:rPr>
          <w:sz w:val="20"/>
          <w:szCs w:val="20"/>
          <w:color w:val="auto"/>
        </w:rPr>
      </w:pPr>
    </w:p>
    <w:p>
      <w:pPr>
        <w:jc w:val="both"/>
        <w:ind w:firstLine="251"/>
        <w:spacing w:after="0" w:line="269" w:lineRule="auto"/>
        <w:tabs>
          <w:tab w:leader="none" w:pos="648" w:val="left"/>
        </w:tabs>
        <w:numPr>
          <w:ilvl w:val="0"/>
          <w:numId w:val="1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Amendments</w:t>
      </w:r>
      <w:r>
        <w:rPr>
          <w:rFonts w:ascii="Times New Roman" w:cs="Times New Roman" w:eastAsia="Times New Roman" w:hAnsi="Times New Roman"/>
          <w:sz w:val="21"/>
          <w:szCs w:val="21"/>
          <w:color w:val="auto"/>
        </w:rPr>
        <w:t>. Any amendment to the Plan shall be deemed to be an amendment to this Agreement to the extent that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amendment is applicable 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72" w:lineRule="exact"/>
        <w:rPr>
          <w:rFonts w:ascii="Times New Roman" w:cs="Times New Roman" w:eastAsia="Times New Roman" w:hAnsi="Times New Roman"/>
          <w:sz w:val="21"/>
          <w:szCs w:val="21"/>
          <w:b w:val="1"/>
          <w:bCs w:val="1"/>
          <w:color w:val="auto"/>
        </w:rPr>
      </w:pPr>
    </w:p>
    <w:p>
      <w:pPr>
        <w:jc w:val="both"/>
        <w:ind w:firstLine="264"/>
        <w:spacing w:after="0" w:line="253" w:lineRule="auto"/>
        <w:tabs>
          <w:tab w:leader="none" w:pos="783" w:val="left"/>
        </w:tabs>
        <w:numPr>
          <w:ilvl w:val="1"/>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color w:val="auto"/>
        </w:rPr>
        <w:t>. This Agreement is subject to the terms and conditions of the Plan. In the event of any inconsistency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15" w:name="page116"/>
    <w:bookmarkEnd w:id="115"/>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This Agreement may be executed in two or more counterparts, each of which is deemed an original and all of which constitute one document.</w:t>
      </w:r>
    </w:p>
    <w:p>
      <w:pPr>
        <w:spacing w:after="0" w:line="1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Dated as of: [grant date]</w:t>
            </w:r>
          </w:p>
        </w:tc>
        <w:tc>
          <w:tcPr>
            <w:tcW w:w="524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8"/>
              </w:rPr>
              <w:t>By: ________________________________</w:t>
            </w:r>
          </w:p>
        </w:tc>
      </w:tr>
      <w:tr>
        <w:trPr>
          <w:trHeight w:val="257"/>
        </w:trPr>
        <w:tc>
          <w:tcPr>
            <w:tcW w:w="3520" w:type="dxa"/>
            <w:vAlign w:val="bottom"/>
          </w:tcPr>
          <w:p>
            <w:pPr>
              <w:spacing w:after="0"/>
              <w:rPr>
                <w:sz w:val="22"/>
                <w:szCs w:val="22"/>
                <w:color w:val="auto"/>
              </w:rPr>
            </w:pPr>
          </w:p>
        </w:tc>
        <w:tc>
          <w:tcPr>
            <w:tcW w:w="524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Name: Thomas A. Amato</w:t>
            </w:r>
          </w:p>
        </w:tc>
      </w:tr>
      <w:tr>
        <w:trPr>
          <w:trHeight w:val="282"/>
        </w:trPr>
        <w:tc>
          <w:tcPr>
            <w:tcW w:w="3520" w:type="dxa"/>
            <w:vAlign w:val="bottom"/>
          </w:tcPr>
          <w:p>
            <w:pPr>
              <w:spacing w:after="0"/>
              <w:rPr>
                <w:sz w:val="24"/>
                <w:szCs w:val="24"/>
                <w:color w:val="auto"/>
              </w:rPr>
            </w:pPr>
          </w:p>
        </w:tc>
        <w:tc>
          <w:tcPr>
            <w:tcW w:w="524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Title: President &amp; CEO</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color w:val="auto"/>
        </w:rPr>
        <w:t>BY CLICKING THE “ACCEPT” BUTTON BELOW, GRANTEE ACKNOWLEDGES RECEIPT OF A COPY OF THE PLAN AND REPRESENTS THAT GRANTEE IS FAMILIAR WITH THE TERMS AND PROVISIONS OF THE PLAN. GRANTEE ACCEPTS THIS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A. Amato, certify that:</w:t>
      </w:r>
    </w:p>
    <w:p>
      <w:pPr>
        <w:spacing w:after="0" w:line="225" w:lineRule="exact"/>
        <w:rPr>
          <w:sz w:val="20"/>
          <w:szCs w:val="20"/>
          <w:color w:val="auto"/>
        </w:rPr>
      </w:pPr>
    </w:p>
    <w:p>
      <w:pPr>
        <w:ind w:left="320" w:hanging="312"/>
        <w:spacing w:after="0"/>
        <w:tabs>
          <w:tab w:leader="none" w:pos="3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TriMas Corporation;</w:t>
      </w:r>
    </w:p>
    <w:p>
      <w:pPr>
        <w:spacing w:after="0" w:line="225"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652"/>
        <w:spacing w:after="0" w:line="266" w:lineRule="auto"/>
        <w:tabs>
          <w:tab w:leader="none" w:pos="40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5"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line="266" w:lineRule="auto"/>
        <w:tabs>
          <w:tab w:leader="none" w:pos="87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1081"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97"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4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10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57"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2024</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Thomas A. Amato</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A. Mell, certify that:</w:t>
      </w:r>
    </w:p>
    <w:p>
      <w:pPr>
        <w:spacing w:after="0" w:line="225" w:lineRule="exact"/>
        <w:rPr>
          <w:sz w:val="20"/>
          <w:szCs w:val="20"/>
          <w:color w:val="auto"/>
        </w:rPr>
      </w:pPr>
    </w:p>
    <w:p>
      <w:pPr>
        <w:ind w:left="320" w:hanging="312"/>
        <w:spacing w:after="0"/>
        <w:tabs>
          <w:tab w:leader="none" w:pos="3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TriMas Corporation;</w:t>
      </w:r>
    </w:p>
    <w:p>
      <w:pPr>
        <w:spacing w:after="0" w:line="225"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652"/>
        <w:spacing w:after="0" w:line="266" w:lineRule="auto"/>
        <w:tabs>
          <w:tab w:leader="none" w:pos="40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5"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line="266" w:lineRule="auto"/>
        <w:tabs>
          <w:tab w:leader="none" w:pos="878"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1081"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97"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4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108"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57"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2024</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SCOTT A.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Scott A. Mell</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887"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TriMas Corporation (the “Company”) on Form 10-Q for the period ended March 31, 2024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2024</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Thomas A. Amato</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TriMas Corporation (the “Company”) on Form 10-Q for the period ended March 31, 2024 as filed with the Securities and Exchange Commission on the date hereof (the “Report”), I, Scott A. Mell, Chief Financial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2024</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SCOTT A.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Scott A. Mell</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1)"/>
      <w:numFmt w:val="lowerLetter"/>
      <w:start w:val="1"/>
    </w:lvl>
  </w:abstractNum>
  <w:abstractNum w:abstractNumId="3">
    <w:nsid w:val="540A471C"/>
    <w:multiLevelType w:val="hybridMultilevel"/>
    <w:lvl w:ilvl="0">
      <w:lvlJc w:val="left"/>
      <w:lvlText w:val="(%1)"/>
      <w:numFmt w:val="lowerLetter"/>
      <w:start w:val="1"/>
    </w:lvl>
  </w:abstractNum>
  <w:abstractNum w:abstractNumId="4">
    <w:nsid w:val="7BD3EE7B"/>
    <w:multiLevelType w:val="hybridMultilevel"/>
    <w:lvl w:ilvl="0">
      <w:lvlJc w:val="left"/>
      <w:lvlText w:val="(%1)"/>
      <w:numFmt w:val="lowerLetter"/>
      <w:start w:val="1"/>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1)"/>
      <w:numFmt w:val="lowerLetter"/>
      <w:start w:val="1"/>
    </w:lvl>
  </w:abstractNum>
  <w:abstractNum w:abstractNumId="7">
    <w:nsid w:val="BF72B14"/>
    <w:multiLevelType w:val="hybridMultilevel"/>
    <w:lvl w:ilvl="0">
      <w:lvlJc w:val="left"/>
      <w:lvlText w:val="(%1)"/>
      <w:numFmt w:val="lowerLetter"/>
      <w:start w:val="1"/>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
      <w:numFmt w:val="bullet"/>
      <w:start w:val="1"/>
    </w:lvl>
  </w:abstractNum>
  <w:abstractNum w:abstractNumId="10">
    <w:nsid w:val="A0382C5"/>
    <w:multiLevelType w:val="hybridMultilevel"/>
    <w:lvl w:ilvl="0">
      <w:lvlJc w:val="left"/>
      <w:lvlText w:val="(%1)"/>
      <w:numFmt w:val="decimal"/>
      <w:start w:val="1"/>
    </w:lvl>
  </w:abstractNum>
  <w:abstractNum w:abstractNumId="11">
    <w:nsid w:val="8F2B15E"/>
    <w:multiLevelType w:val="hybridMultilevel"/>
    <w:lvl w:ilvl="0">
      <w:lvlJc w:val="left"/>
      <w:lvlText w:val="(%1)"/>
      <w:numFmt w:val="decimal"/>
      <w:start w:val="1"/>
    </w:lvl>
  </w:abstractNum>
  <w:abstractNum w:abstractNumId="12">
    <w:nsid w:val="1A32234B"/>
    <w:multiLevelType w:val="hybridMultilevel"/>
    <w:lvl w:ilvl="0">
      <w:lvlJc w:val="left"/>
      <w:lvlText w:val="(%1)"/>
      <w:numFmt w:val="lowerRoman"/>
      <w:start w:val="5"/>
    </w:lvl>
  </w:abstractNum>
  <w:abstractNum w:abstractNumId="13">
    <w:nsid w:val="3B0FD379"/>
    <w:multiLevelType w:val="hybridMultilevel"/>
    <w:lvl w:ilvl="0">
      <w:lvlJc w:val="left"/>
      <w:lvlText w:val="%1."/>
      <w:numFmt w:val="upperLetter"/>
      <w:start w:val="9"/>
    </w:lvl>
  </w:abstractNum>
  <w:abstractNum w:abstractNumId="14">
    <w:nsid w:val="68EB2F63"/>
    <w:multiLevelType w:val="hybridMultilevel"/>
    <w:lvl w:ilvl="0">
      <w:lvlJc w:val="left"/>
      <w:lvlText w:val="%1."/>
      <w:numFmt w:val="upperLetter"/>
      <w:start w:val="35"/>
    </w:lvl>
    <w:lvl w:ilvl="1">
      <w:lvlJc w:val="left"/>
      <w:lvlText w:val="%2"/>
      <w:numFmt w:val="upperLetter"/>
      <w:start w:val="1"/>
    </w:lvl>
  </w:abstractNum>
  <w:abstractNum w:abstractNumId="15">
    <w:nsid w:val="4962813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16">
    <w:nsid w:val="60B6DF70"/>
    <w:multiLevelType w:val="hybridMultilevel"/>
    <w:lvl w:ilvl="0">
      <w:lvlJc w:val="left"/>
      <w:lvlText w:val="%1."/>
      <w:numFmt w:val="decimal"/>
      <w:start w:val="2"/>
    </w:lvl>
    <w:lvl w:ilvl="1">
      <w:lvlJc w:val="left"/>
      <w:lvlText w:val="%2"/>
      <w:numFmt w:val="decimal"/>
      <w:start w:val="1"/>
    </w:lvl>
    <w:lvl w:ilvl="2">
      <w:lvlJc w:val="left"/>
      <w:lvlText w:val="%3."/>
      <w:numFmt w:val="decimal"/>
      <w:start w:val="3"/>
    </w:lvl>
    <w:lvl w:ilvl="3">
      <w:lvlJc w:val="left"/>
      <w:lvlText w:val="%4."/>
      <w:numFmt w:val="decimal"/>
      <w:start w:val="4"/>
    </w:lvl>
  </w:abstractNum>
  <w:abstractNum w:abstractNumId="17">
    <w:nsid w:val="6A5EE64"/>
    <w:multiLevelType w:val="hybridMultilevel"/>
    <w:lvl w:ilvl="0">
      <w:lvlJc w:val="left"/>
      <w:lvlText w:val="%1."/>
      <w:numFmt w:val="decimal"/>
      <w:start w:val="5"/>
    </w:lvl>
  </w:abstractNum>
  <w:abstractNum w:abstractNumId="18">
    <w:nsid w:val="14330624"/>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2"/>
    </w:lvl>
    <w:lvl w:ilvl="3">
      <w:lvlJc w:val="left"/>
      <w:lvlText w:val="(%4)"/>
      <w:numFmt w:val="lowerLetter"/>
      <w:start w:val="4"/>
    </w:lvl>
    <w:lvl w:ilvl="4">
      <w:lvlJc w:val="left"/>
      <w:lvlText w:val="(%5)"/>
      <w:numFmt w:val="lowerLetter"/>
      <w:start w:val="5"/>
    </w:lvl>
    <w:lvl w:ilvl="5">
      <w:lvlJc w:val="left"/>
      <w:lvlText w:val="(%6)"/>
      <w:numFmt w:val="lowerLetter"/>
      <w:start w:val="9"/>
    </w:lvl>
  </w:abstractNum>
  <w:abstractNum w:abstractNumId="19">
    <w:nsid w:val="7FFFCA11"/>
    <w:multiLevelType w:val="hybridMultilevel"/>
    <w:lvl w:ilvl="0">
      <w:lvlJc w:val="left"/>
      <w:lvlText w:val="(%1)"/>
      <w:numFmt w:val="upperLetter"/>
      <w:start w:val="1"/>
    </w:lvl>
    <w:lvl w:ilvl="1">
      <w:lvlJc w:val="left"/>
      <w:lvlText w:val="(%2)"/>
      <w:numFmt w:val="lowerRoman"/>
      <w:start w:val="2"/>
    </w:lvl>
  </w:abstractNum>
  <w:abstractNum w:abstractNumId="20">
    <w:nsid w:val="1A27709E"/>
    <w:multiLevelType w:val="hybridMultilevel"/>
    <w:lvl w:ilvl="0">
      <w:lvlJc w:val="left"/>
      <w:lvlText w:val="(%1)"/>
      <w:numFmt w:val="upperLetter"/>
      <w:start w:val="3"/>
    </w:lvl>
    <w:lvl w:ilvl="1">
      <w:lvlJc w:val="left"/>
      <w:lvlText w:val="(%2)"/>
      <w:numFmt w:val="lowerRoman"/>
      <w:start w:val="3"/>
    </w:lvl>
  </w:abstractNum>
  <w:abstractNum w:abstractNumId="21">
    <w:nsid w:val="71EA1109"/>
    <w:multiLevelType w:val="hybridMultilevel"/>
    <w:lvl w:ilvl="0">
      <w:lvlJc w:val="left"/>
      <w:lvlText w:val="(%1)"/>
      <w:numFmt w:val="lowerRoman"/>
      <w:start w:val="4"/>
    </w:lvl>
  </w:abstractNum>
  <w:abstractNum w:abstractNumId="22">
    <w:nsid w:val="100F59D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3">
    <w:nsid w:val="7FB7E0AA"/>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61"/>
    </w:lvl>
  </w:abstractNum>
  <w:abstractNum w:abstractNumId="24">
    <w:nsid w:val="6EB5BD4"/>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lowerLetter"/>
      <w:start w:val="3"/>
    </w:lvl>
    <w:lvl w:ilvl="4">
      <w:lvlJc w:val="left"/>
      <w:lvlText w:val="%5"/>
      <w:numFmt w:val="lowerLetter"/>
      <w:start w:val="1"/>
    </w:lvl>
  </w:abstractNum>
  <w:abstractNum w:abstractNumId="25">
    <w:nsid w:val="6F6DD9AC"/>
    <w:multiLevelType w:val="hybridMultilevel"/>
    <w:lvl w:ilvl="0">
      <w:lvlJc w:val="left"/>
      <w:lvlText w:val="%1."/>
      <w:numFmt w:val="upperLetter"/>
      <w:start w:val="2"/>
    </w:lvl>
    <w:lvl w:ilvl="1">
      <w:lvlJc w:val="left"/>
      <w:lvlText w:val="%2."/>
      <w:numFmt w:val="decimal"/>
      <w:start w:val="1"/>
    </w:lvl>
    <w:lvl w:ilvl="2">
      <w:lvlJc w:val="left"/>
      <w:lvlText w:val="%3."/>
      <w:numFmt w:val="decimal"/>
      <w:start w:val="2"/>
    </w:lvl>
    <w:lvl w:ilvl="3">
      <w:lvlJc w:val="left"/>
      <w:lvlText w:val="%4"/>
      <w:numFmt w:val="lowerLetter"/>
      <w:start w:val="1"/>
    </w:lvl>
    <w:lvl w:ilvl="4">
      <w:lvlJc w:val="left"/>
      <w:lvlText w:val="%5"/>
      <w:numFmt w:val="lowerLetter"/>
      <w:start w:val="1"/>
    </w:lvl>
  </w:abstractNum>
  <w:abstractNum w:abstractNumId="26">
    <w:nsid w:val="94211F2"/>
    <w:multiLevelType w:val="hybridMultilevel"/>
    <w:lvl w:ilvl="0">
      <w:lvlJc w:val="left"/>
      <w:lvlText w:val="%1."/>
      <w:numFmt w:val="decimal"/>
      <w:start w:val="3"/>
    </w:lvl>
    <w:lvl w:ilvl="1">
      <w:lvlJc w:val="left"/>
      <w:lvlText w:val="(%2)"/>
      <w:numFmt w:val="lowerLetter"/>
      <w:start w:val="1"/>
    </w:lvl>
  </w:abstractNum>
  <w:abstractNum w:abstractNumId="27">
    <w:nsid w:val="885E1B"/>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2"/>
    </w:lvl>
    <w:lvl w:ilvl="3">
      <w:lvlJc w:val="left"/>
      <w:lvlText w:val="(%4)"/>
      <w:numFmt w:val="lowerRoman"/>
      <w:start w:val="2"/>
    </w:lvl>
  </w:abstractNum>
  <w:abstractNum w:abstractNumId="28">
    <w:nsid w:val="76272110"/>
    <w:multiLevelType w:val="hybridMultilevel"/>
    <w:lvl w:ilvl="0">
      <w:lvlJc w:val="left"/>
      <w:lvlText w:val="(%1)"/>
      <w:numFmt w:val="lowerLetter"/>
      <w:start w:val="4"/>
    </w:lvl>
    <w:lvl w:ilvl="1">
      <w:lvlJc w:val="left"/>
      <w:lvlText w:val="(%2)"/>
      <w:numFmt w:val="lowerRoman"/>
      <w:start w:val="1"/>
    </w:lvl>
  </w:abstractNum>
  <w:abstractNum w:abstractNumId="29">
    <w:nsid w:val="4C04A8AF"/>
    <w:multiLevelType w:val="hybridMultilevel"/>
    <w:lvl w:ilvl="0">
      <w:lvlJc w:val="left"/>
      <w:lvlText w:val="%1"/>
      <w:numFmt w:val="decimal"/>
      <w:start w:val="1"/>
    </w:lvl>
    <w:lvl w:ilvl="1">
      <w:lvlJc w:val="left"/>
      <w:lvlText w:val="%2"/>
      <w:numFmt w:val="decimal"/>
      <w:start w:val="1"/>
    </w:lvl>
    <w:lvl w:ilvl="2">
      <w:lvlJc w:val="left"/>
      <w:lvlText w:val="(%3)"/>
      <w:numFmt w:val="lowerLetter"/>
      <w:start w:val="6"/>
    </w:lvl>
  </w:abstractNum>
  <w:abstractNum w:abstractNumId="30">
    <w:nsid w:val="1716703B"/>
    <w:multiLevelType w:val="hybridMultilevel"/>
    <w:lvl w:ilvl="0">
      <w:lvlJc w:val="left"/>
      <w:lvlText w:val="%1."/>
      <w:numFmt w:val="decimal"/>
      <w:start w:val="4"/>
    </w:lvl>
    <w:lvl w:ilvl="1">
      <w:lvlJc w:val="left"/>
      <w:lvlText w:val="%2."/>
      <w:numFmt w:val="decimal"/>
      <w:start w:val="5"/>
    </w:lvl>
    <w:lvl w:ilvl="2">
      <w:lvlJc w:val="left"/>
      <w:lvlText w:val="%3"/>
      <w:numFmt w:val="lowerLetter"/>
      <w:start w:val="1"/>
    </w:lvl>
  </w:abstractNum>
  <w:abstractNum w:abstractNumId="31">
    <w:nsid w:val="14E17E33"/>
    <w:multiLevelType w:val="hybridMultilevel"/>
    <w:lvl w:ilvl="0">
      <w:lvlJc w:val="left"/>
      <w:lvlText w:val="%1."/>
      <w:numFmt w:val="decimal"/>
      <w:start w:val="6"/>
    </w:lvl>
    <w:lvl w:ilvl="1">
      <w:lvlJc w:val="left"/>
      <w:lvlText w:val="%2."/>
      <w:numFmt w:val="decimal"/>
      <w:start w:val="7"/>
    </w:lvl>
    <w:lvl w:ilvl="2">
      <w:lvlJc w:val="left"/>
      <w:lvlText w:val="%3."/>
      <w:numFmt w:val="decimal"/>
      <w:start w:val="7"/>
    </w:lvl>
    <w:lvl w:ilvl="3">
      <w:lvlJc w:val="left"/>
      <w:lvlText w:val="%4."/>
      <w:numFmt w:val="decimal"/>
      <w:start w:val="9"/>
    </w:lvl>
  </w:abstractNum>
  <w:abstractNum w:abstractNumId="32">
    <w:nsid w:val="3222E7CD"/>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33">
    <w:nsid w:val="74DE0EE3"/>
    <w:multiLevelType w:val="hybridMultilevel"/>
    <w:lvl w:ilvl="0">
      <w:lvlJc w:val="left"/>
      <w:lvlText w:val="%1."/>
      <w:numFmt w:val="decimal"/>
      <w:start w:val="11"/>
    </w:lvl>
    <w:lvl w:ilvl="1">
      <w:lvlJc w:val="left"/>
      <w:lvlText w:val="%2"/>
      <w:numFmt w:val="decimal"/>
      <w:start w:val="1"/>
    </w:lvl>
    <w:lvl w:ilvl="2">
      <w:lvlJc w:val="left"/>
      <w:lvlText w:val="(%3)"/>
      <w:numFmt w:val="lowerLetter"/>
      <w:start w:val="2"/>
    </w:lvl>
    <w:lvl w:ilvl="3">
      <w:lvlJc w:val="left"/>
      <w:lvlText w:val="(%4)"/>
      <w:numFmt w:val="lowerLetter"/>
      <w:start w:val="1"/>
    </w:lvl>
    <w:lvl w:ilvl="4">
      <w:lvlJc w:val="left"/>
      <w:lvlText w:val="(%5)"/>
      <w:numFmt w:val="lowerLetter"/>
      <w:start w:val="2"/>
    </w:lvl>
  </w:abstractNum>
  <w:abstractNum w:abstractNumId="34">
    <w:nsid w:val="68EBC55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
    </w:lvl>
  </w:abstractNum>
  <w:abstractNum w:abstractNumId="35">
    <w:nsid w:val="2DF6D648"/>
    <w:multiLevelType w:val="hybridMultilevel"/>
    <w:lvl w:ilvl="0">
      <w:lvlJc w:val="left"/>
      <w:lvlText w:val="(%1)"/>
      <w:numFmt w:val="lowerLetter"/>
      <w:start w:val="7"/>
    </w:lvl>
    <w:lvl w:ilvl="1">
      <w:lvlJc w:val="left"/>
      <w:lvlText w:val="(%2)"/>
      <w:numFmt w:val="lowerLetter"/>
      <w:start w:val="8"/>
    </w:lvl>
    <w:lvl w:ilvl="2">
      <w:lvlJc w:val="left"/>
      <w:lvlText w:val="%3"/>
      <w:numFmt w:val="lowerLetter"/>
      <w:start w:val="1"/>
    </w:lvl>
  </w:abstractNum>
  <w:abstractNum w:abstractNumId="36">
    <w:nsid w:val="46B7D44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lvl w:ilvl="3">
      <w:lvlJc w:val="left"/>
      <w:lvlText w:val="%4"/>
      <w:numFmt w:val="lowerLetter"/>
      <w:start w:val="1"/>
    </w:lvl>
  </w:abstractNum>
  <w:abstractNum w:abstractNumId="37">
    <w:nsid w:val="4A2AC315"/>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lvl w:ilvl="3">
      <w:lvlJc w:val="left"/>
      <w:lvlText w:val="%4"/>
      <w:numFmt w:val="lowerLetter"/>
      <w:start w:val="1"/>
    </w:lvl>
  </w:abstractNum>
  <w:abstractNum w:abstractNumId="38">
    <w:nsid w:val="39EE015C"/>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39">
    <w:nsid w:val="57FC4FB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2"/>
    </w:lvl>
  </w:abstractNum>
  <w:abstractNum w:abstractNumId="40">
    <w:nsid w:val="CC1016F"/>
    <w:multiLevelType w:val="hybridMultilevel"/>
    <w:lvl w:ilvl="0">
      <w:lvlJc w:val="left"/>
      <w:lvlText w:val="%1"/>
      <w:numFmt w:val="decimal"/>
      <w:start w:val="1"/>
    </w:lvl>
    <w:lvl w:ilvl="1">
      <w:lvlJc w:val="left"/>
      <w:lvlText w:val="%2"/>
      <w:numFmt w:val="decimal"/>
      <w:start w:val="1"/>
    </w:lvl>
    <w:lvl w:ilvl="2">
      <w:lvlJc w:val="left"/>
      <w:lvlText w:val="%3."/>
      <w:numFmt w:val="decimal"/>
      <w:start w:val="13"/>
    </w:lvl>
    <w:lvl w:ilvl="3">
      <w:lvlJc w:val="left"/>
      <w:lvlText w:val="%4"/>
      <w:numFmt w:val="lowerLetter"/>
      <w:start w:val="1"/>
    </w:lvl>
    <w:lvl w:ilvl="4">
      <w:lvlJc w:val="left"/>
      <w:lvlText w:val="%5"/>
      <w:numFmt w:val="lowerLetter"/>
      <w:start w:val="1"/>
    </w:lvl>
  </w:abstractNum>
  <w:abstractNum w:abstractNumId="41">
    <w:nsid w:val="43F18422"/>
    <w:multiLevelType w:val="hybridMultilevel"/>
    <w:lvl w:ilvl="0">
      <w:lvlJc w:val="left"/>
      <w:lvlText w:val="%1"/>
      <w:numFmt w:val="decimal"/>
      <w:start w:val="1"/>
    </w:lvl>
    <w:lvl w:ilvl="1">
      <w:lvlJc w:val="left"/>
      <w:lvlText w:val="%2."/>
      <w:numFmt w:val="decimal"/>
      <w:start w:val="14"/>
    </w:lvl>
    <w:lvl w:ilvl="2">
      <w:lvlJc w:val="left"/>
      <w:lvlText w:val="%3"/>
      <w:numFmt w:val="decimal"/>
      <w:start w:val="1"/>
    </w:lvl>
    <w:lvl w:ilvl="3">
      <w:lvlJc w:val="left"/>
      <w:lvlText w:val="%4"/>
      <w:numFmt w:val="lowerLetter"/>
      <w:start w:val="1"/>
    </w:lvl>
    <w:lvl w:ilvl="4">
      <w:lvlJc w:val="left"/>
      <w:lvlText w:val="%5"/>
      <w:numFmt w:val="lowerLetter"/>
      <w:start w:val="1"/>
    </w:lvl>
  </w:abstractNum>
  <w:abstractNum w:abstractNumId="42">
    <w:nsid w:val="60EF0119"/>
    <w:multiLevelType w:val="hybridMultilevel"/>
    <w:lvl w:ilvl="0">
      <w:lvlJc w:val="left"/>
      <w:lvlText w:val="%1."/>
      <w:numFmt w:val="decimal"/>
      <w:start w:val="15"/>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1"/>
    </w:lvl>
  </w:abstractNum>
  <w:abstractNum w:abstractNumId="43">
    <w:nsid w:val="26F324BA"/>
    <w:multiLevelType w:val="hybridMultilevel"/>
    <w:lvl w:ilvl="0">
      <w:lvlJc w:val="left"/>
      <w:lvlText w:val="(%1)"/>
      <w:numFmt w:val="lowerLetter"/>
      <w:start w:val="2"/>
    </w:lvl>
  </w:abstractNum>
  <w:abstractNum w:abstractNumId="44">
    <w:nsid w:val="7F01579B"/>
    <w:multiLevelType w:val="hybridMultilevel"/>
    <w:lvl w:ilvl="0">
      <w:lvlJc w:val="left"/>
      <w:lvlText w:val="%1."/>
      <w:numFmt w:val="decimal"/>
      <w:start w:val="1"/>
    </w:lvl>
    <w:lvl w:ilvl="1">
      <w:lvlJc w:val="left"/>
      <w:lvlText w:val="(%2)"/>
      <w:numFmt w:val="upperLetter"/>
      <w:start w:val="1"/>
    </w:lvl>
  </w:abstractNum>
  <w:abstractNum w:abstractNumId="45">
    <w:nsid w:val="49DA307D"/>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46">
    <w:nsid w:val="7055A5F5"/>
    <w:multiLevelType w:val="hybridMultilevel"/>
    <w:lvl w:ilvl="0">
      <w:lvlJc w:val="left"/>
      <w:lvlText w:val="%1"/>
      <w:numFmt w:val="decimal"/>
      <w:start w:val="1"/>
    </w:lvl>
    <w:lvl w:ilvl="1">
      <w:lvlJc w:val="left"/>
      <w:lvlText w:val="(%2)"/>
      <w:numFmt w:val="upperLetter"/>
      <w:start w:val="4"/>
    </w:lvl>
    <w:lvl w:ilvl="2">
      <w:lvlJc w:val="left"/>
      <w:lvlText w:val="%3"/>
      <w:numFmt w:val="lowerRoman"/>
      <w:start w:val="1"/>
    </w:lvl>
  </w:abstractNum>
  <w:abstractNum w:abstractNumId="47">
    <w:nsid w:val="5FB8370B"/>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abstractNum>
  <w:abstractNum w:abstractNumId="48">
    <w:nsid w:val="50801EE1"/>
    <w:multiLevelType w:val="hybridMultilevel"/>
    <w:lvl w:ilvl="0">
      <w:lvlJc w:val="left"/>
      <w:lvlText w:val="%1."/>
      <w:numFmt w:val="decimal"/>
      <w:start w:val="6"/>
    </w:lvl>
    <w:lvl w:ilvl="1">
      <w:lvlJc w:val="left"/>
      <w:lvlText w:val="(%2)"/>
      <w:numFmt w:val="upperLetter"/>
      <w:start w:val="1"/>
    </w:lvl>
    <w:lvl w:ilvl="2">
      <w:lvlJc w:val="left"/>
      <w:lvlText w:val="(%3)"/>
      <w:numFmt w:val="upperLetter"/>
      <w:start w:val="2"/>
    </w:lvl>
  </w:abstractNum>
  <w:abstractNum w:abstractNumId="49">
    <w:nsid w:val="488AC1A"/>
    <w:multiLevelType w:val="hybridMultilevel"/>
    <w:lvl w:ilvl="0">
      <w:lvlJc w:val="left"/>
      <w:lvlText w:val="%1."/>
      <w:numFmt w:val="decimal"/>
      <w:start w:val="8"/>
    </w:lvl>
    <w:lvl w:ilvl="1">
      <w:lvlJc w:val="left"/>
      <w:lvlText w:val="(%2)"/>
      <w:numFmt w:val="upperLetter"/>
      <w:start w:val="1"/>
    </w:lvl>
    <w:lvl w:ilvl="2">
      <w:lvlJc w:val="left"/>
      <w:lvlText w:val="(%3)"/>
      <w:numFmt w:val="upperLetter"/>
      <w:start w:val="2"/>
    </w:lvl>
  </w:abstractNum>
  <w:abstractNum w:abstractNumId="50">
    <w:nsid w:val="5FB8011C"/>
    <w:multiLevelType w:val="hybridMultilevel"/>
    <w:lvl w:ilvl="0">
      <w:lvlJc w:val="left"/>
      <w:lvlText w:val="%1."/>
      <w:numFmt w:val="decimal"/>
      <w:start w:val="10"/>
    </w:lvl>
  </w:abstractNum>
  <w:abstractNum w:abstractNumId="51">
    <w:nsid w:val="6AA78F7F"/>
    <w:multiLevelType w:val="hybridMultilevel"/>
    <w:lvl w:ilvl="0">
      <w:lvlJc w:val="left"/>
      <w:lvlText w:val="•"/>
      <w:numFmt w:val="bullet"/>
      <w:start w:val="1"/>
    </w:lvl>
  </w:abstractNum>
  <w:abstractNum w:abstractNumId="52">
    <w:nsid w:val="7672BD23"/>
    <w:multiLevelType w:val="hybridMultilevel"/>
    <w:lvl w:ilvl="0">
      <w:lvlJc w:val="left"/>
      <w:lvlText w:val="2"/>
      <w:numFmt w:val="bullet"/>
      <w:start w:val="1"/>
    </w:lvl>
  </w:abstractNum>
  <w:abstractNum w:abstractNumId="53">
    <w:nsid w:val="6FC75AF8"/>
    <w:multiLevelType w:val="hybridMultilevel"/>
    <w:lvl w:ilvl="0">
      <w:lvlJc w:val="left"/>
      <w:lvlText w:val="(%1)"/>
      <w:numFmt w:val="lowerLetter"/>
      <w:start w:val="1"/>
    </w:lvl>
  </w:abstractNum>
  <w:abstractNum w:abstractNumId="54">
    <w:nsid w:val="6A5F7029"/>
    <w:multiLevelType w:val="hybridMultilevel"/>
    <w:lvl w:ilvl="0">
      <w:lvlJc w:val="left"/>
      <w:lvlText w:val="(%1)"/>
      <w:numFmt w:val="lowerLetter"/>
      <w:start w:val="1"/>
    </w:lvl>
  </w:abstractNum>
  <w:abstractNum w:abstractNumId="55">
    <w:nsid w:val="7D5E18F8"/>
    <w:multiLevelType w:val="hybridMultilevel"/>
    <w:lvl w:ilvl="0">
      <w:lvlJc w:val="left"/>
      <w:lvlText w:val="%1"/>
      <w:numFmt w:val="lowerRoman"/>
      <w:start w:val="1"/>
    </w:lvl>
    <w:lvl w:ilvl="1">
      <w:lvlJc w:val="left"/>
      <w:lvlText w:val="(%2)"/>
      <w:numFmt w:val="lowerRoman"/>
      <w:start w:val="1"/>
    </w:lvl>
  </w:abstractNum>
  <w:abstractNum w:abstractNumId="56">
    <w:nsid w:val="5F3534A4"/>
    <w:multiLevelType w:val="hybridMultilevel"/>
    <w:lvl w:ilvl="0">
      <w:lvlJc w:val="left"/>
      <w:lvlText w:val="(%1)"/>
      <w:numFmt w:val="lowerRoman"/>
      <w:start w:val="4"/>
    </w:lvl>
    <w:lvl w:ilvl="1">
      <w:lvlJc w:val="left"/>
      <w:lvlText w:val="%2"/>
      <w:numFmt w:val="lowerRoman"/>
      <w:start w:val="1"/>
    </w:lvl>
  </w:abstractNum>
  <w:abstractNum w:abstractNumId="57">
    <w:nsid w:val="73A1821B"/>
    <w:multiLevelType w:val="hybridMultilevel"/>
    <w:lvl w:ilvl="0">
      <w:lvlJc w:val="left"/>
      <w:lvlText w:val="(%1)"/>
      <w:numFmt w:val="lowerRoman"/>
      <w:start w:val="1"/>
    </w:lvl>
  </w:abstractNum>
  <w:abstractNum w:abstractNumId="58">
    <w:nsid w:val="7DE67713"/>
    <w:multiLevelType w:val="hybridMultilevel"/>
    <w:lvl w:ilvl="0">
      <w:lvlJc w:val="left"/>
      <w:lvlText w:val="(%1)"/>
      <w:numFmt w:val="lowerRoman"/>
      <w:start w:val="1"/>
    </w:lvl>
  </w:abstractNum>
  <w:abstractNum w:abstractNumId="59">
    <w:nsid w:val="555C55B5"/>
    <w:multiLevelType w:val="hybridMultilevel"/>
    <w:lvl w:ilvl="0">
      <w:lvlJc w:val="left"/>
      <w:lvlText w:val="(%1)"/>
      <w:numFmt w:val="lowerRoman"/>
      <w:start w:val="12"/>
    </w:lvl>
  </w:abstractNum>
  <w:abstractNum w:abstractNumId="60">
    <w:nsid w:val="3FA62ACA"/>
    <w:multiLevelType w:val="hybridMultilevel"/>
    <w:lvl w:ilvl="0">
      <w:lvlJc w:val="left"/>
      <w:lvlText w:val="(%1)"/>
      <w:numFmt w:val="decimal"/>
      <w:start w:val="2"/>
    </w:lvl>
  </w:abstractNum>
  <w:abstractNum w:abstractNumId="61">
    <w:nsid w:val="14FCE74E"/>
    <w:multiLevelType w:val="hybridMultilevel"/>
    <w:lvl w:ilvl="0">
      <w:lvlJc w:val="left"/>
      <w:lvlText w:val="(%1)"/>
      <w:numFmt w:val="decimal"/>
      <w:start w:val="3"/>
    </w:lvl>
  </w:abstractNum>
  <w:abstractNum w:abstractNumId="62">
    <w:nsid w:val="6A3DD3E8"/>
    <w:multiLevelType w:val="hybridMultilevel"/>
    <w:lvl w:ilvl="0">
      <w:lvlJc w:val="left"/>
      <w:lvlText w:val="(%1)"/>
      <w:numFmt w:val="decimal"/>
      <w:start w:val="9"/>
    </w:lvl>
  </w:abstractNum>
  <w:abstractNum w:abstractNumId="63">
    <w:nsid w:val="71C91298"/>
    <w:multiLevelType w:val="hybridMultilevel"/>
    <w:lvl w:ilvl="0">
      <w:lvlJc w:val="left"/>
      <w:lvlText w:val="•"/>
      <w:numFmt w:val="bullet"/>
      <w:start w:val="1"/>
    </w:lvl>
  </w:abstractNum>
  <w:abstractNum w:abstractNumId="64">
    <w:nsid w:val="9DAF632"/>
    <w:multiLevelType w:val="hybridMultilevel"/>
    <w:lvl w:ilvl="0">
      <w:lvlJc w:val="left"/>
      <w:lvlText w:val="•"/>
      <w:numFmt w:val="bullet"/>
      <w:start w:val="1"/>
    </w:lvl>
  </w:abstractNum>
  <w:abstractNum w:abstractNumId="65">
    <w:nsid w:val="53299938"/>
    <w:multiLevelType w:val="hybridMultilevel"/>
    <w:lvl w:ilvl="0">
      <w:lvlJc w:val="left"/>
      <w:lvlText w:val="•"/>
      <w:numFmt w:val="bullet"/>
      <w:start w:val="1"/>
    </w:lvl>
  </w:abstractNum>
  <w:abstractNum w:abstractNumId="66">
    <w:nsid w:val="1FBFE8E0"/>
    <w:multiLevelType w:val="hybridMultilevel"/>
    <w:lvl w:ilvl="0">
      <w:lvlJc w:val="left"/>
      <w:lvlText w:val="•"/>
      <w:numFmt w:val="bullet"/>
      <w:start w:val="1"/>
    </w:lvl>
  </w:abstractNum>
  <w:abstractNum w:abstractNumId="67">
    <w:nsid w:val="5092CA79"/>
    <w:multiLevelType w:val="hybridMultilevel"/>
    <w:lvl w:ilvl="0">
      <w:lvlJc w:val="left"/>
      <w:lvlText w:val="•"/>
      <w:numFmt w:val="bullet"/>
      <w:start w:val="1"/>
    </w:lvl>
  </w:abstractNum>
  <w:abstractNum w:abstractNumId="68">
    <w:nsid w:val="1D545C4D"/>
    <w:multiLevelType w:val="hybridMultilevel"/>
    <w:lvl w:ilvl="0">
      <w:lvlJc w:val="left"/>
      <w:lvlText w:val="•"/>
      <w:numFmt w:val="bullet"/>
      <w:start w:val="1"/>
    </w:lvl>
  </w:abstractNum>
  <w:abstractNum w:abstractNumId="69">
    <w:nsid w:val="59ADEA3D"/>
    <w:multiLevelType w:val="hybridMultilevel"/>
    <w:lvl w:ilvl="0">
      <w:lvlJc w:val="left"/>
      <w:lvlText w:val="•"/>
      <w:numFmt w:val="bullet"/>
      <w:start w:val="1"/>
    </w:lvl>
  </w:abstractNum>
  <w:abstractNum w:abstractNumId="70">
    <w:nsid w:val="288F1A34"/>
    <w:multiLevelType w:val="hybridMultilevel"/>
    <w:lvl w:ilvl="0">
      <w:lvlJc w:val="left"/>
      <w:lvlText w:val="•"/>
      <w:numFmt w:val="bullet"/>
      <w:start w:val="1"/>
    </w:lvl>
  </w:abstractNum>
  <w:abstractNum w:abstractNumId="71">
    <w:nsid w:val="2A155DBC"/>
    <w:multiLevelType w:val="hybridMultilevel"/>
    <w:lvl w:ilvl="0">
      <w:lvlJc w:val="left"/>
      <w:lvlText w:val="•"/>
      <w:numFmt w:val="bullet"/>
      <w:start w:val="1"/>
    </w:lvl>
  </w:abstractNum>
  <w:abstractNum w:abstractNumId="72">
    <w:nsid w:val="1D9F6E5F"/>
    <w:multiLevelType w:val="hybridMultilevel"/>
    <w:lvl w:ilvl="0">
      <w:lvlJc w:val="left"/>
      <w:lvlText w:val="•"/>
      <w:numFmt w:val="bullet"/>
      <w:start w:val="1"/>
    </w:lvl>
  </w:abstractNum>
  <w:abstractNum w:abstractNumId="73">
    <w:nsid w:val="97E1B4E"/>
    <w:multiLevelType w:val="hybridMultilevel"/>
    <w:lvl w:ilvl="0">
      <w:lvlJc w:val="left"/>
      <w:lvlText w:val="(%1)"/>
      <w:numFmt w:val="lowerLetter"/>
      <w:start w:val="1"/>
    </w:lvl>
  </w:abstractNum>
  <w:abstractNum w:abstractNumId="74">
    <w:nsid w:val="51088277"/>
    <w:multiLevelType w:val="hybridMultilevel"/>
    <w:lvl w:ilvl="0">
      <w:lvlJc w:val="left"/>
      <w:lvlText w:val="(%1)"/>
      <w:numFmt w:val="lowerLetter"/>
      <w:start w:val="3"/>
    </w:lvl>
  </w:abstractNum>
  <w:abstractNum w:abstractNumId="75">
    <w:nsid w:val="1CA0C5FA"/>
    <w:multiLevelType w:val="hybridMultilevel"/>
    <w:lvl w:ilvl="0">
      <w:lvlJc w:val="left"/>
      <w:lvlText w:val="(%1)"/>
      <w:numFmt w:val="lowerLetter"/>
      <w:start w:val="5"/>
    </w:lvl>
    <w:lvl w:ilvl="1">
      <w:lvlJc w:val="left"/>
      <w:lvlText w:val="(%2)"/>
      <w:numFmt w:val="decimal"/>
      <w:start w:val="1"/>
    </w:lvl>
  </w:abstractNum>
  <w:abstractNum w:abstractNumId="76">
    <w:nsid w:val="53584BCB"/>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77">
    <w:nsid w:val="415E286C"/>
    <w:multiLevelType w:val="hybridMultilevel"/>
    <w:lvl w:ilvl="0">
      <w:lvlJc w:val="left"/>
      <w:lvlText w:val="(%1)"/>
      <w:numFmt w:val="lowerLetter"/>
      <w:start w:val="2"/>
    </w:lvl>
    <w:lvl w:ilvl="1">
      <w:lvlJc w:val="left"/>
      <w:lvlText w:val="(%2)"/>
      <w:numFmt w:val="lowerRoman"/>
      <w:start w:val="1"/>
    </w:lvl>
  </w:abstractNum>
  <w:abstractNum w:abstractNumId="78">
    <w:nsid w:val="7C58FD05"/>
    <w:multiLevelType w:val="hybridMultilevel"/>
    <w:lvl w:ilvl="0">
      <w:lvlJc w:val="left"/>
      <w:lvlText w:val="%1"/>
      <w:numFmt w:val="decimal"/>
      <w:start w:val="1"/>
    </w:lvl>
    <w:lvl w:ilvl="1">
      <w:lvlJc w:val="left"/>
      <w:lvlText w:val="(%2)"/>
      <w:numFmt w:val="upperLetter"/>
      <w:start w:val="1"/>
    </w:lvl>
  </w:abstractNum>
  <w:abstractNum w:abstractNumId="79">
    <w:nsid w:val="23D86AAC"/>
    <w:multiLevelType w:val="hybridMultilevel"/>
    <w:lvl w:ilvl="0">
      <w:lvlJc w:val="left"/>
      <w:lvlText w:val="(%1)"/>
      <w:numFmt w:val="decimal"/>
      <w:start w:val="2"/>
    </w:lvl>
    <w:lvl w:ilvl="1">
      <w:lvlJc w:val="left"/>
      <w:lvlText w:val="%2"/>
      <w:numFmt w:val="upperLetter"/>
      <w:start w:val="1"/>
    </w:lvl>
  </w:abstractNum>
  <w:abstractNum w:abstractNumId="80">
    <w:nsid w:val="45E6D486"/>
    <w:multiLevelType w:val="hybridMultilevel"/>
    <w:lvl w:ilvl="0">
      <w:lvlJc w:val="left"/>
      <w:lvlText w:val="(%1)"/>
      <w:numFmt w:val="upperLetter"/>
      <w:start w:val="4"/>
    </w:lvl>
  </w:abstractNum>
  <w:abstractNum w:abstractNumId="81">
    <w:nsid w:val="5C10FE2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82">
    <w:nsid w:val="E7FFA2B"/>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decimal"/>
      <w:start w:val="1"/>
    </w:lvl>
    <w:lvl w:ilvl="6">
      <w:lvlJc w:val="left"/>
      <w:lvlText w:val="(%7)"/>
      <w:numFmt w:val="lowerRoman"/>
      <w:start w:val="3"/>
    </w:lvl>
  </w:abstractNum>
  <w:abstractNum w:abstractNumId="83">
    <w:nsid w:val="3C5991AA"/>
    <w:multiLevelType w:val="hybridMultilevel"/>
    <w:lvl w:ilvl="0">
      <w:lvlJc w:val="left"/>
      <w:lvlText w:val="%1"/>
      <w:numFmt w:val="upperLetter"/>
      <w:start w:val="1"/>
    </w:lvl>
    <w:lvl w:ilvl="1">
      <w:lvlJc w:val="left"/>
      <w:lvlText w:val="%2"/>
      <w:numFmt w:val="decimal"/>
      <w:start w:val="1"/>
    </w:lvl>
    <w:lvl w:ilvl="2">
      <w:lvlJc w:val="left"/>
      <w:lvlText w:val="%3."/>
      <w:numFmt w:val="decimal"/>
      <w:start w:val="3"/>
    </w:lvl>
    <w:lvl w:ilvl="3">
      <w:lvlJc w:val="left"/>
      <w:lvlText w:val="%4."/>
      <w:numFmt w:val="decimal"/>
      <w:start w:val="4"/>
    </w:lvl>
    <w:lvl w:ilvl="4">
      <w:lvlJc w:val="left"/>
      <w:lvlText w:val="%5"/>
      <w:numFmt w:val="decimal"/>
      <w:start w:val="1"/>
    </w:lvl>
    <w:lvl w:ilvl="5">
      <w:lvlJc w:val="left"/>
      <w:lvlText w:val="%6"/>
      <w:numFmt w:val="decimal"/>
      <w:start w:val="1"/>
    </w:lvl>
    <w:lvl w:ilvl="6">
      <w:lvlJc w:val="left"/>
      <w:lvlText w:val="%7"/>
      <w:numFmt w:val="lowerRoman"/>
      <w:start w:val="1"/>
    </w:lvl>
  </w:abstractNum>
  <w:abstractNum w:abstractNumId="84">
    <w:nsid w:val="4BD8591A"/>
    <w:multiLevelType w:val="hybridMultilevel"/>
    <w:lvl w:ilvl="0">
      <w:lvlJc w:val="left"/>
      <w:lvlText w:val="%1"/>
      <w:numFmt w:val="upperLetter"/>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decimal"/>
      <w:start w:val="1"/>
    </w:lvl>
    <w:lvl w:ilvl="5">
      <w:lvlJc w:val="left"/>
      <w:lvlText w:val="%6"/>
      <w:numFmt w:val="decimal"/>
      <w:start w:val="1"/>
    </w:lvl>
    <w:lvl w:ilvl="6">
      <w:lvlJc w:val="left"/>
      <w:lvlText w:val="%7"/>
      <w:numFmt w:val="lowerRoman"/>
      <w:start w:val="1"/>
    </w:lvl>
  </w:abstractNum>
  <w:abstractNum w:abstractNumId="85">
    <w:nsid w:val="78DF6A55"/>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decimal"/>
      <w:start w:val="2"/>
    </w:lvl>
    <w:lvl w:ilvl="6">
      <w:lvlJc w:val="left"/>
      <w:lvlText w:val="%7"/>
      <w:numFmt w:val="lowerRoman"/>
      <w:start w:val="1"/>
    </w:lvl>
  </w:abstractNum>
  <w:abstractNum w:abstractNumId="86">
    <w:nsid w:val="39B7AAA2"/>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
    </w:lvl>
  </w:abstractNum>
  <w:abstractNum w:abstractNumId="87">
    <w:nsid w:val="2B0D8DBE"/>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35"/>
    </w:lvl>
  </w:abstractNum>
  <w:abstractNum w:abstractNumId="88">
    <w:nsid w:val="6C80EC7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lvl w:ilvl="3">
      <w:lvlJc w:val="left"/>
      <w:lvlText w:val="%4"/>
      <w:numFmt w:val="lowerRoman"/>
      <w:start w:val="1"/>
    </w:lvl>
  </w:abstractNum>
  <w:abstractNum w:abstractNumId="89">
    <w:nsid w:val="379E21B5"/>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4"/>
      <w:numFmt w:val="lowerRoman"/>
      <w:start w:val="1"/>
    </w:lvl>
  </w:abstractNum>
  <w:abstractNum w:abstractNumId="90">
    <w:nsid w:val="69E373"/>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91">
    <w:nsid w:val="2C27173B"/>
    <w:multiLevelType w:val="hybridMultilevel"/>
    <w:lvl w:ilvl="0">
      <w:lvlJc w:val="left"/>
      <w:lvlText w:val="%1"/>
      <w:numFmt w:val="decimal"/>
      <w:start w:val="1"/>
    </w:lvl>
    <w:lvl w:ilvl="1">
      <w:lvlJc w:val="left"/>
      <w:lvlText w:val="(%2)"/>
      <w:numFmt w:val="lowerLetter"/>
      <w:start w:val="6"/>
    </w:lvl>
  </w:abstractNum>
  <w:abstractNum w:abstractNumId="92">
    <w:nsid w:val="4C9B0904"/>
    <w:multiLevelType w:val="hybridMultilevel"/>
    <w:lvl w:ilvl="0">
      <w:lvlJc w:val="left"/>
      <w:lvlText w:val="%1."/>
      <w:numFmt w:val="decimal"/>
      <w:start w:val="4"/>
    </w:lvl>
    <w:lvl w:ilvl="1">
      <w:lvlJc w:val="left"/>
      <w:lvlText w:val="%2"/>
      <w:numFmt w:val="lowerLetter"/>
      <w:start w:val="1"/>
    </w:lvl>
  </w:abstractNum>
  <w:abstractNum w:abstractNumId="93">
    <w:nsid w:val="6AA7B75C"/>
    <w:multiLevelType w:val="hybridMultilevel"/>
    <w:lvl w:ilvl="0">
      <w:lvlJc w:val="left"/>
      <w:lvlText w:val="%1"/>
      <w:numFmt w:val="decimal"/>
      <w:start w:val="1"/>
    </w:lvl>
    <w:lvl w:ilvl="1">
      <w:lvlJc w:val="left"/>
      <w:lvlText w:val="%2."/>
      <w:numFmt w:val="decimal"/>
      <w:start w:val="5"/>
    </w:lvl>
    <w:lvl w:ilvl="2">
      <w:lvlJc w:val="left"/>
      <w:lvlText w:val="%3"/>
      <w:numFmt w:val="decimal"/>
      <w:start w:val="1"/>
    </w:lvl>
    <w:lvl w:ilvl="3">
      <w:lvlJc w:val="left"/>
      <w:lvlText w:val="%4"/>
      <w:numFmt w:val="decimal"/>
      <w:start w:val="1"/>
    </w:lvl>
    <w:lvl w:ilvl="4">
      <w:lvlJc w:val="left"/>
      <w:lvlText w:val="%5"/>
      <w:numFmt w:val="decimal"/>
      <w:start w:val="1"/>
    </w:lvl>
  </w:abstractNum>
  <w:abstractNum w:abstractNumId="94">
    <w:nsid w:val="1DF029D3"/>
    <w:multiLevelType w:val="hybridMultilevel"/>
    <w:lvl w:ilvl="0">
      <w:lvlJc w:val="left"/>
      <w:lvlText w:val="%1."/>
      <w:numFmt w:val="decimal"/>
      <w:start w:val="6"/>
    </w:lvl>
    <w:lvl w:ilvl="1">
      <w:lvlJc w:val="left"/>
      <w:lvlText w:val="%2."/>
      <w:numFmt w:val="decimal"/>
      <w:start w:val="8"/>
    </w:lvl>
    <w:lvl w:ilvl="2">
      <w:lvlJc w:val="left"/>
      <w:lvlText w:val="%3."/>
      <w:numFmt w:val="decimal"/>
      <w:start w:val="7"/>
    </w:lvl>
    <w:lvl w:ilvl="3">
      <w:lvlJc w:val="left"/>
      <w:lvlText w:val="%4."/>
      <w:numFmt w:val="decimal"/>
      <w:start w:val="8"/>
    </w:lvl>
    <w:lvl w:ilvl="4">
      <w:lvlJc w:val="left"/>
      <w:lvlText w:val="%5."/>
      <w:numFmt w:val="decimal"/>
      <w:start w:val="9"/>
    </w:lvl>
  </w:abstractNum>
  <w:abstractNum w:abstractNumId="95">
    <w:nsid w:val="5675FF36"/>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2"/>
    </w:lvl>
  </w:abstractNum>
  <w:abstractNum w:abstractNumId="96">
    <w:nsid w:val="3DD1509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3"/>
    </w:lvl>
    <w:lvl w:ilvl="5">
      <w:lvlJc w:val="left"/>
      <w:lvlText w:val="%6"/>
      <w:numFmt w:val="lowerLetter"/>
      <w:start w:val="1"/>
    </w:lvl>
  </w:abstractNum>
  <w:abstractNum w:abstractNumId="97">
    <w:nsid w:val="3DB012B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4"/>
    </w:lvl>
    <w:lvl w:ilvl="4">
      <w:lvlJc w:val="left"/>
      <w:lvlText w:val="%5"/>
      <w:numFmt w:val="lowerLetter"/>
      <w:start w:val="1"/>
    </w:lvl>
    <w:lvl w:ilvl="5">
      <w:lvlJc w:val="left"/>
      <w:lvlText w:val="%6"/>
      <w:numFmt w:val="lowerLetter"/>
      <w:start w:val="1"/>
    </w:lvl>
  </w:abstractNum>
  <w:abstractNum w:abstractNumId="98">
    <w:nsid w:val="2708C9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lvl w:ilvl="3">
      <w:lvlJc w:val="left"/>
      <w:lvlText w:val="(%4)"/>
      <w:numFmt w:val="lowerLetter"/>
      <w:start w:val="7"/>
    </w:lvl>
    <w:lvl w:ilvl="4">
      <w:lvlJc w:val="left"/>
      <w:lvlText w:val="%5"/>
      <w:numFmt w:val="lowerLetter"/>
      <w:start w:val="1"/>
    </w:lvl>
    <w:lvl w:ilvl="5">
      <w:lvlJc w:val="left"/>
      <w:lvlText w:val="%6"/>
      <w:numFmt w:val="lowerLetter"/>
      <w:start w:val="1"/>
    </w:lvl>
  </w:abstractNum>
  <w:abstractNum w:abstractNumId="99">
    <w:nsid w:val="5B25ACE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0"/>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100">
    <w:nsid w:val="175DFCF0"/>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101">
    <w:nsid w:val="4F97E3E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2"/>
    </w:lvl>
  </w:abstractNum>
  <w:abstractNum w:abstractNumId="102">
    <w:nsid w:val="53B0A9E"/>
    <w:multiLevelType w:val="hybridMultilevel"/>
    <w:lvl w:ilvl="0">
      <w:lvlJc w:val="left"/>
      <w:lvlText w:val="%1"/>
      <w:numFmt w:val="decimal"/>
      <w:start w:val="1"/>
    </w:lvl>
    <w:lvl w:ilvl="1">
      <w:lvlJc w:val="left"/>
      <w:lvlText w:val="%2"/>
      <w:numFmt w:val="decimal"/>
      <w:start w:val="1"/>
    </w:lvl>
    <w:lvl w:ilvl="2">
      <w:lvlJc w:val="left"/>
      <w:lvlText w:val="%3."/>
      <w:numFmt w:val="decimal"/>
      <w:start w:val="12"/>
    </w:lvl>
    <w:lvl w:ilvl="3">
      <w:lvlJc w:val="left"/>
      <w:lvlText w:val="%4"/>
      <w:numFmt w:val="lowerLetter"/>
      <w:start w:val="1"/>
    </w:lvl>
  </w:abstractNum>
  <w:abstractNum w:abstractNumId="103">
    <w:nsid w:val="34FD6B4F"/>
    <w:multiLevelType w:val="hybridMultilevel"/>
    <w:lvl w:ilvl="0">
      <w:lvlJc w:val="left"/>
      <w:lvlText w:val="%1"/>
      <w:numFmt w:val="decimal"/>
      <w:start w:val="1"/>
    </w:lvl>
    <w:lvl w:ilvl="1">
      <w:lvlJc w:val="left"/>
      <w:lvlText w:val="%2."/>
      <w:numFmt w:val="decimal"/>
      <w:start w:val="13"/>
    </w:lvl>
    <w:lvl w:ilvl="2">
      <w:lvlJc w:val="left"/>
      <w:lvlText w:val="%3"/>
      <w:numFmt w:val="decimal"/>
      <w:start w:val="1"/>
    </w:lvl>
    <w:lvl w:ilvl="3">
      <w:lvlJc w:val="left"/>
      <w:lvlText w:val="%4"/>
      <w:numFmt w:val="lowerLetter"/>
      <w:start w:val="1"/>
    </w:lvl>
  </w:abstractNum>
  <w:abstractNum w:abstractNumId="104">
    <w:nsid w:val="5915FF32"/>
    <w:multiLevelType w:val="hybridMultilevel"/>
    <w:lvl w:ilvl="0">
      <w:lvlJc w:val="left"/>
      <w:lvlText w:val="%1."/>
      <w:numFmt w:val="decimal"/>
      <w:start w:val="14"/>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105">
    <w:nsid w:val="56438D15"/>
    <w:multiLevelType w:val="hybridMultilevel"/>
    <w:lvl w:ilvl="0">
      <w:lvlJc w:val="left"/>
      <w:lvlText w:val="(%1)"/>
      <w:numFmt w:val="lowerLetter"/>
      <w:start w:val="1"/>
    </w:lvl>
  </w:abstractNum>
  <w:abstractNum w:abstractNumId="106">
    <w:nsid w:val="519E3149"/>
    <w:multiLevelType w:val="hybridMultilevel"/>
    <w:lvl w:ilvl="0">
      <w:lvlJc w:val="left"/>
      <w:lvlText w:val="(%1)"/>
      <w:numFmt w:val="lowerLetter"/>
      <w:start w:val="1"/>
    </w:lvl>
  </w:abstractNum>
  <w:abstractNum w:abstractNumId="107">
    <w:nsid w:val="2C6E4AFD"/>
    <w:multiLevelType w:val="hybridMultilevel"/>
    <w:lvl w:ilvl="0">
      <w:lvlJc w:val="left"/>
      <w:lvlText w:val="(%1)"/>
      <w:numFmt w:val="lowerLetter"/>
      <w:start w:val="1"/>
    </w:lvl>
  </w:abstractNum>
  <w:abstractNum w:abstractNumId="108">
    <w:nsid w:val="17A1B582"/>
    <w:multiLevelType w:val="hybridMultilevel"/>
    <w:lvl w:ilvl="0">
      <w:lvlJc w:val="left"/>
      <w:lvlText w:val="(%1)"/>
      <w:numFmt w:val="lowerRoman"/>
      <w:start w:val="1"/>
    </w:lvl>
  </w:abstractNum>
  <w:abstractNum w:abstractNumId="109">
    <w:nsid w:val="4DF72E4E"/>
    <w:multiLevelType w:val="hybridMultilevel"/>
    <w:lvl w:ilvl="0">
      <w:lvlJc w:val="left"/>
      <w:lvlText w:val="(%1)"/>
      <w:numFmt w:val="lowerRoman"/>
      <w:start w:val="1"/>
    </w:lvl>
  </w:abstractNum>
  <w:abstractNum w:abstractNumId="110">
    <w:nsid w:val="5046B5A9"/>
    <w:multiLevelType w:val="hybridMultilevel"/>
    <w:lvl w:ilvl="0">
      <w:lvlJc w:val="left"/>
      <w:lvlText w:val="(%1)"/>
      <w:numFmt w:val="lowerRoman"/>
      <w:start w:val="1"/>
    </w:lvl>
  </w:abstractNum>
  <w:abstractNum w:abstractNumId="111">
    <w:nsid w:val="5D888A08"/>
    <w:multiLevelType w:val="hybridMultilevel"/>
    <w:lvl w:ilvl="0">
      <w:lvlJc w:val="left"/>
      <w:lvlText w:val="(%1)"/>
      <w:numFmt w:val="lowerRoman"/>
      <w:start w:val="12"/>
    </w:lvl>
  </w:abstractNum>
  <w:abstractNum w:abstractNumId="112">
    <w:nsid w:val="2A082C70"/>
    <w:multiLevelType w:val="hybridMultilevel"/>
    <w:lvl w:ilvl="0">
      <w:lvlJc w:val="left"/>
      <w:lvlText w:val="(%1)"/>
      <w:numFmt w:val="decimal"/>
      <w:start w:val="2"/>
    </w:lvl>
  </w:abstractNum>
  <w:abstractNum w:abstractNumId="113">
    <w:nsid w:val="5EC6AFD4"/>
    <w:multiLevelType w:val="hybridMultilevel"/>
    <w:lvl w:ilvl="0">
      <w:lvlJc w:val="left"/>
      <w:lvlText w:val="(%1)"/>
      <w:numFmt w:val="decimal"/>
      <w:start w:val="3"/>
    </w:lvl>
  </w:abstractNum>
  <w:abstractNum w:abstractNumId="114">
    <w:nsid w:val="19E21BB2"/>
    <w:multiLevelType w:val="hybridMultilevel"/>
    <w:lvl w:ilvl="0">
      <w:lvlJc w:val="left"/>
      <w:lvlText w:val="(%1)"/>
      <w:numFmt w:val="decimal"/>
      <w:start w:val="9"/>
    </w:lvl>
  </w:abstractNum>
  <w:abstractNum w:abstractNumId="115">
    <w:nsid w:val="75E0858A"/>
    <w:multiLevelType w:val="hybridMultilevel"/>
    <w:lvl w:ilvl="0">
      <w:lvlJc w:val="left"/>
      <w:lvlText w:val="•"/>
      <w:numFmt w:val="bullet"/>
      <w:start w:val="1"/>
    </w:lvl>
  </w:abstractNum>
  <w:abstractNum w:abstractNumId="116">
    <w:nsid w:val="57A61A29"/>
    <w:multiLevelType w:val="hybridMultilevel"/>
    <w:lvl w:ilvl="0">
      <w:lvlJc w:val="left"/>
      <w:lvlText w:val="•"/>
      <w:numFmt w:val="bullet"/>
      <w:start w:val="1"/>
    </w:lvl>
  </w:abstractNum>
  <w:abstractNum w:abstractNumId="117">
    <w:nsid w:val="5399C654"/>
    <w:multiLevelType w:val="hybridMultilevel"/>
    <w:lvl w:ilvl="0">
      <w:lvlJc w:val="left"/>
      <w:lvlText w:val="•"/>
      <w:numFmt w:val="bullet"/>
      <w:start w:val="1"/>
    </w:lvl>
  </w:abstractNum>
  <w:abstractNum w:abstractNumId="118">
    <w:nsid w:val="20EE1348"/>
    <w:multiLevelType w:val="hybridMultilevel"/>
    <w:lvl w:ilvl="0">
      <w:lvlJc w:val="left"/>
      <w:lvlText w:val="•"/>
      <w:numFmt w:val="bullet"/>
      <w:start w:val="1"/>
    </w:lvl>
  </w:abstractNum>
  <w:abstractNum w:abstractNumId="119">
    <w:nsid w:val="4427069A"/>
    <w:multiLevelType w:val="hybridMultilevel"/>
    <w:lvl w:ilvl="0">
      <w:lvlJc w:val="left"/>
      <w:lvlText w:val="•"/>
      <w:numFmt w:val="bullet"/>
      <w:start w:val="1"/>
    </w:lvl>
  </w:abstractNum>
  <w:abstractNum w:abstractNumId="120">
    <w:nsid w:val="B37E80A"/>
    <w:multiLevelType w:val="hybridMultilevel"/>
    <w:lvl w:ilvl="0">
      <w:lvlJc w:val="left"/>
      <w:lvlText w:val="•"/>
      <w:numFmt w:val="bullet"/>
      <w:start w:val="1"/>
    </w:lvl>
  </w:abstractNum>
  <w:abstractNum w:abstractNumId="121">
    <w:nsid w:val="2157F6BC"/>
    <w:multiLevelType w:val="hybridMultilevel"/>
    <w:lvl w:ilvl="0">
      <w:lvlJc w:val="left"/>
      <w:lvlText w:val="•"/>
      <w:numFmt w:val="bullet"/>
      <w:start w:val="1"/>
    </w:lvl>
  </w:abstractNum>
  <w:abstractNum w:abstractNumId="122">
    <w:nsid w:val="704E1DD5"/>
    <w:multiLevelType w:val="hybridMultilevel"/>
    <w:lvl w:ilvl="0">
      <w:lvlJc w:val="left"/>
      <w:lvlText w:val="•"/>
      <w:numFmt w:val="bullet"/>
      <w:start w:val="1"/>
    </w:lvl>
  </w:abstractNum>
  <w:abstractNum w:abstractNumId="123">
    <w:nsid w:val="57D2F10E"/>
    <w:multiLevelType w:val="hybridMultilevel"/>
    <w:lvl w:ilvl="0">
      <w:lvlJc w:val="left"/>
      <w:lvlText w:val="•"/>
      <w:numFmt w:val="bullet"/>
      <w:start w:val="1"/>
    </w:lvl>
  </w:abstractNum>
  <w:abstractNum w:abstractNumId="124">
    <w:nsid w:val="BFFAE18"/>
    <w:multiLevelType w:val="hybridMultilevel"/>
    <w:lvl w:ilvl="0">
      <w:lvlJc w:val="left"/>
      <w:lvlText w:val="•"/>
      <w:numFmt w:val="bullet"/>
      <w:start w:val="1"/>
    </w:lvl>
  </w:abstractNum>
  <w:abstractNum w:abstractNumId="125">
    <w:nsid w:val="E3E47A8"/>
    <w:multiLevelType w:val="hybridMultilevel"/>
    <w:lvl w:ilvl="0">
      <w:lvlJc w:val="left"/>
      <w:lvlText w:val="(%1)"/>
      <w:numFmt w:val="lowerLetter"/>
      <w:start w:val="1"/>
    </w:lvl>
  </w:abstractNum>
  <w:abstractNum w:abstractNumId="126">
    <w:nsid w:val="2E48F044"/>
    <w:multiLevelType w:val="hybridMultilevel"/>
    <w:lvl w:ilvl="0">
      <w:lvlJc w:val="left"/>
      <w:lvlText w:val="(%1)"/>
      <w:numFmt w:val="lowerLetter"/>
      <w:start w:val="3"/>
    </w:lvl>
  </w:abstractNum>
  <w:abstractNum w:abstractNumId="127">
    <w:nsid w:val="49D0FEAC"/>
    <w:multiLevelType w:val="hybridMultilevel"/>
    <w:lvl w:ilvl="0">
      <w:lvlJc w:val="left"/>
      <w:lvlText w:val="(%1)"/>
      <w:numFmt w:val="lowerLetter"/>
      <w:start w:val="5"/>
    </w:lvl>
    <w:lvl w:ilvl="1">
      <w:lvlJc w:val="left"/>
      <w:lvlText w:val="(%2)"/>
      <w:numFmt w:val="decimal"/>
      <w:start w:val="1"/>
    </w:lvl>
  </w:abstractNum>
  <w:abstractNum w:abstractNumId="128">
    <w:nsid w:val="4BEE5A5B"/>
    <w:multiLevelType w:val="hybridMultilevel"/>
    <w:lvl w:ilvl="0">
      <w:lvlJc w:val="left"/>
      <w:lvlText w:val="%1."/>
      <w:numFmt w:val="upperLetter"/>
      <w:start w:val="35"/>
    </w:lvl>
  </w:abstractNum>
  <w:abstractNum w:abstractNumId="129">
    <w:nsid w:val="5551B9F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30">
    <w:nsid w:val="24F6AB8E"/>
    <w:multiLevelType w:val="hybridMultilevel"/>
    <w:lvl w:ilvl="0">
      <w:lvlJc w:val="left"/>
      <w:lvlText w:val="(%1)"/>
      <w:numFmt w:val="lowerLetter"/>
      <w:start w:val="2"/>
    </w:lvl>
    <w:lvl w:ilvl="1">
      <w:lvlJc w:val="left"/>
      <w:lvlText w:val="(%2)"/>
      <w:numFmt w:val="decimal"/>
      <w:start w:val="1"/>
    </w:lvl>
  </w:abstractNum>
  <w:abstractNum w:abstractNumId="131">
    <w:nsid w:val="634C574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4"/>
    </w:lvl>
  </w:abstractNum>
  <w:abstractNum w:abstractNumId="132">
    <w:nsid w:val="24E99DD7"/>
    <w:multiLevelType w:val="hybridMultilevel"/>
    <w:lvl w:ilvl="0">
      <w:lvlJc w:val="left"/>
      <w:lvlText w:val="%1."/>
      <w:numFmt w:val="decimal"/>
      <w:start w:val="2"/>
    </w:lvl>
    <w:lvl w:ilvl="1">
      <w:lvlJc w:val="left"/>
      <w:lvlText w:val="%2."/>
      <w:numFmt w:val="decimal"/>
      <w:start w:val="2"/>
    </w:lvl>
    <w:lvl w:ilvl="2">
      <w:lvlJc w:val="left"/>
      <w:lvlText w:val="%3."/>
      <w:numFmt w:val="decimal"/>
      <w:start w:val="4"/>
    </w:lvl>
    <w:lvl w:ilvl="3">
      <w:lvlJc w:val="left"/>
      <w:lvlText w:val="(%4)"/>
      <w:numFmt w:val="lowerLetter"/>
      <w:start w:val="1"/>
    </w:lvl>
  </w:abstractNum>
  <w:abstractNum w:abstractNumId="133">
    <w:nsid w:val="2A31B62D"/>
    <w:multiLevelType w:val="hybridMultilevel"/>
    <w:lvl w:ilvl="0">
      <w:lvlJc w:val="left"/>
      <w:lvlText w:val="%1"/>
      <w:numFmt w:val="upperLetter"/>
      <w:start w:val="1"/>
    </w:lvl>
    <w:lvl w:ilvl="1">
      <w:lvlJc w:val="left"/>
      <w:lvlText w:val="%2."/>
      <w:numFmt w:val="decimal"/>
      <w:start w:val="5"/>
    </w:lvl>
    <w:lvl w:ilvl="2">
      <w:lvlJc w:val="left"/>
      <w:lvlText w:val="%3"/>
      <w:numFmt w:val="decimal"/>
      <w:start w:val="1"/>
    </w:lvl>
  </w:abstractNum>
  <w:abstractNum w:abstractNumId="134">
    <w:nsid w:val="1849C29B"/>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abstractNum>
  <w:abstractNum w:abstractNumId="135">
    <w:nsid w:val="7DFF9D09"/>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36">
    <w:nsid w:val="754342"/>
    <w:multiLevelType w:val="hybridMultilevel"/>
    <w:lvl w:ilvl="0">
      <w:lvlJc w:val="left"/>
      <w:lvlText w:val="(%1)"/>
      <w:numFmt w:val="decimal"/>
      <w:start w:val="4"/>
    </w:lvl>
  </w:abstractNum>
  <w:abstractNum w:abstractNumId="137">
    <w:nsid w:val="69E7F3E5"/>
    <w:multiLevelType w:val="hybridMultilevel"/>
    <w:lvl w:ilvl="0">
      <w:lvlJc w:val="left"/>
      <w:lvlText w:val="%1"/>
      <w:numFmt w:val="decimal"/>
      <w:start w:val="1"/>
    </w:lvl>
    <w:lvl w:ilvl="1">
      <w:lvlJc w:val="left"/>
      <w:lvlText w:val="%2"/>
      <w:numFmt w:val="decimal"/>
      <w:start w:val="1"/>
    </w:lvl>
    <w:lvl w:ilvl="2">
      <w:lvlJc w:val="left"/>
      <w:lvlText w:val="%3."/>
      <w:numFmt w:val="decimal"/>
      <w:start w:val="4"/>
    </w:lvl>
    <w:lvl w:ilvl="3">
      <w:lvlJc w:val="left"/>
      <w:lvlText w:val="%4"/>
      <w:numFmt w:val="decimal"/>
      <w:start w:val="1"/>
    </w:lvl>
    <w:lvl w:ilvl="4">
      <w:lvlJc w:val="left"/>
      <w:lvlText w:val="%5."/>
      <w:numFmt w:val="decimal"/>
      <w:start w:val="5"/>
    </w:lvl>
  </w:abstractNum>
  <w:abstractNum w:abstractNumId="138">
    <w:nsid w:val="2A6DE806"/>
    <w:multiLevelType w:val="hybridMultilevel"/>
    <w:lvl w:ilvl="0">
      <w:lvlJc w:val="left"/>
      <w:lvlText w:val="%1"/>
      <w:numFmt w:val="decimal"/>
      <w:start w:val="1"/>
    </w:lvl>
    <w:lvl w:ilvl="1">
      <w:lvlJc w:val="left"/>
      <w:lvlText w:val="%2."/>
      <w:numFmt w:val="decimal"/>
      <w:start w:val="6"/>
    </w:lvl>
    <w:lvl w:ilvl="2">
      <w:lvlJc w:val="left"/>
      <w:lvlText w:val="%3"/>
      <w:numFmt w:val="decimal"/>
      <w:start w:val="1"/>
    </w:lvl>
    <w:lvl w:ilvl="3">
      <w:lvlJc w:val="left"/>
      <w:lvlText w:val="%4."/>
      <w:numFmt w:val="decimal"/>
      <w:start w:val="7"/>
    </w:lvl>
    <w:lvl w:ilvl="4">
      <w:lvlJc w:val="left"/>
      <w:lvlText w:val="%5"/>
      <w:numFmt w:val="decimal"/>
      <w:start w:val="1"/>
    </w:lvl>
  </w:abstractNum>
  <w:abstractNum w:abstractNumId="139">
    <w:nsid w:val="1816F8C4"/>
    <w:multiLevelType w:val="hybridMultilevel"/>
    <w:lvl w:ilvl="0">
      <w:lvlJc w:val="left"/>
      <w:lvlText w:val="%1"/>
      <w:numFmt w:val="decimal"/>
      <w:start w:val="1"/>
    </w:lvl>
    <w:lvl w:ilvl="1">
      <w:lvlJc w:val="left"/>
      <w:lvlText w:val="%2."/>
      <w:numFmt w:val="decimal"/>
      <w:start w:val="8"/>
    </w:lvl>
    <w:lvl w:ilvl="2">
      <w:lvlJc w:val="left"/>
      <w:lvlText w:val="%3"/>
      <w:numFmt w:val="decimal"/>
      <w:start w:val="1"/>
    </w:lvl>
    <w:lvl w:ilvl="3">
      <w:lvlJc w:val="left"/>
      <w:lvlText w:val="%4"/>
      <w:numFmt w:val="decimal"/>
      <w:start w:val="1"/>
    </w:lvl>
    <w:lvl w:ilvl="4">
      <w:lvlJc w:val="left"/>
      <w:lvlText w:val="%5"/>
      <w:numFmt w:val="decimal"/>
      <w:start w:val="1"/>
    </w:lvl>
  </w:abstractNum>
  <w:abstractNum w:abstractNumId="140">
    <w:nsid w:val="37DF2233"/>
    <w:multiLevelType w:val="hybridMultilevel"/>
    <w:lvl w:ilvl="0">
      <w:lvlJc w:val="left"/>
      <w:lvlText w:val="%1."/>
      <w:numFmt w:val="decimal"/>
      <w:start w:val="9"/>
    </w:lvl>
    <w:lvl w:ilvl="1">
      <w:lvlJc w:val="left"/>
      <w:lvlText w:val="%2."/>
      <w:numFmt w:val="decimal"/>
      <w:start w:val="10"/>
    </w:lvl>
  </w:abstractNum>
  <w:abstractNum w:abstractNumId="141">
    <w:nsid w:val="7AB49DAF"/>
    <w:multiLevelType w:val="hybridMultilevel"/>
    <w:lvl w:ilvl="0">
      <w:lvlJc w:val="left"/>
      <w:lvlText w:val="%1."/>
      <w:numFmt w:val="decimal"/>
      <w:start w:val="1"/>
    </w:lvl>
    <w:lvl w:ilvl="1">
      <w:lvlJc w:val="left"/>
      <w:lvlText w:val="%2)"/>
      <w:numFmt w:val="lowerLetter"/>
      <w:start w:val="1"/>
    </w:lvl>
  </w:abstractNum>
  <w:abstractNum w:abstractNumId="142">
    <w:nsid w:val="759F82CD"/>
    <w:multiLevelType w:val="hybridMultilevel"/>
    <w:lvl w:ilvl="0">
      <w:lvlJc w:val="left"/>
      <w:lvlText w:val="%1."/>
      <w:numFmt w:val="decimal"/>
      <w:start w:val="1"/>
    </w:lvl>
    <w:lvl w:ilvl="1">
      <w:lvlJc w:val="left"/>
      <w:lvlText w:val="%2)"/>
      <w:numFmt w:val="lowerLetter"/>
      <w:start w:val="1"/>
    </w:lvl>
  </w:abstractNum>
  <w:abstractNum w:abstractNumId="143">
    <w:nsid w:val="61E74EA3"/>
    <w:multiLevelType w:val="hybridMultilevel"/>
    <w:lvl w:ilvl="0">
      <w:lvlJc w:val="left"/>
      <w:lvlText w:val="%1."/>
      <w:numFmt w:val="decimal"/>
      <w:start w:val="1"/>
    </w:lvl>
  </w:abstractNum>
  <w:abstractNum w:abstractNumId="144">
    <w:nsid w:val="597B4D8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68" Type="http://schemas.openxmlformats.org/officeDocument/2006/relationships/hyperlink" Target="https://www.sec.gov/Archives/edgar/data/842633/000110465907058776/a07-19157_1ex3d1.htm" TargetMode="External"/><Relationship Id="rId69" Type="http://schemas.openxmlformats.org/officeDocument/2006/relationships/hyperlink" Target="https://www.sec.gov/Archives/edgar/data/842633/000084263315000161/third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2024-04-30T11:00:51Z</dcterms:created>
  <dcterms:modified xsi:type="dcterms:W3CDTF">2024-04-30T11:00:51Z</dcterms:modified>
</cp:coreProperties>
</file>