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2298.xml.htm"/>
      <w:bookmarkStart w:id="1" w:name="kswkform4_17920122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SEDAGHAT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TRIMAS CORP</w:t>
              </w:r>
            </w:hyperlink>
            <w:r>
              <w:rPr/>
              <w:t xml:space="preserve"> [ </w:t>
            </w:r>
            <w:r>
              <w:rPr>
                <w:rFonts w:ascii="Times;serif" w:hAnsi="Times;serif"/>
                <w:color w:val="0000FF"/>
                <w:sz w:val="24"/>
                <w:shd w:fill="FFFFFF" w:val="clear"/>
              </w:rPr>
              <w:t>TRS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01"/>
        <w:gridCol w:w="453"/>
        <w:gridCol w:w="668"/>
        <w:gridCol w:w="1276"/>
        <w:gridCol w:w="99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4,179,566</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1,883,758</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SEDAGHAT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Trend International Holding AG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8,899 of the securities reported herein, including the 651 securities subject to the transaction reported herein (the "Director Shares"), are directly held by Shawn Sedaghat ("Mr. Sedaghat"). Trend International Holding AG ("Trend") does not have beneficial ownership of the Director Shares, and specifically disclaims beneficial ownership of the Director Shares for purposes of Section 16 of the Securities Exchange Act of 1934, as amended ("Section 16"). This report shall not be deemed to be an admission that Trend is the beneficial owner of the Director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4,170,667 of the securities reported in Table One, Column Five are held directly by Trend. Mr. Sedaghat (and together with Trend, the "Reporting Persons") may be deemed to beneficially own such reported securities by virtue of the fact that Mr. Sedaghat is the Chairman of the Board of, and controls, Trend. Each of Trend and Mr. Sedaghat disclaims beneficial ownership of such reported securities for purposes of Section 16, except to the extent of its or his pecuniary interest therein, if any. This report shall not be deemed to be an admission that either Reporting Person is the beneficial owner of such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directly held by Swan Family Office, LLC ("Swan Family Office"). Mr. Sedaghat may be deemed to beneficially own the reported securities by virtue of the fact that Mr. Sedaghat is the Managing Member of Swan Family Office. Each of Swan Family Office and Mr. Sedaghat disclaims beneficial ownership of the securities to which this filing relates for purposes of Section 16 of the Securities Exchange Act of 1934, as amended ("Section 16"), except to the extent of its or his pecuniary interest therein, if any. This report shall not be deemed to be an admission that either Swan Family Office or Mr. Sedaghat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Trend does not have beneficial ownership of these securities, and specifically disclaims beneficial ownership of these securities. This report shall not be deemed to be an admission that Trend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Jodi F. Robin,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614" TargetMode="External"/><Relationship Id="rId5" Type="http://schemas.openxmlformats.org/officeDocument/2006/relationships/hyperlink" Target="http://www.sec.gov/cgi-bin/browse-edgar?action=getcompany&amp;CIK=00008426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21614" TargetMode="External"/><Relationship Id="rId10" Type="http://schemas.openxmlformats.org/officeDocument/2006/relationships/hyperlink" Target="http://www.sec.gov/cgi-bin/browse-edgar?action=getcompany&amp;CIK=000204046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997</Words>
  <Characters>5352</Characters>
  <CharactersWithSpaces>6249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