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4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23, 2026, the number of outstanding shares of the Registrant's common stock, $0.01 par value, was 35,827,685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20" w:type="dxa"/>
            <w:vAlign w:val="bottom"/>
            <w:gridSpan w:val="12"/>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 as of March 31, 2026 and December 31, 2025</w:t>
            </w:r>
          </w:p>
        </w:tc>
        <w:tc>
          <w:tcPr>
            <w:tcW w:w="1620" w:type="dxa"/>
            <w:vAlign w:val="bottom"/>
            <w:gridSpan w:val="5"/>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 of Income for the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Months Ended March 31,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0000FF"/>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FF"/>
                <w:w w:val="97"/>
              </w:rPr>
              <w:t>2026 and 2025</w:t>
            </w:r>
          </w:p>
        </w:tc>
        <w:tc>
          <w:tcPr>
            <w:tcW w:w="4300" w:type="dxa"/>
            <w:vAlign w:val="bottom"/>
            <w:tcBorders>
              <w:top w:val="single" w:sz="8" w:color="0000FF"/>
            </w:tcBorders>
            <w:gridSpan w:val="9"/>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Cash Flows for the Three Months Ended March 31, 2026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tcBorders>
          </w:tcPr>
          <w:p>
            <w:pPr>
              <w:ind w:left="20"/>
              <w:spacing w:after="0" w:line="169" w:lineRule="exact"/>
              <w:rPr>
                <w:sz w:val="20"/>
                <w:szCs w:val="20"/>
                <w:color w:val="auto"/>
              </w:rPr>
            </w:pPr>
            <w:r>
              <w:rPr>
                <w:rFonts w:ascii="Times New Roman" w:cs="Times New Roman" w:eastAsia="Times New Roman" w:hAnsi="Times New Roman"/>
                <w:sz w:val="18"/>
                <w:szCs w:val="18"/>
                <w:color w:val="0000FF"/>
                <w:w w:val="88"/>
              </w:rPr>
              <w:t>2025</w:t>
            </w: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Three Months Ended March 31, 2026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top w:val="single" w:sz="8" w:color="0000FF"/>
            </w:tcBorders>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FF"/>
                <w:w w:val="96"/>
              </w:rPr>
              <w:t>and 2025</w:t>
            </w:r>
          </w:p>
        </w:tc>
        <w:tc>
          <w:tcPr>
            <w:tcW w:w="6060" w:type="dxa"/>
            <w:vAlign w:val="bottom"/>
            <w:tcBorders>
              <w:top w:val="single" w:sz="8" w:color="0000FF"/>
            </w:tcBorders>
            <w:gridSpan w:val="15"/>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40" w:type="dxa"/>
            <w:vAlign w:val="bottom"/>
            <w:gridSpan w:val="8"/>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2"/>
          </w:tcPr>
          <w:p>
            <w:pPr>
              <w:spacing w:after="0"/>
              <w:rPr>
                <w:sz w:val="24"/>
                <w:szCs w:val="24"/>
                <w:color w:val="auto"/>
              </w:rPr>
            </w:pP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2"/>
          </w:tcPr>
          <w:p>
            <w:pPr>
              <w:spacing w:after="0"/>
              <w:rPr>
                <w:sz w:val="24"/>
                <w:szCs w:val="24"/>
                <w:color w:val="auto"/>
              </w:rPr>
            </w:pPr>
          </w:p>
        </w:tc>
        <w:tc>
          <w:tcPr>
            <w:tcW w:w="648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3"/>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400" w:type="dxa"/>
            <w:vAlign w:val="bottom"/>
          </w:tcPr>
          <w:p>
            <w:pPr>
              <w:spacing w:after="0"/>
              <w:rPr>
                <w:sz w:val="24"/>
                <w:szCs w:val="24"/>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00" w:type="dxa"/>
            <w:vAlign w:val="bottom"/>
            <w:gridSpan w:val="2"/>
          </w:tcPr>
          <w:p>
            <w:pPr>
              <w:spacing w:after="0"/>
              <w:rPr>
                <w:sz w:val="24"/>
                <w:szCs w:val="24"/>
                <w:color w:val="auto"/>
              </w:rPr>
            </w:pPr>
          </w:p>
        </w:tc>
        <w:tc>
          <w:tcPr>
            <w:tcW w:w="9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7"/>
              </w:rPr>
              <w:t>Risk Factors</w:t>
            </w:r>
          </w:p>
        </w:tc>
        <w:tc>
          <w:tcPr>
            <w:tcW w:w="608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2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568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70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08"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recognize the benefits of and effectively deploy the net proceeds from the sale of our Aerospace segment; pressures on our supply chain, including the price and availability of raw materials, the impacts of geopolitical conflicts,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2025,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2025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82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30,020</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reserves of $1.3 million as of March 31, 2026 and December 31, 2025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111,270</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108,720</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36,380</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assets, discontinued operations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176,280</w:t>
            </w:r>
          </w:p>
        </w:tc>
      </w:tr>
      <w:tr>
        <w:trPr>
          <w:trHeight w:val="223"/>
        </w:trPr>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1,589,940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462,670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discontinued operations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267,170</w:t>
            </w:r>
          </w:p>
        </w:tc>
      </w:tr>
      <w:tr>
        <w:trPr>
          <w:trHeight w:val="223"/>
        </w:trPr>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2,297,130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1,485,080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shd w:val="clear" w:color="auto" w:fill="CCEEFF"/>
          </w:tcPr>
          <w:p>
            <w:pPr>
              <w:ind w:left="24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72,280</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discontinued operations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47,650</w:t>
            </w:r>
          </w:p>
        </w:tc>
      </w:tr>
      <w:tr>
        <w:trPr>
          <w:trHeight w:val="223"/>
        </w:trPr>
        <w:tc>
          <w:tcPr>
            <w:tcW w:w="78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discontinued operations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w:t>
            </w:r>
          </w:p>
        </w:tc>
      </w:tr>
      <w:tr>
        <w:trPr>
          <w:trHeight w:val="223"/>
        </w:trPr>
        <w:tc>
          <w:tcPr>
            <w:tcW w:w="78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779,490</w:t>
            </w:r>
          </w:p>
        </w:tc>
      </w:tr>
      <w:tr>
        <w:trPr>
          <w:trHeight w:val="175"/>
        </w:trPr>
        <w:tc>
          <w:tcPr>
            <w:tcW w:w="7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Issued and outstanding: 36,336,668 shares at March 31, 2026 and 37,630,206 shares at December 31,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577,810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127,410</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705,590</w:t>
            </w:r>
          </w:p>
        </w:tc>
      </w:tr>
      <w:tr>
        <w:trPr>
          <w:trHeight w:val="223"/>
        </w:trPr>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2,297,130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1,485,080</w:t>
            </w:r>
          </w:p>
        </w:tc>
      </w:tr>
      <w:tr>
        <w:trPr>
          <w:trHeight w:val="21"/>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2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dispositions of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37,426,123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40,605,288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40,969,299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3"/>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accounts payable and accrued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operating activities, net of acquisition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business, property and equipment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20,490</w:t>
            </w: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financing fees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 beginning of period</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end of period</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34"/>
        </w:trPr>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340" w:space="720"/>
            <w:col w:w="31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5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5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4"/>
        </w:trPr>
        <w:tc>
          <w:tcPr>
            <w:tcW w:w="5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3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800,830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1,449,810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2025 Annual Report on Form 10-K.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2026, the Company completed the previously announced sale of its Aerospace segment ("Aerospace"), a transaction entered into with an affiliate of Tinicum L.P., and funds managed by Blackstone, Inc. on November 4, 2025. Aerospace was sold for approximately $1,456.9 million in cash, subject to customary post-closing adjustments. The financial results of Aerospace were previously reported within the Company's Aerospace reportable segment, and are presented as discontinued operations for all periods presented in the financial statements attached hereto.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2025-06, "Intangibles—Goodwill and Other— Internal-Use Software (Subtopic 350-40): Targeted Improvements to the Accounting for Internal-Use Software" ("ASU 2025-06"), which modernizes the accounting for software costs by removing references to prescriptive and sequential software development stages. Under ASU 2025-06 an entity is required to start capitalizing software costs when management has authorized and committed to funding the software project, and it is probable that the project will be completed and the software will be used to perform the function intended. ASU 2025-06 is effective for fiscal years, and interim periods within those years, beginning after December 15, 2027, with early adoption permitted. The Company adopted ASU 2025-06 in the first quarter of 2026 with no material impact on its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The Company adopted ASU 2025-05 in the first quarter of 2026 with no material impact on its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2026, the Company completed the previously announced sale of Aerospace to an affiliate of Tinicum L.P., and funds managed by Blackstone, Inc., pursuant to an Equity Purchase Agreement dated as of November 4, 2025 (the "Purchase Agreement"), for a purchase price of approximately $1,456.9 million, subject to certain adjustments as set forth in the Purchase Agreement which the Company expects to be finalized during 2026.</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net proceeds of $1,241.8 million, which represents the purchase price, less estimated tax payments of approximately $194.5 million, and transaction costs of $20.2 million. The Company recorded a pre-tax gain on the sale of $1,040.0 million. The Company's liability for estimated tax payments is included in accounts payable in the accompanying consolidated balance sheet.</w:t>
      </w:r>
    </w:p>
    <w:p>
      <w:pPr>
        <w:spacing w:after="0" w:line="68"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As of March 31, 2026, the Company’s net cash proceeds were invested in highly liquid instruments, including U.S. Treasury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money market funds and cash deposits with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financial institutions designated as Globally Systemically Important Banks. These investments are available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basis, earn interest at a rate of approximately 3.5%, and qualify as permitted investments under the Company’s credit agreement. The Company intends to maintain these investments until they are deployed for organic growth initiatives, strategically aligned acquisition opportunities, share repurchases, or a combination thereof.</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historical results for Aerospace are reported in the accompanying consolidated statement of income as a discontinued operation and the assets and liabilities have been retrospectively reclassified to assets and liabilities of discontinued operations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assets and liabilities held in discontinued operations were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3760" w:type="dxa"/>
            <w:vAlign w:val="bottom"/>
            <w:shd w:val="clear" w:color="auto" w:fill="CCEEFF"/>
          </w:tcPr>
          <w:p>
            <w:pPr>
              <w:spacing w:after="0"/>
              <w:rPr>
                <w:sz w:val="18"/>
                <w:szCs w:val="18"/>
                <w:color w:val="auto"/>
              </w:rPr>
            </w:pPr>
          </w:p>
        </w:tc>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60,460</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113,950</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23"/>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176,280</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90,780</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86,960</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77,530</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6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3"/>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443,450</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discontinued operations are summarized as follows (dollars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960" w:hanging="1185"/>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16,370</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w:t>
      </w:r>
    </w:p>
    <w:p>
      <w:pPr>
        <w:spacing w:after="0" w:line="22"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6,280</w:t>
      </w:r>
    </w:p>
    <w:p>
      <w:pPr>
        <w:spacing w:after="0" w:line="31" w:lineRule="exact"/>
        <w:rPr>
          <w:rFonts w:ascii="Times New Roman" w:cs="Times New Roman" w:eastAsia="Times New Roman" w:hAnsi="Times New Roman"/>
          <w:sz w:val="18"/>
          <w:szCs w:val="18"/>
          <w:color w:val="auto"/>
        </w:rPr>
      </w:pPr>
    </w:p>
    <w:p>
      <w:pPr>
        <w:ind w:left="2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47,650</w:t>
      </w:r>
    </w:p>
    <w:p>
      <w:pPr>
        <w:spacing w:after="0" w:line="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4,540</w:t>
      </w:r>
    </w:p>
    <w:p>
      <w:pPr>
        <w:spacing w:after="0" w:line="22"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6,160</w:t>
      </w:r>
    </w:p>
    <w:p>
      <w:pPr>
        <w:spacing w:after="0" w:line="22" w:lineRule="exact"/>
        <w:rPr>
          <w:rFonts w:ascii="Times New Roman" w:cs="Times New Roman" w:eastAsia="Times New Roman" w:hAnsi="Times New Roman"/>
          <w:sz w:val="18"/>
          <w:szCs w:val="18"/>
          <w:color w:val="auto"/>
        </w:rPr>
      </w:pPr>
    </w:p>
    <w:p>
      <w:pPr>
        <w:ind w:left="2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31" w:lineRule="exact"/>
        <w:rPr>
          <w:sz w:val="20"/>
          <w:szCs w:val="20"/>
          <w:color w:val="auto"/>
        </w:rPr>
      </w:pPr>
    </w:p>
    <w:p>
      <w:pPr>
        <w:ind w:left="2020" w:hanging="1245"/>
        <w:spacing w:after="0"/>
        <w:tabs>
          <w:tab w:leader="none" w:pos="2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50165</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21590</wp:posOffset>
            </wp:positionV>
            <wp:extent cx="1971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6" w:lineRule="exact"/>
        <w:rPr>
          <w:sz w:val="20"/>
          <w:szCs w:val="20"/>
          <w:color w:val="auto"/>
        </w:rPr>
      </w:pPr>
    </w:p>
    <w:p>
      <w:pPr>
        <w:ind w:left="14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8" w:lineRule="exact"/>
        <w:rPr>
          <w:sz w:val="20"/>
          <w:szCs w:val="20"/>
          <w:color w:val="auto"/>
        </w:rPr>
      </w:pPr>
    </w:p>
    <w:p>
      <w:pPr>
        <w:sectPr>
          <w:pgSz w:w="11900" w:h="16838" w:orient="portrait"/>
          <w:cols w:equalWidth="0" w:num="2">
            <w:col w:w="7940" w:space="720"/>
            <w:col w:w="25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(65,010)</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dispositions of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852,590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1"/>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depreciation, amortization, capital expenditures, and significant cash flow items of the discontinued operations were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dispositions of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108"/>
        </w:trPr>
        <w:tc>
          <w:tcPr>
            <w:tcW w:w="8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300" w:type="dxa"/>
            <w:vAlign w:val="bottom"/>
          </w:tcPr>
          <w:p>
            <w:pPr>
              <w:spacing w:after="0"/>
              <w:rPr>
                <w:sz w:val="18"/>
                <w:szCs w:val="18"/>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102,850</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49,610</w:t>
            </w:r>
          </w:p>
        </w:tc>
      </w:tr>
      <w:tr>
        <w:trPr>
          <w:trHeight w:val="248"/>
        </w:trPr>
        <w:tc>
          <w:tcPr>
            <w:tcW w:w="8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Specialty Products segment earns revenues from a variety of submarkets within the industrial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contract assets and contract liabilities primarily related to in-process tooling projects for long-term supply arrangements with a contractual guarantee for reimbursement by the customer. Contract assets primarily consist of capitalized costs related to customer-owned tooling contracts, wherein the Company has not yet met performance obligations. Contract liabilities include deferred tooling revenue, where the performance obligation was not met. The performance obligation is satisfied and cost of goods sold is recognized and released from the balance sheet when control of the tooling is transferred to the customer.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contract assets and contract liabilities are as follows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r>
    </w:tbl>
    <w:p>
      <w:pPr>
        <w:spacing w:after="0" w:line="2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$5.1 million of revenue was recognized that was recorded as a contract liability as of December 31, 2025. The remainder of the change in the contract liability balance was driven by additional deferrals, primarily from new billings, partially offset by a decrease in the balance resulting from changes in foreign currency exchange rates and revenue recognized on current year deferrals.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Realignment 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$4.1 million of realignment costs related to the comprehensive reorganization of its Packaging segment and corporate office, primarily for severance, including $0.5 million of non-cash compensation expense. These charges were included in selling, general and administrative expenses in the accompanying consolidated statement of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Realignment Actions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$3.8 million of realignment costs related to actions to reorganize its corporate office, primarily for severance and consulting costs, including $1.5 million of non-cash compensation expense. These charges were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and Sale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2025, the Company acquired the aerospace business ("GMT Aerospace") of GMT Gummi-Metall-Technik GmbH for a purchase price of $37.7 million. The fair value of assets acquired and liabilities assumed included $15.5 million of goodwill, $4.6 million of intangible assets, $0.2 million of property and equipment, and $17.4 million of net working capital. GMT Aerospace was part of the Aerospace segment, which has been presented as discontinued operations for all periods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completed the sale of its Arrow Engine business within the Specialty Products segment for net cash proceeds of $21.0 million. As a result, the Company recorded a pre-tax gain of $5.3 million for the three months ended March 31, 2025, and $0.1 million for the three months ended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2026 are summarized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300,280</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at March 31,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36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450,960</w:t>
            </w:r>
          </w:p>
        </w:tc>
      </w:tr>
      <w:tr>
        <w:trPr>
          <w:trHeight w:val="223"/>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524,840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277,330</w:t>
            </w: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247,510</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736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469,170</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April 15, 2026, the Company may redeem all or part of the Senior Notes at par (100% of principal amount), plus accrued and unpaid interest, if any, to the redemption date.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 amended its existing credit agreement ("Credit Agreement") to extend the maturity date. The Company incurred fees and expenses of $1.3 million during the three months ended March 31, 2025 related to the amendment, all of which was capitalized as debt issuance costs. The Company also recorded $0.1 million of non-cash expense related to the write-off of previously capitalized deferred financing fees in the three months ended March 31, 2025. The Credit Agreement consists of a $250.0 million senior secured revolving credit facility, which permits borrowings denominated in specific foreign currencies, subject to a $125.0 million sub limit, maturing on March 31, 2030.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no amounts outstanding under its revolving credit facility and had $243.8 million available after giving effect to $6.2 million of letters of credit issued and outstanding. At December 31, 2025, the Company had $72.8 million outstanding under its revolving credit facility and had $171.2 million available after giving effect to $6.0 million of letters of credit issued and outstanding. After consideration of leverage restrictions contained in the Credit Agreement, as of March 31, 2026, the Company had $190.1 million of borrowing capacity available for general corporate purposes. The Company's borrowing capacity was not reduced by leverage restrictions contained in the Credit Agreement as of December 31, 2025.</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In December 2025 and March 2026, the Company amended the Credit Agreement to update certain definitions used in ratio and indebtedness calculations due to the sale of the Aerospace segment. At March 31, 2026, the Company was in compliance with its financial covenants contained in the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March 31, 2026, or December 31,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March 31, 2026 and December 31, 2025, and the amounts reclassified from AOCI into earnings for the three months ended March 31, 2026 and 2025 (dollars in thousands):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2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8890</wp:posOffset>
            </wp:positionV>
            <wp:extent cx="20313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53" w:lineRule="exact"/>
        <w:rPr>
          <w:sz w:val="20"/>
          <w:szCs w:val="20"/>
          <w:color w:val="auto"/>
        </w:rPr>
      </w:pPr>
    </w:p>
    <w:tbl>
      <w:tblPr>
        <w:tblLayout w:type="fixed"/>
        <w:tblInd w:w="246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0" w:type="dxa"/>
            <w:vAlign w:val="bottom"/>
          </w:tcPr>
          <w:p>
            <w:pPr>
              <w:spacing w:after="0"/>
              <w:rPr>
                <w:sz w:val="1"/>
                <w:szCs w:val="1"/>
                <w:color w:val="auto"/>
              </w:rPr>
            </w:pPr>
          </w:p>
        </w:tc>
      </w:tr>
      <w:tr>
        <w:trPr>
          <w:trHeight w:val="162"/>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720" w:type="dxa"/>
            <w:vAlign w:val="bottom"/>
            <w:vMerge w:val="continue"/>
          </w:tcPr>
          <w:p>
            <w:pPr>
              <w:spacing w:after="0"/>
              <w:rPr>
                <w:sz w:val="14"/>
                <w:szCs w:val="14"/>
                <w:color w:val="auto"/>
              </w:rPr>
            </w:pPr>
          </w:p>
        </w:tc>
        <w:tc>
          <w:tcPr>
            <w:tcW w:w="224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 into</w:t>
            </w:r>
          </w:p>
        </w:tc>
        <w:tc>
          <w:tcPr>
            <w:tcW w:w="0" w:type="dxa"/>
            <w:vAlign w:val="bottom"/>
          </w:tcPr>
          <w:p>
            <w:pPr>
              <w:spacing w:after="0"/>
              <w:rPr>
                <w:sz w:val="1"/>
                <w:szCs w:val="1"/>
                <w:color w:val="auto"/>
              </w:rPr>
            </w:pPr>
          </w:p>
        </w:tc>
      </w:tr>
      <w:tr>
        <w:trPr>
          <w:trHeight w:val="212"/>
        </w:trPr>
        <w:tc>
          <w:tcPr>
            <w:tcW w:w="1600" w:type="dxa"/>
            <w:vAlign w:val="bottom"/>
            <w:vMerge w:val="continue"/>
          </w:tcPr>
          <w:p>
            <w:pPr>
              <w:spacing w:after="0"/>
              <w:rPr>
                <w:sz w:val="18"/>
                <w:szCs w:val="18"/>
                <w:color w:val="auto"/>
              </w:rPr>
            </w:pPr>
          </w:p>
        </w:tc>
        <w:tc>
          <w:tcPr>
            <w:tcW w:w="17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Earnings (Effective 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160"/>
        <w:spacing w:after="0" w:line="248" w:lineRule="auto"/>
        <w:rPr>
          <w:sz w:val="20"/>
          <w:szCs w:val="20"/>
          <w:color w:val="auto"/>
        </w:rPr>
      </w:pPr>
      <w:r>
        <w:rPr>
          <w:rFonts w:ascii="Times New Roman" w:cs="Times New Roman" w:eastAsia="Times New Roman" w:hAnsi="Times New Roman"/>
          <w:sz w:val="16"/>
          <w:szCs w:val="16"/>
          <w:b w:val="1"/>
          <w:bCs w:val="1"/>
          <w:color w:val="auto"/>
        </w:rPr>
        <w:t>Amount of Income (Loss) Reclassified 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0</wp:posOffset>
            </wp:positionV>
            <wp:extent cx="1834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1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wp:posOffset>
            </wp:positionV>
            <wp:extent cx="17741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31" w:lineRule="exact"/>
        <w:rPr>
          <w:sz w:val="20"/>
          <w:szCs w:val="20"/>
          <w:color w:val="auto"/>
        </w:rPr>
      </w:pPr>
    </w:p>
    <w:p>
      <w:pPr>
        <w:sectPr>
          <w:pgSz w:w="11900" w:h="16838" w:orient="portrait"/>
          <w:cols w:equalWidth="0" w:num="2">
            <w:col w:w="8020" w:space="440"/>
            <w:col w:w="27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p>
      <w:pPr>
        <w:ind w:left="140"/>
        <w:spacing w:after="0"/>
        <w:tabs>
          <w:tab w:leader="none" w:pos="2420" w:val="left"/>
          <w:tab w:leader="none" w:pos="3480" w:val="left"/>
          <w:tab w:leader="none" w:pos="4060" w:val="left"/>
          <w:tab w:leader="none" w:pos="5120" w:val="left"/>
          <w:tab w:leader="none" w:pos="5740" w:val="left"/>
          <w:tab w:leader="none" w:pos="8440" w:val="left"/>
          <w:tab w:leader="none" w:pos="9520" w:val="left"/>
          <w:tab w:leader="none" w:pos="9880" w:val="left"/>
          <w:tab w:leader="none" w:pos="10960" w:val="left"/>
        </w:tabs>
        <w:rPr>
          <w:sz w:val="20"/>
          <w:szCs w:val="20"/>
          <w:color w:val="auto"/>
        </w:rPr>
      </w:pPr>
      <w:r>
        <w:rPr>
          <w:rFonts w:ascii="Times New Roman" w:cs="Times New Roman" w:eastAsia="Times New Roman" w:hAnsi="Times New Roman"/>
          <w:sz w:val="18"/>
          <w:szCs w:val="18"/>
          <w:color w:val="auto"/>
        </w:rPr>
        <w:t>Cross-currency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7,210</w:t>
        <w:tab/>
        <w:t>$</w:t>
      </w:r>
      <w:r>
        <w:rPr>
          <w:sz w:val="20"/>
          <w:szCs w:val="20"/>
          <w:color w:val="auto"/>
        </w:rPr>
        <w:tab/>
      </w:r>
      <w:r>
        <w:rPr>
          <w:rFonts w:ascii="Times New Roman" w:cs="Times New Roman" w:eastAsia="Times New Roman" w:hAnsi="Times New Roman"/>
          <w:sz w:val="18"/>
          <w:szCs w:val="18"/>
          <w:color w:val="auto"/>
        </w:rPr>
        <w:t>4,720</w:t>
        <w:tab/>
        <w:t>Other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was party to foreign currency exchange forward contracts to economically hedge changes in foreign currency rates with notional amounts of $108.3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Euro and British pound, U.S. dollar and Mexican peso, U.S. dollar and Chinese yuan, as well as between the Brazilian Real and the British pound, and have various settlement dates through June 2026. These contracts are not designated as hedge instruments; therefore, gains and losses on these contracts are recognized each period directly into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r>
      <w:tr>
        <w:trPr>
          <w:trHeight w:val="214"/>
        </w:trPr>
        <w:tc>
          <w:tcPr>
            <w:tcW w:w="4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ind w:left="357"/>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560" w:type="dxa"/>
            <w:vAlign w:val="bottom"/>
            <w:tcBorders>
              <w:bottom w:val="single" w:sz="8" w:color="auto"/>
            </w:tcBorders>
          </w:tcPr>
          <w:p>
            <w:pPr>
              <w:spacing w:after="0"/>
              <w:rPr>
                <w:sz w:val="18"/>
                <w:szCs w:val="18"/>
                <w:color w:val="auto"/>
              </w:rPr>
            </w:pPr>
          </w:p>
        </w:tc>
      </w:tr>
      <w:tr>
        <w:trPr>
          <w:trHeight w:val="211"/>
        </w:trPr>
        <w:tc>
          <w:tcPr>
            <w:tcW w:w="496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Income (Loss) Recognized in</w:t>
            </w:r>
          </w:p>
        </w:tc>
        <w:tc>
          <w:tcPr>
            <w:tcW w:w="30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4960" w:type="dxa"/>
            <w:vAlign w:val="bottom"/>
          </w:tcPr>
          <w:p>
            <w:pPr>
              <w:spacing w:after="0"/>
              <w:rPr>
                <w:sz w:val="18"/>
                <w:szCs w:val="18"/>
                <w:color w:val="auto"/>
              </w:rPr>
            </w:pPr>
          </w:p>
        </w:tc>
        <w:tc>
          <w:tcPr>
            <w:tcW w:w="32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8"/>
                <w:szCs w:val="18"/>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34"/>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(2,300)</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2026 and December 31, 2025 are shown below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for its operations in The Netherlands.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$0.8 million and $0.7 million as of March 31, 2026 and December 31,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386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22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1"/>
        </w:trPr>
        <w:tc>
          <w:tcPr>
            <w:tcW w:w="386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Operating lease cost</w:t>
            </w:r>
          </w:p>
        </w:tc>
        <w:tc>
          <w:tcPr>
            <w:tcW w:w="44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243"/>
        </w:trPr>
        <w:tc>
          <w:tcPr>
            <w:tcW w:w="386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Short-term, variable and other lease costs</w:t>
            </w:r>
          </w:p>
        </w:tc>
        <w:tc>
          <w:tcPr>
            <w:tcW w:w="4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0"/>
        </w:trPr>
        <w:tc>
          <w:tcPr>
            <w:tcW w:w="3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2"/>
                <w:szCs w:val="22"/>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r>
      <w:tr>
        <w:trPr>
          <w:trHeight w:val="223"/>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3"/>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19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March 31, 2026 is 5.9 years and 1.4 years, respectively. The weighted-average discount rate for the operating leases and finance leases as of March 31, 2026 is 4.7% and 2.6%,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Long-term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 was a party to 627 pending cases involving an aggregate of 5,143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66"/>
        </w:trPr>
        <w:tc>
          <w:tcPr>
            <w:tcW w:w="22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Three Months Ended March</w:t>
            </w: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457,000</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5,143 claims pending at March 31, 2026, 38 set forth specific amounts of damages (other than those stating the statutory minimum or maximum). At March 31, 2026, of the 38 claims that set forth specific amounts, there were no claims seeking more than $5 million for punitive damages. Below is a breakdown of the compensatory damages sought for those claims seeking specific amounts: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32</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$14.4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the Company commissioned its actuary to update the asbestos study based on data as of July 31, 2025, which yielded a range of possible future liability of $36.6 million to $48.9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$8.0 million to increase the liability estimate to $36.6 million, at the low end of the range. As of March 31, 2026, and December 31, 2025, the Company’s total asbestos-related liability was $35.1 million and $35.5 million, respectively, and is included in accrued liabilities and other long-term liabilities in the accompanying consolidated balance sheet. It is reasonably possible that a change in the estimate could occur in the near term.</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(CIP) agreement (entered into in 2006) with its first level excess carriers regarding the coverage to be provided to the Company for asbestos-related claims. The CIP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2025, the Company reached the threshold of qualified future settlements required to commence excess carrier insurance coverage under the CIP agreement and began transitioning the administration and settlement of asbestos defense costs and indemnity payments to the insurance carriers. During the three months ended December 31, 2025, the Company reassessed the facts and circumstances surrounding the CIP agreement with the consortium of insurance companies and deemed the realization of the claim for loss recovery probable and reasonably estimable and recognized an insurance recovery asset of $35.8 million, which was commensurate with the assumptions used to calculate the asbestos liability. As of March 31, 2026, and December 31, 2025, the Company's total insurance recovery asset was $34.3 million and $34.7 million. The Company will continue to reassess its estimate of insurance recoveries and corresponding accounting for any such recoveries as the facts and circumstances change.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carrying amount of the asbestos liability and insurance recovery asset for the three months ended March 31, 2026 and 2025 are summarized as follows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Asbestos Liability</w:t>
            </w:r>
          </w:p>
        </w:tc>
        <w:tc>
          <w:tcPr>
            <w:tcW w:w="14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 Recovery Asset</w:t>
            </w:r>
          </w:p>
        </w:tc>
        <w:tc>
          <w:tcPr>
            <w:tcW w:w="520" w:type="dxa"/>
            <w:vAlign w:val="bottom"/>
          </w:tcPr>
          <w:p>
            <w:pPr>
              <w:spacing w:after="0"/>
              <w:rPr>
                <w:sz w:val="18"/>
                <w:szCs w:val="18"/>
                <w:color w:val="auto"/>
              </w:rPr>
            </w:pP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Asbestos remeasurement</w:t>
            </w:r>
          </w:p>
        </w:tc>
        <w:tc>
          <w:tcPr>
            <w:tcW w:w="28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78"/>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Asbestos Liability</w:t>
            </w:r>
          </w:p>
        </w:tc>
        <w:tc>
          <w:tcPr>
            <w:tcW w:w="140" w:type="dxa"/>
            <w:vAlign w:val="bottom"/>
          </w:tcPr>
          <w:p>
            <w:pPr>
              <w:spacing w:after="0"/>
              <w:rPr>
                <w:sz w:val="24"/>
                <w:szCs w:val="24"/>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 Recovery Asset</w:t>
            </w:r>
          </w:p>
        </w:tc>
        <w:tc>
          <w:tcPr>
            <w:tcW w:w="520" w:type="dxa"/>
            <w:vAlign w:val="bottom"/>
          </w:tcPr>
          <w:p>
            <w:pPr>
              <w:spacing w:after="0"/>
              <w:rPr>
                <w:sz w:val="24"/>
                <w:szCs w:val="24"/>
                <w:color w:val="auto"/>
              </w:rPr>
            </w:pP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Asbestos remeasurement</w:t>
            </w:r>
          </w:p>
        </w:tc>
        <w:tc>
          <w:tcPr>
            <w:tcW w:w="28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three months ended March 31, 2026, and March 31, 2025, the Company recorded no charges related to environmental remediation costs. As of March 31, 2026, and December 31, 2025, the Company’s total environmental remediation obligation was $9.3 million and $9.4 million, respectively, which is primarily recorded within other long-term liabilities within the accompanying balance sheet.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defines its segments consistent with how internally reported financial information is regularly reviewed by TriMas' President and Chief Executive Officer (chief operating decision maker) to analyze financial performance, make decisions, and allocate resources. TriMas reports its operations in two segments: Packaging and Specialty Products. Each of these segments has discrete financial information that is regularly evaluated by the chief operating decision maker. The chief operating decision maker uses segment operating profit when assessing segment performance, determining resource and capital allocation and developing overall strategic direction of the Company. The chief operating decision maker analyzes segment operating profit on a monthly basis by comparing actual results to forecasted and budgeted expectations to assess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more information regarding the types of products and services provided within each reportable segment: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business develops and manufactures a broad array of dispensing products (such as foaming pumps, lotion, hand soap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These products serve a variety of consumer products submarkets including, but not limited to, beauty and personal care, food and beverage, home care, and life sciences (such as pharmaceutical, nutraceutical and medical), as well as industrial markets (including agricultural).</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business,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consists of the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1"/>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0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Products</w:t>
            </w:r>
          </w:p>
        </w:tc>
        <w:tc>
          <w:tcPr>
            <w:tcW w:w="38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168,280</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96"/>
        </w:trPr>
        <w:tc>
          <w:tcPr>
            <w:tcW w:w="59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(b)</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(10,520)</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0"/>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152,460</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97"/>
        </w:trPr>
        <w:tc>
          <w:tcPr>
            <w:tcW w:w="59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(8,940)</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0"/>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6"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w:t>
      </w:r>
    </w:p>
    <w:p>
      <w:pPr>
        <w:spacing w:after="0" w:line="92"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$1.4 million of realignment and severance costs and $1.2 million of system implementation costs.</w:t>
      </w:r>
    </w:p>
    <w:p>
      <w:pPr>
        <w:spacing w:after="0" w:line="135" w:lineRule="exact"/>
        <w:rPr>
          <w:rFonts w:ascii="Times New Roman" w:cs="Times New Roman" w:eastAsia="Times New Roman" w:hAnsi="Times New Roman"/>
          <w:sz w:val="19"/>
          <w:szCs w:val="19"/>
          <w:color w:val="auto"/>
          <w:vertAlign w:val="superscript"/>
        </w:rPr>
      </w:pPr>
    </w:p>
    <w:p>
      <w:pPr>
        <w:ind w:left="180" w:hanging="172"/>
        <w:spacing w:after="0" w:line="221" w:lineRule="auto"/>
        <w:tabs>
          <w:tab w:leader="none" w:pos="16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$5.3 million gain on the sale of Arrow Engine, $4.7 million of realignment, severance and consulting costs, $0.9 million of system implementation costs and $0.3 million of mergers, acquisition, diligence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9"/>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861,290</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855,080</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73,890</w:t>
            </w:r>
          </w:p>
        </w:tc>
      </w:tr>
      <w:tr>
        <w:trPr>
          <w:trHeight w:val="230"/>
        </w:trPr>
        <w:tc>
          <w:tcPr>
            <w:tcW w:w="468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1,348,890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112,660</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2,297,130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1,041,630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180" w:right="20" w:hanging="172"/>
        <w:spacing w:after="0" w:line="239" w:lineRule="auto"/>
        <w:tabs>
          <w:tab w:leader="none" w:pos="175"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total assets as of March 31, 2026, includes $1,282.3 million of cash, primarily due to proceeds received on the sale of the Company's Aerospace segment and a $34.3 million asbestos-related insurance recovery asset. Corporate total assets as of December 31, 2025, includes a $53.9 million deferred tax asset as a result of the planned divestiture of Aerospace and a $34.7 million asbestos-related insurance recovery asset.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stock options at March 31, 2026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$4.4 million of unrecognized compensation cost related to stock options that is expected to be recorded over a weighted average period of 1.4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$0.7 million of stock-based compensation expense related to stock options during the three months ended March 31, 2026, and no stock-based compensation expense related to stock options during the three months ended March 31, 2025. The stock-based compensation expense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three months ended March 31, 2026:</w:t>
      </w:r>
    </w:p>
    <w:p>
      <w:pPr>
        <w:spacing w:after="0" w:line="144"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82,145 RSUs to certain employees, which are subject only to a service condition and vest ratably over two or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22,824 RSUs to its non-employee independent directors, which fully vest one year from date of grant so long as the director and/or Company does not terminate the director's service prior to the vesting date;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10 RSUs to certain employees related to dividend equivalent rights on existing equity awards.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2026, the Company also awarded 39,379 performance-based RSUs to certain Company key employees which vest three years from the grant date as long as the employee remains with the Company. These awards are initially earned 50% based upon the Company's achievement of an earnings per share ("EPS") metric and 50% based upon the Company's return on invested capital ("ROIC") metric over a period beginning January 1, 2026 and ending December 31, 2028. The total EPS and ROIC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3.74% and annualized volatility of 29.5%. Depending on the performance achieved for these two metrics, the amount of shares earned, if any, can vary for each metric from 0% of the target award to a maximum of 220% of the target.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disclosures related to restricted stock units include both continuing and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2026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1,009,137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695,273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$8.6 million of unrecognized compensation cost related to unvested RSUs that is expected to be recorded over a weighted average period of 2.3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from continuing operations of $2.4 million and $2.5 million during the three months ended March 31, 2026, and 2025, respectively. The stock-based compensation expense from continuing operations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(loss) is divided by the weighted average number of common shares outstanding during the period to calculate basic earnings (loss) per share. Diluted earnings (loss) per share is calculated to give effect to RSUs and stock options. The following table summarizes the dilutive effect of RSUs and stock options on common stock for the three months ended March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9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37,426,123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40,605,288</w:t>
            </w: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364,011</w:t>
            </w: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37,426,123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40,969,299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Anti-dilutive stock options and RSUs excluded from the computation of diluted earnings per share for the three months ended March 31, 2026, were 1,413,660 shares. There were no anti-dilutive stock options or RSUs for the three months ended March 31, 2025.</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2026, the Company announced its Board of Directors had authorized the Company to increase the purchase of its common stock up to $150 million in the aggregate, adding to the $48.9 million remaining under the previous authorization. In the three months ended March 31, 2026, the Company purchased 1,487,057 shares of its outstanding common stock for $54.5 million. During the three months ended March 31, 2025, the Company purchased 20,491 shares of its outstanding common stock for $0.5 million. As of March 31, 2026, the Company had $95.5 million remaining under the repurchase authorization.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March 31, 2026, the Company's quarterly cash dividends declared were $0.04 per share of common stock and total dividends declared and paid on common shares were $1.5 million. In the three months ended March 31, 2025, the Company's quarterly cash dividends declared were $0.04 per share of common stock and total dividends declared and paid on common shares were $1.6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benefit cost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and curtailment losses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 The service cost related to discontinued operations included in the table above was $0.1 million for each of the three months ended March 31, 2026 and 2025.</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 non-cash, pre-tax settlement charge of $1.7 million which was recorded within the results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contributed $0.3 million to its defined benefit pension plans during the three months ended March 31, 2026. The Company expects to contribute $0.5 million to its defined benefit pension plans for the full year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2026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340" w:hanging="332"/>
        <w:spacing w:after="0" w:line="231" w:lineRule="auto"/>
        <w:tabs>
          <w:tab w:leader="none" w:pos="22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$0.1 million. See Note 18,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additional details. Derivative instruments, net of income tax of $0.9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2"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$0.4 million. See Note 18,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additional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2025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$1.0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and March 31, 2025 was 2,137.8% and 25.1%, respectively. The Company recorded income tax expense of $54.3 million and $0.7 million for the three months ended March 31, 2026 and March 31, 2025, respectively. The significantly higher effective tax rate in the first quarter of 2026 was primarily driven by incremental income tax expense of $53.9 million from continuing operations, resulting from the reclassification of deferred tax benefits previously recognized at December 31, 2025 in connection with the Aerospace divestiture.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23, 2026, the Company announced that its Board of Directors had declared a cash dividend of $0.04 per share of TriMas Corporation common stock, which will be payable on May 14, 2026, to shareholders of record as of the close of business on May 7,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and industrial markets through its TriMas Packaging and Specialty Products groups. Our wide range of innovative products are designed and engineered to solve application-specific challenges that our customers face. We believe our businesses share important and distinguishing characteristics, including: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two segments: Packaging and Specialty Products.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2026, we completed the previously announced sale of Aerospace to an affiliate of Tinicum L.P., and funds managed by Blackstone, Inc., pursuant to an Equity Purchase Agreement dated as of November 4, 2025 (the "Purchase Agreement"), for a purchase price of approximately $1,456.9 million, subject to certain adjustments as set forth in the Purchase Agreement which we expect to be finalized during 2026. The historical results for Aerospace are reported in our consolidated statement of income and consolidated balance sheet as a discontinued operation for all periods presented in the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of operations have been materially impacted by macroeconomic conditions over the past few years, including cost inflation (raw materials, wage rates and freight) and a lack of material, and in certain regions, skilled labor availability. In 2025, the U.S. government implemented tariffs under the International Emergency Economic Powers Act (“IEEPA”), which created uncertainty regarding material costs, future tariffs, including any retaliatory tariffs imposed by other countries, or other potential governmental actions. These tariffs have increased the costs of certain products sourced from non-U.S. countries.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decision of the U.S. Supreme Court in February 2026, we may be entitled to a refund of tariffs previously paid on certain imported product under IEEPA. Although a reimbursement process became available on April 20, 2026, the timing and amount of any potential refunds for previously collected tariffs remain uncertain and may be subject to further legal and regulatory developments. To date, the changes in the tariffs, on an overall basis, have not had a significant impact on our results of operations. We will continue to monitor the situation and evaluate the impact of any replacement tariffs or policy changes on our business, including the potential for cost recovery and future tariff exposure.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certain of our products for industrial applications, for example steel cylinders for packaged gas applications, have experienced volatility in demand related to customers securing high order rates in prior periods, only to enter a period of destocking in more recent periods. This significant level of volatility in demand levels, input and transportation costs, and material and labor availability, has pressured our ability to operate efficiently in recent periods. While some areas of demand volatility and softness remain, such as in our Specialty Products segment, and more specifically our Norris Cylinder business, we have experienced more steady and consistent demand in our Packaging segment.</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our first quarter 2026 net sales increased $15.8 million, or 10.4%, compared to first quarter 2025. We experienced organic growth of 4.4% within our Packaging segment, compared to first quarter 2025. Net sales increased 17.0% in our Specialty Products segment as compared to the prior year quarter, as higher sales of steel cylinders more than offset the lost sales due to the divestiture of our Arrow Engine business in January 2025. Our overall sales increase included $6.0 million of currency exchange, as our reported results in U.S. dollars were favorably impacted as a result of a weakening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first quarter 2026 compared with first quarter 2025, other than as directly impacted by sales changes, were realignment costs related to the comprehensive reorganization of our Packaging segment and corporate office, interest income earned on the invested cash proceeds from the sale of our Aerospace business, the impact of the divestiture of our Arrow Engine business in first quarter 2025, and an increase in our effective tax rate.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first quarter 2026, we recorded $4.1 million of realignment costs related to the comprehensive reorganization of our Packaging segment and corporate office, primarily for severance, including $0.5 million of non-cash compensation expense.</w:t>
      </w:r>
    </w:p>
    <w:p>
      <w:pPr>
        <w:spacing w:after="0" w:line="9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During first quarter 2026, we invested the cash proceeds from the sale of our Aerospace business in highly liquid instruments, including U.S. Treasury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money market funds and cash deposits that earn interest at a rate of approximately 3.5%. During the three months ended March 31, 2026, we earned interest income of $2.0 million.</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January 31, 2025, we completed the divestiture of our Arrow Engine business within our Specialty Products segment for net cash proceeds of $21.0 million. We recognized a pre-tax gain of $5.3 million on the sale of Arrow Engine. Arrow Engine contributed $1.4 million of sales in first quarter 2025.</w:t>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first quarter 2026 was 2,137.8% as compared to 25.1% for first quarter 2025. The increase in the effective tax rate for first quarter 2026 was primarily driven by incremental income tax expense of $53.9 million resulting from the reclassification of deferred tax benefits previously recognized at December 31, 2025 in connection with the Aerospace divestiture.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recognize the benefits of and effectively deploy the net proceeds from the sale of Aerospace,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and other oil and metal-based purchased components, the costs for each of which are subject to volatility. There has also been volatility in certain of our input costs as a direct and indirect result of foreign trade policy as well as from geopolitical conditions. We will continue to take actions to mitigate such increases, including implementing commercial pricing adjustments, holding extra inventories, resourcing to alternate suppliers and insourcing of previously sourced products. If suppliers or subcontractors fail to meet contractual requirements, we may be unable to secure acceptable alternatives on reasonable terms or in time to meet customer commitments, which could result in increased costs and penalties, the assertion of force majeure clauses in contracts with customers and disruptions to our operations. Although we believe we are generally able to mitigate the impact of higher commodity costs and supply disruptions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prices often is a precursor to rising polymeric raw material costs, for which we may experience a contractual commercial recovery lag.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our businesses target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February 2026, our Board of Directors authorized us to increase the purchase of our common stock up to $150 million in the aggregate, adding to the $48.9 million remaining under the previous authorization. During first quarter 2026, 1,487,057 shares were purchased. As of March 31, 2026, we had $95.5 million remaining under the repurchase authorization.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first quarter 2026, we declared dividends of $0.04 per share of common stock and paid dividends of $1.5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2026 and 2025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60" w:type="dxa"/>
            <w:vAlign w:val="bottom"/>
          </w:tcPr>
          <w:p>
            <w:pPr>
              <w:spacing w:after="0"/>
              <w:rPr>
                <w:sz w:val="19"/>
                <w:szCs w:val="19"/>
                <w:color w:val="auto"/>
              </w:rPr>
            </w:pPr>
          </w:p>
        </w:tc>
        <w:tc>
          <w:tcPr>
            <w:tcW w:w="17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7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three months ended March 31, 2026 as compared to the three months ended March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First Quarter 2026 vs. Year to Date First Quarter 2025</w:t>
            </w:r>
          </w:p>
        </w:tc>
        <w:tc>
          <w:tcPr>
            <w:tcW w:w="1460" w:type="dxa"/>
            <w:vAlign w:val="bottom"/>
            <w:tcBorders>
              <w:bottom w:val="single" w:sz="8" w:color="auto"/>
            </w:tcBorders>
          </w:tcPr>
          <w:p>
            <w:pPr>
              <w:spacing w:after="0"/>
              <w:rPr>
                <w:sz w:val="18"/>
                <w:szCs w:val="18"/>
                <w:color w:val="auto"/>
              </w:rPr>
            </w:pPr>
          </w:p>
        </w:tc>
      </w:tr>
      <w:tr>
        <w:trPr>
          <w:trHeight w:val="211"/>
        </w:trPr>
        <w:tc>
          <w:tcPr>
            <w:tcW w:w="322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6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2026, compared with the three months ended March 31, 2025, were:</w:t>
      </w:r>
    </w:p>
    <w:p>
      <w:pPr>
        <w:spacing w:after="0" w:line="14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Specialty Products segments;</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Realignment costs related to the comprehensive reorganization of our Packaging segment and corporate office;</w:t>
      </w:r>
    </w:p>
    <w:p>
      <w:pPr>
        <w:spacing w:after="0" w:line="157" w:lineRule="exact"/>
        <w:rPr>
          <w:rFonts w:ascii="Times New Roman" w:cs="Times New Roman" w:eastAsia="Times New Roman" w:hAnsi="Times New Roman"/>
          <w:sz w:val="16"/>
          <w:szCs w:val="16"/>
          <w:b w:val="1"/>
          <w:bCs w:val="1"/>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earned on the invested cash proceeds from the sale of our Aerospace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divestiture of our Arrow Engine business in first quarter 2025;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effective tax rate in first quarter 2026 compared with first quarter 2025.</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with Three Months Ended March 31,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net sales increased $15.8 million, or 10.4%, to $168.3 million for the three months ended March 31, 2026, as compared with $152.5 million in the three months ended March 31, 2025. Organic sales, excluding the impact of currency exchange and divestitures, increased $11.2 million, or 7.3%, as organic sales increased 22.6% and 4.4% within our Specialty Products and Packaging segments, respectively, due to end market demand improvements and growth initiatives. These increases were partially offset by the impact of the divestiture of our Arrow Engine business in our Specialty Products segment. In addition, net sales increased by $6.0 million due to currency exchange, as our reported results in U.S. dollars were favorably impacted as a result of a weakening U.S. dollar relative to foreign currencies.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21.9% for the three months ended March 31, 2026 and 21.5% for the three months ended March 31, 2025. Gross profit margin increased primarily due to higher sales levels and related improved fixed cost absorption within our Specialty Products segment, as well as due to the favorable impact of prior year operational improvement actions within the Packaging segment. These improvements were partially offset by a less favorable product sales mix within our Packaging segment.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4.1% and 4.7% for the three months ended March 31, 2026 and March 31, 2025, respectively. Operating profit decreased $0.3 million, to $6.9 million, for the three months ended March 31, 2026, compared to $7.2 million for the three months ended March 31, 2025, primarily due to the year-over-year impact of a $5.3 million gain on the sale of Arrow Engine in first quarter 2025 that did not recur, a less favorable product sales mix within our Packaging segment, and higher stock compensation expense. These decreases were partially offset by higher sales levels and related improved fixed cost absorption within our Specialty Products segment.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$0.7 million, to $5.2 million, for the three months ended March 31, 2026, as compared to $4.5 million for the three months ended March 31, 2025, due to an increase in our weighted average borrowings and a higher effective interest rate on our revolving credit facility within the first quarter of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increased $0.9 million to $0.9 million of income, for the three months ended March 31, 2026, from a nominal amount of expense for the three months ended March 31, 2025, as the $2.0 million of interest income earned on invested cash proceeds from the sale of our Aerospace business was partially offset by increased losses on foreign currency transactions.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and March 31, 2025 was 2,137.8% and 25.1%, respectively. We recorded tax expense of $54.3 million for the three months ended March 31, 2026, as compared to $0.7 million for the three months ended March 31, 2025. The effective tax rate for the three months ended March 31, 2026 was higher than in the prior year primarily due to incremental income tax expense of $53.9 million resulting from the reclassification of deferred tax benefits previously recognized at December 31, 2025 in connection with the Aerospace divestiture.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(loss) from continuing operations decreased by $53.7 million, to a loss of $51.8 million for the three months ended March 31, 2026, compared to income of $1.9 million for the three months ended March 31, 2025. The decrease was primarily the result of a decrease in operating profit of $0.3 million, an increase in interest expense of $0.7 million, and an increase in income tax expense of $53.7 million, partially offset by an increase in other income by $0.9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$11.6 million, or 9.1% (of which 4.4% was organic and 4.7% was foreign currency exchange), to $139.2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2026, as compared to $127.6 million in the three months ended March 31, 2025. The increase was driven primarily by higher sales of products used in life sciences markets of $5.0 million and dispensing products used primarily for beauty, personal care and home care applications of $2.4 million, partially offset by lower sales of products used for industrial applications of $1.2 million. Net sales increased by $6.0 million due to currency exchange, as our reported results in U.S. dollars were favorably impacted as a result of the weakening U.S. dollar relative to foreign currencies, as compared to 2025.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$1.2 million to $32.7 million, or 23.5% of sales, in the three months ended March 31, 2026, as compared to $31.5 million, or 24.7% of sales, in the three months ended March 31, 2025, due to higher sales levels as well as the favorable impact of prior year operational improvement actions. Although gross profit increased, gross profit margin decreased primarily due to a less favorable product sales mix.</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$3.9 million to $18.1 million, or 13.0% of sales, in the three months ended March 31, 2026, as compared to $14.2 million, or 11.1% of sales, in the three months ended March 31, 2025, primarily due to $2.7 million of higher realignment costs related to the comprehensive reorganization of our Packaging segment.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$2.7 million to $14.6 million, or 10.5% of sales, in the three months ended March 31, 2026, as compared to $17.2 million, or 13.5% of sales, in the three months ended March 31, 2025, primarily due to $2.7 million of higher realignment costs, a less favorable product sales mix, partially offset by increased sales and the favorable impact of operational improvement actions.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2026 increased $4.2 million, or 17.0% (of which 22.6% was organic and (5.6)%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divestiture of Arrow Engine), to $29.1 million, as compared to $24.9 million in the three months ended March 31, 2025. Sales of steel cylinders increased $5.6 million, or 24.0%, to $29.1 million, as compared to $23.5 million, due predominantly to improved demand for industrial applications. Arrow Engine contributed $1.4 million of sales in three months ended March 31, 2025. See Note 6, "</w:t>
      </w:r>
      <w:r>
        <w:rPr>
          <w:rFonts w:ascii="Times New Roman" w:cs="Times New Roman" w:eastAsia="Times New Roman" w:hAnsi="Times New Roman"/>
          <w:sz w:val="18"/>
          <w:szCs w:val="18"/>
          <w:i w:val="1"/>
          <w:iCs w:val="1"/>
          <w:color w:val="auto"/>
        </w:rPr>
        <w:t>Acquisitions and Sale of Business,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within this quarterly report on Form 10-Q for more information.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$2.8 million to $4.2 million, or 14.5% of sales, in the three months ended March 31, 2026, as compared to $1.4 million, or 5.5% of sales, in the three months ended March 31, 2025, primarily due to an increase in sales of our steel cylinders and improved fixed cost absorption, partially offset by the year-over-year impact from the divestiture of our Arrow Engine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$1.2 million to $1.4 million, or 4.7% of sales, in the three months ended March 31, 2026, as compared to $2.5 million, or 10.1% of sales, in the three months ended March 31, 2025, primarily due to $1.2 million of incurred expenses related to our Arrow Engine business, which we divested in January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$4.0 million to $2.9 million, or 9.8% of sales, in the three months ended March 31, 2026, as compared to a loss of $1.2 million, or 4.6% of sales, in the three months ended March 31, 2025, primarily due to higher steel cylinder sales, and lower selling, general and administrative expenses, partially offset by the year-over-year impact from the divestiture of our Arrow Engine business.</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7"/>
          <w:szCs w:val="17"/>
          <w:color w:val="auto"/>
        </w:rPr>
        <w:t>Corporate expenses, net consist of the following (dollars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7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increased $1.6 million to $10.5 million for the three months ended March 31, 2026, from $8.9 million in the three months ended March 31, 2025, due to:</w:t>
      </w:r>
    </w:p>
    <w:p>
      <w:pPr>
        <w:spacing w:after="0" w:line="108" w:lineRule="exact"/>
        <w:rPr>
          <w:sz w:val="20"/>
          <w:szCs w:val="20"/>
          <w:color w:val="auto"/>
        </w:rPr>
      </w:pPr>
    </w:p>
    <w:p>
      <w:pPr>
        <w:jc w:val="both"/>
        <w:ind w:left="660" w:hanging="328"/>
        <w:spacing w:after="0" w:line="244" w:lineRule="auto"/>
        <w:tabs>
          <w:tab w:leader="none" w:pos="648" w:val="left"/>
        </w:tabs>
        <w:numPr>
          <w:ilvl w:val="0"/>
          <w:numId w:val="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Corporate operating expenses decreased $4.4 million to $7.2 million in three months ended March 31, 2026 from $11.6 million in three months ended March 31, 2025, due to $1.5 million lower realignment costs associated with actions to reorganize the corporate office (exclusive of non-cash stock compensation) and an overall decrease in other general corporate expenses.</w:t>
      </w:r>
    </w:p>
    <w:p>
      <w:pPr>
        <w:spacing w:after="0" w:line="114" w:lineRule="exact"/>
        <w:rPr>
          <w:rFonts w:ascii="Times New Roman" w:cs="Times New Roman" w:eastAsia="Times New Roman" w:hAnsi="Times New Roman"/>
          <w:sz w:val="20"/>
          <w:szCs w:val="20"/>
          <w:b w:val="1"/>
          <w:bCs w:val="1"/>
          <w:i w:val="1"/>
          <w:iCs w:val="1"/>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 compensation increased $0.7 million to $3.2 million in three months ended March 31, 2026 from $2.5 million in three months ended March 31, 2025, primarily due to timing and estimated attainment of existing awards.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$5.3 million pre-tax gain in the three months ended March 31, 2025, on the sale of our former Arrow Engine business.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The results of discontinued operations consists of our Aerospace segment, for which we entered into a definitive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on November 4, 2025. On March 16, 2026, we completed the sale for a purchase price of approximately $1,456.9 million, subject to certain adjustments as set forth in the Purchase Agreement, which adjustments we expect to be finalized during 2026. Income from discontinued operations, net of income tax expense, was $852.6 million for the three months ended March 31, 2026, as compared to $10.5 million for the three months ended March 31, 2025.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within this quarterly report on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for operating activities were $19.4 million for the three months ended March 31, 2026, as compared to cash provided by operating activities of $9.2 million for the three months ended March 31, 2025. Significant changes in cash flows provided by operating activities and the reasons for such changes were as follows:</w:t>
      </w:r>
    </w:p>
    <w:p>
      <w:pPr>
        <w:spacing w:after="0" w:line="108" w:lineRule="exact"/>
        <w:rPr>
          <w:sz w:val="20"/>
          <w:szCs w:val="20"/>
          <w:color w:val="auto"/>
        </w:rPr>
      </w:pPr>
    </w:p>
    <w:p>
      <w:pPr>
        <w:jc w:val="both"/>
        <w:ind w:left="980" w:hanging="324"/>
        <w:spacing w:after="0" w:line="255"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we reported a use of $167.2 million in cash flows, based on reported net income of $800.8 million, which includes a $51.8 million loss from continuing operations and $852.6 million income from discontinued operations, and after considering the effects of non-cash items related to depreciation, amortization, and gain on dispositions of assets, amortization of debt issuance costs, changes in deferred income taxes, stock-based compensation, provision for losses on accounts receivable, and other operating activities. For the three months ended March 31, 2025, we generated $23.5 million in cash flows based on reported net income of $12.4 million, which includes $1.9 million income from continuing operations and $10.5 million income from discontinued operations, and after considering the effects of similar non-cash items.</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$23.0 million and $14.7 million for the three months ended March 31, 2026 and March 31, 2025, respectively. The increased use of cash for each of the three month periods is due primarily to the timing of sales and collection of cash related thereto within the periods. Days sales outstanding of receivables increased seven days through the three months ended March 31, 2026, and increased three days through the three months ended March 31, 2025.</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$16.6 million and $4.6 million for the three months ended March 31, 2026 and the three months ended March 31, 2025, respectively. Our days sales in inventory increased five days through the three months ended March 31, 2026 and through the three months ended March 31, 2025, as we continued to manage inventory levels, considering our supply needs, and balanced with sales growth across our segments.</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prepaid expenses and other assets resulted in a source of cash of $4.6 million and $3.9 million for the three months ended March 31, 2026, and 2025,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accounts payable and accrued liabilities resulted in a source of cash of $182.8 million and $1.1 million for the three months ended March 31, 2026, and 2025, respectively. The increase in accounts payable and accrued liabilities for the three months ended March 31, 2026, includes a liability for estimated tax payments of $194.5 million related to the gain on the sale of Aerospace. Days accounts payable on hand (excluding the impact of the estimated tax payment for the three months ended March 31, 2026) decreased by two days through each of the three months ended March 31, 2026 and 2025. Our days accounts payable on hand fluctuate primarily as a result of the timing of payments made to suppliers and the mix of vendors and related terms.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$1,431.3 million, while net cash used for investing activities was $29.6 million during the three months ended March 31, 2025. During the three months ended March 31, 2026, we invested $5.2 million in capital expenditures, as we continued our investment in growth, capacity and productivity-related capital projects. We also received combined net proceeds of $1,436.5 million from the sale of our Aerospace business and disposition of property and equipment. During the three months ended March 31, 2025, we invested $12.9 million in capital expenditures, paid $37.2 million, net of cash acquired, to acquire GMT Aerospace, and received net proceeds of $20.5 million from the sale of our Arrow Engine business and disposition of property and equipment.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for financing activities was $132.3 million for the three months ended March 31, 2026, while net cash provided by financing activities was $30.1 million during the three months ended March 31, 2025. During the three months ended March 31, 2026, we made net repayments of $72.7 million on our revolving credit facilities, purchased $54.5 million of our outstanding common stock, used a net cash amount of $3.5 million related to our stock compensation arrangements, paid dividends of $1.5 million, and paid $0.1 million related to other financing liabilities. Our reported net proceeds from borrowings on our revolving credit facilities considers the impact of foreign currency translation. During the three months ended March 31, 2025, we received net proceeds of $35.3 million from borrowings on our revolving credit facilities, paid $1.3 million for debt financing fees, purchased $0.5 million of outstanding common stock, used a net cash amount of $1.8 million related to our stock compensation arrangements, paid dividends of $1.6 million, and paid $0.1 million related to other financing liabilities.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April 15, 2026, we may redeem all or part of the Senior Notes at par (100% of principal amount), plus accrued and unpaid interest, if any, to the redemption date.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our consolidated subsidiaries that do not guarantee the Senior Notes represented 32% of the total of guarantor and non-guarantor net sales, treating each as a consolidated group and excluding intercompany transactions between guarantor and non-guarantor subsidiaries. In addition, our non-guarantor subsidiaries represented 18% and 11% of the total guarantor and non-guarantor assets and liabilities, respectively, as of March 31, 2026, treating the guarantor and non-guarantor subsidiaries each as a consolidated group.</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we amended our existing credit agreement ("Credit Agreement") to extend the maturity date. We incurred fees and expenses of $1.3 million related to the amendment, all of which was capitalized as debt issuance costs. We also recorded $0.1 million of non-cash expense related to the write-off of previously capitalized deferred financing fees. The Credit Agreement consists of a $250.0 million senior secured revolving credit facility, which permits borrowings denominated in specific foreign currencies, subject to a $125.0 million sub limit, maturing on March 31, 2030.</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Our revolving credit facility allows for the issuance of letters of credit, not to exceed $40.0 million in aggregate.</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permits borrowings denominated in specific foreign currencies, subject to a $125.0 million sub limit. 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2026. If we were to complete an acquisition which qualifies for a Covenant Holiday Period, as defined in our Credit Agreement, then our permitted total net leverage ratio cannot exceed 4.50 to 1.00 during that period. Our actual total net leverage ratio was 1.84 to 1.00 at March 31, 2026. Our permitted interest expense coverage ratio under the Credit Agreement is 3.00 to 1.00 as of March 31, 2026. Our actual interest expense coverage ratio was 5.62 to 1.00 at March 31, 2026. In December 2025 and March 2026, we amended the Credit Agreement to update certain definitions used in ratio and indebtedness calculations due to the sale of the Aerospace segment. At March 31, 2026,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2026 (dollars in thousands). We present Consolidated Bank EBITDA to show our performance under our financial covenants.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t>
      </w:r>
    </w:p>
    <w:tbl>
      <w:tblPr>
        <w:tblLayout w:type="fixed"/>
        <w:tblInd w:w="20" w:type="dxa"/>
        <w:tblCellMar>
          <w:top w:w="0" w:type="dxa"/>
          <w:left w:w="0" w:type="dxa"/>
          <w:bottom w:w="0" w:type="dxa"/>
          <w:right w:w="0" w:type="dxa"/>
        </w:tblCellMar>
      </w:tblPr>
      <w:tr>
        <w:trPr>
          <w:trHeight w:val="179"/>
        </w:trPr>
        <w:tc>
          <w:tcPr>
            <w:tcW w:w="8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Twelve Months Ended</w:t>
            </w:r>
          </w:p>
        </w:tc>
        <w:tc>
          <w:tcPr>
            <w:tcW w:w="220" w:type="dxa"/>
            <w:vAlign w:val="bottom"/>
          </w:tcPr>
          <w:p>
            <w:pPr>
              <w:spacing w:after="0"/>
              <w:rPr>
                <w:sz w:val="15"/>
                <w:szCs w:val="15"/>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908,550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30"/>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215,100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57,720</w:t>
            </w:r>
          </w:p>
        </w:tc>
      </w:tr>
      <w:tr>
        <w:trPr>
          <w:trHeight w:val="229"/>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 and asset write-offs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89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r>
      <w:tr>
        <w:trPr>
          <w:trHeight w:val="229"/>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9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r>
      <w:tr>
        <w:trPr>
          <w:trHeight w:val="230"/>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(1,052,660)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0"/>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dispositions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9"/>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0"/>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Permitted dispositions EBITDA</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87,820</w:t>
            </w:r>
          </w:p>
        </w:tc>
      </w:tr>
      <w:tr>
        <w:trPr>
          <w:trHeight w:val="21"/>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6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24"/>
                <w:szCs w:val="24"/>
                <w:color w:val="auto"/>
              </w:rPr>
            </w:pPr>
          </w:p>
        </w:tc>
      </w:tr>
      <w:tr>
        <w:trPr>
          <w:trHeight w:val="226"/>
        </w:trPr>
        <w:tc>
          <w:tcPr>
            <w:tcW w:w="89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161,190</w:t>
            </w:r>
          </w:p>
        </w:tc>
        <w:tc>
          <w:tcPr>
            <w:tcW w:w="220" w:type="dxa"/>
            <w:vAlign w:val="bottom"/>
            <w:shd w:val="clear" w:color="auto" w:fill="CCEEFF"/>
          </w:tcPr>
          <w:p>
            <w:pPr>
              <w:spacing w:after="0"/>
              <w:rPr>
                <w:sz w:val="19"/>
                <w:szCs w:val="19"/>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87,820</w:t>
            </w:r>
          </w:p>
        </w:tc>
        <w:tc>
          <w:tcPr>
            <w:tcW w:w="220" w:type="dxa"/>
            <w:vAlign w:val="bottom"/>
            <w:tcBorders>
              <w:bottom w:val="single" w:sz="8" w:color="auto"/>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r>
      <w:tr>
        <w:trPr>
          <w:trHeight w:val="21"/>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25"/>
        </w:trPr>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Twelve Months Ended</w:t>
            </w:r>
          </w:p>
        </w:tc>
        <w:tc>
          <w:tcPr>
            <w:tcW w:w="220" w:type="dxa"/>
            <w:vAlign w:val="bottom"/>
          </w:tcPr>
          <w:p>
            <w:pPr>
              <w:spacing w:after="0"/>
              <w:rPr>
                <w:sz w:val="24"/>
                <w:szCs w:val="24"/>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9"/>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87,820</w:t>
            </w:r>
          </w:p>
        </w:tc>
        <w:tc>
          <w:tcPr>
            <w:tcW w:w="220" w:type="dxa"/>
            <w:vAlign w:val="bottom"/>
            <w:shd w:val="clear" w:color="auto" w:fill="CCEEFF"/>
          </w:tcPr>
          <w:p>
            <w:pPr>
              <w:spacing w:after="0"/>
              <w:rPr>
                <w:sz w:val="19"/>
                <w:szCs w:val="19"/>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220" w:type="dxa"/>
            <w:vAlign w:val="bottom"/>
            <w:tcBorders>
              <w:bottom w:val="single" w:sz="8" w:color="auto"/>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r>
      <w:tr>
        <w:trPr>
          <w:trHeight w:val="21"/>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system implementation costs, and business restructuring and severance costs.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$1.2 million of finance leases. The Credit Agreement allows up to $240.0 million in cash netting.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2026, we had no amounts outstanding under our revolving credit facility and had $243.8 million available after giving effect to $6.2 million of letters of credit issued and outstanding. At December 31, 2025, we had $72.8 million outstanding under our revolving credit facility and had $171.2 million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March 31, 2026 we had $190.1 million of borrowing capacity available for general corporate purposes. Our borrowing capacity was not reduced by leverage restrictions contained in the Credit Agreement as of December 31,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weighted average borrowings during the three months ended March 31, 2026 approximated $477.8 million, compared to $428.8 million during the three months ended March 31, 2025. Our weighted average borrowings increased year-over-year primarily due to borrowings made on our revolving credit facility to fund share repurchases.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At March 31, 2026, we had no amounts outstanding on this loan facility.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cash on hand as of March 31, 2026 is located within the U.S. Our available funding under our revolving credit facility is $190.1 million at March 31, 2026.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7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As of March 31, 2026, the majority of our cash was invested in highly liquid instruments, including U.S. Treasury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money market funds and cash deposits with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financial institutions designated as Globally Systemically Important Banks. These investments are available on a same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basis, earn interest at a rate of approximately 3.5%, and qualify as permitted investments under our Credit Agreement. We intend to maintain these investments until they are deployed for organic growth initiatives, strategically aligned acquisition opportunities, share repurchases, or a combination thereof. During the three months ended March 31, 2026, we earned interest income of $2.0 million.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March 31, 2026, we had no amounts outstanding on our revolving credit facility and, therefore, no variable rate-based borrowings outstanding.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related thereto approximated $12.2 million in 2025. We expect leasing will continue to be an available financing option to fund future capital expenditure requirements.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we announced our Board of Directors had authorized us to increase the purchase of our common stock up to $150 million in the aggregate, adding to the $48.9 million remaining under the previous authorization. In the three months ended March 31, 2026, we purchased 1,487,057 shares of our outstanding common stock for an aggregate purchase price of $54.5 million. Since the initial authorization through March 31, 2026, we have purchased 11,178,487 shares of our outstanding common stock for an aggregate purchase price of $340.2 million. We will continue to evaluate opportunities to return capital to shareholders through the purchase of our common stock and the payment of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2026, we were party to foreign exchange forward and swap contracts to hedge changes in foreign currency exchange rates with notional amounts of $108.3 million. We also use cross-currency swap agreements to mitigate currency risks associated with the net investment in certain of our foreign subsidiaries. See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 when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December 18, 2025, Moody's affirmed a Ba3 rating to our Senior Notes, as presented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within this quarterly report on Form 10-Q. Moody's also placed the Ba2 Corporate Family Rating under review for possible downgrade on November 6, 2025 and updated its outlook to under review following the announcement of the Aerospace sale. On March 26, 2026, Standard &amp; Poor's lowered their rating of our Senior Notes to B, following the successful completion of the Aerospace divestiture. Standard &amp; Poor's also lowered the corporate credit rating to B+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delivered first quarter results consistent with our expectations, while successfully completing the divestiture of Aerospace in March, an important milestone in the continued transformation of TriMas for the future. We entered 2026 with a clear strategic focus on strengthening our core businesses, and the decisive cost actions we implemented in January are expected to support improved operating leverage as we move through the year. With a more focused portfolio, enhanced financial flexibility and disciplined execution across the organization, we believe TriMas is well positioned to deliver improved performance and drive sustainable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for our stakeholders.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Early in 2026, we executed a comprehensive organizational realignment to streamline operations, strengthen customer responsiveness and drive sustainable cost savings. The realignment integrates select corporate and business functions to simplify the structure, eliminates duplication and improves operational efficiency. These initiatives are expected to generate more than $10 million in savings in 2026 and approximately $15 million on an annualized basis.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this effort, TriMas Packaging is restructuring its commercial and operational model to eliminate silos, accelerate decision-making, and deliver more integrated customer solutions. The changes include unifying sales teams, standardizing operations across facilities and reducing management layers to improve speed, accountability and innovation. Key initiatives include brand unification, expanded operational excellence programs, technology implementations and manufacturing footprint optimization. Collectively, these actions are expected to strengthen TriMas’ operating model, enhance customer satisfaction and support sustainable long-term value creation.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monitor the impacts of ongoing geopolitical conditions, including the conflicts in the Middle East, on our supply chains and raw materials costs. Although we were not significantly impacted in first quarter 2026 by the conflict in the Middle East, we are actively mitigating cost increases and supply delays that may impact our full year 2026 financial results if they persist and/or strengthen.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We also plan to redeploy the proceeds from the sale of Aerospace in ways that we expect will enhance long-term value to our shareholders, employees and customers, including through prioritizing organic growth investments, pursuing strategically aligned acquisition opportunities or repurchasing shares.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within this quarterly report on Form 10-Q.</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2026,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2025 Annual Report on Form 10-K, which could materially affect our business, financial condition or future results. There have been no significant changes to our risk factors as disclosed in our 2025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March 31, 2026:</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4"/>
                <w:szCs w:val="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172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1,487,057</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1,487,057</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75" w:lineRule="auto"/>
        <w:tabs>
          <w:tab w:leader="none" w:pos="242"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February 2026, the Company announced its Board of Directors had authorized the Company to increase the purchase of its common stock up to $150 million in the aggregate, adding to the $48.9 million remaining under the previous authorization. The previous authorization, approved in November 2025, authorized up to $150 million of purchases in the aggregate of its common stock. Pursuant to this share repurchase program, during the three months ended March 31, 2026, the Company repurchased 1,487,057 shares of its common stock at a cost of $54.5 million. The share repurchase program is effective and has no expiration date.</w:t>
      </w:r>
    </w:p>
    <w:p>
      <w:pPr>
        <w:spacing w:after="0" w:line="1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5, 2026, Herbert K. Parker, TriMas' Chairman of the Board of Directors, adopted a trading plan intended to satisfy the affirmative defense conditions of Rule 10b5-1(c) under the Exchange Act. The trading plan provides that Mr. Parker may sell up to an aggregate of 15,000 shares of the Company's common stock. First trades under Mr. Parker’s trading plan will not occur until June 8, 2026, at the earliest, and the trading plan is scheduled to terminate on December 4, 2026, subject to early termination for certain specified events set forth therein.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9"/>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2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18"/>
                <w:szCs w:val="18"/>
                <w:color w:val="auto"/>
              </w:rPr>
            </w:pPr>
          </w:p>
        </w:tc>
        <w:tc>
          <w:tcPr>
            <w:tcW w:w="972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Fourth Amended and Restated Certificate of Incorporation of TriMas Corporation, incorporated by reference to Exhibit 3.1 to the</w:t>
              </w:r>
            </w:hyperlink>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Company's Quarterly Report on Form 10-Q filed on August 3, 2007.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spacing w:after="0"/>
              <w:rPr>
                <w:sz w:val="18"/>
                <w:szCs w:val="18"/>
                <w:color w:val="auto"/>
              </w:rPr>
            </w:pPr>
          </w:p>
        </w:tc>
        <w:tc>
          <w:tcPr>
            <w:tcW w:w="9720" w:type="dxa"/>
            <w:vAlign w:val="bottom"/>
            <w:gridSpan w:val="18"/>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Third Amended and Restated By-laws of TriMas Corporation, incorporated by reference to Exhibit 3.1 to the Company's Current</w:t>
              </w:r>
            </w:hyperlink>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Report on Form 8-K filed on December 18, 2015.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Tenth Amendment to the Credit Agreement, dated as of March 20, 2026, by and among TriMas Corporation, TriMas Company LLC,</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5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certain other subsidiaries of TriMas Corporation party thereto and JPMorgan Chase Bank, N.A., as Administrative Agent, and the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various lenders from time to time thereto.*</w:t>
            </w: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Restricted Stock Units Agreement (CFO Initial RSU Award) (Two-Year Ratable Vest) under the 2023 Equity and Incentive</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2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Compensation Plan, dated as of January 18, 2026, by and between TriMas Corporation and Paul Swart.**</w:t>
            </w:r>
          </w:p>
        </w:tc>
        <w:tc>
          <w:tcPr>
            <w:tcW w:w="1240" w:type="dxa"/>
            <w:vAlign w:val="bottom"/>
            <w:tcBorders>
              <w:top w:val="single" w:sz="8" w:color="0000FF"/>
            </w:tcBorders>
            <w:gridSpan w:val="3"/>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Performance Stock Units Agreement (CFO) - 2026 LTI - under the 2023 Equity and Incentive Compensation Plan.**</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18"/>
                <w:szCs w:val="18"/>
                <w:color w:val="auto"/>
              </w:rPr>
            </w:pPr>
          </w:p>
        </w:tc>
        <w:tc>
          <w:tcPr>
            <w:tcW w:w="8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Units Agreement - 2026 LTI - under the 2023 Equity and Incentive Compensation Plan.**</w:t>
            </w:r>
          </w:p>
        </w:tc>
        <w:tc>
          <w:tcPr>
            <w:tcW w:w="500" w:type="dxa"/>
            <w:vAlign w:val="bottom"/>
            <w:tcBorders>
              <w:top w:val="single" w:sz="8" w:color="0000FF"/>
            </w:tcBorders>
            <w:gridSpan w:val="3"/>
          </w:tcPr>
          <w:p>
            <w:pPr>
              <w:spacing w:after="0"/>
              <w:rPr>
                <w:sz w:val="18"/>
                <w:szCs w:val="18"/>
                <w:color w:val="auto"/>
              </w:rPr>
            </w:pPr>
          </w:p>
        </w:tc>
        <w:tc>
          <w:tcPr>
            <w:tcW w:w="660" w:type="dxa"/>
            <w:vAlign w:val="bottom"/>
            <w:gridSpan w:val="8"/>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Form of Restricted Stock Units Agreement (Three-Year Ratable Vest) - 2026 LTI - under the 2023 Equity and Incentive Compensation</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70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Plan.**</w:t>
            </w: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(CFO) (Three-Year Ratable Vest) - 2026 LTI - under the 2023 Equity and Incentive</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Compensation Plan.**</w:t>
            </w:r>
          </w:p>
        </w:tc>
        <w:tc>
          <w:tcPr>
            <w:tcW w:w="7480" w:type="dxa"/>
            <w:vAlign w:val="bottom"/>
            <w:tcBorders>
              <w:top w:val="single" w:sz="8" w:color="0000FF"/>
            </w:tcBorders>
            <w:gridSpan w:val="9"/>
          </w:tcPr>
          <w:p>
            <w:pPr>
              <w:spacing w:after="0"/>
              <w:rPr>
                <w:sz w:val="14"/>
                <w:szCs w:val="14"/>
                <w:color w:val="auto"/>
              </w:rPr>
            </w:pPr>
          </w:p>
        </w:tc>
        <w:tc>
          <w:tcPr>
            <w:tcW w:w="240" w:type="dxa"/>
            <w:vAlign w:val="bottom"/>
            <w:gridSpan w:val="4"/>
          </w:tcPr>
          <w:p>
            <w:pPr>
              <w:spacing w:after="0"/>
              <w:rPr>
                <w:sz w:val="14"/>
                <w:szCs w:val="14"/>
                <w:color w:val="auto"/>
              </w:rPr>
            </w:pPr>
          </w:p>
        </w:tc>
        <w:tc>
          <w:tcPr>
            <w:tcW w:w="360" w:type="dxa"/>
            <w:vAlign w:val="bottom"/>
            <w:gridSpan w:val="3"/>
          </w:tcPr>
          <w:p>
            <w:pPr>
              <w:spacing w:after="0"/>
              <w:rPr>
                <w:sz w:val="14"/>
                <w:szCs w:val="14"/>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18"/>
                <w:szCs w:val="18"/>
                <w:color w:val="auto"/>
              </w:rPr>
            </w:pPr>
          </w:p>
        </w:tc>
        <w:tc>
          <w:tcPr>
            <w:tcW w:w="9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(One-Year Cliff Vest) - 2026 LTI - under the 2023 Equity and Incentive Compensation</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6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Plan.**</w:t>
            </w:r>
          </w:p>
        </w:tc>
        <w:tc>
          <w:tcPr>
            <w:tcW w:w="360" w:type="dxa"/>
            <w:vAlign w:val="bottom"/>
            <w:gridSpan w:val="3"/>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180" w:type="dxa"/>
            <w:vAlign w:val="bottom"/>
            <w:gridSpan w:val="7"/>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Pr>
          <w:p>
            <w:pPr>
              <w:spacing w:after="0"/>
              <w:rPr>
                <w:sz w:val="18"/>
                <w:szCs w:val="18"/>
                <w:color w:val="auto"/>
              </w:rPr>
            </w:pPr>
          </w:p>
        </w:tc>
        <w:tc>
          <w:tcPr>
            <w:tcW w:w="9720" w:type="dxa"/>
            <w:vAlign w:val="bottom"/>
            <w:gridSpan w:val="18"/>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00" w:type="dxa"/>
            <w:vAlign w:val="bottom"/>
            <w:gridSpan w:val="10"/>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40" w:type="dxa"/>
            <w:vAlign w:val="bottom"/>
          </w:tcPr>
          <w:p>
            <w:pPr>
              <w:spacing w:after="0"/>
              <w:rPr>
                <w:sz w:val="18"/>
                <w:szCs w:val="18"/>
                <w:color w:val="auto"/>
              </w:rPr>
            </w:pPr>
          </w:p>
        </w:tc>
        <w:tc>
          <w:tcPr>
            <w:tcW w:w="8720" w:type="dxa"/>
            <w:vAlign w:val="bottom"/>
            <w:tcBorders>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00" w:type="dxa"/>
            <w:vAlign w:val="bottom"/>
            <w:gridSpan w:val="10"/>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tcPr>
          <w:p>
            <w:pPr>
              <w:spacing w:after="0"/>
              <w:rPr>
                <w:sz w:val="18"/>
                <w:szCs w:val="18"/>
                <w:color w:val="auto"/>
              </w:rPr>
            </w:pPr>
          </w:p>
        </w:tc>
        <w:tc>
          <w:tcPr>
            <w:tcW w:w="8720" w:type="dxa"/>
            <w:vAlign w:val="bottom"/>
            <w:tcBorders>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00" w:type="dxa"/>
            <w:vAlign w:val="bottom"/>
            <w:gridSpan w:val="10"/>
          </w:tcPr>
          <w:p>
            <w:pPr>
              <w:spacing w:after="0"/>
              <w:rPr>
                <w:sz w:val="18"/>
                <w:szCs w:val="18"/>
                <w:color w:val="auto"/>
              </w:rPr>
            </w:pPr>
          </w:p>
        </w:tc>
      </w:tr>
    </w:tbl>
    <w:p>
      <w:pPr>
        <w:spacing w:after="0" w:line="22" w:lineRule="exact"/>
        <w:rPr>
          <w:sz w:val="20"/>
          <w:szCs w:val="20"/>
          <w:color w:val="auto"/>
        </w:rPr>
      </w:pPr>
    </w:p>
    <w:p>
      <w:pPr>
        <w:jc w:val="both"/>
        <w:ind w:left="1480" w:right="20" w:hanging="1454"/>
        <w:spacing w:after="0" w:line="223"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TriMas Corporation's Quarterly Report on Form 10-Q for the quarter ended March 31, 2026,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p>
      <w:pPr>
        <w:spacing w:after="0" w:line="2" w:lineRule="exact"/>
        <w:rPr>
          <w:sz w:val="20"/>
          <w:szCs w:val="20"/>
          <w:color w:val="auto"/>
        </w:rPr>
      </w:pPr>
    </w:p>
    <w:p>
      <w:pPr>
        <w:ind w:left="1480" w:hanging="1454"/>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and the Company agrees to furnish supplementally to the Securities and Exchange Commission a copy of any omitted exhibits and schedules upon request.</w:t>
      </w:r>
    </w:p>
    <w:p>
      <w:pPr>
        <w:spacing w:after="0" w:line="18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7"/>
              </w:rPr>
              <w:t>/s/ PAUL A. SWART</w:t>
            </w: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Paul A. Swart</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TENTH AMENDMENT</w:t>
      </w:r>
    </w:p>
    <w:p>
      <w:pPr>
        <w:spacing w:after="0" w:line="21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auto"/>
        </w:rPr>
        <w:t>This TENTH AMENDMENT, dated as of March 20, 2026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TRIMAS CORPORATION,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TRIMAS COMPANY LLC, a Delaware limited liability company (the “</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Lenders (as defined below) party hereto (which constitute Required Lenders (as defined in the Credit Agreement (as defined below)).</w:t>
      </w:r>
    </w:p>
    <w:p>
      <w:pPr>
        <w:spacing w:after="0" w:line="1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WHEREAS, Holdings, Parent Borrower, the Subsidiary Loan Parties from time to time party thereto, the several banks and other financial institutions or entities from time to time parties thereto, as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are party to the CREDIT AGREEMENT, dated as of October 16, 2013 (as amended, restated, amended and restated, supplemented or otherwise modified from time to time, including, without limitation, by that certain Replacement Facility Amendment dated as of June 30, 2015, that certain Foreign Subsidiary Borrowing Agreement and Amendment, dated as of January 10, 2017, that certain Amendment, dated as of March 8, 2017, that certain Replacement Facility Amendment, dated as of September 20, 2017, that certain Second Replacement Revolving Facility Amendment, dated as of March 29, 2021, that certain Amendment, dated as of November 19, 2021, that certain Seventh Amendment, dated as of April 7, 2023, that certain Eight Amendment, dated as of March 31, 2025, that certain Ninth Amendment, dated as of December 29, 2025, and as supplemented by that certain Consent, dated as of March 4, 2026,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Parent Borrower has requested certain amendments be made to the Credit Agreement as described herein;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WHEREAS, Holdings, the Parent Borrower, the Administrative Agent and Lenders party hereto (which constitute Required Lenders) are willing to agree to this Amendment on the terms set forth herein.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in consideration of the premises and mutual covenants hereinafter set forth, the parties hereto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Definitions</w:t>
      </w:r>
      <w:r>
        <w:rPr>
          <w:rFonts w:ascii="Times New Roman" w:cs="Times New Roman" w:eastAsia="Times New Roman" w:hAnsi="Times New Roman"/>
          <w:sz w:val="20"/>
          <w:szCs w:val="20"/>
          <w:color w:val="000000"/>
        </w:rPr>
        <w:t>. Unless otherwise defined herein, terms defined in the Credit Agreement and used herein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the meanings given to them in the Amended Credit Agreement (as defined below).</w:t>
      </w:r>
    </w:p>
    <w:p>
      <w:pPr>
        <w:spacing w:after="0" w:line="159"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Amendments to Credit Agreement</w:t>
      </w:r>
      <w:r>
        <w:rPr>
          <w:rFonts w:ascii="Times New Roman" w:cs="Times New Roman" w:eastAsia="Times New Roman" w:hAnsi="Times New Roman"/>
          <w:sz w:val="20"/>
          <w:szCs w:val="20"/>
          <w:color w:val="000000"/>
        </w:rPr>
        <w:t>. In accordance with Section 10.02(b) of the Credit Agreement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effective as of the Effective Date, the Credit Agreement shall be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000000"/>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2F5496"/>
        </w:rPr>
        <w:t>double-underlined text</w:t>
      </w:r>
      <w:r>
        <w:rPr>
          <w:rFonts w:ascii="Times New Roman" w:cs="Times New Roman" w:eastAsia="Times New Roman" w:hAnsi="Times New Roman"/>
          <w:sz w:val="20"/>
          <w:szCs w:val="20"/>
          <w:color w:val="000000"/>
        </w:rPr>
        <w:t xml:space="preserve">) and to move the green text (indicated textually in the same manner as the following example: </w:t>
      </w:r>
      <w:r>
        <w:rPr>
          <w:rFonts w:ascii="Times New Roman" w:cs="Times New Roman" w:eastAsia="Times New Roman" w:hAnsi="Times New Roman"/>
          <w:sz w:val="20"/>
          <w:szCs w:val="20"/>
          <w:color w:val="00B050"/>
          <w:strike w:val="1"/>
        </w:rPr>
        <w:t>moved text</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color w:val="00B050"/>
        </w:rPr>
        <w:t>moved text</w:t>
      </w:r>
      <w:r>
        <w:rPr>
          <w:rFonts w:ascii="Times New Roman" w:cs="Times New Roman" w:eastAsia="Times New Roman" w:hAnsi="Times New Roman"/>
          <w:sz w:val="20"/>
          <w:szCs w:val="20"/>
          <w:color w:val="000000"/>
        </w:rPr>
        <w:t>) as set forth in the form attached hereto as Exhibit A hereto (the “</w:t>
      </w:r>
      <w:r>
        <w:rPr>
          <w:rFonts w:ascii="Times New Roman" w:cs="Times New Roman" w:eastAsia="Times New Roman" w:hAnsi="Times New Roman"/>
          <w:sz w:val="20"/>
          <w:szCs w:val="20"/>
          <w:u w:val="single" w:color="auto"/>
          <w:color w:val="000000"/>
        </w:rPr>
        <w:t>Amended Credit Agreement</w:t>
      </w:r>
      <w:r>
        <w:rPr>
          <w:rFonts w:ascii="Times New Roman" w:cs="Times New Roman" w:eastAsia="Times New Roman" w:hAnsi="Times New Roman"/>
          <w:sz w:val="20"/>
          <w:szCs w:val="20"/>
          <w:color w:val="000000"/>
        </w:rPr>
        <w:t>”).</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3.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This Amendment shall become effective as of the date (the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on which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precedent have been satisfied or waived:</w:t>
      </w:r>
    </w:p>
    <w:p>
      <w:pPr>
        <w:spacing w:after="0" w:line="159" w:lineRule="exact"/>
        <w:rPr>
          <w:sz w:val="20"/>
          <w:szCs w:val="20"/>
          <w:color w:val="auto"/>
        </w:rPr>
      </w:pPr>
    </w:p>
    <w:p>
      <w:pPr>
        <w:jc w:val="both"/>
        <w:ind w:firstLine="1304"/>
        <w:spacing w:after="0" w:line="254"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a duly executed and completed counterpart hereof that bears the signature of (1) Holdings, (2) the Parent Borrower, (3) the Administrative Agent and (4) each Lender party hereto (which constitute Required Lenders);</w:t>
      </w:r>
    </w:p>
    <w:p>
      <w:pPr>
        <w:sectPr>
          <w:pgSz w:w="11900" w:h="16838" w:orient="portrait"/>
          <w:cols w:equalWidth="0" w:num="1">
            <w:col w:w="11240"/>
          </w:cols>
          <w:pgMar w:left="320" w:top="122" w:right="339" w:bottom="1440" w:gutter="0" w:footer="0" w:header="0"/>
        </w:sectPr>
      </w:pPr>
    </w:p>
    <w:bookmarkStart w:id="46" w:name="page47"/>
    <w:bookmarkEnd w:id="46"/>
    <w:p>
      <w:pPr>
        <w:spacing w:after="0" w:line="189" w:lineRule="exact"/>
        <w:rPr>
          <w:sz w:val="20"/>
          <w:szCs w:val="20"/>
          <w:color w:val="auto"/>
        </w:rPr>
      </w:pPr>
    </w:p>
    <w:p>
      <w:pPr>
        <w:jc w:val="both"/>
        <w:ind w:left="-1120" w:firstLine="1304"/>
        <w:spacing w:after="0" w:line="254" w:lineRule="auto"/>
        <w:tabs>
          <w:tab w:leader="none" w:pos="81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(or cause to have been paid) a non-refundable consent fee (the “</w:t>
      </w:r>
      <w:r>
        <w:rPr>
          <w:rFonts w:ascii="Times New Roman" w:cs="Times New Roman" w:eastAsia="Times New Roman" w:hAnsi="Times New Roman"/>
          <w:sz w:val="20"/>
          <w:szCs w:val="20"/>
          <w:u w:val="single" w:color="auto"/>
          <w:color w:val="auto"/>
        </w:rPr>
        <w:t>Consent Fee</w:t>
      </w:r>
      <w:r>
        <w:rPr>
          <w:rFonts w:ascii="Times New Roman" w:cs="Times New Roman" w:eastAsia="Times New Roman" w:hAnsi="Times New Roman"/>
          <w:sz w:val="20"/>
          <w:szCs w:val="20"/>
          <w:color w:val="auto"/>
        </w:rPr>
        <w:t>”) to the Administrative Agent for the account of each Lender party hereto, in an amount equal to 0.05% of the aggregate principal amount of the Revolving Commitments of such Lender on the Effective Date;</w:t>
      </w:r>
    </w:p>
    <w:p>
      <w:pPr>
        <w:spacing w:after="0" w:line="174" w:lineRule="exact"/>
        <w:rPr>
          <w:rFonts w:ascii="Times New Roman" w:cs="Times New Roman" w:eastAsia="Times New Roman" w:hAnsi="Times New Roman"/>
          <w:sz w:val="20"/>
          <w:szCs w:val="20"/>
          <w:color w:val="auto"/>
        </w:rPr>
      </w:pPr>
    </w:p>
    <w:p>
      <w:pPr>
        <w:jc w:val="both"/>
        <w:ind w:left="-1120" w:firstLine="1304"/>
        <w:spacing w:after="0" w:line="243" w:lineRule="auto"/>
        <w:tabs>
          <w:tab w:leader="none" w:pos="81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other fees and other amounts due and payable on or prior to the Effective Date, including, to the extent invoiced at least one (1) Business Day prior to the Effective Date, reimbursement or payment of all out-of-pocket expenses (including fees, charges and disbursements of counsel) required to be reimbursed or paid by any Loan Party hereunder or under any Loan Document (and for the avoidance of doubt, including all interest, fees, expenses and other amounts due under the existing Credit Agreement).</w:t>
      </w:r>
    </w:p>
    <w:p>
      <w:pPr>
        <w:spacing w:after="0" w:line="186"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120" w:firstLine="1304"/>
        <w:spacing w:after="0" w:line="247" w:lineRule="auto"/>
        <w:tabs>
          <w:tab w:leader="none" w:pos="8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Parent Borrower hereby represent that (i) the representations and warranties of each Loan Party set forth in the Loan Documents are true and correct as of the Effective Date and (ii) at the time of and immediately after giving effect to the Effective Date, no Default has occurred and is continuing.</w:t>
      </w:r>
    </w:p>
    <w:p>
      <w:pPr>
        <w:spacing w:after="0" w:line="180" w:lineRule="exact"/>
        <w:rPr>
          <w:rFonts w:ascii="Times New Roman" w:cs="Times New Roman" w:eastAsia="Times New Roman" w:hAnsi="Times New Roman"/>
          <w:sz w:val="20"/>
          <w:szCs w:val="20"/>
          <w:color w:val="auto"/>
        </w:rPr>
      </w:pPr>
    </w:p>
    <w:p>
      <w:pPr>
        <w:jc w:val="both"/>
        <w:ind w:left="-1120" w:firstLine="1304"/>
        <w:spacing w:after="0" w:line="245" w:lineRule="auto"/>
        <w:tabs>
          <w:tab w:leader="none" w:pos="8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Parent Borrower represents and warrants to each of the Lenders and the Administrative Agent that (i) this Amendment to be entered into by each of Holdings and the Parent Borrower is within such Person’s powers and have been duly authorized by all necessary action and (ii) this Amendment has been duly executed and delivered by each of Holdings and the Parent Borrower and constitutes a legal, valid and binding obligation of such Person,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Effect of Amendment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120" w:firstLine="1304"/>
        <w:spacing w:after="0" w:line="239" w:lineRule="auto"/>
        <w:tabs>
          <w:tab w:leader="none" w:pos="81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Amended Credit Agreement, neither this Amendment nor the Amended Credit Agreement shall by implication or otherwise limit, impair, constitute a waiver of or otherwise affect the rights and remedies of the Lenders or the Administrative Agent under the Credit Agreement, the Security Agreement or any other Loan Document, or alter, modify, amend or in any way affect any of the terms, conditions, obligations, guarantees, covenants or agreements contained in the Credit Agreement or any other provision of the Credit Agreement, the Security Agreement or of any other Loan Document, all of which are ratified and affirmed in all respects and shall continue in full force and affect. The Parent Borrower, on behalf of itself and each other Loan Party, (i) acknowledges, renews and extends its continued liability under the Credit Agreement, the Security Agreement and any other Loan Document, (ii) acknowledges and agrees that its guarantee of the Obligations (as such term is defined giving effect to this Amendment) continues in full force and effect, unimpaired, uninterrupted and undischarged, regardless of the effectiveness of this Amendment and (iii) acknowledges and agrees that all of the Liens and security interests created and arising under any Loan Document remain in full force and effect and continue to secure its Obligations (as such term is defined giving effect to this Amendment), unimpaired, uninterrupted and undischarged, regardless of the effectiveness of this Amendment, except as provided in the Amended Credit Agreement (including, without limitation, Section 10.15 thereof). Nothing herein shall be deemed to entitle the Parent Borrower to a consent to, or a waiver, amendment, modification or other change of, any of the terms, conditions, obligations, covenants or agreements contained in the Credit Agreement, the Security Agreement or any other Loan Document in similar or different circumstances. Except as expressly set forth herein or in the Amended Credit Agreement (including, without limitation, Section 10.15 thereof),</w:t>
      </w:r>
    </w:p>
    <w:p>
      <w:pPr>
        <w:sectPr>
          <w:pgSz w:w="11900" w:h="16838" w:orient="portrait"/>
          <w:cols w:equalWidth="0" w:num="1">
            <w:col w:w="10120"/>
          </w:cols>
          <w:pgMar w:left="1440" w:top="1440" w:right="339" w:bottom="1440" w:gutter="0" w:footer="0" w:header="0"/>
        </w:sectPr>
      </w:pPr>
    </w:p>
    <w:bookmarkStart w:id="47" w:name="page48"/>
    <w:bookmarkEnd w:id="47"/>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nothing in this Amendment shall be deemed to be a novation of any obligations under the Credit Agreement, the Security Agreement or any other Loan Document.</w:t>
      </w:r>
    </w:p>
    <w:p>
      <w:pPr>
        <w:spacing w:after="0" w:line="159" w:lineRule="exact"/>
        <w:rPr>
          <w:sz w:val="20"/>
          <w:szCs w:val="20"/>
          <w:color w:val="auto"/>
        </w:rPr>
      </w:pPr>
    </w:p>
    <w:p>
      <w:pPr>
        <w:jc w:val="both"/>
        <w:ind w:firstLine="1304"/>
        <w:spacing w:after="0" w:line="244" w:lineRule="auto"/>
        <w:tabs>
          <w:tab w:leader="none" w:pos="19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Amended Credit Agreement and the other Loan Documents (as defined in the Amended Credit Agreement).</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or in the Amended Credit Agreement, the Amended Facility shall be subject to the terms and provisions of the Amended Credit Agreement and the other Loan Documents.</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7"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UNDER THIS AMENDMENT SHALL BE GOVERNED BY, AND CONSTRUED AND INTERPRETED IN ACCORDANCE WITH, THE LAW OF THE STATE OF NEW YORK.</w:t>
      </w:r>
    </w:p>
    <w:p>
      <w:pPr>
        <w:spacing w:after="0" w:line="180" w:lineRule="exact"/>
        <w:rPr>
          <w:rFonts w:ascii="Times New Roman" w:cs="Times New Roman" w:eastAsia="Times New Roman" w:hAnsi="Times New Roman"/>
          <w:sz w:val="20"/>
          <w:szCs w:val="20"/>
          <w:color w:val="auto"/>
        </w:rPr>
      </w:pPr>
    </w:p>
    <w:p>
      <w:pPr>
        <w:jc w:val="both"/>
        <w:ind w:firstLine="1304"/>
        <w:spacing w:after="0"/>
        <w:tabs>
          <w:tab w:leader="none" w:pos="19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Parent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Holdings, the Parent Borrower or their properties in the courts of any jurisdiction.</w:t>
      </w:r>
    </w:p>
    <w:p>
      <w:pPr>
        <w:spacing w:after="0" w:line="196"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Parent Borrower agrees to reimburse the Administrative Agent for its reasonable out-of-pocket expenses in connection with this Amendment, including the reasonable fees, charges and disbursements of counsel for the Administrative Agent.</w:t>
      </w:r>
    </w:p>
    <w:p>
      <w:pPr>
        <w:spacing w:after="0" w:line="180"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to this Amendment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contract or record. Delivery of an executed signature page of this Amendment by email or facsimile transmission shall be effective as delivery of a manually executed counterpart hereof.</w:t>
      </w:r>
    </w:p>
    <w:p>
      <w:pPr>
        <w:spacing w:after="0" w:line="159" w:lineRule="exact"/>
        <w:rPr>
          <w:sz w:val="20"/>
          <w:szCs w:val="20"/>
          <w:color w:val="auto"/>
        </w:rPr>
      </w:pPr>
    </w:p>
    <w:p>
      <w:pPr>
        <w:jc w:val="both"/>
        <w:ind w:firstLine="1304"/>
        <w:spacing w:after="0" w:line="243" w:lineRule="auto"/>
        <w:tabs>
          <w:tab w:leader="none" w:pos="19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This Amendment may be amended, modified or supplemented only by a writing signed by the Required Lenders (as defined in the Amended Credit Agreement), Holdings and the Parent Borrower; provided that any amendment or modification that would require the consent of all Lenders or all affected Lenders if made under the Amended Credit Agreement shall require the consent of all Lenders (as defined in the Amended Credit Agreement) or all affected Lenders (as defined in the Amended Credit Agreement), as applicable.</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this Amendment are used for convenience of reference only, are not part of this Amendment and shall not affect the construction of, or be taken into consideration in interpreting, this Amendment.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duly authorized officers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TRIMAS CORPORATION</w:t>
      </w: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Swart</w:t>
      </w:r>
      <w:r>
        <w:rPr>
          <w:rFonts w:ascii="Times New Roman" w:cs="Times New Roman" w:eastAsia="Times New Roman" w:hAnsi="Times New Roman"/>
          <w:sz w:val="20"/>
          <w:szCs w:val="20"/>
          <w:color w:val="auto"/>
        </w:rPr>
        <w:t>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Paul Swart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TRIMAS COMPANY LLC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Paul Swart_______________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-10795</wp:posOffset>
            </wp:positionV>
            <wp:extent cx="760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Paul Swart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[Signature Page to Tenth Amendment]</w:t>
      </w:r>
    </w:p>
    <w:p>
      <w:pPr>
        <w:sectPr>
          <w:pgSz w:w="11900" w:h="16838" w:orient="portrait"/>
          <w:cols w:equalWidth="0" w:num="1">
            <w:col w:w="10620"/>
          </w:cols>
          <w:pgMar w:left="320" w:top="1440" w:right="959" w:bottom="1440" w:gutter="0" w:footer="0" w:header="0"/>
        </w:sectPr>
      </w:pPr>
    </w:p>
    <w:bookmarkStart w:id="50" w:name="page51"/>
    <w:bookmarkEnd w:id="50"/>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JPMORGAN CHASE BANK, N.A., as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Eric B. Bergeson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-10795</wp:posOffset>
            </wp:positionV>
            <wp:extent cx="2014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Eric B. Bergeson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Tenth Amendment]</w:t>
      </w:r>
    </w:p>
    <w:p>
      <w:pPr>
        <w:sectPr>
          <w:pgSz w:w="11900" w:h="16838" w:orient="portrait"/>
          <w:cols w:equalWidth="0" w:num="1">
            <w:col w:w="9019"/>
          </w:cols>
          <w:pgMar w:left="1440" w:top="1440" w:right="1440" w:bottom="1440" w:gutter="0" w:footer="0" w:header="0"/>
        </w:sectPr>
      </w:pPr>
    </w:p>
    <w:bookmarkStart w:id="51" w:name="page52"/>
    <w:bookmarkEnd w:id="51"/>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Daryl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-10795</wp:posOffset>
            </wp:positionV>
            <wp:extent cx="1961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Daryl C. Brown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Tenth Amendment]</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Wells Fargo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Eric Wisniewski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-10795</wp:posOffset>
            </wp:positionV>
            <wp:extent cx="1983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98374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Eric Wisniewski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Tenth Amendment]</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HSBC BANK USA,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Meghan C.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-10795</wp:posOffset>
            </wp:positionV>
            <wp:extent cx="2059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05930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Meghan C. Quinn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Tenth Amendment]</w:t>
      </w:r>
    </w:p>
    <w:p>
      <w:pPr>
        <w:sectPr>
          <w:pgSz w:w="11900" w:h="16838" w:orient="portrait"/>
          <w:cols w:equalWidth="0" w:num="1">
            <w:col w:w="9019"/>
          </w:cols>
          <w:pgMar w:left="1440" w:top="1440"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October 16, 2013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TRIMAS CORPORATION,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TRIMAS COMPANY LLC,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Foreign Subsidiary Borrowers Party Hereto,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and Collateral Agent,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1645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8"/>
        <w:spacing w:after="0" w:line="236" w:lineRule="auto"/>
        <w:tabs>
          <w:tab w:leader="none" w:pos="132"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As amended by that certain Replacement Facility Amendment dated as of June 30, 2015, that certain Foreign Subsidiary Borrowing Agreement and Amendment, dated as of January 10, 2017, that certain Amendment, dated as of March 8, 2017, that certain Replacement Facility Amendment, dated as of September 20, 2017, that certain Second Replacement Revolving Facility Amendment, dated as of March 29, 2021, that certain Amendment, dated as of November 19, 2021, that certain Seventh Amendment, dated as of April 7, 2023, that certain Eighth Amendment, dated as of March 31, 2025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that certain Ninth Amendment, dated as of December 29, 2025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that certain Consent, dated as of March 4, 2026 </w:t>
      </w:r>
      <w:r>
        <w:rPr>
          <w:rFonts w:ascii="Times New Roman" w:cs="Times New Roman" w:eastAsia="Times New Roman" w:hAnsi="Times New Roman"/>
          <w:sz w:val="18"/>
          <w:szCs w:val="18"/>
          <w:color w:val="0000FF"/>
        </w:rPr>
        <w:t>and that certain Tenth Amendment, dated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March 20,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6690995</wp:posOffset>
            </wp:positionH>
            <wp:positionV relativeFrom="paragraph">
              <wp:posOffset>-349250</wp:posOffset>
            </wp:positionV>
            <wp:extent cx="2019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01930" cy="889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-212090</wp:posOffset>
            </wp:positionV>
            <wp:extent cx="1936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-160655</wp:posOffset>
            </wp:positionV>
            <wp:extent cx="204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04152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3"/>
          </w:tcPr>
          <w:p>
            <w:pPr>
              <w:jc w:val="center"/>
              <w:ind w:right="1460"/>
              <w:spacing w:after="0"/>
              <w:rPr>
                <w:sz w:val="20"/>
                <w:szCs w:val="20"/>
                <w:color w:val="auto"/>
              </w:rPr>
            </w:pPr>
            <w:r>
              <w:rPr>
                <w:rFonts w:ascii="Times New Roman" w:cs="Times New Roman" w:eastAsia="Times New Roman" w:hAnsi="Times New Roman"/>
                <w:sz w:val="20"/>
                <w:szCs w:val="20"/>
                <w:color w:val="auto"/>
                <w:w w:val="97"/>
              </w:rPr>
              <w:t>ARTICLE I</w:t>
            </w:r>
          </w:p>
        </w:tc>
      </w:tr>
      <w:tr>
        <w:trPr>
          <w:trHeight w:val="399"/>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4"/>
          </w:tcPr>
          <w:p>
            <w:pPr>
              <w:jc w:val="center"/>
              <w:ind w:right="1380"/>
              <w:spacing w:after="0"/>
              <w:rPr>
                <w:sz w:val="20"/>
                <w:szCs w:val="20"/>
                <w:color w:val="auto"/>
              </w:rPr>
            </w:pPr>
            <w:r>
              <w:rPr>
                <w:rFonts w:ascii="Times New Roman" w:cs="Times New Roman" w:eastAsia="Times New Roman" w:hAnsi="Times New Roman"/>
                <w:sz w:val="20"/>
                <w:szCs w:val="20"/>
                <w:color w:val="auto"/>
                <w:w w:val="99"/>
              </w:rPr>
              <w:t>DEFINITIONS</w:t>
            </w:r>
          </w:p>
        </w:tc>
      </w:tr>
      <w:tr>
        <w:trPr>
          <w:trHeight w:val="47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Defined Terms</w:t>
            </w:r>
          </w:p>
        </w:tc>
        <w:tc>
          <w:tcPr>
            <w:tcW w:w="5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33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Terms Generally</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9"/>
              </w:rPr>
              <w:t>Accounting Terms; GAAP</w:t>
            </w:r>
          </w:p>
        </w:tc>
        <w:tc>
          <w:tcPr>
            <w:tcW w:w="110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33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Limited Conditionality Acquisition  51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62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Ratio Calculations; Negative Covenant Classifications  51</w:t>
            </w: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Interest Rates</w:t>
            </w:r>
          </w:p>
        </w:tc>
        <w:tc>
          <w:tcPr>
            <w:tcW w:w="5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w w:val="89"/>
              </w:rPr>
              <w:t>52</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Divisions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Pro Forma Effect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32"/>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3"/>
          </w:tcPr>
          <w:p>
            <w:pPr>
              <w:jc w:val="center"/>
              <w:ind w:right="1480"/>
              <w:spacing w:after="0"/>
              <w:rPr>
                <w:sz w:val="20"/>
                <w:szCs w:val="20"/>
                <w:color w:val="auto"/>
              </w:rPr>
            </w:pPr>
            <w:r>
              <w:rPr>
                <w:rFonts w:ascii="Times New Roman" w:cs="Times New Roman" w:eastAsia="Times New Roman" w:hAnsi="Times New Roman"/>
                <w:sz w:val="20"/>
                <w:szCs w:val="20"/>
                <w:color w:val="auto"/>
                <w:w w:val="97"/>
              </w:rPr>
              <w:t>ARTICLE II</w:t>
            </w:r>
          </w:p>
        </w:tc>
      </w:tr>
      <w:tr>
        <w:trPr>
          <w:trHeight w:val="399"/>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4"/>
          </w:tcPr>
          <w:p>
            <w:pPr>
              <w:jc w:val="center"/>
              <w:ind w:right="1360"/>
              <w:spacing w:after="0"/>
              <w:rPr>
                <w:sz w:val="20"/>
                <w:szCs w:val="20"/>
                <w:color w:val="auto"/>
              </w:rPr>
            </w:pPr>
            <w:r>
              <w:rPr>
                <w:rFonts w:ascii="Times New Roman" w:cs="Times New Roman" w:eastAsia="Times New Roman" w:hAnsi="Times New Roman"/>
                <w:sz w:val="20"/>
                <w:szCs w:val="20"/>
                <w:color w:val="auto"/>
                <w:w w:val="99"/>
              </w:rPr>
              <w:t>THE CREDITS</w:t>
            </w:r>
          </w:p>
        </w:tc>
      </w:tr>
      <w:tr>
        <w:trPr>
          <w:trHeight w:val="47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Commitments</w:t>
            </w:r>
          </w:p>
        </w:tc>
        <w:tc>
          <w:tcPr>
            <w:tcW w:w="58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53</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Loans and Borrowings</w:t>
            </w:r>
          </w:p>
        </w:tc>
        <w:tc>
          <w:tcPr>
            <w:tcW w:w="1400" w:type="dxa"/>
            <w:vAlign w:val="bottom"/>
            <w:gridSpan w:val="2"/>
          </w:tcPr>
          <w:p>
            <w:pPr>
              <w:jc w:val="right"/>
              <w:ind w:right="961"/>
              <w:spacing w:after="0"/>
              <w:rPr>
                <w:sz w:val="20"/>
                <w:szCs w:val="20"/>
                <w:color w:val="auto"/>
              </w:rPr>
            </w:pPr>
            <w:r>
              <w:rPr>
                <w:rFonts w:ascii="Times New Roman" w:cs="Times New Roman" w:eastAsia="Times New Roman" w:hAnsi="Times New Roman"/>
                <w:sz w:val="20"/>
                <w:szCs w:val="20"/>
                <w:color w:val="auto"/>
              </w:rPr>
              <w:t>53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Requests for Borrowings</w:t>
            </w:r>
          </w:p>
        </w:tc>
        <w:tc>
          <w:tcPr>
            <w:tcW w:w="110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w w:val="99"/>
              </w:rPr>
              <w:t>54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Swingline Loans</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Letters of Credit</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57</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7"/>
              </w:rPr>
              <w:t>Funding of Borrowings</w:t>
            </w:r>
          </w:p>
        </w:tc>
        <w:tc>
          <w:tcPr>
            <w:tcW w:w="1400" w:type="dxa"/>
            <w:vAlign w:val="bottom"/>
            <w:gridSpan w:val="2"/>
          </w:tcPr>
          <w:p>
            <w:pPr>
              <w:jc w:val="right"/>
              <w:ind w:right="901"/>
              <w:spacing w:after="0"/>
              <w:rPr>
                <w:sz w:val="20"/>
                <w:szCs w:val="20"/>
                <w:color w:val="auto"/>
              </w:rPr>
            </w:pPr>
            <w:r>
              <w:rPr>
                <w:rFonts w:ascii="Times New Roman" w:cs="Times New Roman" w:eastAsia="Times New Roman" w:hAnsi="Times New Roman"/>
                <w:sz w:val="20"/>
                <w:szCs w:val="20"/>
                <w:color w:val="auto"/>
              </w:rPr>
              <w:t>64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Interest Elections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37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w w:val="99"/>
              </w:rPr>
              <w:t>Termination and Reduction of Commitments</w:t>
            </w:r>
          </w:p>
        </w:tc>
        <w:tc>
          <w:tcPr>
            <w:tcW w:w="114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33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Prepayment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69</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Fees</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Interest  71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110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9"/>
              </w:rPr>
              <w:t>Increased Costs</w:t>
            </w:r>
          </w:p>
        </w:tc>
        <w:tc>
          <w:tcPr>
            <w:tcW w:w="140" w:type="dxa"/>
            <w:vAlign w:val="bottom"/>
          </w:tcPr>
          <w:p>
            <w:pPr>
              <w:spacing w:after="0"/>
              <w:rPr>
                <w:sz w:val="21"/>
                <w:szCs w:val="21"/>
                <w:color w:val="auto"/>
              </w:rPr>
            </w:pP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76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Break Funding Payments</w:t>
            </w:r>
          </w:p>
        </w:tc>
        <w:tc>
          <w:tcPr>
            <w:tcW w:w="110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77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62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Payments Generally; Pro Rata Treatment; Sharing of Set-offs  84</w:t>
            </w: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2.19</w:t>
            </w:r>
          </w:p>
        </w:tc>
        <w:tc>
          <w:tcPr>
            <w:tcW w:w="62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Mitigation Obligations; Replacement of Lenders  86</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2.20</w:t>
            </w:r>
          </w:p>
        </w:tc>
        <w:tc>
          <w:tcPr>
            <w:tcW w:w="37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w w:val="98"/>
              </w:rPr>
              <w:t>Designation of Foreign Subsidiary Borrowers</w:t>
            </w:r>
          </w:p>
        </w:tc>
        <w:tc>
          <w:tcPr>
            <w:tcW w:w="114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87</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2.21</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Incremental Facilities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Defaulting Lenders  90</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2.23</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2.24</w:t>
            </w:r>
          </w:p>
        </w:tc>
        <w:tc>
          <w:tcPr>
            <w:tcW w:w="62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Foreign Currency Participations; Conversion of Foreign Currency Loans  94</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2.25</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Currency Fluctuations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2.26</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Illegality</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96</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40"/>
          </w:cols>
          <w:pgMar w:left="320" w:top="1440"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4"/>
          </w:tcPr>
          <w:p>
            <w:pPr>
              <w:jc w:val="center"/>
              <w:ind w:right="1200"/>
              <w:spacing w:after="0"/>
              <w:rPr>
                <w:sz w:val="20"/>
                <w:szCs w:val="20"/>
                <w:color w:val="auto"/>
              </w:rPr>
            </w:pPr>
            <w:r>
              <w:rPr>
                <w:rFonts w:ascii="Times New Roman" w:cs="Times New Roman" w:eastAsia="Times New Roman" w:hAnsi="Times New Roman"/>
                <w:sz w:val="20"/>
                <w:szCs w:val="20"/>
                <w:color w:val="auto"/>
                <w:w w:val="98"/>
              </w:rPr>
              <w:t>ARTICLE III</w:t>
            </w:r>
          </w:p>
        </w:tc>
      </w:tr>
      <w:tr>
        <w:trPr>
          <w:trHeight w:val="358"/>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gridSpan w:val="10"/>
          </w:tcPr>
          <w:p>
            <w:pPr>
              <w:jc w:val="center"/>
              <w:spacing w:after="0"/>
              <w:rPr>
                <w:sz w:val="20"/>
                <w:szCs w:val="20"/>
                <w:color w:val="auto"/>
              </w:rPr>
            </w:pPr>
            <w:r>
              <w:rPr>
                <w:rFonts w:ascii="Times New Roman" w:cs="Times New Roman" w:eastAsia="Times New Roman" w:hAnsi="Times New Roman"/>
                <w:sz w:val="20"/>
                <w:szCs w:val="20"/>
                <w:color w:val="auto"/>
                <w:w w:val="97"/>
              </w:rPr>
              <w:t>REPRESENTATIONS AND WARRANTIES</w:t>
            </w:r>
          </w:p>
        </w:tc>
      </w:tr>
      <w:tr>
        <w:trPr>
          <w:trHeight w:val="47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Organization; Powers</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97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34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97</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41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9"/>
              </w:rPr>
              <w:t>Financial Condition; No Material Adverse Change</w:t>
            </w: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97</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318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4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34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Compliance with Laws and Agreements</w:t>
            </w:r>
          </w:p>
        </w:tc>
        <w:tc>
          <w:tcPr>
            <w:tcW w:w="72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99</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5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99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Taxes  99</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ERISA</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99</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6"/>
              </w:rPr>
              <w:t>Subsidiaries</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100</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100</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3.14</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Labor Matters</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100</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Solvency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Senior Indebtedness</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Security Documents</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3.18</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8"/>
              </w:rPr>
              <w:t>Federal Reserve Regulations</w:t>
            </w:r>
          </w:p>
        </w:tc>
        <w:tc>
          <w:tcPr>
            <w:tcW w:w="5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101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3.19</w:t>
            </w:r>
          </w:p>
        </w:tc>
        <w:tc>
          <w:tcPr>
            <w:tcW w:w="318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Anti-Corruption Laws and Sanctions</w:t>
            </w: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102</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3.20</w:t>
            </w: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3.21</w:t>
            </w: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Persons of Significant Control</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3.22</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Regulation (EU) 2015/858</w:t>
            </w:r>
          </w:p>
        </w:tc>
        <w:tc>
          <w:tcPr>
            <w:tcW w:w="580" w:type="dxa"/>
            <w:vAlign w:val="bottom"/>
            <w:gridSpan w:val="3"/>
          </w:tcPr>
          <w:p>
            <w:pPr>
              <w:jc w:val="right"/>
              <w:ind w:right="161"/>
              <w:spacing w:after="0"/>
              <w:rPr>
                <w:sz w:val="20"/>
                <w:szCs w:val="20"/>
                <w:color w:val="auto"/>
              </w:rPr>
            </w:pPr>
            <w:r>
              <w:rPr>
                <w:rFonts w:ascii="Times New Roman" w:cs="Times New Roman" w:eastAsia="Times New Roman" w:hAnsi="Times New Roman"/>
                <w:sz w:val="20"/>
                <w:szCs w:val="20"/>
                <w:color w:val="auto"/>
                <w:w w:val="99"/>
              </w:rPr>
              <w:t>102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3.23</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58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18"/>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center"/>
              <w:ind w:right="1200"/>
              <w:spacing w:after="0"/>
              <w:rPr>
                <w:sz w:val="20"/>
                <w:szCs w:val="20"/>
                <w:color w:val="auto"/>
              </w:rPr>
            </w:pPr>
            <w:r>
              <w:rPr>
                <w:rFonts w:ascii="Times New Roman" w:cs="Times New Roman" w:eastAsia="Times New Roman" w:hAnsi="Times New Roman"/>
                <w:sz w:val="20"/>
                <w:szCs w:val="20"/>
                <w:color w:val="auto"/>
                <w:w w:val="97"/>
              </w:rPr>
              <w:t>ARTICLE IV</w:t>
            </w:r>
          </w:p>
        </w:tc>
      </w:tr>
      <w:tr>
        <w:trPr>
          <w:trHeight w:val="372"/>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center"/>
              <w:ind w:right="980"/>
              <w:spacing w:after="0"/>
              <w:rPr>
                <w:sz w:val="20"/>
                <w:szCs w:val="20"/>
                <w:color w:val="auto"/>
              </w:rPr>
            </w:pPr>
            <w:r>
              <w:rPr>
                <w:rFonts w:ascii="Times New Roman" w:cs="Times New Roman" w:eastAsia="Times New Roman" w:hAnsi="Times New Roman"/>
                <w:sz w:val="20"/>
                <w:szCs w:val="20"/>
                <w:color w:val="auto"/>
                <w:w w:val="98"/>
              </w:rPr>
              <w:t>CONDITIONS</w:t>
            </w:r>
          </w:p>
        </w:tc>
      </w:tr>
      <w:tr>
        <w:trPr>
          <w:trHeight w:val="47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Closing Date</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3"/>
              </w:rPr>
              <w:t>103</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Each Credit Event  104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4.03</w:t>
            </w:r>
          </w:p>
        </w:tc>
        <w:tc>
          <w:tcPr>
            <w:tcW w:w="6060" w:type="dxa"/>
            <w:vAlign w:val="bottom"/>
            <w:gridSpan w:val="15"/>
          </w:tcPr>
          <w:p>
            <w:pPr>
              <w:ind w:left="120"/>
              <w:spacing w:after="0"/>
              <w:rPr>
                <w:sz w:val="20"/>
                <w:szCs w:val="20"/>
                <w:color w:val="auto"/>
              </w:rPr>
            </w:pPr>
            <w:r>
              <w:rPr>
                <w:rFonts w:ascii="Times New Roman" w:cs="Times New Roman" w:eastAsia="Times New Roman" w:hAnsi="Times New Roman"/>
                <w:sz w:val="20"/>
                <w:szCs w:val="20"/>
                <w:color w:val="auto"/>
              </w:rPr>
              <w:t>Credit Events Relating to Foreign Subsidiary Borrowers  105</w:t>
            </w: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4.04</w:t>
            </w:r>
          </w:p>
        </w:tc>
        <w:tc>
          <w:tcPr>
            <w:tcW w:w="34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w w:val="98"/>
              </w:rPr>
              <w:t>Conditions to the Third Restatement Date</w:t>
            </w: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105</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32"/>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center"/>
              <w:ind w:right="1180"/>
              <w:spacing w:after="0"/>
              <w:rPr>
                <w:sz w:val="20"/>
                <w:szCs w:val="20"/>
                <w:color w:val="auto"/>
              </w:rPr>
            </w:pPr>
            <w:r>
              <w:rPr>
                <w:rFonts w:ascii="Times New Roman" w:cs="Times New Roman" w:eastAsia="Times New Roman" w:hAnsi="Times New Roman"/>
                <w:sz w:val="20"/>
                <w:szCs w:val="20"/>
                <w:color w:val="auto"/>
                <w:w w:val="98"/>
              </w:rPr>
              <w:t>ARTICLE V</w:t>
            </w:r>
          </w:p>
        </w:tc>
      </w:tr>
      <w:tr>
        <w:trPr>
          <w:trHeight w:val="372"/>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7"/>
          </w:tcPr>
          <w:p>
            <w:pPr>
              <w:jc w:val="center"/>
              <w:ind w:right="520"/>
              <w:spacing w:after="0"/>
              <w:rPr>
                <w:sz w:val="20"/>
                <w:szCs w:val="20"/>
                <w:color w:val="auto"/>
              </w:rPr>
            </w:pPr>
            <w:r>
              <w:rPr>
                <w:rFonts w:ascii="Times New Roman" w:cs="Times New Roman" w:eastAsia="Times New Roman" w:hAnsi="Times New Roman"/>
                <w:sz w:val="20"/>
                <w:szCs w:val="20"/>
                <w:color w:val="auto"/>
                <w:w w:val="98"/>
              </w:rPr>
              <w:t>AFFIRMATIVE COVENANTS</w:t>
            </w:r>
          </w:p>
        </w:tc>
      </w:tr>
      <w:tr>
        <w:trPr>
          <w:trHeight w:val="20"/>
        </w:trPr>
        <w:tc>
          <w:tcPr>
            <w:tcW w:w="136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7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41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Financial Statements and Other Information  107</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5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109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34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Information Regarding Collateral  109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Existence; Conduct of Business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Payment of Obligations  110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58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w w:val="93"/>
              </w:rPr>
              <w:t>110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110</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Casualty and Condemnation</w:t>
            </w:r>
          </w:p>
        </w:tc>
        <w:tc>
          <w:tcPr>
            <w:tcW w:w="58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111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416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Books and Records; Inspection and Audit Rights</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3"/>
              </w:rPr>
              <w:t>111</w:t>
            </w: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Compliance with Laws</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5.11</w:t>
            </w:r>
          </w:p>
        </w:tc>
        <w:tc>
          <w:tcPr>
            <w:tcW w:w="324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Use of Proceeds and Letters of Credit</w:t>
            </w:r>
          </w:p>
        </w:tc>
        <w:tc>
          <w:tcPr>
            <w:tcW w:w="3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w w:val="86"/>
              </w:rPr>
              <w:t>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Additional Subsidiaries</w:t>
            </w:r>
          </w:p>
        </w:tc>
        <w:tc>
          <w:tcPr>
            <w:tcW w:w="14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3"/>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5.13</w:t>
            </w:r>
          </w:p>
        </w:tc>
        <w:tc>
          <w:tcPr>
            <w:tcW w:w="2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Further Assurances  112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40"/>
              <w:spacing w:after="0"/>
              <w:rPr>
                <w:sz w:val="20"/>
                <w:szCs w:val="20"/>
                <w:color w:val="auto"/>
              </w:rPr>
            </w:pPr>
            <w:r>
              <w:rPr>
                <w:rFonts w:ascii="Times New Roman" w:cs="Times New Roman" w:eastAsia="Times New Roman" w:hAnsi="Times New Roman"/>
                <w:sz w:val="20"/>
                <w:szCs w:val="20"/>
                <w:color w:val="auto"/>
                <w:w w:val="97"/>
              </w:rPr>
              <w:t>ARTICLE VI</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160" w:type="dxa"/>
            <w:vAlign w:val="bottom"/>
          </w:tcPr>
          <w:p>
            <w:pPr>
              <w:spacing w:after="0"/>
              <w:rPr>
                <w:sz w:val="24"/>
                <w:szCs w:val="24"/>
                <w:color w:val="auto"/>
              </w:rPr>
            </w:pPr>
          </w:p>
        </w:tc>
      </w:tr>
      <w:tr>
        <w:trPr>
          <w:trHeight w:val="45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324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w w:val="99"/>
              </w:rPr>
              <w:t>Indebtedness; Certain Equity Securities</w:t>
            </w:r>
          </w:p>
        </w:tc>
        <w:tc>
          <w:tcPr>
            <w:tcW w:w="4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9"/>
              </w:rPr>
              <w:t>113</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  116</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Fundamental Changes</w:t>
            </w:r>
          </w:p>
        </w:tc>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5060" w:type="dxa"/>
            <w:vAlign w:val="bottom"/>
            <w:gridSpan w:val="20"/>
          </w:tcPr>
          <w:p>
            <w:pPr>
              <w:ind w:left="80"/>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3"/>
              </w:rPr>
              <w:t>119</w:t>
            </w: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Asset Sales</w:t>
            </w: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121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286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Hedging Agreements</w:t>
            </w:r>
          </w:p>
        </w:tc>
        <w:tc>
          <w:tcPr>
            <w:tcW w:w="4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3"/>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5060" w:type="dxa"/>
            <w:vAlign w:val="bottom"/>
            <w:gridSpan w:val="20"/>
          </w:tcPr>
          <w:p>
            <w:pPr>
              <w:ind w:left="80"/>
              <w:spacing w:after="0"/>
              <w:rPr>
                <w:sz w:val="20"/>
                <w:szCs w:val="20"/>
                <w:color w:val="auto"/>
              </w:rPr>
            </w:pPr>
            <w:r>
              <w:rPr>
                <w:rFonts w:ascii="Times New Roman" w:cs="Times New Roman" w:eastAsia="Times New Roman" w:hAnsi="Times New Roman"/>
                <w:sz w:val="20"/>
                <w:szCs w:val="20"/>
                <w:color w:val="auto"/>
              </w:rPr>
              <w:t>Restricted Payments; Certain Payments of Indebtedness  123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Restrictive Agreements</w:t>
            </w:r>
          </w:p>
        </w:tc>
        <w:tc>
          <w:tcPr>
            <w:tcW w:w="14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3"/>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6.11</w:t>
            </w:r>
          </w:p>
        </w:tc>
        <w:tc>
          <w:tcPr>
            <w:tcW w:w="3140" w:type="dxa"/>
            <w:vAlign w:val="bottom"/>
            <w:gridSpan w:val="10"/>
          </w:tcPr>
          <w:p>
            <w:pPr>
              <w:ind w:left="80"/>
              <w:spacing w:after="0" w:line="212" w:lineRule="exact"/>
              <w:rPr>
                <w:sz w:val="20"/>
                <w:szCs w:val="20"/>
                <w:color w:val="auto"/>
              </w:rPr>
            </w:pPr>
            <w:r>
              <w:rPr>
                <w:rFonts w:ascii="Times New Roman" w:cs="Times New Roman" w:eastAsia="Times New Roman" w:hAnsi="Times New Roman"/>
                <w:sz w:val="20"/>
                <w:szCs w:val="20"/>
                <w:color w:val="auto"/>
              </w:rPr>
              <w:t>Amendment of Material Documents</w:t>
            </w:r>
          </w:p>
        </w:tc>
        <w:tc>
          <w:tcPr>
            <w:tcW w:w="28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6"/>
              </w:rPr>
              <w:t>128</w:t>
            </w:r>
          </w:p>
        </w:tc>
        <w:tc>
          <w:tcPr>
            <w:tcW w:w="130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0000FF"/>
              </w:rPr>
              <w:t>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286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Interest Expense Coverage Ratio</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129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6.13</w:t>
            </w:r>
          </w:p>
        </w:tc>
        <w:tc>
          <w:tcPr>
            <w:tcW w:w="2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8"/>
              </w:rPr>
              <w:t>Total Net Leverage Ratio</w:t>
            </w:r>
          </w:p>
        </w:tc>
        <w:tc>
          <w:tcPr>
            <w:tcW w:w="62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129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6.14</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Use of Proceeds  129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6.15</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129</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w w:val="97"/>
              </w:rPr>
              <w:t>ARTICLE VII</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2"/>
          </w:tcPr>
          <w:p>
            <w:pPr>
              <w:jc w:val="center"/>
              <w:ind w:right="280"/>
              <w:spacing w:after="0"/>
              <w:rPr>
                <w:sz w:val="20"/>
                <w:szCs w:val="20"/>
                <w:color w:val="auto"/>
              </w:rPr>
            </w:pPr>
            <w:r>
              <w:rPr>
                <w:rFonts w:ascii="Times New Roman" w:cs="Times New Roman" w:eastAsia="Times New Roman" w:hAnsi="Times New Roman"/>
                <w:sz w:val="20"/>
                <w:szCs w:val="20"/>
                <w:color w:val="auto"/>
                <w:w w:val="97"/>
              </w:rPr>
              <w:t>EVENTS OF DEFAULT</w:t>
            </w:r>
          </w:p>
        </w:tc>
      </w:tr>
      <w:tr>
        <w:trPr>
          <w:trHeight w:val="45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20"/>
                <w:szCs w:val="20"/>
                <w:color w:val="auto"/>
                <w:w w:val="98"/>
              </w:rPr>
              <w:t>ARTICLE VIII</w:t>
            </w: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w w:val="99"/>
              </w:rPr>
              <w:t>THE AGENTS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Administrative Agent</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8.02</w:t>
            </w:r>
          </w:p>
        </w:tc>
        <w:tc>
          <w:tcPr>
            <w:tcW w:w="1960" w:type="dxa"/>
            <w:vAlign w:val="bottom"/>
            <w:gridSpan w:val="2"/>
          </w:tcPr>
          <w:p>
            <w:pPr>
              <w:ind w:left="80"/>
              <w:spacing w:after="0" w:line="212" w:lineRule="exact"/>
              <w:rPr>
                <w:sz w:val="20"/>
                <w:szCs w:val="20"/>
                <w:color w:val="auto"/>
              </w:rPr>
            </w:pPr>
            <w:r>
              <w:rPr>
                <w:rFonts w:ascii="Times New Roman" w:cs="Times New Roman" w:eastAsia="Times New Roman" w:hAnsi="Times New Roman"/>
                <w:sz w:val="20"/>
                <w:szCs w:val="20"/>
                <w:color w:val="auto"/>
                <w:w w:val="99"/>
              </w:rPr>
              <w:t>Certain ERISA Matters</w:t>
            </w:r>
          </w:p>
        </w:tc>
        <w:tc>
          <w:tcPr>
            <w:tcW w:w="140" w:type="dxa"/>
            <w:vAlign w:val="bottom"/>
          </w:tcPr>
          <w:p>
            <w:pPr>
              <w:spacing w:after="0"/>
              <w:rPr>
                <w:sz w:val="18"/>
                <w:szCs w:val="18"/>
                <w:color w:val="auto"/>
              </w:rPr>
            </w:pPr>
          </w:p>
        </w:tc>
        <w:tc>
          <w:tcPr>
            <w:tcW w:w="340" w:type="dxa"/>
            <w:vAlign w:val="bottom"/>
          </w:tcPr>
          <w:p>
            <w:pPr>
              <w:ind w:left="40"/>
              <w:spacing w:after="0" w:line="212" w:lineRule="exact"/>
              <w:rPr>
                <w:sz w:val="20"/>
                <w:szCs w:val="20"/>
                <w:color w:val="auto"/>
              </w:rPr>
            </w:pPr>
            <w:r>
              <w:rPr>
                <w:rFonts w:ascii="Times New Roman" w:cs="Times New Roman" w:eastAsia="Times New Roman" w:hAnsi="Times New Roman"/>
                <w:sz w:val="20"/>
                <w:szCs w:val="20"/>
                <w:color w:val="FF0000"/>
                <w:strike w:val="1"/>
                <w:w w:val="93"/>
              </w:rPr>
              <w:t>134</w:t>
            </w:r>
          </w:p>
        </w:tc>
        <w:tc>
          <w:tcPr>
            <w:tcW w:w="280" w:type="dxa"/>
            <w:vAlign w:val="bottom"/>
            <w:tcBorders>
              <w:bottom w:val="single" w:sz="8" w:color="0000FF"/>
            </w:tcBorders>
            <w:gridSpan w:val="2"/>
          </w:tcPr>
          <w:p>
            <w:pPr>
              <w:spacing w:after="0" w:line="212" w:lineRule="exact"/>
              <w:rPr>
                <w:sz w:val="20"/>
                <w:szCs w:val="20"/>
                <w:color w:val="auto"/>
              </w:rPr>
            </w:pPr>
            <w:r>
              <w:rPr>
                <w:rFonts w:ascii="Times New Roman" w:cs="Times New Roman" w:eastAsia="Times New Roman" w:hAnsi="Times New Roman"/>
                <w:sz w:val="20"/>
                <w:szCs w:val="20"/>
                <w:color w:val="0000FF"/>
                <w:w w:val="86"/>
              </w:rPr>
              <w:t>135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5060" w:type="dxa"/>
            <w:vAlign w:val="bottom"/>
            <w:gridSpan w:val="20"/>
          </w:tcPr>
          <w:p>
            <w:pPr>
              <w:ind w:left="80"/>
              <w:spacing w:after="0"/>
              <w:rPr>
                <w:sz w:val="20"/>
                <w:szCs w:val="20"/>
                <w:color w:val="auto"/>
              </w:rPr>
            </w:pPr>
            <w:r>
              <w:rPr>
                <w:rFonts w:ascii="Times New Roman" w:cs="Times New Roman" w:eastAsia="Times New Roman" w:hAnsi="Times New Roman"/>
                <w:sz w:val="20"/>
                <w:szCs w:val="20"/>
                <w:color w:val="auto"/>
                <w:w w:val="99"/>
              </w:rPr>
              <w:t>Payment and Payment Notice; Additional Acknowledgements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Borrower Communications</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40"/>
              <w:spacing w:after="0"/>
              <w:rPr>
                <w:sz w:val="20"/>
                <w:szCs w:val="20"/>
                <w:color w:val="auto"/>
              </w:rPr>
            </w:pPr>
            <w:r>
              <w:rPr>
                <w:rFonts w:ascii="Times New Roman" w:cs="Times New Roman" w:eastAsia="Times New Roman" w:hAnsi="Times New Roman"/>
                <w:sz w:val="20"/>
                <w:szCs w:val="20"/>
                <w:color w:val="auto"/>
                <w:w w:val="97"/>
              </w:rPr>
              <w:t>ARTICLE IX</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w w:val="97"/>
              </w:rPr>
              <w:t>[RESERVED]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w w:val="98"/>
              </w:rPr>
              <w:t>ARTICLE X</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jc w:val="center"/>
              <w:ind w:left="41"/>
              <w:spacing w:after="0"/>
              <w:rPr>
                <w:sz w:val="20"/>
                <w:szCs w:val="20"/>
                <w:color w:val="auto"/>
              </w:rPr>
            </w:pPr>
            <w:r>
              <w:rPr>
                <w:rFonts w:ascii="Times New Roman" w:cs="Times New Roman" w:eastAsia="Times New Roman" w:hAnsi="Times New Roman"/>
                <w:sz w:val="20"/>
                <w:szCs w:val="20"/>
                <w:color w:val="auto"/>
                <w:w w:val="98"/>
              </w:rPr>
              <w:t>MISCELLANEOUS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Notices  138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21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Waivers; Amendments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10.03</w:t>
            </w:r>
          </w:p>
        </w:tc>
        <w:tc>
          <w:tcPr>
            <w:tcW w:w="324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auto"/>
                <w:w w:val="98"/>
              </w:rPr>
              <w:t>Expenses; Indemnity; Damage Waiver</w:t>
            </w:r>
          </w:p>
        </w:tc>
        <w:tc>
          <w:tcPr>
            <w:tcW w:w="4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3"/>
              </w:rPr>
              <w:t>142</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10.04</w:t>
            </w:r>
          </w:p>
        </w:tc>
        <w:tc>
          <w:tcPr>
            <w:tcW w:w="210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w w:val="99"/>
              </w:rPr>
              <w:t>Successors and Assigns</w:t>
            </w:r>
          </w:p>
        </w:tc>
        <w:tc>
          <w:tcPr>
            <w:tcW w:w="46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rPr>
              <w:t>144</w:t>
            </w:r>
          </w:p>
        </w:tc>
        <w:tc>
          <w:tcPr>
            <w:tcW w:w="300" w:type="dxa"/>
            <w:vAlign w:val="bottom"/>
            <w:gridSpan w:val="3"/>
          </w:tcPr>
          <w:p>
            <w:pPr>
              <w:jc w:val="right"/>
              <w:ind w:right="20"/>
              <w:spacing w:after="0" w:line="212" w:lineRule="exact"/>
              <w:rPr>
                <w:sz w:val="20"/>
                <w:szCs w:val="20"/>
                <w:color w:val="auto"/>
              </w:rPr>
            </w:pPr>
            <w:r>
              <w:rPr>
                <w:rFonts w:ascii="Times New Roman" w:cs="Times New Roman" w:eastAsia="Times New Roman" w:hAnsi="Times New Roman"/>
                <w:sz w:val="20"/>
                <w:szCs w:val="20"/>
                <w:color w:val="0000FF"/>
                <w:w w:val="86"/>
              </w:rPr>
              <w:t>145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1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w:t>
            </w:r>
          </w:p>
        </w:tc>
        <w:tc>
          <w:tcPr>
            <w:tcW w:w="9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w w:val="99"/>
              </w:rPr>
              <w:t>147</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40"/>
          </w:cols>
          <w:pgMar w:left="320" w:top="118"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3480" w:type="dxa"/>
            <w:vAlign w:val="bottom"/>
            <w:gridSpan w:val="6"/>
            <w:vMerge w:val="restart"/>
          </w:tcPr>
          <w:p>
            <w:pPr>
              <w:ind w:left="12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147</w:t>
            </w: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0000FF"/>
                <w:w w:val="93"/>
              </w:rPr>
              <w:t>148</w:t>
            </w:r>
          </w:p>
        </w:tc>
        <w:tc>
          <w:tcPr>
            <w:tcW w:w="3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16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460" w:type="dxa"/>
            <w:vAlign w:val="bottom"/>
            <w:vMerge w:val="continue"/>
          </w:tcPr>
          <w:p>
            <w:pPr>
              <w:spacing w:after="0"/>
              <w:rPr>
                <w:sz w:val="16"/>
                <w:szCs w:val="16"/>
                <w:color w:val="auto"/>
              </w:rPr>
            </w:pPr>
          </w:p>
        </w:tc>
        <w:tc>
          <w:tcPr>
            <w:tcW w:w="3480" w:type="dxa"/>
            <w:vAlign w:val="bottom"/>
            <w:gridSpan w:val="6"/>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Severability</w:t>
            </w:r>
          </w:p>
        </w:tc>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Right of Setoff</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664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  148</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664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WAIVER OF JURY TRIAL  149</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Headings  149</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Confidentiality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664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Interest Rate Limitation  150</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10.14</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Judgment Currency</w:t>
            </w:r>
          </w:p>
        </w:tc>
        <w:tc>
          <w:tcPr>
            <w:tcW w:w="1660" w:type="dxa"/>
            <w:vAlign w:val="bottom"/>
            <w:gridSpan w:val="2"/>
          </w:tcPr>
          <w:p>
            <w:pPr>
              <w:jc w:val="right"/>
              <w:ind w:right="1320"/>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4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3"/>
              </w:rPr>
              <w:t>151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10.16</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PATRIOT Act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No Fiduciary Duty</w:t>
            </w:r>
          </w:p>
        </w:tc>
        <w:tc>
          <w:tcPr>
            <w:tcW w:w="16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w w:val="86"/>
              </w:rPr>
              <w:t>151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4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10.18</w:t>
            </w:r>
          </w:p>
        </w:tc>
        <w:tc>
          <w:tcPr>
            <w:tcW w:w="118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color w:val="auto"/>
                <w:w w:val="99"/>
              </w:rPr>
              <w:t>Parallel Debt</w:t>
            </w:r>
          </w:p>
        </w:tc>
        <w:tc>
          <w:tcPr>
            <w:tcW w:w="140" w:type="dxa"/>
            <w:vAlign w:val="bottom"/>
          </w:tcPr>
          <w:p>
            <w:pPr>
              <w:spacing w:after="0"/>
              <w:rPr>
                <w:sz w:val="18"/>
                <w:szCs w:val="18"/>
                <w:color w:val="auto"/>
              </w:rPr>
            </w:pPr>
          </w:p>
        </w:tc>
        <w:tc>
          <w:tcPr>
            <w:tcW w:w="3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rPr>
              <w:t>151</w:t>
            </w:r>
          </w:p>
        </w:tc>
        <w:tc>
          <w:tcPr>
            <w:tcW w:w="1820" w:type="dxa"/>
            <w:vAlign w:val="bottom"/>
            <w:gridSpan w:val="3"/>
          </w:tcPr>
          <w:p>
            <w:pPr>
              <w:jc w:val="right"/>
              <w:ind w:right="1540"/>
              <w:spacing w:after="0" w:line="212" w:lineRule="exact"/>
              <w:rPr>
                <w:sz w:val="20"/>
                <w:szCs w:val="20"/>
                <w:color w:val="auto"/>
              </w:rPr>
            </w:pPr>
            <w:r>
              <w:rPr>
                <w:rFonts w:ascii="Times New Roman" w:cs="Times New Roman" w:eastAsia="Times New Roman" w:hAnsi="Times New Roman"/>
                <w:sz w:val="20"/>
                <w:szCs w:val="20"/>
                <w:color w:val="0000FF"/>
                <w:w w:val="86"/>
              </w:rPr>
              <w:t>152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10.19</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Novation</w:t>
            </w: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153</w:t>
            </w: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10.20</w:t>
            </w:r>
          </w:p>
        </w:tc>
        <w:tc>
          <w:tcPr>
            <w:tcW w:w="664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  153</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10.21</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MIRE Events</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153</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4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10.22</w:t>
            </w:r>
          </w:p>
        </w:tc>
        <w:tc>
          <w:tcPr>
            <w:tcW w:w="4440" w:type="dxa"/>
            <w:vAlign w:val="bottom"/>
            <w:gridSpan w:val="9"/>
          </w:tcPr>
          <w:p>
            <w:pPr>
              <w:ind w:left="120"/>
              <w:spacing w:after="0" w:line="212" w:lineRule="exact"/>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3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3"/>
              </w:rPr>
              <w:t>153</w:t>
            </w:r>
          </w:p>
        </w:tc>
        <w:tc>
          <w:tcPr>
            <w:tcW w:w="1900" w:type="dxa"/>
            <w:vAlign w:val="bottom"/>
            <w:gridSpan w:val="2"/>
          </w:tcPr>
          <w:p>
            <w:pPr>
              <w:jc w:val="right"/>
              <w:ind w:right="1600"/>
              <w:spacing w:after="0" w:line="212" w:lineRule="exact"/>
              <w:rPr>
                <w:sz w:val="20"/>
                <w:szCs w:val="20"/>
                <w:color w:val="auto"/>
              </w:rPr>
            </w:pPr>
            <w:r>
              <w:rPr>
                <w:rFonts w:ascii="Times New Roman" w:cs="Times New Roman" w:eastAsia="Times New Roman" w:hAnsi="Times New Roman"/>
                <w:sz w:val="20"/>
                <w:szCs w:val="20"/>
                <w:color w:val="0000FF"/>
                <w:w w:val="93"/>
              </w:rPr>
              <w:t>154</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SECTION 10.23</w:t>
            </w:r>
          </w:p>
        </w:tc>
        <w:tc>
          <w:tcPr>
            <w:tcW w:w="47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Releases of Subsidiary Loan Parties.  154</w:t>
            </w:r>
          </w:p>
        </w:tc>
        <w:tc>
          <w:tcPr>
            <w:tcW w:w="300" w:type="dxa"/>
            <w:vAlign w:val="bottom"/>
            <w:tcBorders>
              <w:top w:val="single" w:sz="8" w:color="0000FF"/>
            </w:tcBorders>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1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SCHEDULES:</w:t>
            </w:r>
          </w:p>
        </w:tc>
        <w:tc>
          <w:tcPr>
            <w:tcW w:w="26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416"/>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Existing Letters of Credit</w:t>
            </w:r>
          </w:p>
        </w:tc>
      </w:tr>
      <w:tr>
        <w:trPr>
          <w:trHeight w:val="216"/>
        </w:trPr>
        <w:tc>
          <w:tcPr>
            <w:tcW w:w="1480" w:type="dxa"/>
            <w:vAlign w:val="bottom"/>
            <w:gridSpan w:val="4"/>
          </w:tcPr>
          <w:p>
            <w:pPr>
              <w:spacing w:after="0" w:line="216" w:lineRule="exact"/>
              <w:rPr>
                <w:sz w:val="20"/>
                <w:szCs w:val="20"/>
                <w:color w:val="auto"/>
              </w:rPr>
            </w:pPr>
            <w:r>
              <w:rPr>
                <w:rFonts w:ascii="Times New Roman" w:cs="Times New Roman" w:eastAsia="Times New Roman" w:hAnsi="Times New Roman"/>
                <w:sz w:val="20"/>
                <w:szCs w:val="20"/>
                <w:color w:val="auto"/>
              </w:rPr>
              <w:t>Schedule 1.01(b)</w:t>
            </w:r>
          </w:p>
        </w:tc>
        <w:tc>
          <w:tcPr>
            <w:tcW w:w="26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40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Administrative Schedule</w:t>
            </w:r>
          </w:p>
        </w:tc>
      </w:tr>
      <w:tr>
        <w:trPr>
          <w:trHeight w:val="230"/>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1.01(c)</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 Currency Lenders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2.01</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Commitments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3.05</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Real Property</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3.06</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Disclosed Matters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3.12</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Subsidiaries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3.13</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Insurance</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6.01</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Existing Indebtedness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6.02</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6.04</w:t>
            </w:r>
          </w:p>
        </w:tc>
        <w:tc>
          <w:tcPr>
            <w:tcW w:w="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6.05</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Asset Sales</w:t>
            </w:r>
          </w:p>
        </w:tc>
      </w:tr>
      <w:tr>
        <w:trPr>
          <w:trHeight w:val="216"/>
        </w:trPr>
        <w:tc>
          <w:tcPr>
            <w:tcW w:w="1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Schedule 6.09</w:t>
            </w:r>
          </w:p>
        </w:tc>
        <w:tc>
          <w:tcPr>
            <w:tcW w:w="3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Existing Affiliate Transactions</w:t>
            </w:r>
          </w:p>
        </w:tc>
      </w:tr>
      <w:tr>
        <w:trPr>
          <w:trHeight w:val="258"/>
        </w:trPr>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6.10</w:t>
            </w:r>
          </w:p>
        </w:tc>
        <w:tc>
          <w:tcPr>
            <w:tcW w:w="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Existing Restrictions</w:t>
            </w:r>
          </w:p>
        </w:tc>
      </w:tr>
      <w:tr>
        <w:trPr>
          <w:trHeight w:val="385"/>
        </w:trPr>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416"/>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60" w:type="dxa"/>
            <w:vAlign w:val="bottom"/>
            <w:tcBorders>
              <w:top w:val="single" w:sz="8" w:color="auto"/>
            </w:tcBorders>
          </w:tcPr>
          <w:p>
            <w:pPr>
              <w:spacing w:after="0"/>
              <w:rPr>
                <w:sz w:val="24"/>
                <w:szCs w:val="24"/>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B</w:t>
            </w:r>
          </w:p>
        </w:tc>
        <w:tc>
          <w:tcPr>
            <w:tcW w:w="60" w:type="dxa"/>
            <w:vAlign w:val="bottom"/>
          </w:tcPr>
          <w:p>
            <w:pPr>
              <w:spacing w:after="0"/>
              <w:rPr>
                <w:sz w:val="18"/>
                <w:szCs w:val="18"/>
                <w:color w:val="auto"/>
              </w:rPr>
            </w:pPr>
          </w:p>
        </w:tc>
        <w:tc>
          <w:tcPr>
            <w:tcW w:w="2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Form of Borrowing Request</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C</w:t>
            </w:r>
          </w:p>
        </w:tc>
        <w:tc>
          <w:tcPr>
            <w:tcW w:w="60" w:type="dxa"/>
            <w:vAlign w:val="bottom"/>
          </w:tcPr>
          <w:p>
            <w:pPr>
              <w:spacing w:after="0"/>
              <w:rPr>
                <w:sz w:val="18"/>
                <w:szCs w:val="18"/>
                <w:color w:val="auto"/>
              </w:rPr>
            </w:pPr>
          </w:p>
        </w:tc>
        <w:tc>
          <w:tcPr>
            <w:tcW w:w="2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Form of Foreign Subsidiary Borrowing Agreement</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Form of Guarantee Agreement</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E</w:t>
            </w:r>
          </w:p>
        </w:tc>
        <w:tc>
          <w:tcPr>
            <w:tcW w:w="60" w:type="dxa"/>
            <w:vAlign w:val="bottom"/>
          </w:tcPr>
          <w:p>
            <w:pPr>
              <w:spacing w:after="0"/>
              <w:rPr>
                <w:sz w:val="18"/>
                <w:szCs w:val="18"/>
                <w:color w:val="auto"/>
              </w:rPr>
            </w:pPr>
          </w:p>
        </w:tc>
        <w:tc>
          <w:tcPr>
            <w:tcW w:w="2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w w:val="98"/>
              </w:rPr>
              <w:t>Form of Indemnity, Subrogation and Contribution Agreement</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F</w:t>
            </w:r>
          </w:p>
        </w:tc>
        <w:tc>
          <w:tcPr>
            <w:tcW w:w="60" w:type="dxa"/>
            <w:vAlign w:val="bottom"/>
          </w:tcPr>
          <w:p>
            <w:pPr>
              <w:spacing w:after="0"/>
              <w:rPr>
                <w:sz w:val="18"/>
                <w:szCs w:val="18"/>
                <w:color w:val="auto"/>
              </w:rPr>
            </w:pPr>
          </w:p>
        </w:tc>
        <w:tc>
          <w:tcPr>
            <w:tcW w:w="26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20"/>
                <w:szCs w:val="20"/>
                <w:color w:val="auto"/>
              </w:rPr>
              <w:t>Form of Mortgage</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G</w:t>
            </w:r>
          </w:p>
        </w:tc>
        <w:tc>
          <w:tcPr>
            <w:tcW w:w="60" w:type="dxa"/>
            <w:vAlign w:val="bottom"/>
          </w:tcPr>
          <w:p>
            <w:pPr>
              <w:spacing w:after="0"/>
              <w:rPr>
                <w:sz w:val="18"/>
                <w:szCs w:val="18"/>
                <w:color w:val="auto"/>
              </w:rPr>
            </w:pPr>
          </w:p>
        </w:tc>
        <w:tc>
          <w:tcPr>
            <w:tcW w:w="26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Form of Pledge Agreement</w:t>
            </w:r>
          </w:p>
        </w:tc>
      </w:tr>
      <w:tr>
        <w:trPr>
          <w:trHeight w:val="216"/>
        </w:trPr>
        <w:tc>
          <w:tcPr>
            <w:tcW w:w="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H</w:t>
            </w:r>
          </w:p>
        </w:tc>
        <w:tc>
          <w:tcPr>
            <w:tcW w:w="60" w:type="dxa"/>
            <w:vAlign w:val="bottom"/>
          </w:tcPr>
          <w:p>
            <w:pPr>
              <w:spacing w:after="0"/>
              <w:rPr>
                <w:sz w:val="18"/>
                <w:szCs w:val="18"/>
                <w:color w:val="auto"/>
              </w:rPr>
            </w:pPr>
          </w:p>
        </w:tc>
        <w:tc>
          <w:tcPr>
            <w:tcW w:w="26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Form of Security Agreement</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U.S. Tax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395" w:right="1440" w:bottom="1440" w:gutter="0" w:footer="0" w:header="0"/>
        </w:sectPr>
      </w:pPr>
    </w:p>
    <w:bookmarkStart w:id="60" w:name="page61"/>
    <w:bookmarkEnd w:id="60"/>
    <w:p>
      <w:pPr>
        <w:ind w:firstLine="1296"/>
        <w:spacing w:after="0" w:line="249" w:lineRule="auto"/>
        <w:rPr>
          <w:sz w:val="20"/>
          <w:szCs w:val="20"/>
          <w:color w:val="auto"/>
        </w:rPr>
      </w:pPr>
      <w:r>
        <w:rPr>
          <w:rFonts w:ascii="Times New Roman" w:cs="Times New Roman" w:eastAsia="Times New Roman" w:hAnsi="Times New Roman"/>
          <w:sz w:val="20"/>
          <w:szCs w:val="20"/>
          <w:color w:val="auto"/>
        </w:rPr>
        <w:t>CREDIT AGREEMENT, dated as of October 16, 2013 (as amended, restated, amended and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TRIMAS COMPANY LLC, a Delaware limited liability company, TRIMAS CORPORATION, a Delaware corporation, the FOREIGN SUBSIDIARY BORROWERS party hereto, the LENDERS party hereto, and JPMORGAN CHASE BANK, N.A., as Administrative Agent and Collateral Agent.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the agreements, provisions and covenants herein contained, the parties hereto hereby agree as follows:</w:t>
      </w:r>
    </w:p>
    <w:p>
      <w:pPr>
        <w:spacing w:after="0" w:line="1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u w:val="single" w:color="auto"/>
          <w:color w:val="auto"/>
        </w:rPr>
        <w:t>ARTICLE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w:t>
      </w:r>
    </w:p>
    <w:p>
      <w:pPr>
        <w:spacing w:after="0"/>
        <w:rPr>
          <w:sz w:val="20"/>
          <w:szCs w:val="20"/>
          <w:color w:val="auto"/>
        </w:rPr>
      </w:pPr>
      <w:r>
        <w:rPr>
          <w:rFonts w:ascii="Times New Roman" w:cs="Times New Roman" w:eastAsia="Times New Roman" w:hAnsi="Times New Roman"/>
          <w:sz w:val="20"/>
          <w:szCs w:val="20"/>
          <w:color w:val="auto"/>
        </w:rPr>
        <w:t>Borrowing, are bearing interest at a rate determined by reference to the Alternate Base Rate.</w:t>
      </w:r>
    </w:p>
    <w:p>
      <w:pPr>
        <w:spacing w:after="0" w:line="194" w:lineRule="exact"/>
        <w:rPr>
          <w:sz w:val="20"/>
          <w:szCs w:val="20"/>
          <w:color w:val="auto"/>
        </w:rPr>
      </w:pPr>
    </w:p>
    <w:p>
      <w:pPr>
        <w:ind w:right="20"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Lease Financing</w:t>
      </w:r>
      <w:r>
        <w:rPr>
          <w:rFonts w:ascii="Times New Roman" w:cs="Times New Roman" w:eastAsia="Times New Roman" w:hAnsi="Times New Roman"/>
          <w:sz w:val="20"/>
          <w:szCs w:val="20"/>
          <w:color w:val="auto"/>
        </w:rPr>
        <w:t>” means any sale or transfer by the Parent Borrower or any Subsidiary of any property, real or personal, that is acquired pursuant to a Permitted Acquisition, in an aggregate amount not to exceed the greater of $75,000,000 and 6.0% of Consolidated Total Assets of Holdings (as of the date of such sale or transfer) at any time after the Third Restatement Date, which property is rented or leased by the Parent Borrower or such Subsidiary from the purchaser or transferee of such property, so long as the proceeds from such transaction consist solely of cash.</w:t>
      </w:r>
    </w:p>
    <w:p>
      <w:pPr>
        <w:spacing w:after="0" w:line="185"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xml:space="preserve">” means, (i) with respect to any RFR Borrowing denominated in Pounds Sterling, an interest rate per annum equal to (a) the Daily Simple RFR for Pounds Sterling,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0.0326% and (ii) with respect to any RFR Borrowing denominated in dollars, an interest rate per annum equal to (a) Daily Simple RFR for dollars,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RFR Rate as so determined is less than the Floor, it shall be deemed to be equal to the Floor for purposes of this Agreement.</w:t>
      </w:r>
    </w:p>
    <w:p>
      <w:pPr>
        <w:spacing w:after="0" w:line="170" w:lineRule="exact"/>
        <w:rPr>
          <w:sz w:val="20"/>
          <w:szCs w:val="20"/>
          <w:color w:val="auto"/>
        </w:rPr>
      </w:pPr>
    </w:p>
    <w:p>
      <w:pPr>
        <w:ind w:right="16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6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(a) the Term SOFR Rate for such Interest Period, plus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JPMCB, in its capacity as administrative agent for the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20" w:top="1413" w:right="359" w:bottom="1440" w:gutter="0" w:footer="0" w:header="0"/>
        </w:sectPr>
      </w:pPr>
    </w:p>
    <w:bookmarkStart w:id="61" w:name="page62"/>
    <w:bookmarkEnd w:id="61"/>
    <w:p>
      <w:pPr>
        <w:jc w:val="both"/>
        <w:ind w:right="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Schedule</w:t>
      </w:r>
      <w:r>
        <w:rPr>
          <w:rFonts w:ascii="Times New Roman" w:cs="Times New Roman" w:eastAsia="Times New Roman" w:hAnsi="Times New Roman"/>
          <w:sz w:val="20"/>
          <w:szCs w:val="20"/>
          <w:color w:val="auto"/>
        </w:rPr>
        <w:t>” means Schedule 1.01(b) to this Agreement, which contains administrative information in respect of (i) each Foreign Currency and each Foreign Currency Loan and (ii) each L/C Foreign Currency and each Letter of Credit denominated in an L/C Foreign Currency.</w:t>
      </w:r>
    </w:p>
    <w:p>
      <w:pPr>
        <w:spacing w:after="0" w:line="174" w:lineRule="exact"/>
        <w:rPr>
          <w:sz w:val="20"/>
          <w:szCs w:val="20"/>
          <w:color w:val="auto"/>
        </w:rPr>
      </w:pPr>
    </w:p>
    <w:p>
      <w:pPr>
        <w:ind w:right="1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to the Parent Borrower or any Lender, as the context requires.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Closing Date</w:t>
      </w:r>
      <w:r>
        <w:rPr>
          <w:rFonts w:ascii="Times New Roman" w:cs="Times New Roman" w:eastAsia="Times New Roman" w:hAnsi="Times New Roman"/>
          <w:sz w:val="20"/>
          <w:szCs w:val="20"/>
          <w:color w:val="auto"/>
        </w:rPr>
        <w:t>” has the meaning assigned to the term “Closing Date” in the Aerospace Purchase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Purchase Agreement</w:t>
      </w:r>
      <w:r>
        <w:rPr>
          <w:rFonts w:ascii="Times New Roman" w:cs="Times New Roman" w:eastAsia="Times New Roman" w:hAnsi="Times New Roman"/>
          <w:sz w:val="20"/>
          <w:szCs w:val="20"/>
          <w:color w:val="auto"/>
        </w:rPr>
        <w:t>” has the meaning assigned to such term in the Ninth Amendment.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right="7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right="12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collectively, the Administrative Agent, the Collateral Agent, the Syndication Agents and the Documentation Agents.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Foreign Currency.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 hereto.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means, for any day, a rate per annum equal to the greatest of (a) the Prime Rate in effect on such day,</w:t>
      </w:r>
    </w:p>
    <w:p>
      <w:pPr>
        <w:spacing w:after="0" w:line="33" w:lineRule="exact"/>
        <w:rPr>
          <w:sz w:val="20"/>
          <w:szCs w:val="20"/>
          <w:color w:val="auto"/>
        </w:rPr>
      </w:pPr>
    </w:p>
    <w:p>
      <w:pPr>
        <w:ind w:firstLine="8"/>
        <w:spacing w:after="0" w:line="237" w:lineRule="auto"/>
        <w:tabs>
          <w:tab w:leader="none" w:pos="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Holdings or its Subsidiaries from time to time concerning or relating to bribery or corruption, including without limitation the U.S. Foreign Corrupt Practices Act of 1977 and the UK Bribery Act of 2010.</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Borrower</w:t>
      </w:r>
      <w:r>
        <w:rPr>
          <w:rFonts w:ascii="Times New Roman" w:cs="Times New Roman" w:eastAsia="Times New Roman" w:hAnsi="Times New Roman"/>
          <w:sz w:val="20"/>
          <w:szCs w:val="20"/>
          <w:color w:val="auto"/>
        </w:rPr>
        <w:t>” has the meaning assigned to such term in Section 2.17(a).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13" w:right="379" w:bottom="1440" w:gutter="0" w:footer="0" w:header="0"/>
        </w:sectPr>
      </w:pPr>
    </w:p>
    <w:bookmarkStart w:id="62" w:name="page63"/>
    <w:bookmarkEnd w:id="62"/>
    <w:p>
      <w:pPr>
        <w:ind w:right="14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at any time, with respect to any Revolving Lender,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w:t>
      </w:r>
    </w:p>
    <w:p>
      <w:pPr>
        <w:spacing w:after="0" w:line="166"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(a) with respect to the Commitment Fees, the applicable rate per annum set forth under the caption “Commitment Fee Rate” based upon the Leverage Ratio as of the most recent determination date, (b) with respect to any Swingline Loan, the applicable rate per annum set forth below under the caption “ABR Spread” based upon the Leverage Ratio as of the most recent determination date and (c) with respect to any ABR Revolving Loan, Term Benchmark Revolving Loan or an RFR Revolving Loan, the applicable rate per annum set forth below under the caption “ABR Spread”, “Term Benchmark Spread” or “RFR Spread” as the case may be, based upon the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clauses (a), (b) and (c), from the Third Restatement Date until the date of delivery of the consolidated financial statements pursuant to Section 5.01(b) as of and for the first fiscal quarter ended after the Third Restatement Date, the Applicable Rate shall be based on the rates per annum set forth in Category 3:</w:t>
      </w:r>
    </w:p>
    <w:p>
      <w:pPr>
        <w:spacing w:after="0" w:line="219" w:lineRule="exact"/>
        <w:rPr>
          <w:sz w:val="20"/>
          <w:szCs w:val="20"/>
          <w:color w:val="auto"/>
        </w:rPr>
      </w:pPr>
    </w:p>
    <w:tbl>
      <w:tblPr>
        <w:tblLayout w:type="fixed"/>
        <w:tblInd w:w="150" w:type="dxa"/>
        <w:tblCellMar>
          <w:top w:w="0" w:type="dxa"/>
          <w:left w:w="0" w:type="dxa"/>
          <w:bottom w:w="0" w:type="dxa"/>
          <w:right w:w="0" w:type="dxa"/>
        </w:tblCellMar>
      </w:tblPr>
      <w:tr>
        <w:trPr>
          <w:trHeight w:val="203"/>
        </w:trPr>
        <w:tc>
          <w:tcPr>
            <w:tcW w:w="3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Leverage Ratio</w:t>
            </w:r>
          </w:p>
        </w:tc>
        <w:tc>
          <w:tcPr>
            <w:tcW w:w="18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4"/>
              </w:rPr>
              <w:t>ABR</w:t>
            </w:r>
          </w:p>
        </w:tc>
        <w:tc>
          <w:tcPr>
            <w:tcW w:w="18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Benchmark</w:t>
            </w:r>
          </w:p>
        </w:tc>
        <w:tc>
          <w:tcPr>
            <w:tcW w:w="1860" w:type="dxa"/>
            <w:vAlign w:val="bottom"/>
            <w:tcBorders>
              <w:top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RFR Spread</w:t>
            </w:r>
          </w:p>
        </w:tc>
        <w:tc>
          <w:tcPr>
            <w:tcW w:w="18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Commitment</w:t>
            </w:r>
          </w:p>
        </w:tc>
        <w:tc>
          <w:tcPr>
            <w:tcW w:w="0" w:type="dxa"/>
            <w:vAlign w:val="bottom"/>
          </w:tcPr>
          <w:p>
            <w:pPr>
              <w:spacing w:after="0"/>
              <w:rPr>
                <w:sz w:val="1"/>
                <w:szCs w:val="1"/>
                <w:color w:val="auto"/>
              </w:rPr>
            </w:pPr>
          </w:p>
        </w:tc>
      </w:tr>
      <w:tr>
        <w:trPr>
          <w:trHeight w:val="256"/>
        </w:trPr>
        <w:tc>
          <w:tcPr>
            <w:tcW w:w="33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Spread</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Spread</w:t>
            </w:r>
          </w:p>
        </w:tc>
        <w:tc>
          <w:tcPr>
            <w:tcW w:w="1860" w:type="dxa"/>
            <w:vAlign w:val="bottom"/>
            <w:tcBorders>
              <w:bottom w:val="single" w:sz="8" w:color="auto"/>
              <w:right w:val="single" w:sz="8" w:color="auto"/>
            </w:tcBorders>
            <w:vMerge w:val="continue"/>
          </w:tcPr>
          <w:p>
            <w:pPr>
              <w:spacing w:after="0"/>
              <w:rPr>
                <w:sz w:val="22"/>
                <w:szCs w:val="22"/>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Fee Rate</w:t>
            </w: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Category 1: Greater than or equal to</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1.00%</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2.00%</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6"/>
              </w:rPr>
              <w:t>2.00%</w:t>
            </w:r>
          </w:p>
        </w:tc>
        <w:tc>
          <w:tcPr>
            <w:tcW w:w="18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5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3.25 to 1.00</w:t>
            </w: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Category 2: Greater than or equal to</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0.75%</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1.75%</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6"/>
              </w:rPr>
              <w:t>1.75%</w:t>
            </w:r>
          </w:p>
        </w:tc>
        <w:tc>
          <w:tcPr>
            <w:tcW w:w="18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5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2.75 to 1.00 but less than 3.25 to 1.00</w:t>
            </w: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Category 3: Greater than or equal to</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0.625%</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1.625%</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1.625%</w:t>
            </w:r>
          </w:p>
        </w:tc>
        <w:tc>
          <w:tcPr>
            <w:tcW w:w="18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0.225%</w:t>
            </w:r>
          </w:p>
        </w:tc>
        <w:tc>
          <w:tcPr>
            <w:tcW w:w="0" w:type="dxa"/>
            <w:vAlign w:val="bottom"/>
          </w:tcPr>
          <w:p>
            <w:pPr>
              <w:spacing w:after="0"/>
              <w:rPr>
                <w:sz w:val="1"/>
                <w:szCs w:val="1"/>
                <w:color w:val="auto"/>
              </w:rPr>
            </w:pPr>
          </w:p>
        </w:tc>
      </w:tr>
      <w:tr>
        <w:trPr>
          <w:trHeight w:val="25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2.25 to 1.00 but less than 2.75 to 1.00</w:t>
            </w: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Category 4: Greater than or equal to</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0.50%</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1.50%</w:t>
            </w: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6"/>
              </w:rPr>
              <w:t>1.50%</w:t>
            </w:r>
          </w:p>
        </w:tc>
        <w:tc>
          <w:tcPr>
            <w:tcW w:w="18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0.20%</w:t>
            </w:r>
          </w:p>
        </w:tc>
        <w:tc>
          <w:tcPr>
            <w:tcW w:w="0" w:type="dxa"/>
            <w:vAlign w:val="bottom"/>
          </w:tcPr>
          <w:p>
            <w:pPr>
              <w:spacing w:after="0"/>
              <w:rPr>
                <w:sz w:val="1"/>
                <w:szCs w:val="1"/>
                <w:color w:val="auto"/>
              </w:rPr>
            </w:pPr>
          </w:p>
        </w:tc>
      </w:tr>
      <w:tr>
        <w:trPr>
          <w:trHeight w:val="25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 to 1.00 but less than 2.25 to 1.00</w:t>
            </w: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Category 5: Less than 1.50 to 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140" w:firstLine="1296"/>
        <w:spacing w:after="0" w:line="264" w:lineRule="auto"/>
        <w:rPr>
          <w:sz w:val="20"/>
          <w:szCs w:val="20"/>
          <w:color w:val="auto"/>
        </w:rPr>
      </w:pPr>
      <w:r>
        <w:rPr>
          <w:rFonts w:ascii="Times New Roman" w:cs="Times New Roman" w:eastAsia="Times New Roman" w:hAnsi="Times New Roman"/>
          <w:sz w:val="19"/>
          <w:szCs w:val="19"/>
          <w:color w:val="auto"/>
        </w:rPr>
        <w:t>For purposes of the foregoing clauses (a), (b) and (c), (i) the Leverage Ratio shall be determined as of the end of each fiscal quarter of the Parent Borrower’s fiscal year based upon Holdings’ consolidated financial statements delivered pursuant to Section 5.01(a) or</w:t>
      </w:r>
    </w:p>
    <w:p>
      <w:pPr>
        <w:ind w:right="40" w:firstLine="8"/>
        <w:spacing w:after="0" w:line="238" w:lineRule="auto"/>
        <w:tabs>
          <w:tab w:leader="none" w:pos="2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(ii) each change in the Applicable Rate resulting from a change in the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Leverage Ratio shall be deemed to be in Category 1 (A) at any time that an Event of Default has occurred and is continuing or (B) if Holdings or the Parent Borrower fails to deliver the consolidated financial statements required to be delivered by it pursuant to Section 5.01(a) or (b), during the period from the expiration of the time for delivery thereof until such consolidated financial statements are delivered.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UK Payment</w:t>
      </w:r>
      <w:r>
        <w:rPr>
          <w:rFonts w:ascii="Times New Roman" w:cs="Times New Roman" w:eastAsia="Times New Roman" w:hAnsi="Times New Roman"/>
          <w:sz w:val="20"/>
          <w:szCs w:val="20"/>
          <w:color w:val="auto"/>
        </w:rPr>
        <w:t>” has the meaning assigned to such term in Section 2.17(j).</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U.S. Borrower</w:t>
      </w:r>
      <w:r>
        <w:rPr>
          <w:rFonts w:ascii="Times New Roman" w:cs="Times New Roman" w:eastAsia="Times New Roman" w:hAnsi="Times New Roman"/>
          <w:sz w:val="20"/>
          <w:szCs w:val="20"/>
          <w:color w:val="auto"/>
        </w:rPr>
        <w:t>” has the meaning assigned to such term in Section 2.17(f).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74" w:lineRule="exact"/>
        <w:rPr>
          <w:sz w:val="20"/>
          <w:szCs w:val="20"/>
          <w:color w:val="auto"/>
        </w:rPr>
      </w:pPr>
    </w:p>
    <w:p>
      <w:pPr>
        <w:ind w:right="28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means an assignment and assumption entered into by a Lender and an assignee (with the consent of any Person whose consent is required by Section 10.04), and accepted by the Administrative Agent, in the form of Exhibit A or any other form approved by the Administrative Agent.</w:t>
      </w:r>
    </w:p>
    <w:p>
      <w:pPr>
        <w:spacing w:after="0" w:line="181"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Assumed Preferred Stock</w:t>
      </w:r>
      <w:r>
        <w:rPr>
          <w:rFonts w:ascii="Times New Roman" w:cs="Times New Roman" w:eastAsia="Times New Roman" w:hAnsi="Times New Roman"/>
          <w:sz w:val="20"/>
          <w:szCs w:val="20"/>
          <w:color w:val="auto"/>
        </w:rPr>
        <w:t xml:space="preserve">” means any preferred stock or preferred Equity Interests of any Person that becomes a Subsidiary after the Third Restatement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preferred stock or preferred Equity Interests exist at the time such Person becomes a Subsidiary and are not created in contemplation of or in connection with such Person becoming a Subsidiary and (b) the aggregate liquidation value of all such outstanding preferred stock and preferred Equity Interests shall not exceed the greater of $40,000,000 and 3.00% of Consolidated Total Assets of Holdings (as of the date such Person becomes a Subsidiary) at any time outstanding, less the aggregate principal amount of Indebtedness incurred and outstanding pursuant to Section 6.01(a)(x).</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as of any date of determination, an amount equal to:</w:t>
      </w:r>
    </w:p>
    <w:p>
      <w:pPr>
        <w:spacing w:after="0" w:line="216" w:lineRule="exact"/>
        <w:rPr>
          <w:sz w:val="20"/>
          <w:szCs w:val="20"/>
          <w:color w:val="auto"/>
        </w:rPr>
      </w:pPr>
    </w:p>
    <w:p>
      <w:pPr>
        <w:ind w:left="1720" w:hanging="416"/>
        <w:spacing w:after="0"/>
        <w:tabs>
          <w:tab w:leader="none" w:pos="1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(without duplication):</w:t>
      </w:r>
    </w:p>
    <w:p>
      <w:pPr>
        <w:spacing w:after="0" w:line="215" w:lineRule="exact"/>
        <w:rPr>
          <w:rFonts w:ascii="Times New Roman" w:cs="Times New Roman" w:eastAsia="Times New Roman" w:hAnsi="Times New Roman"/>
          <w:sz w:val="20"/>
          <w:szCs w:val="20"/>
          <w:color w:val="auto"/>
        </w:rPr>
      </w:pPr>
    </w:p>
    <w:p>
      <w:pPr>
        <w:ind w:left="1880" w:hanging="378"/>
        <w:spacing w:after="0"/>
        <w:tabs>
          <w:tab w:leader="none" w:pos="18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$160,000,000;</w:t>
      </w:r>
    </w:p>
    <w:p>
      <w:pPr>
        <w:spacing w:after="0" w:line="215" w:lineRule="exact"/>
        <w:rPr>
          <w:rFonts w:ascii="Times New Roman" w:cs="Times New Roman" w:eastAsia="Times New Roman" w:hAnsi="Times New Roman"/>
          <w:sz w:val="20"/>
          <w:szCs w:val="20"/>
          <w:color w:val="auto"/>
        </w:rPr>
      </w:pPr>
    </w:p>
    <w:p>
      <w:pPr>
        <w:ind w:left="1300" w:right="120" w:firstLine="931"/>
        <w:spacing w:after="0" w:line="254" w:lineRule="auto"/>
        <w:tabs>
          <w:tab w:leader="none" w:pos="2666"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positive, equal to 50% of the cumulative Consolidated Net Income of the Parent Borrower for the period (taken as one accounting period) commencing from April 1, 2025 to the end of the fiscal quarter most recently ended in respect of which consolidated financial statements have been delivered pursuant to Section 5.01(a) or (b);</w:t>
      </w:r>
    </w:p>
    <w:p>
      <w:pPr>
        <w:spacing w:after="0" w:line="161" w:lineRule="exact"/>
        <w:rPr>
          <w:sz w:val="20"/>
          <w:szCs w:val="20"/>
          <w:color w:val="auto"/>
        </w:rPr>
      </w:pPr>
    </w:p>
    <w:p>
      <w:pPr>
        <w:ind w:left="1300" w:right="220" w:firstLine="202"/>
        <w:spacing w:after="0" w:line="249" w:lineRule="auto"/>
        <w:tabs>
          <w:tab w:leader="none" w:pos="199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Not Otherwise Applied received by Holdings after the Restatement Date from (A) cash contributions (other than from the Parent Borrower or a Subsidiary) to Holdings or (B) the issuance and sale of its Equity Interests (other than a sale to the Parent Borrower or a Subsidiary and other than an issuance or sale of Disqualified Equity Interests);</w:t>
      </w:r>
    </w:p>
    <w:p>
      <w:pPr>
        <w:spacing w:after="0" w:line="179" w:lineRule="exact"/>
        <w:rPr>
          <w:rFonts w:ascii="Times New Roman" w:cs="Times New Roman" w:eastAsia="Times New Roman" w:hAnsi="Times New Roman"/>
          <w:sz w:val="20"/>
          <w:szCs w:val="20"/>
          <w:color w:val="auto"/>
        </w:rPr>
      </w:pPr>
    </w:p>
    <w:p>
      <w:pPr>
        <w:ind w:left="1300" w:right="100" w:firstLine="652"/>
        <w:spacing w:after="0" w:line="254" w:lineRule="auto"/>
        <w:tabs>
          <w:tab w:leader="none" w:pos="243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Indebtedness of the Parent Borrower or any Subsidiary issued after the Restatement Date which has been converted into or exchanged for Equity Interests (other than Disqualified Equity Interests) in Holdings or any direct or indirect parent of Holdings; and</w:t>
      </w:r>
    </w:p>
    <w:p>
      <w:pPr>
        <w:spacing w:after="0" w:line="160" w:lineRule="exact"/>
        <w:rPr>
          <w:rFonts w:ascii="Times New Roman" w:cs="Times New Roman" w:eastAsia="Times New Roman" w:hAnsi="Times New Roman"/>
          <w:sz w:val="20"/>
          <w:szCs w:val="20"/>
          <w:color w:val="auto"/>
        </w:rPr>
      </w:pPr>
    </w:p>
    <w:p>
      <w:pPr>
        <w:ind w:left="1300" w:right="20" w:firstLine="652"/>
        <w:spacing w:after="0" w:line="244" w:lineRule="auto"/>
        <w:tabs>
          <w:tab w:leader="none" w:pos="242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all or a portion of the Available Amount has been applied to make an investment pursuant to Section 6.04(s), an amount (not to exceed the original amount of such investment) equal to the aggregate amount received by the Parent Borrower or any Subsidiary in cash and Permitted Investments, or the fair market value of any property received by the Parent Borrower or any Subsidiary, from: (i) the sale (other than to the Parent Borrower or any Subsidiary) of any such investment less any amounts that would be deducted pursuant to clause (b) of the definition of Net Proceeds, (ii) any dividend or other distribution received in respect of any such investment and (iii) interest, returns of principal, repayments and similar payments received in respect of any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jc w:val="both"/>
        <w:ind w:left="660" w:right="200" w:firstLine="644"/>
        <w:spacing w:after="0" w:line="244" w:lineRule="auto"/>
        <w:tabs>
          <w:tab w:leader="none" w:pos="178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investments made after the Restatement Date in reliance on Section 6.04(s) prior to such date, any Restricted Payments made after the Restatement Date in reliance on Section 6.08(a)(v) (solely in respect of dividends on Qualified Holdings Preferred Stock issued pursuant to clause (c) of the definition thereof) or Section 6.08(a)(vii) and any prepayments of Indebtedness made after the Restatement Date in reliance on Section 6.08(b)(vii) prior to such date.</w:t>
      </w:r>
    </w:p>
    <w:p>
      <w:pPr>
        <w:spacing w:after="0" w:line="185" w:lineRule="exact"/>
        <w:rPr>
          <w:sz w:val="20"/>
          <w:szCs w:val="20"/>
          <w:color w:val="auto"/>
        </w:rPr>
      </w:pPr>
    </w:p>
    <w:p>
      <w:pPr>
        <w:ind w:right="240" w:firstLine="129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2.14.</w:t>
      </w:r>
    </w:p>
    <w:p>
      <w:pPr>
        <w:spacing w:after="0" w:line="171"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8"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90" w:lineRule="exact"/>
        <w:rPr>
          <w:sz w:val="20"/>
          <w:szCs w:val="20"/>
          <w:color w:val="auto"/>
        </w:rPr>
      </w:pPr>
    </w:p>
    <w:p>
      <w:pPr>
        <w:ind w:right="120"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means, initially, with respect to any (i) RFR Loan in any Agreed Currency, the applicable Relevant Rate for such Agreed Currency or (ii) Term Benchmark Loan, the Relevant Rate for such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13" w:right="359" w:bottom="1440" w:gutter="0" w:footer="0" w:header="0"/>
        </w:sectPr>
      </w:pPr>
    </w:p>
    <w:bookmarkStart w:id="65" w:name="page66"/>
    <w:bookmarkEnd w:id="65"/>
    <w:p>
      <w:pPr>
        <w:ind w:right="54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 provided that, in the case of any Loan denominated in a Foreign Currency, “Benchmark Replacement” shall mean the alternative set forth in (2) below:</w:t>
      </w:r>
    </w:p>
    <w:p>
      <w:pPr>
        <w:spacing w:after="0" w:line="174" w:lineRule="exact"/>
        <w:rPr>
          <w:sz w:val="20"/>
          <w:szCs w:val="20"/>
          <w:color w:val="auto"/>
        </w:rPr>
      </w:pPr>
    </w:p>
    <w:p>
      <w:pPr>
        <w:ind w:left="1780" w:hanging="476"/>
        <w:spacing w:after="0"/>
        <w:tabs>
          <w:tab w:leader="none" w:pos="17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Adjusted Daily Simple RFR for RFR Borrowings denominated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w:t>
      </w:r>
    </w:p>
    <w:p>
      <w:pPr>
        <w:spacing w:after="0" w:line="194" w:lineRule="exact"/>
        <w:rPr>
          <w:sz w:val="20"/>
          <w:szCs w:val="20"/>
          <w:color w:val="auto"/>
        </w:rPr>
      </w:pPr>
    </w:p>
    <w:p>
      <w:pPr>
        <w:ind w:right="180" w:firstLine="1304"/>
        <w:spacing w:after="0" w:line="245" w:lineRule="auto"/>
        <w:tabs>
          <w:tab w:leader="none" w:pos="177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Parent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71" w:lineRule="exact"/>
        <w:rPr>
          <w:sz w:val="20"/>
          <w:szCs w:val="20"/>
          <w:color w:val="auto"/>
        </w:rPr>
      </w:pPr>
    </w:p>
    <w:p>
      <w:pPr>
        <w:ind w:right="920" w:firstLine="1296"/>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9"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Parent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90" w:lineRule="exact"/>
        <w:rPr>
          <w:sz w:val="20"/>
          <w:szCs w:val="20"/>
          <w:color w:val="auto"/>
        </w:rPr>
      </w:pPr>
    </w:p>
    <w:p>
      <w:pPr>
        <w:ind w:right="20"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Company,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exists, in such other manner of administration as the Administrative Agent, in consultation with the Company,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66" w:name="page67"/>
    <w:bookmarkEnd w:id="66"/>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59" w:lineRule="exact"/>
        <w:rPr>
          <w:sz w:val="20"/>
          <w:szCs w:val="20"/>
          <w:color w:val="auto"/>
        </w:rPr>
      </w:pPr>
    </w:p>
    <w:p>
      <w:pPr>
        <w:jc w:val="both"/>
        <w:ind w:right="160" w:firstLine="1304"/>
        <w:spacing w:after="0" w:line="244" w:lineRule="auto"/>
        <w:tabs>
          <w:tab w:leader="none" w:pos="172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Times New Roman" w:cs="Times New Roman" w:eastAsia="Times New Roman" w:hAnsi="Times New Roman"/>
          <w:sz w:val="20"/>
          <w:szCs w:val="20"/>
          <w:color w:val="auto"/>
        </w:rPr>
      </w:pPr>
    </w:p>
    <w:p>
      <w:pPr>
        <w:ind w:right="60" w:firstLine="1304"/>
        <w:spacing w:after="0" w:line="257" w:lineRule="auto"/>
        <w:tabs>
          <w:tab w:leader="none" w:pos="172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76"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ind w:right="500" w:firstLine="8"/>
        <w:spacing w:after="0" w:line="246" w:lineRule="auto"/>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73" w:lineRule="exact"/>
        <w:rPr>
          <w:sz w:val="20"/>
          <w:szCs w:val="20"/>
          <w:color w:val="auto"/>
        </w:rPr>
      </w:pPr>
    </w:p>
    <w:p>
      <w:pPr>
        <w:ind w:right="360" w:firstLine="1304"/>
        <w:spacing w:after="0" w:line="246" w:lineRule="auto"/>
        <w:tabs>
          <w:tab w:leader="none" w:pos="177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ind w:right="60" w:firstLine="1304"/>
        <w:spacing w:after="0" w:line="239" w:lineRule="auto"/>
        <w:tabs>
          <w:tab w:leader="none" w:pos="177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67" w:name="page68"/>
    <w:bookmarkEnd w:id="67"/>
    <w:p>
      <w:pPr>
        <w:ind w:right="100" w:firstLine="1304"/>
        <w:spacing w:after="0" w:line="249" w:lineRule="auto"/>
        <w:tabs>
          <w:tab w:leader="none" w:pos="177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66"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ind w:right="4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6" w:lineRule="exact"/>
        <w:rPr>
          <w:sz w:val="20"/>
          <w:szCs w:val="20"/>
          <w:color w:val="auto"/>
        </w:rPr>
      </w:pPr>
    </w:p>
    <w:p>
      <w:pPr>
        <w:ind w:right="2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to the extent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5"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Communications</w:t>
      </w:r>
      <w:r>
        <w:rPr>
          <w:rFonts w:ascii="Times New Roman" w:cs="Times New Roman" w:eastAsia="Times New Roman" w:hAnsi="Times New Roman"/>
          <w:sz w:val="19"/>
          <w:szCs w:val="19"/>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Parent Borrower or any Foreign Subsidiary Borrower to the Administrative Agent through an Approved Borrower Portal.</w:t>
      </w:r>
    </w:p>
    <w:p>
      <w:pPr>
        <w:spacing w:after="0" w:line="170"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Loans of the same Class and Type, made, converted or continued on the same date and (i) in the case of Term Benchmark Loans denominated in dollars, as to which a single Interest Period is in effect and (ii) in the case of Term Benchmark Loans denominated in a Foreign Currency, Loans in a single currency and as to which a single Interest Period is in effect or (b) a Swingline Loan.</w:t>
      </w:r>
    </w:p>
    <w:p>
      <w:pPr>
        <w:spacing w:after="0" w:line="180" w:lineRule="exact"/>
        <w:rPr>
          <w:sz w:val="20"/>
          <w:szCs w:val="20"/>
          <w:color w:val="auto"/>
        </w:rPr>
      </w:pPr>
    </w:p>
    <w:p>
      <w:pPr>
        <w:ind w:right="2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Parent Borrower or a Foreign Subsidiary Borrower, as the case may be, for a Borrowing in accordance with Section 2.03 or 2.04,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which shall be, in the case of any such written request, in the form of Exhibit B or any other form approved by the Administrative Agent.</w:t>
      </w:r>
    </w:p>
    <w:p>
      <w:pPr>
        <w:spacing w:after="0" w:line="216"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(ii) in relation to Loans denominated in Euros and in relation to the calculation or computation of EURIBOR, any day which is a TARGET Day and (iii)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86" w:lineRule="exact"/>
        <w:rPr>
          <w:sz w:val="20"/>
          <w:szCs w:val="20"/>
          <w:color w:val="auto"/>
        </w:rPr>
      </w:pPr>
    </w:p>
    <w:p>
      <w:pPr>
        <w:ind w:right="40"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xml:space="preserve">” means the last Business Day of each calendar quarter (or any other day selected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second Business Day preceding (or such other Business Day as the Administrative Agent shall deem applicable with respect to any Foreign Currency in accordance with rate-setting convention for such currency) (i) the date of each Borrowing of Foreign Currency Loans or (ii) any date on which a Foreign Currency Loan is continued shall also be a “Calculation Date,” (b) the date of each Borrowing of any other Loan made hereunder shall also be a “Calculation Date”, (c) with respect to any RFR Loan, each date that is on the numerically corresponding day in each calendar month that is one month after the borrowing of such Loan (or, if there is no such numerically corresponding day in such month, then the last day of such month) shall also be a “Calculation Date” and (d) the date of issuance, amendment, renewal or extension of a Letter of Credit, or any other date determined by the applicable Issuing Bank, shall also be a Calculation Date.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the Applicable Rate, applicable to such Loan that is replaced by a CBR Loan.</w:t>
      </w:r>
    </w:p>
    <w:p>
      <w:pPr>
        <w:spacing w:after="0" w:line="216" w:lineRule="exact"/>
        <w:rPr>
          <w:sz w:val="20"/>
          <w:szCs w:val="20"/>
          <w:color w:val="auto"/>
        </w:rPr>
      </w:pPr>
    </w:p>
    <w:p>
      <w:pPr>
        <w:ind w:right="100"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greater of (I)(A) for any Loan denominated in (a) Pounds Sterling, the Bank of England (or any successor thereto)’s “Bank Rate” as published by the Bank of England (or any successor thereto) from time to time and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plus (B) the applicable Central Bank Rate Adjustment and (II) the Floor.</w:t>
      </w:r>
    </w:p>
    <w:p>
      <w:pPr>
        <w:spacing w:after="0" w:line="190" w:lineRule="exact"/>
        <w:rPr>
          <w:sz w:val="20"/>
          <w:szCs w:val="20"/>
          <w:color w:val="auto"/>
        </w:rPr>
      </w:pPr>
    </w:p>
    <w:p>
      <w:pPr>
        <w:ind w:right="40"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Pounds Sterling, a rate equal to the difference (which may be a positive or negative value or zero) of (i) the average of Adjusted Daily Simple RFR for RFR Loans denominated in Pounds Sterling for the five (5) most recent RFR Business Days preceding such day for which Adjusted Daily Simple RFR for RFR Loans denominated in Pounds Sterling was available (excluding, from such averaging, the highest and the lowest such Adjusted Daily Simple RFR applicable during such period of five (5) RFR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9"/>
          <w:szCs w:val="19"/>
          <w:color w:val="auto"/>
        </w:rPr>
        <w:t>minus (ii) the Central Bank Rate in respect of Pounds Sterling in effect on the last RFR Business Day in such period and (b) Euro, a rate equal to the difference (which may be a positive or negative value or zero) of (i) the average of the Adjusted EURIBOR Rate for the five (5) most recent Business Days preceding such day for which the EURIBOR Screen Rate was available (excluding, from such averaging, the highest and the lowest Adjusted EURIBOR Rate applicable during such period of five (5) Business Days) minus (ii) the Central Bank Rate in respect of Euro in effect on the last Business Day in such period.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Euro for a maturity of one month.</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Foreign Subsidiary that is a “controlled foreign corporation” within the meaning of Section 957(a)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Holdco</w:t>
      </w:r>
      <w:r>
        <w:rPr>
          <w:rFonts w:ascii="Times New Roman" w:cs="Times New Roman" w:eastAsia="Times New Roman" w:hAnsi="Times New Roman"/>
          <w:sz w:val="20"/>
          <w:szCs w:val="20"/>
          <w:color w:val="auto"/>
        </w:rPr>
        <w:t>” means any Domestic Subsidiary substantially all the assets of which consist of Equity Interests of one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CFCs.</w:t>
      </w:r>
    </w:p>
    <w:p>
      <w:pPr>
        <w:spacing w:after="0" w:line="180" w:lineRule="exact"/>
        <w:rPr>
          <w:sz w:val="20"/>
          <w:szCs w:val="20"/>
          <w:color w:val="auto"/>
        </w:rPr>
      </w:pPr>
    </w:p>
    <w:p>
      <w:pPr>
        <w:ind w:right="20"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by any Person other than Holdings of any direct Equity Interest in the Parent Borrower, (b) the acquisition of beneficial ownership, directly or indirectly, by any Person or group (within the meaning of the Exchange Act), of Equity Interests representing more than 35% of the aggregate ordinary voting power represented by the issued and outstanding Equity Interests in Holdings, (d) the board of directors of Holdings shall cease to consist of a majority of Continuing Directors or (e) the occurrence of any change in control (or similar event, however denominated) with respect to Holdings or the Parent Borrower under (i) any indenture or other agreement in respect of Material Indebtedness to which Holdings, the Parent Borrower or any Subsidiary is a party, (ii) any instrument governing any preferred stock of Holdings, the Parent Borrower or any Subsidiary having a liquidation value or redemption value in excess of $10,000,000 or (iii) the Permitted Receivables Financing.</w:t>
      </w:r>
    </w:p>
    <w:p>
      <w:pPr>
        <w:spacing w:after="0" w:line="191"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Notwithstanding the preceding or any provision of Rule 13d-3 of the Exchange Act,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180"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(a) the adoption of any law, rule or regulation after the Third Restatement Date, (b) any change in any law, rule or regulation or in the interpretation or application thereof by any Governmental Authority after the Third Restatement Date or</w:t>
      </w:r>
    </w:p>
    <w:p>
      <w:pPr>
        <w:spacing w:after="0" w:line="1" w:lineRule="exact"/>
        <w:rPr>
          <w:sz w:val="20"/>
          <w:szCs w:val="20"/>
          <w:color w:val="auto"/>
        </w:rPr>
      </w:pPr>
    </w:p>
    <w:p>
      <w:pPr>
        <w:ind w:right="60" w:firstLine="8"/>
        <w:spacing w:after="0" w:line="252" w:lineRule="auto"/>
        <w:tabs>
          <w:tab w:leader="none" w:pos="26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Third Restatement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w:t>
      </w:r>
    </w:p>
    <w:p>
      <w:pPr>
        <w:ind w:right="80" w:firstLine="8"/>
        <w:spacing w:after="0" w:line="258" w:lineRule="auto"/>
        <w:tabs>
          <w:tab w:leader="none" w:pos="23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regardless of the date enacted, adopted, promulgated or issued.</w:t>
      </w:r>
    </w:p>
    <w:p>
      <w:pPr>
        <w:spacing w:after="0" w:line="173" w:lineRule="exact"/>
        <w:rPr>
          <w:sz w:val="20"/>
          <w:szCs w:val="20"/>
          <w:color w:val="auto"/>
        </w:rPr>
      </w:pPr>
    </w:p>
    <w:p>
      <w:pPr>
        <w:ind w:right="3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 any Loan or Borrowing, refers to whether such Loan, or the Loans comprising such Borrowing, are Revolving Loans of a particular tranche of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70" w:name="page71"/>
    <w:bookmarkEnd w:id="70"/>
    <w:p>
      <w:pPr>
        <w:ind w:right="260"/>
        <w:spacing w:after="0" w:line="254" w:lineRule="auto"/>
        <w:rPr>
          <w:sz w:val="20"/>
          <w:szCs w:val="20"/>
          <w:color w:val="auto"/>
        </w:rPr>
      </w:pPr>
      <w:r>
        <w:rPr>
          <w:rFonts w:ascii="Times New Roman" w:cs="Times New Roman" w:eastAsia="Times New Roman" w:hAnsi="Times New Roman"/>
          <w:sz w:val="20"/>
          <w:szCs w:val="20"/>
          <w:color w:val="auto"/>
        </w:rPr>
        <w:t>Commitments, (b) any Commitment, refers to whether such Commitment is a Commitment in respect of a particular tranche of Revolving Commitments and (c) any Lender, refers to whether such Lender has a Loan or Commitment under a particular tranche of Revolving Commitments. Each tranche of Extended Revolving Commitments shall constitute a separate Class.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means the date on which the conditions specified in Section 4.01 were satisfied, which date was October 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2013.</w:t>
      </w:r>
    </w:p>
    <w:p>
      <w:pPr>
        <w:spacing w:after="0" w:line="194"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defined in any applicable Security Document.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means JPMCB, in its capacity as collateral agent for the Lenders under the Security Documents.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the requirement that:</w:t>
      </w:r>
    </w:p>
    <w:p>
      <w:pPr>
        <w:spacing w:after="0" w:line="202" w:lineRule="exact"/>
        <w:rPr>
          <w:sz w:val="20"/>
          <w:szCs w:val="20"/>
          <w:color w:val="auto"/>
        </w:rPr>
      </w:pPr>
    </w:p>
    <w:p>
      <w:pPr>
        <w:ind w:left="660" w:right="40" w:firstLine="644"/>
        <w:spacing w:after="0" w:line="245" w:lineRule="auto"/>
        <w:tabs>
          <w:tab w:leader="none" w:pos="17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have received from each party thereto (other than the Collateral Agent) either (i) a counterpart of (A) the Guarantee Agreement, (B) the Indemnity, Subrogation and Contribution Agreement, (C) the Pledge Agreement and (D) the Security Agreement in each case duly executed and delivered on behalf of such Loan Party, or (ii) in the case of any Person that becomes a Subsidiary Loan Party after the Closing Date, a supplement to each of the Guarantee Agreement, the Indemnity, Subrogation and Contribution Agreement, the Pledge Agreement and the Security Agreement, in each case in the form specified therein, duly executed and delivered on behalf of such Subsidiary Loan Party;</w:t>
      </w:r>
    </w:p>
    <w:p>
      <w:pPr>
        <w:spacing w:after="0" w:line="184" w:lineRule="exact"/>
        <w:rPr>
          <w:rFonts w:ascii="Times New Roman" w:cs="Times New Roman" w:eastAsia="Times New Roman" w:hAnsi="Times New Roman"/>
          <w:sz w:val="20"/>
          <w:szCs w:val="20"/>
          <w:color w:val="auto"/>
        </w:rPr>
      </w:pPr>
    </w:p>
    <w:p>
      <w:pPr>
        <w:ind w:left="660" w:right="80" w:firstLine="644"/>
        <w:spacing w:after="0" w:line="242" w:lineRule="auto"/>
        <w:tabs>
          <w:tab w:leader="none" w:pos="173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Equity Interests of the Parent Borrower and each Subsidiary (including the Receivables Subsidiary) owned by or on behalf of any Loan Party shall have been pledged pursuant to the Pledge Agreement (except that the Loan Parties shall not be required to pledge more than 65% of the outstanding voting Equity Interests of any Foreign Subsidiary, any CFC or any CFC Holdco), it being understood that this exception shall not limit the application of the Foreign Security Collateral and Guarantee Requirement) and the Collateral Agent shall have received certificates or other instruments representing all such Equity Interests, together with stock powers or other instruments of transfer with respect thereto endorsed in blank;</w:t>
      </w:r>
    </w:p>
    <w:p>
      <w:pPr>
        <w:spacing w:after="0" w:line="188" w:lineRule="exact"/>
        <w:rPr>
          <w:rFonts w:ascii="Times New Roman" w:cs="Times New Roman" w:eastAsia="Times New Roman" w:hAnsi="Times New Roman"/>
          <w:sz w:val="20"/>
          <w:szCs w:val="20"/>
          <w:color w:val="auto"/>
        </w:rPr>
      </w:pPr>
    </w:p>
    <w:p>
      <w:pPr>
        <w:ind w:left="660" w:right="60" w:firstLine="644"/>
        <w:spacing w:after="0" w:line="244" w:lineRule="auto"/>
        <w:tabs>
          <w:tab w:leader="none" w:pos="17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Holdings, the Parent Borrower and each Subsidiary in an aggregate principal amount that exceeds $500,000 that is owing to any Loan Party shall be evidenced by a promissory note and shall have been pledged pursuant to the Pledge Agreement and the Collateral Agent shall have received all such promissory notes, together with instruments of transfer with respect thereto endorsed in blank;</w:t>
      </w:r>
    </w:p>
    <w:p>
      <w:pPr>
        <w:spacing w:after="0" w:line="185" w:lineRule="exact"/>
        <w:rPr>
          <w:rFonts w:ascii="Times New Roman" w:cs="Times New Roman" w:eastAsia="Times New Roman" w:hAnsi="Times New Roman"/>
          <w:sz w:val="20"/>
          <w:szCs w:val="20"/>
          <w:color w:val="auto"/>
        </w:rPr>
      </w:pPr>
    </w:p>
    <w:p>
      <w:pPr>
        <w:ind w:left="660" w:firstLine="644"/>
        <w:spacing w:after="0" w:line="274" w:lineRule="auto"/>
        <w:tabs>
          <w:tab w:leader="none" w:pos="173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documents and instruments, including Uniform Commercial Code financing statements, required by law or reasonably requested by the Collateral Agent to be filed, registered or recorded to create the Liens intended to be created by the Security Agreement and the Pledge Agreement and perfect such Liens to the extent required by, and with the priority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20" w:top="1413" w:right="379" w:bottom="1440" w:gutter="0" w:footer="0" w:header="0"/>
        </w:sectPr>
      </w:pPr>
    </w:p>
    <w:bookmarkStart w:id="71" w:name="page72"/>
    <w:bookmarkEnd w:id="71"/>
    <w:p>
      <w:pPr>
        <w:ind w:left="660" w:right="160"/>
        <w:spacing w:after="0" w:line="269" w:lineRule="auto"/>
        <w:rPr>
          <w:sz w:val="20"/>
          <w:szCs w:val="20"/>
          <w:color w:val="auto"/>
        </w:rPr>
      </w:pPr>
      <w:r>
        <w:rPr>
          <w:rFonts w:ascii="Times New Roman" w:cs="Times New Roman" w:eastAsia="Times New Roman" w:hAnsi="Times New Roman"/>
          <w:sz w:val="20"/>
          <w:szCs w:val="20"/>
          <w:color w:val="auto"/>
        </w:rPr>
        <w:t>Security Agreement and the Pledge Agreement, shall have been filed, registered or recorded or delivered to the Collateral Agent for filing, registration or recording;</w:t>
      </w:r>
    </w:p>
    <w:p>
      <w:pPr>
        <w:spacing w:after="0" w:line="159" w:lineRule="exact"/>
        <w:rPr>
          <w:sz w:val="20"/>
          <w:szCs w:val="20"/>
          <w:color w:val="auto"/>
        </w:rPr>
      </w:pPr>
    </w:p>
    <w:p>
      <w:pPr>
        <w:ind w:left="660" w:right="40" w:firstLine="644"/>
        <w:spacing w:after="0" w:line="239" w:lineRule="auto"/>
        <w:tabs>
          <w:tab w:leader="none" w:pos="17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have received (i) counterparts of a Mortgage with respect to any Mortgaged Property duly executed and delivered by the record owner of such Mortgaged Property, (ii) a policy or policies of title insurance issued by a nationally recognized title insurance company in an amount and form reasonably acceptable to the Administrative Agent insuring the Lien of each such Mortgage as a valid first Lien on the Mortgaged Property described therein, free of any other Liens except as expressly permitted by Section 6.02, together with such endorsements, coinsurance and reinsurance as the Administrative Agent or the Required Lenders may reasonably request, but only to the extent such endorsements are (A) available in the relevant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no event shall the Collateral Agent request a creditors’ rights endorsement) and (B) available at commercially reasonable rates, (iii) a completed Life of Loan flood hazard determination and, if any improved Mortgaged Property is located in an area determined by the Federal Emergency Management Agency to have special flood hazards, a notice about special flood hazard area status duly executed by the Parent Brower and the applicable Loan Party and evidence of flood insurance as may be required under the Flood Laws, and (iv) such abstracts, legal opinions and other documents as the Administrative Agent or the Required Lenders may reasonably request with respect to any such Mortgage or Mortgaged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no event shall surveys be required to be obtained with respect to any Mortgaged Property; and</w:t>
      </w:r>
    </w:p>
    <w:p>
      <w:pPr>
        <w:spacing w:after="0" w:line="195" w:lineRule="exact"/>
        <w:rPr>
          <w:rFonts w:ascii="Times New Roman" w:cs="Times New Roman" w:eastAsia="Times New Roman" w:hAnsi="Times New Roman"/>
          <w:sz w:val="20"/>
          <w:szCs w:val="20"/>
          <w:color w:val="auto"/>
        </w:rPr>
      </w:pPr>
    </w:p>
    <w:p>
      <w:pPr>
        <w:ind w:left="660" w:firstLine="644"/>
        <w:spacing w:after="0" w:line="254" w:lineRule="auto"/>
        <w:tabs>
          <w:tab w:leader="none" w:pos="170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(other than the Foreign Subsidiary Borrowers) shall have obtained all consents and approvals required to be obtained by it in connection with the execution and delivery of all Security Documents to which it is a party, the performance of its obligations thereunder and the granting by it of the Liens thereunder.</w:t>
      </w:r>
    </w:p>
    <w:p>
      <w:pPr>
        <w:spacing w:after="0" w:line="161"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means the Securities and Exchange Commission or any Governmental Authority succeeding to any or all of the functions of said Commission.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Revolving Commitment.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has the meaning assigned to such term in Section 2.12(a).</w:t>
      </w:r>
    </w:p>
    <w:p>
      <w:pPr>
        <w:spacing w:after="0" w:line="216"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 Interest Expense</w:t>
      </w:r>
      <w:r>
        <w:rPr>
          <w:rFonts w:ascii="Times New Roman" w:cs="Times New Roman" w:eastAsia="Times New Roman" w:hAnsi="Times New Roman"/>
          <w:sz w:val="20"/>
          <w:szCs w:val="20"/>
          <w:color w:val="auto"/>
        </w:rPr>
        <w:t>” means, for any period, the excess of (a) the sum, without duplication, of (i) the interest expense (including imputed interest expense in respect of Financing Lease Obligations) of Holdings, the Parent Borrower and the Subsidiaries (including the Receivables Subsidiary) for such period, determined on a consolidated basis in accordance with GAAP, plus (ii) any interest accrued during such period in respect of Indebtedness of Holdings, the Parent Borrower or any Subsidiary (including the Receivables Subsidiary) that is required to be capitalized rather than included in consolidated interest expense for such period in accordance with GAAP, plus (iii) any cash payments made during such period in respect of obligations referred to in clause (b)(iii) below that were amortized or accrued in a previous period, plus (iv) interest-equivalent costs associated with any Permitted Receivables Financing or Specified Vendor Receivables Financing, whether accounted for as interest expense or loss on the sale of receivables, minus (b) the sum of, without duplication, (i) interest income of Holdings, the Parent Borrower and the Subsidiaries (including the Receivables Subsidiary) for such period, determined on a consolidated basis in accordance with GAAP, plus (ii) to the extent included in such consolidated interest expense for such period, noncash amounts attributable to amortization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72" w:name="page73"/>
    <w:bookmarkEnd w:id="72"/>
    <w:p>
      <w:pPr>
        <w:spacing w:after="0" w:line="241" w:lineRule="auto"/>
        <w:rPr>
          <w:sz w:val="20"/>
          <w:szCs w:val="20"/>
          <w:color w:val="auto"/>
        </w:rPr>
      </w:pPr>
      <w:r>
        <w:rPr>
          <w:rFonts w:ascii="Times New Roman" w:cs="Times New Roman" w:eastAsia="Times New Roman" w:hAnsi="Times New Roman"/>
          <w:sz w:val="20"/>
          <w:szCs w:val="20"/>
          <w:color w:val="auto"/>
        </w:rPr>
        <w:t>financing costs paid in a previous period, plus (iii) to the extent included in such consolidated interest expense for such period, noncash amounts attributable to amortization of debt discounts or accrued interest payable in kind for such period, plus (iv) to the extent included in such consolidated interest expense for such period, all financing fees incurred in connection with the Transactions, plus (v) annual agency fees paid to the administrative agents and collateral agents under any permitted credit facility of Holdings, the Parent Borrower or any Subsidiary, plus (vi) costs associated with obtaining Hedging Agreements, plus (vii) any expense resulting from the discounting of any Indebtedness in connection with the application of recapitalization accounting or, if applicable, purchase accounting in connection with any acquisition, plus (viii) penalties and interest relating to taxes, plus (ix) any expensing of bridge, commitment and other financing fees and any other fees related to any acquisitions after the Third Restatement Date, plus (x) interest expense resulting from push-down accounting, plus (xi) any lease, rental or other expense in connection with a Non-Financing Lease Obligation.</w:t>
      </w:r>
    </w:p>
    <w:p>
      <w:pPr>
        <w:spacing w:after="0" w:line="190"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plus (a) without duplication and to the extent deducted in determining such Consolidated Net Income (other than with respect to clause (ix) below), the sum of (i) consolidated interest expense for such period, (ii) consolidated income tax expense for such period (including all single business tax expenses imposed by state law), (iii) all amounts attributable to depreciation and amortization for such period, (iv) interest-equivalent costs associated with any Permitted Receivables Financing or Specified Vendor Receivables Financing for such period, whether accounted for as interest expense or loss on the sale of receivables, and all Preferred Dividends, (v) the aggregate amount of deferred financing expenses for such period, (vi) all other noncash expenses or losses of Holdings, the Parent Borrower or any of the Subsidiaries for such period (excluding any such charge that constitutes an accrual of or a reserve for cash charges for any future period), (vii) losses associated with the prepayment of leases (whether operating leases or capital leases) outstanding on January 1, 2017 from discontinued operations, (viii) 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common capital of Holdings or any Loan Party (other than from Holdings or a Subsidiary) or Net Proceeds of an issuance of Equity Interests of Holdings (other than Disqualified Equity Interests and other than any issuance to the Parent Borrower or a Subsidiary), in each case, Not Otherwise Applied, (ix) the amount of “run rate” cost savings, operating expense reductions and cost synergies related to mergers and other business combinations, acquisitions, divestitures, restructurings, cost savings initiatives, other operating improvements and other similar transactions or initiatives consummated after the Third Restatement Date that are reasonably identifiable and factually supportable and projected by the Parent Borrower to result within 18 months after such merger or other business combination, acquisition, divestiture, restructuring, cost savings initiative or other transaction or initiative is consummated,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such cost savings, operating expense reductions and cost synergies added pursuant to this clause (ix) for any period of four consecutive fiscal quarters of Holdings shall not exceed 20% of Consolidated EBITDA for such period (calculated after giving effect to any add-backs pursuant to this clause (ix)) and (x) non-recurring out-of-pocket transaction fees, costs and expenses incurred in connection with this Agreement, including legal fees, advisory fees and upfront financing fees (including any such fees, costs and expenses incurred in connection with </w:t>
      </w:r>
      <w:r>
        <w:rPr>
          <w:rFonts w:ascii="Times New Roman" w:cs="Times New Roman" w:eastAsia="Times New Roman" w:hAnsi="Times New Roman"/>
          <w:sz w:val="20"/>
          <w:szCs w:val="20"/>
          <w:color w:val="FF0000"/>
          <w:strike w:val="1"/>
        </w:rPr>
        <w:t>this</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Eighth Amendment and any other amendments, waivers or consents entered into with respect to the Loan Documents), minus (b) without duplication and to the extent included in determining such Consolidated Net Income, (i) any gains realized from the retirement of Indebtedness after the Third Restatement Date, all determined on a consolidated basis in accordance with GAAP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(ii</w:t>
      </w:r>
      <w:r>
        <w:rPr>
          <w:rFonts w:ascii="Times New Roman" w:cs="Times New Roman" w:eastAsia="Times New Roman" w:hAnsi="Times New Roman"/>
          <w:sz w:val="20"/>
          <w:szCs w:val="20"/>
          <w:u w:val="single" w:color="auto"/>
          <w:color w:val="0000FF"/>
        </w:rPr>
        <w:t>) consolidated interest income for such period and (iii</w:t>
      </w:r>
      <w:r>
        <w:rPr>
          <w:rFonts w:ascii="Times New Roman" w:cs="Times New Roman" w:eastAsia="Times New Roman" w:hAnsi="Times New Roman"/>
          <w:sz w:val="20"/>
          <w:szCs w:val="20"/>
          <w:color w:val="auto"/>
        </w:rPr>
        <w:t>) consolidated income tax benefits for such period (excluding, for purposes of this clause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iii</w:t>
      </w:r>
      <w:r>
        <w:rPr>
          <w:rFonts w:ascii="Times New Roman" w:cs="Times New Roman" w:eastAsia="Times New Roman" w:hAnsi="Times New Roman"/>
          <w:sz w:val="20"/>
          <w:szCs w:val="20"/>
          <w:color w:val="auto"/>
        </w:rPr>
        <w:t>), any such benefits received in a fiscal quarter ended prior to the Third Restatement Date). If the Parent Borrower or any Subsidiary has made any Permitted Acquisition or Significant Investment or any sale, transfer, lease or other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-506730</wp:posOffset>
            </wp:positionV>
            <wp:extent cx="212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13" w:right="359" w:bottom="1440" w:gutter="0" w:footer="0" w:header="0"/>
        </w:sectPr>
      </w:pPr>
    </w:p>
    <w:bookmarkStart w:id="73" w:name="page74"/>
    <w:bookmarkEnd w:id="73"/>
    <w:p>
      <w:pPr>
        <w:ind w:right="20"/>
        <w:spacing w:after="0" w:line="252" w:lineRule="auto"/>
        <w:rPr>
          <w:sz w:val="20"/>
          <w:szCs w:val="20"/>
          <w:color w:val="auto"/>
        </w:rPr>
      </w:pPr>
      <w:r>
        <w:rPr>
          <w:rFonts w:ascii="Times New Roman" w:cs="Times New Roman" w:eastAsia="Times New Roman" w:hAnsi="Times New Roman"/>
          <w:sz w:val="19"/>
          <w:szCs w:val="19"/>
          <w:color w:val="auto"/>
        </w:rPr>
        <w:t xml:space="preserve">outside of the ordinary course of business permitted by Section 6.05 during the relevant period for determining the Leverage Ratio, the Total Net Leverage Ratio or the Senior Secured Net Leverage Ratio and the Interest Expense Coverage Ratio, Consolidated EBITDA for the relevant period shall be calculated only for purposes of determining the Leverage Ratio, the Total Net Leverage Ratio, the Senior Secured Net Leverage Ratio and the Interest Expense Coverage Ratio after giving pro forma effect thereto, as if such Permitted Acquisition or Significant Investment or sale, transfer, lease or other disposition of assets (and, in each case, any related incurrence, repayment or assumption of Indebtedness, with any new Indebtedness being deemed to be amortized over the relevant period in accordance with its terms, and assuming that any Revolving Loans borrowed in connection with such acquisition are repaid with excess cash balances when available) had occurred on the first day of the relevant period for determining Consolidated EBITDA;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Significant Investment, (x) any pro forma adjustment made to Consolidated EBITDA shall be in proportion to the percentage ownership of the Parent Borrower or such Subsidiary, as applicable, in the Subject Person (e.g. if the Parent Borrower acquires 70% of the Equity Interests of the Subject Person, a pro forma adjustment to Consolidated EBITDA shall be made with respect to no more than 70% of the EBITDA of the Subject Person) and (y) pro forma effect shall only be given to such Significant Investment if the Indebtedness of the Subject Person is included in Total Indebtedness for purposes of calculating the Leverage Ratio, the Total Net Leverage Ratio and the Senior Secured Net Leverage Ratio and the Subject Person is included as a Subsidiary in the calculation of Consolidated Cash Interest Expense for purposes of calculating the Interest Expense Coverage Ratio, in each case in proportion to the percentage ownership of the Parent Borrower or such Subsidiary, as applicable, in such Subject Person. Any such pro forma calculations may include operating and other expense reductions and other adjustments for such period resulting from any Permitted Acquisition, or sale, transfer, lease or other disposition of assets that is being given pro forma effect to the extent that such operating and other expense reductions and other adjustments (a) would be permitted pursuant to Article XI of Regulation S-X under the Securities Act of 1933 (“</w:t>
      </w:r>
      <w:r>
        <w:rPr>
          <w:rFonts w:ascii="Times New Roman" w:cs="Times New Roman" w:eastAsia="Times New Roman" w:hAnsi="Times New Roman"/>
          <w:sz w:val="19"/>
          <w:szCs w:val="19"/>
          <w:u w:val="single" w:color="auto"/>
          <w:color w:val="auto"/>
        </w:rPr>
        <w:t>Regulation S-X</w:t>
      </w:r>
      <w:r>
        <w:rPr>
          <w:rFonts w:ascii="Times New Roman" w:cs="Times New Roman" w:eastAsia="Times New Roman" w:hAnsi="Times New Roman"/>
          <w:sz w:val="19"/>
          <w:szCs w:val="19"/>
          <w:color w:val="auto"/>
        </w:rPr>
        <w:t>”), (b) are reasonably consistent with the purpose of Regulation S-X as determined in good faith by the Parent Borrower in consultation with the Administrative Agent or (c) are otherwise appropriate, in the reasonable good faith determination of the Parent Borrower as set forth in an officer’s certificate, to reflect operating and other expense reductions reasonably expected to result from the applicable event within 18 months of the date the applicable event is consummated and, in each case, calculated in accordance with and subject to the provisions of clause (a)(ix) of this definition.</w:t>
      </w:r>
    </w:p>
    <w:p>
      <w:pPr>
        <w:spacing w:after="0" w:line="178"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net income or loss of Holdings, the Parent Borrower and the Subsidiaries (including the Receivables Subsidiary) for such period,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w:t>
      </w:r>
    </w:p>
    <w:p>
      <w:pPr>
        <w:spacing w:after="0" w:line="181" w:lineRule="exact"/>
        <w:rPr>
          <w:sz w:val="20"/>
          <w:szCs w:val="20"/>
          <w:color w:val="auto"/>
        </w:rPr>
      </w:pPr>
    </w:p>
    <w:p>
      <w:pPr>
        <w:jc w:val="both"/>
        <w:ind w:right="380" w:firstLine="1304"/>
        <w:spacing w:after="0" w:line="249" w:lineRule="auto"/>
        <w:tabs>
          <w:tab w:leader="none" w:pos="176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of any Person (other than the Parent Borrower or a Significant Investment) in which any other Person (other than the Parent Borrower or any Subsidiary or any director holding qualifying shares in compliance with applicable law) owns an Equity Interest, except to the extent of the amount of dividends or other distributions actually paid to the Parent Borrower or any of the Subsidiaries during such period;</w:t>
      </w:r>
    </w:p>
    <w:p>
      <w:pPr>
        <w:spacing w:after="0" w:line="179" w:lineRule="exact"/>
        <w:rPr>
          <w:rFonts w:ascii="Times New Roman" w:cs="Times New Roman" w:eastAsia="Times New Roman" w:hAnsi="Times New Roman"/>
          <w:sz w:val="20"/>
          <w:szCs w:val="20"/>
          <w:color w:val="auto"/>
        </w:rPr>
      </w:pPr>
    </w:p>
    <w:p>
      <w:pPr>
        <w:ind w:right="240" w:firstLine="1304"/>
        <w:spacing w:after="0" w:line="295" w:lineRule="auto"/>
        <w:tabs>
          <w:tab w:leader="none" w:pos="177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income or loss of any Person accrued prior to the date it becomes a Subsidiary or is merged into or consolidated with the Parent Borrower or any Subsidiary or the date that such Person’s assets are acquired by the Parent Borrower or any Subsidiary;</w:t>
      </w:r>
    </w:p>
    <w:p>
      <w:pPr>
        <w:spacing w:after="0" w:line="137" w:lineRule="exact"/>
        <w:rPr>
          <w:rFonts w:ascii="Times New Roman" w:cs="Times New Roman" w:eastAsia="Times New Roman" w:hAnsi="Times New Roman"/>
          <w:sz w:val="19"/>
          <w:szCs w:val="19"/>
          <w:color w:val="auto"/>
        </w:rPr>
      </w:pPr>
    </w:p>
    <w:p>
      <w:pPr>
        <w:ind w:left="1780" w:hanging="476"/>
        <w:spacing w:after="0"/>
        <w:tabs>
          <w:tab w:leader="none" w:pos="17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during such period to the extent included in Consolidated</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p>
    <w:p>
      <w:pPr>
        <w:spacing w:after="0" w:line="19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extraordinary, nonrecurring or unusual gains or losses (less all fees and expenses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60"/>
          </w:cols>
          <w:pgMar w:left="320" w:top="1413" w:right="419" w:bottom="1440" w:gutter="0" w:footer="0" w:header="0"/>
        </w:sectPr>
      </w:pPr>
    </w:p>
    <w:bookmarkStart w:id="74" w:name="page75"/>
    <w:bookmarkEnd w:id="74"/>
    <w:p>
      <w:pPr>
        <w:ind w:left="-40" w:firstLine="1304"/>
        <w:spacing w:after="0" w:line="252" w:lineRule="auto"/>
        <w:tabs>
          <w:tab w:leader="none" w:pos="167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of Equity Interests, investment, acquisition, disposition, recapitalization or issuance, repayment, refinancing, amendment or modification of Indebtedness (in each case, whether or not successful), (ii) any net income or loss from disposed, abandoned, transferred, closed or discontinued operations (other than, for any fiscal quarter ending prior to the Aerospace Closing Date, the Specified Discontinued Operations) or fixed assets and any net gains or losses on disposal of disposed, abandoned, transferred, closed or discontinued operations (other than, for any fiscal quarter ending prior to the Aerospace Closing Date, the Specified Discontinued Operations) or fixed assets, (iii) any net gains or losses (less all fees and expenses or charges relating thereto) attributable to business dispositions or asset dispositions other than in the ordinary course of business (as determined in good faith by the Parent Borrower) and (iv) costs or expenses realized in connection with or resulting from stock appreciation or similar rights, stock options or other rights existing on the Third Restatement Date of officers, directors and employees, in each case of such Person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any charges, expenses, losses or costs excluded pursuant to this clause (e) for any period of four consecutive fiscal quarters of Holdings (or, with respect to any calculation of clause (a)(i) of the Available Amount, (w) for the first fiscal quarter ended after the Closing Date, for such fiscal quarter, (x) for the second fiscal quarter ended after the Closing Date, for the period of two fiscal quarters then ended, (y) for the third fiscal quarter ended after the Closing Date, for the period of three fiscal quarters then ended and (z) for the fourth fiscal quarter ended after the Closing Date and thereafter, for the period of four consecutive fiscal quarters of Holdings most recently ended) shall not exceed 20% of Consolidated EBITDA for such period (calculated after giving effect to exclusions pursuant to this clause (e));</w:t>
      </w:r>
    </w:p>
    <w:p>
      <w:pPr>
        <w:spacing w:after="0" w:line="177" w:lineRule="exact"/>
        <w:rPr>
          <w:rFonts w:ascii="Times New Roman" w:cs="Times New Roman" w:eastAsia="Times New Roman" w:hAnsi="Times New Roman"/>
          <w:sz w:val="19"/>
          <w:szCs w:val="19"/>
          <w:color w:val="auto"/>
        </w:rPr>
      </w:pPr>
    </w:p>
    <w:p>
      <w:pPr>
        <w:ind w:left="-40" w:right="360" w:firstLine="1304"/>
        <w:spacing w:after="0" w:line="269" w:lineRule="auto"/>
        <w:tabs>
          <w:tab w:leader="none" w:pos="16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expenses, or charges related to the Transactions (including any transaction expenses incurred before, on or after the Third Restatement Date);</w:t>
      </w:r>
    </w:p>
    <w:p>
      <w:pPr>
        <w:spacing w:after="0" w:line="159" w:lineRule="exact"/>
        <w:rPr>
          <w:rFonts w:ascii="Times New Roman" w:cs="Times New Roman" w:eastAsia="Times New Roman" w:hAnsi="Times New Roman"/>
          <w:sz w:val="20"/>
          <w:szCs w:val="20"/>
          <w:color w:val="auto"/>
        </w:rPr>
      </w:pPr>
    </w:p>
    <w:p>
      <w:pPr>
        <w:jc w:val="both"/>
        <w:ind w:left="-40" w:right="40" w:firstLine="1304"/>
        <w:spacing w:after="0" w:line="249" w:lineRule="auto"/>
        <w:tabs>
          <w:tab w:leader="none" w:pos="168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purchase accounting adjustments (including the effects of such adjustments pushed down to such Person and such Subsidiaries and including, without limitation, the effects of adjustments to (A) Financing Lease Obligations or (B) any other deferrals of income) in amounts required or permitted by GAAP, resulting from the application of purchase accounting or the amortization or write-off of any amounts thereof;</w:t>
      </w:r>
    </w:p>
    <w:p>
      <w:pPr>
        <w:spacing w:after="0" w:line="166" w:lineRule="exact"/>
        <w:rPr>
          <w:rFonts w:ascii="Times New Roman" w:cs="Times New Roman" w:eastAsia="Times New Roman" w:hAnsi="Times New Roman"/>
          <w:sz w:val="20"/>
          <w:szCs w:val="20"/>
          <w:color w:val="auto"/>
        </w:rPr>
      </w:pPr>
    </w:p>
    <w:p>
      <w:pPr>
        <w:ind w:left="-40" w:right="20" w:firstLine="1304"/>
        <w:spacing w:after="0" w:line="269" w:lineRule="auto"/>
        <w:tabs>
          <w:tab w:leader="none" w:pos="168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gains or losses (less all fees and expenses or charges relating thereto) attributable to the early extinguishment of Indebtedness, Hedging Agreements or other derivative instruments;</w:t>
      </w:r>
    </w:p>
    <w:p>
      <w:pPr>
        <w:spacing w:after="0" w:line="159" w:lineRule="exact"/>
        <w:rPr>
          <w:rFonts w:ascii="Times New Roman" w:cs="Times New Roman" w:eastAsia="Times New Roman" w:hAnsi="Times New Roman"/>
          <w:sz w:val="20"/>
          <w:szCs w:val="20"/>
          <w:color w:val="auto"/>
        </w:rPr>
      </w:pPr>
    </w:p>
    <w:p>
      <w:pPr>
        <w:ind w:left="-40" w:right="420" w:firstLine="1304"/>
        <w:spacing w:after="0" w:line="269" w:lineRule="auto"/>
        <w:tabs>
          <w:tab w:leader="none" w:pos="164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charges or asset write-offs, in each case pursuant to GAAP, and the amortization of intangibles and other fair value adjustments arising pursuant to GAAP;</w:t>
      </w:r>
    </w:p>
    <w:p>
      <w:pPr>
        <w:spacing w:after="0" w:line="159" w:lineRule="exact"/>
        <w:rPr>
          <w:rFonts w:ascii="Times New Roman" w:cs="Times New Roman" w:eastAsia="Times New Roman" w:hAnsi="Times New Roman"/>
          <w:sz w:val="20"/>
          <w:szCs w:val="20"/>
          <w:color w:val="auto"/>
        </w:rPr>
      </w:pPr>
    </w:p>
    <w:p>
      <w:pPr>
        <w:ind w:left="-40" w:right="60" w:firstLine="1304"/>
        <w:spacing w:after="0" w:line="269" w:lineRule="auto"/>
        <w:tabs>
          <w:tab w:leader="none" w:pos="164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expense realized or resulting from stock option plans, employee benefit plans or post-employment benefit plans, or grants or sales of stock, stock appreciation or similar rights, stock options, restricted stock, preferred stock or other rights;</w:t>
      </w:r>
    </w:p>
    <w:p>
      <w:pPr>
        <w:spacing w:after="0" w:line="159" w:lineRule="exact"/>
        <w:rPr>
          <w:rFonts w:ascii="Times New Roman" w:cs="Times New Roman" w:eastAsia="Times New Roman" w:hAnsi="Times New Roman"/>
          <w:sz w:val="20"/>
          <w:szCs w:val="20"/>
          <w:color w:val="auto"/>
        </w:rPr>
      </w:pPr>
    </w:p>
    <w:p>
      <w:pPr>
        <w:ind w:left="1700" w:hanging="436"/>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80"/>
          </w:cols>
          <w:pgMar w:left="360" w:top="1413" w:right="359" w:bottom="1440" w:gutter="0" w:footer="0" w:header="0"/>
        </w:sectPr>
      </w:pPr>
    </w:p>
    <w:bookmarkStart w:id="75" w:name="page76"/>
    <w:bookmarkEnd w:id="75"/>
    <w:p>
      <w:pPr>
        <w:ind w:right="20" w:firstLine="1304"/>
        <w:spacing w:after="0" w:line="269" w:lineRule="auto"/>
        <w:tabs>
          <w:tab w:leader="none" w:pos="168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that are established or adjusted within 12 months after the Third Restatement Date and that are so required to be established or adjusted in accordance with GAAP or as a result of adoption or modification of accounting policies;</w:t>
      </w:r>
    </w:p>
    <w:p>
      <w:pPr>
        <w:spacing w:after="0" w:line="159" w:lineRule="exact"/>
        <w:rPr>
          <w:rFonts w:ascii="Times New Roman" w:cs="Times New Roman" w:eastAsia="Times New Roman" w:hAnsi="Times New Roman"/>
          <w:sz w:val="20"/>
          <w:szCs w:val="20"/>
          <w:color w:val="auto"/>
        </w:rPr>
      </w:pPr>
    </w:p>
    <w:p>
      <w:pPr>
        <w:ind w:right="120" w:firstLine="1304"/>
        <w:spacing w:after="0" w:line="269" w:lineRule="auto"/>
        <w:tabs>
          <w:tab w:leader="none" w:pos="17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losses, income and expenses resulting from fair value accounting required by the applicable standard under GAAP and related interpretations;</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currency gains and losses;</w:t>
      </w:r>
    </w:p>
    <w:p>
      <w:pPr>
        <w:spacing w:after="0" w:line="215" w:lineRule="exact"/>
        <w:rPr>
          <w:rFonts w:ascii="Times New Roman" w:cs="Times New Roman" w:eastAsia="Times New Roman" w:hAnsi="Times New Roman"/>
          <w:sz w:val="20"/>
          <w:szCs w:val="20"/>
          <w:color w:val="auto"/>
        </w:rPr>
      </w:pPr>
    </w:p>
    <w:p>
      <w:pPr>
        <w:ind w:right="100" w:firstLine="1304"/>
        <w:spacing w:after="0" w:line="246" w:lineRule="auto"/>
        <w:tabs>
          <w:tab w:leader="none" w:pos="177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and</w:t>
      </w:r>
    </w:p>
    <w:p>
      <w:pPr>
        <w:spacing w:after="0" w:line="18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for deferred tax asset valuation allowances;</w:t>
      </w:r>
    </w:p>
    <w:p>
      <w:pPr>
        <w:spacing w:after="0" w:line="20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there shall be included amounts actually received from insurance in respect of lost revenues or earnings in respect of liability or casualty events or business interruption, and reimbursements of any expenses and charges pursuant to indemnification or other reimbursement provisions in connection with any investment permitted under this Agreement or any sale, conveyance, transfer or other disposition of assets permitted under this Agreement.</w:t>
      </w:r>
    </w:p>
    <w:p>
      <w:pPr>
        <w:spacing w:after="0" w:line="180"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of determination with respect to any Person, the total assets of such Person, determined on a consolidated basis in accordance with GAAP, as shown on the most recent balance sheet of such Person.</w:t>
      </w:r>
    </w:p>
    <w:p>
      <w:pPr>
        <w:spacing w:after="0" w:line="159" w:lineRule="exact"/>
        <w:rPr>
          <w:sz w:val="20"/>
          <w:szCs w:val="20"/>
          <w:color w:val="auto"/>
        </w:rPr>
      </w:pPr>
    </w:p>
    <w:p>
      <w:pPr>
        <w:ind w:right="16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Directors</w:t>
      </w:r>
      <w:r>
        <w:rPr>
          <w:rFonts w:ascii="Times New Roman" w:cs="Times New Roman" w:eastAsia="Times New Roman" w:hAnsi="Times New Roman"/>
          <w:sz w:val="20"/>
          <w:szCs w:val="20"/>
          <w:color w:val="auto"/>
        </w:rPr>
        <w:t>” means the directors of Holdings on the Third Restatement Date, and each other director, if, in each case, such other director’s nomination for election to the board of directors of Holdings is approved by at least a majority of the then Continuing Directors.</w:t>
      </w:r>
    </w:p>
    <w:p>
      <w:pPr>
        <w:spacing w:after="0" w:line="181" w:lineRule="exact"/>
        <w:rPr>
          <w:sz w:val="20"/>
          <w:szCs w:val="20"/>
          <w:color w:val="auto"/>
        </w:rPr>
      </w:pPr>
    </w:p>
    <w:p>
      <w:pPr>
        <w:jc w:val="both"/>
        <w:ind w:right="3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Holiday Acquisition</w:t>
      </w:r>
      <w:r>
        <w:rPr>
          <w:rFonts w:ascii="Times New Roman" w:cs="Times New Roman" w:eastAsia="Times New Roman" w:hAnsi="Times New Roman"/>
          <w:sz w:val="20"/>
          <w:szCs w:val="20"/>
          <w:color w:val="auto"/>
        </w:rPr>
        <w:t xml:space="preserve">” means a Permitted Acquisition for which (i) the cash consideration in respect of such acquisition is $50,000,000 or more and (ii) the Parent Borrower delivers to the Administrative Agent an officers’ certificate designating such Permitted Acquisition as a “Covenant Holiday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there be more than two Covenant Holiday Acquisitions.</w:t>
      </w:r>
    </w:p>
    <w:p>
      <w:pPr>
        <w:spacing w:after="0" w:line="180" w:lineRule="exact"/>
        <w:rPr>
          <w:sz w:val="20"/>
          <w:szCs w:val="20"/>
          <w:color w:val="auto"/>
        </w:rPr>
      </w:pPr>
    </w:p>
    <w:p>
      <w:pPr>
        <w:ind w:right="24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Holiday Period</w:t>
      </w:r>
      <w:r>
        <w:rPr>
          <w:rFonts w:ascii="Times New Roman" w:cs="Times New Roman" w:eastAsia="Times New Roman" w:hAnsi="Times New Roman"/>
          <w:sz w:val="20"/>
          <w:szCs w:val="20"/>
          <w:color w:val="auto"/>
        </w:rPr>
        <w:t xml:space="preserve">” means the period of four consecutive fiscal quarters commencing on the first day of the fiscal quarter in which the consummation of a Covenant Holiday Acquisition occurs;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applicable, the two Covenant Holiday Periods shall be separated by a period of at least two full fiscal quarters during which no Covenant Holiday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60"/>
          </w:cols>
          <w:pgMar w:left="320" w:top="1413" w:right="41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040" w:hanging="384"/>
        <w:spacing w:after="0"/>
        <w:tabs>
          <w:tab w:leader="none" w:pos="10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300" w:right="2200" w:hanging="644"/>
        <w:spacing w:after="0" w:line="457" w:lineRule="auto"/>
        <w:tabs>
          <w:tab w:leader="none" w:pos="114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such term in Section 10.22.</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w:t>
      </w:r>
      <w:r>
        <w:rPr>
          <w:rFonts w:ascii="Times New Roman" w:cs="Times New Roman" w:eastAsia="Times New Roman" w:hAnsi="Times New Roman"/>
          <w:sz w:val="20"/>
          <w:szCs w:val="20"/>
          <w:color w:val="auto"/>
        </w:rPr>
        <w:t>” means the United Kingdom Corporation Tax Act 2009.</w:t>
      </w:r>
    </w:p>
    <w:p>
      <w:pPr>
        <w:spacing w:after="0" w:line="216" w:lineRule="exact"/>
        <w:rPr>
          <w:sz w:val="20"/>
          <w:szCs w:val="20"/>
          <w:color w:val="auto"/>
        </w:rPr>
      </w:pPr>
    </w:p>
    <w:p>
      <w:pPr>
        <w:ind w:right="28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and (ii) dollars, Daily Simple SOFR.</w:t>
      </w:r>
    </w:p>
    <w:p>
      <w:pPr>
        <w:spacing w:after="0" w:line="180"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Parent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Repayment Period</w:t>
      </w:r>
      <w:r>
        <w:rPr>
          <w:rFonts w:ascii="Times New Roman" w:cs="Times New Roman" w:eastAsia="Times New Roman" w:hAnsi="Times New Roman"/>
          <w:sz w:val="20"/>
          <w:szCs w:val="20"/>
          <w:color w:val="auto"/>
        </w:rPr>
        <w:t>” has the meaning assigned to such term in Section 6.08(b)(viii).</w:t>
      </w:r>
    </w:p>
    <w:p>
      <w:pPr>
        <w:spacing w:after="0" w:line="216"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59"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Revolving Lender that (a) has failed, within two Business Days of the date required to be funded or paid, (i) to fund any portion of its Loans, (ii) to fund any portion of its participations in Letters of Credit, Swingline Loans or Fronted Foreign Currency Loans or (iii) to pay to the Administrative Agent, the Issuing Bank, the Swingline Lenders, the Fronting Lender any other Lender or any Loan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4" w:lineRule="exact"/>
        <w:rPr>
          <w:sz w:val="20"/>
          <w:szCs w:val="20"/>
          <w:color w:val="auto"/>
        </w:rPr>
      </w:pPr>
    </w:p>
    <w:p>
      <w:pPr>
        <w:ind w:left="280" w:hanging="272"/>
        <w:spacing w:after="0"/>
        <w:tabs>
          <w:tab w:leader="none" w:pos="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Administrative Agent, the Issuing Bank, the Swingline Lenders, the Fronting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5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77" w:name="page78"/>
    <w:bookmarkEnd w:id="77"/>
    <w:p>
      <w:pPr>
        <w:ind w:right="140"/>
        <w:spacing w:after="0" w:line="241" w:lineRule="auto"/>
        <w:rPr>
          <w:sz w:val="20"/>
          <w:szCs w:val="20"/>
          <w:color w:val="auto"/>
        </w:rPr>
      </w:pPr>
      <w:r>
        <w:rPr>
          <w:rFonts w:ascii="Times New Roman" w:cs="Times New Roman" w:eastAsia="Times New Roman" w:hAnsi="Times New Roman"/>
          <w:sz w:val="20"/>
          <w:szCs w:val="20"/>
          <w:color w:val="auto"/>
        </w:rPr>
        <w:t xml:space="preserve">Lender, any other Lender, Holdings, the Parent Borrower or any Loan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or any Loan Party made in good faith to provide a certification in writing from an authorized officer of such Lender that it will comply with its obligations (and is financially able to meet such obligations) to fund prospective Loans and participations in then outstanding Letters of Credit, Swingline Loans and Fronted Foreign Currency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Person’s receipt of such certification in form and substance satisfactory to it and the Administrative Agent, or (d) has become the subject of a Bankruptcy Event or a Bail-In Action.</w:t>
      </w:r>
    </w:p>
    <w:p>
      <w:pPr>
        <w:spacing w:after="0" w:line="188" w:lineRule="exact"/>
        <w:rPr>
          <w:sz w:val="20"/>
          <w:szCs w:val="20"/>
          <w:color w:val="auto"/>
        </w:rPr>
      </w:pPr>
    </w:p>
    <w:p>
      <w:pPr>
        <w:ind w:right="2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(as determined in good faith by the Parent Borrower) of non-cash consideration received by the Parent Borrower or a Subsidiary in connection with any sale, transfer, lease or other disposition of assets permitted by this Agreement that is so designated as Designated Non-Cash Consideration pursuant to an officer’s certificate of the Parent Borrower, setting forth such valuation, less the amount of cash or Permitted Investments received in connection with a subsequent sale of such Designated Non-cash Consideration within 180 days of receipt thereof.</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has the meaning assigned to such term in Section 2.17(k)(ii)(A).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means the actions, suits and proceedings and the environmental matters disclosed in Schedule 3.06.</w:t>
      </w:r>
    </w:p>
    <w:p>
      <w:pPr>
        <w:spacing w:after="0" w:line="216" w:lineRule="exact"/>
        <w:rPr>
          <w:sz w:val="20"/>
          <w:szCs w:val="20"/>
          <w:color w:val="auto"/>
        </w:rPr>
      </w:pPr>
    </w:p>
    <w:p>
      <w:pPr>
        <w:ind w:right="10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with respect to any Person, any Equity Interest of such Person that by its terms (or by the terms of any security into which it is convertible or for which it is exchangeable, either mandatorily or at the option of the holder thereof), or upon the happening of any event or condition:</w:t>
      </w:r>
    </w:p>
    <w:p>
      <w:pPr>
        <w:spacing w:after="0" w:line="181" w:lineRule="exact"/>
        <w:rPr>
          <w:sz w:val="20"/>
          <w:szCs w:val="20"/>
          <w:color w:val="auto"/>
        </w:rPr>
      </w:pPr>
    </w:p>
    <w:p>
      <w:pPr>
        <w:ind w:right="320" w:firstLine="1304"/>
        <w:spacing w:after="0" w:line="254" w:lineRule="auto"/>
        <w:tabs>
          <w:tab w:leader="none" w:pos="171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of such Person that do not constitute Disqualified Equity Interests and cash in lieu of fractional shares of such Equity Interest) whether pursuant to a sinking fund obligation or otherwise;</w:t>
      </w:r>
    </w:p>
    <w:p>
      <w:pPr>
        <w:spacing w:after="0" w:line="174" w:lineRule="exact"/>
        <w:rPr>
          <w:rFonts w:ascii="Times New Roman" w:cs="Times New Roman" w:eastAsia="Times New Roman" w:hAnsi="Times New Roman"/>
          <w:sz w:val="20"/>
          <w:szCs w:val="20"/>
          <w:color w:val="auto"/>
        </w:rPr>
      </w:pPr>
    </w:p>
    <w:p>
      <w:pPr>
        <w:ind w:right="420" w:firstLine="1304"/>
        <w:spacing w:after="0" w:line="247" w:lineRule="auto"/>
        <w:tabs>
          <w:tab w:leader="none" w:pos="17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convertible or exchangeable, either mandatorily or at the option of the holder thereof, for Indebtedness or Equity Interests (other than solely for Equity Interests of such Person that do not constitute Disqualified Equity Interests and cash in lieu of fractional shares of such Equity Interest); or</w:t>
      </w:r>
    </w:p>
    <w:p>
      <w:pPr>
        <w:spacing w:after="0" w:line="180" w:lineRule="exact"/>
        <w:rPr>
          <w:rFonts w:ascii="Times New Roman" w:cs="Times New Roman" w:eastAsia="Times New Roman" w:hAnsi="Times New Roman"/>
          <w:sz w:val="20"/>
          <w:szCs w:val="20"/>
          <w:color w:val="auto"/>
        </w:rPr>
      </w:pPr>
    </w:p>
    <w:p>
      <w:pPr>
        <w:ind w:right="160" w:firstLine="1304"/>
        <w:spacing w:after="0" w:line="254" w:lineRule="auto"/>
        <w:tabs>
          <w:tab w:leader="none" w:pos="171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redeemable (other than solely for Equity Interests of such Person that do not constitute Disqualified Equity Interests and cash in lieu of fractional shares of such Equity Interest) or is required to be repurchased by Holdings, the Parent Borrower or any Subsidiary, in whole or in part, at the option of the holder thereof;</w:t>
      </w:r>
    </w:p>
    <w:p>
      <w:pPr>
        <w:spacing w:after="0" w:line="174"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in each case, on or prior to the date that is 91 days after the latest Maturity Date in effect at the time of issuance of such Equity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Equity Interests of any Person that would not constitute Disqualified Equity Interests but for terms thereof giving holders thereof the right to require such Person to redeem or purchase such Equity Interests upon the occurrence of an “asset sale” or a “change of control” (or similar event, however denominated) shall not constitute Disqualified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78" w:name="page79"/>
    <w:bookmarkEnd w:id="78"/>
    <w:p>
      <w:pPr>
        <w:ind w:right="100"/>
        <w:spacing w:after="0" w:line="243" w:lineRule="auto"/>
        <w:rPr>
          <w:sz w:val="20"/>
          <w:szCs w:val="20"/>
          <w:color w:val="auto"/>
        </w:rPr>
      </w:pPr>
      <w:r>
        <w:rPr>
          <w:rFonts w:ascii="Times New Roman" w:cs="Times New Roman" w:eastAsia="Times New Roman" w:hAnsi="Times New Roman"/>
          <w:sz w:val="20"/>
          <w:szCs w:val="20"/>
          <w:color w:val="auto"/>
        </w:rPr>
        <w:t>Equity Interests if any such requirement becomes operative only after repayment in full of all the Loans and all other Obligations that are accrued and payable and (ii) Equity Interests of any Person that are issued to any employee or to any plan for the benefit of employees or by any such plan to such employees shall not constitute Disqualified Equity Interests solely because they may be required to be repurchased by such Person or any of its subsidiaries in order to satisfy applicable statutory or regulatory obligations or as a result of such employee’s termination, death or disability.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Documentation Agents</w:t>
      </w:r>
      <w:r>
        <w:rPr>
          <w:rFonts w:ascii="Times New Roman" w:cs="Times New Roman" w:eastAsia="Times New Roman" w:hAnsi="Times New Roman"/>
          <w:sz w:val="20"/>
          <w:szCs w:val="20"/>
          <w:color w:val="auto"/>
        </w:rPr>
        <w:t>” means the Co-Documentation Agents identified on the cover page of this Agreement.</w:t>
      </w:r>
    </w:p>
    <w:p>
      <w:pPr>
        <w:spacing w:after="0" w:line="21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of any amount means,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(other than dollars or a Foreign Currency), the equivalent of such amount in dollars as determined by the Administrative Agent using any method of determination it deems appropriate in its sole discretion.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Loan Party</w:t>
      </w:r>
      <w:r>
        <w:rPr>
          <w:rFonts w:ascii="Times New Roman" w:cs="Times New Roman" w:eastAsia="Times New Roman" w:hAnsi="Times New Roman"/>
          <w:sz w:val="20"/>
          <w:szCs w:val="20"/>
          <w:color w:val="auto"/>
        </w:rPr>
        <w:t>” means any Loan Party, other than a Loan Party that is a Foreign Subsidiary.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other than the Foreign Subsidiaries.</w:t>
      </w:r>
    </w:p>
    <w:p>
      <w:pPr>
        <w:spacing w:after="0" w:line="21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ind w:right="200"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Eighth Amendment</w:t>
      </w:r>
      <w:r>
        <w:rPr>
          <w:rFonts w:ascii="Times New Roman" w:cs="Times New Roman" w:eastAsia="Times New Roman" w:hAnsi="Times New Roman"/>
          <w:sz w:val="20"/>
          <w:szCs w:val="20"/>
          <w:color w:val="auto"/>
        </w:rPr>
        <w:t>” means that certain Eighth Amendment, dated as of March 31, 2025.</w:t>
      </w:r>
    </w:p>
    <w:p>
      <w:pPr>
        <w:spacing w:after="0" w:line="21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00"/>
          </w:cols>
          <w:pgMar w:left="320" w:top="1413" w:right="379" w:bottom="1440" w:gutter="0" w:footer="0" w:header="0"/>
        </w:sectPr>
      </w:pPr>
    </w:p>
    <w:bookmarkStart w:id="79" w:name="page80"/>
    <w:bookmarkEnd w:id="79"/>
    <w:p>
      <w:pPr>
        <w:ind w:right="100"/>
        <w:spacing w:after="0" w:line="269" w:lineRule="auto"/>
        <w:rPr>
          <w:sz w:val="20"/>
          <w:szCs w:val="20"/>
          <w:color w:val="auto"/>
        </w:rPr>
      </w:pPr>
      <w:r>
        <w:rPr>
          <w:rFonts w:ascii="Times New Roman" w:cs="Times New Roman" w:eastAsia="Times New Roman" w:hAnsi="Times New Roman"/>
          <w:sz w:val="20"/>
          <w:szCs w:val="20"/>
          <w:color w:val="auto"/>
        </w:rPr>
        <w:t>Governmental Authority, relating in any way to the environment, preservation or reclamation of natural resources, the management, Release or threatened Release of any Hazardous Material or to health and safety matters.</w:t>
      </w:r>
    </w:p>
    <w:p>
      <w:pPr>
        <w:spacing w:after="0" w:line="159"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liabilities, obligations, damages, losses, claims, actions, suits, judgments, or orders, contingent or otherwise (including any liability for damages, costs of environmental remediation, costs of administrative oversight, fines, natural resource damages, penalties or indemnities), directly or indirectly resulting from or relating to (a) compliance or non-compliance with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8" w:lineRule="exact"/>
        <w:rPr>
          <w:sz w:val="20"/>
          <w:szCs w:val="20"/>
          <w:color w:val="auto"/>
        </w:rPr>
      </w:pPr>
    </w:p>
    <w:p>
      <w:pPr>
        <w:ind w:right="1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in a Person or any warrants, options or other rights to acquire such interests.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02"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Parent Borrower, is treated as a single employer under Section 414(b) or (c) of the Code or, solely for purposes of Section 302 of ERISA and Section 412 of the Code, is treated as a single employer under Section 414(b), (c), (m) or (o) of the Code.</w:t>
      </w:r>
    </w:p>
    <w:p>
      <w:pPr>
        <w:spacing w:after="0" w:line="174" w:lineRule="exact"/>
        <w:rPr>
          <w:sz w:val="20"/>
          <w:szCs w:val="20"/>
          <w:color w:val="auto"/>
        </w:rPr>
      </w:pPr>
    </w:p>
    <w:p>
      <w:pPr>
        <w:ind w:right="40"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as defined in Section 4043 of ERISA or the regulations issued thereunder with respect to a Plan (other than an event for which the 30 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w:t>
      </w:r>
      <w:r>
        <w:rPr>
          <w:rFonts w:ascii="Times New Roman" w:cs="Times New Roman" w:eastAsia="Times New Roman" w:hAnsi="Times New Roman"/>
          <w:sz w:val="20"/>
          <w:szCs w:val="20"/>
          <w:u w:val="single" w:color="auto"/>
          <w:color w:val="auto"/>
        </w:rPr>
        <w:t>at risk</w:t>
      </w:r>
      <w:r>
        <w:rPr>
          <w:rFonts w:ascii="Times New Roman" w:cs="Times New Roman" w:eastAsia="Times New Roman" w:hAnsi="Times New Roman"/>
          <w:sz w:val="20"/>
          <w:szCs w:val="20"/>
          <w:color w:val="auto"/>
        </w:rPr>
        <w:t>” status (as defined in Section 430(i)(4) of the Code or Section 303(i)(4) of ERISA; (e) the incurrence by the Parent Borrower or any of its ERISA Affiliates of any liability under Title IV of ERISA with respect to the termination of any Plan; (f) the receipt by the Parent Borrower or any ERISA Affiliate from the PBGC or a plan administrator of any notice relating to an intention to terminate any Plan or Plans or to appoint a trustee to administer any Plan; (g) the incurrence by the Parent Borrower or any of its ERISA Affiliates of any liability with respect to the withdrawal or partial withdrawal from any Plan or Multiemployer Plan; or (h) the receipt by the Parent Borrower or any ERISA Affiliate of any notice, or the receipt by any Multiemployer Plan from the Parent Borrower or any ERISA Affiliate of any notice, concerning the imposition of Withdrawal Liability or a determination that a Multiemployer Plan is, or is expected to be, insolvent, within the meaning of Title IV of ERISA or in “</w:t>
      </w:r>
      <w:r>
        <w:rPr>
          <w:rFonts w:ascii="Times New Roman" w:cs="Times New Roman" w:eastAsia="Times New Roman" w:hAnsi="Times New Roman"/>
          <w:sz w:val="20"/>
          <w:szCs w:val="20"/>
          <w:u w:val="single" w:color="auto"/>
          <w:color w:val="auto"/>
        </w:rPr>
        <w:t>endangered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critical</w:t>
      </w:r>
      <w:r>
        <w:rPr>
          <w:rFonts w:ascii="Times New Roman" w:cs="Times New Roman" w:eastAsia="Times New Roman" w:hAnsi="Times New Roman"/>
          <w:sz w:val="20"/>
          <w:szCs w:val="20"/>
          <w:color w:val="auto"/>
        </w:rPr>
        <w:t>” status (within the meaning of Section 432 of the Code or Section 305 of ERISA).</w:t>
      </w:r>
    </w:p>
    <w:p>
      <w:pPr>
        <w:spacing w:after="0" w:line="195" w:lineRule="exact"/>
        <w:rPr>
          <w:sz w:val="20"/>
          <w:szCs w:val="20"/>
          <w:color w:val="auto"/>
        </w:rPr>
      </w:pPr>
    </w:p>
    <w:p>
      <w:pPr>
        <w:ind w:right="2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means the single currency of participating member states of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413" w:right="359" w:bottom="1440" w:gutter="0" w:footer="0" w:header="0"/>
        </w:sectPr>
      </w:pPr>
    </w:p>
    <w:bookmarkStart w:id="80" w:name="page81"/>
    <w:bookmarkEnd w:id="80"/>
    <w:p>
      <w:pPr>
        <w:ind w:right="6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means, with respect to any Term Benchmark Borrowing denominated in Euros and for any Interest Period, the EURIBOR Screen Rate, two TARGET Days prior to the commencement of such Interest Period.</w:t>
      </w:r>
    </w:p>
    <w:p>
      <w:pPr>
        <w:spacing w:after="0" w:line="159" w:lineRule="exact"/>
        <w:rPr>
          <w:sz w:val="20"/>
          <w:szCs w:val="20"/>
          <w:color w:val="auto"/>
        </w:rPr>
      </w:pPr>
    </w:p>
    <w:p>
      <w:pPr>
        <w:ind w:right="10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such date of determination. If such page or service ceases to be available, the Administrative Agent may specify another page or service displaying the relevant rate after consultation with the Parent Borrower.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216"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Commission promulgated thereunder.</w:t>
      </w:r>
    </w:p>
    <w:p>
      <w:pPr>
        <w:spacing w:after="0" w:line="173" w:lineRule="exact"/>
        <w:rPr>
          <w:sz w:val="20"/>
          <w:szCs w:val="20"/>
          <w:color w:val="auto"/>
        </w:rPr>
      </w:pPr>
    </w:p>
    <w:p>
      <w:pPr>
        <w:ind w:right="20"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means, with respect to any currency (other than dollars) on any date, the rate at which such currency may be exchanged into dollars, as set forth on such date on the relevant Reuters currency page at or about 11:00 A.M., London time, on such date. In the event that such rate does not appear on any Reuters currency page, the “Exchange Rate” with respect to such currency shall be determined by reference to such other publicly available service for displaying exchange rates as may be agreed upon by the Administrative Agent and the Applicable Borrower or, in the absence of such agreement, such “Exchange Rate” shall instead be the Administrative Agent’s spot rate of exchange in the interbank market where its foreign currency exchange operations in respect of such currency are then being conducted, at or about 10:00 A.M., Local Time, on such date for the purchase of dollars with such currency, for delivery two Business Days later (or such other Business Day as the Administrative Agent shall deem applicable with respect to any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at the time of any such determination, no such spot rate can reasonably be quoted, the Administrative Agent may use any reasonable method as it deems applicable to determine such rate, and such determination shall be conclusive absent manifest error.</w:t>
      </w:r>
    </w:p>
    <w:p>
      <w:pPr>
        <w:spacing w:after="0" w:line="188"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to constitute an “eligible contract participant,” as defined in the Commodity Exchange Act and the regulations thereunder, at the time the guarantee of (or grant of such security interest by, as applicable) such Loan Party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0"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the Administrative Agent, any Lender, the Issuing Bank or any other recipient of any payment to be made by or on account of any obligation of any Applicable Borrower hereunder or under any other Loan Document, (a) income or franchise taxes imposed on (or measured by) its net or overall gross income (or net worth or similar Taxes imposed in lieu thereof) by the United States of America, or by any other jurisdiction as a result of such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20"/>
          </w:cols>
          <w:pgMar w:left="320" w:top="1413" w:right="35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9"/>
          <w:szCs w:val="19"/>
          <w:color w:val="auto"/>
        </w:rPr>
        <w:t>being organized in or having its principal office in or applicable lending office in such jurisdiction, or as a result of any other present or former connection (other than a connection arising solely from this Agreement or any other Loan Document ) between such recipient and such jurisdiction, (b) any branch profits Taxes imposed by the United States of America or any similar Tax imposed by any other jurisdiction described in clause (a) above and (c) in the case of a Non-U.S. Lender (other than an assignee pursuant to a request by the Parent Borrower under Section 2.19(b)), any United States withholding Taxes resulting from any law in effect (x) at the time such Non-U.S. Lender becomes a party to this Agreement or, with respect to any additional position in any Loan acquired after such Non-U.S. Lender becomes a party hereto, at the time such additional position is acquired by such Non-U.S. Lender or (y) at the time such Non-U.S. Lender designates a new lending office, except to the extent that such Non-U.S. Lender (or its assignor, if any) was entitled, immediately prior to designation of a new lending office (or assignment), to receive additional amounts from an Applicable Borrower with respect to such United States withholding Tax pursuant to Section 2.17(a), (d) any United States withholding Tax imposed pursuant to FATCA, (e) any withholding Tax that is attributable to a recipient’s failure to comply with Section 2.17(f), (f) any Tax levied under the laws of the Netherlands to the extent such Tax becomes payable as a result of any Lender having a substantial interest (</w:t>
      </w:r>
      <w:r>
        <w:rPr>
          <w:rFonts w:ascii="Times New Roman" w:cs="Times New Roman" w:eastAsia="Times New Roman" w:hAnsi="Times New Roman"/>
          <w:sz w:val="19"/>
          <w:szCs w:val="19"/>
          <w:i w:val="1"/>
          <w:iCs w:val="1"/>
          <w:color w:val="auto"/>
        </w:rPr>
        <w:t>aanmerkelijk belang</w:t>
      </w:r>
      <w:r>
        <w:rPr>
          <w:rFonts w:ascii="Times New Roman" w:cs="Times New Roman" w:eastAsia="Times New Roman" w:hAnsi="Times New Roman"/>
          <w:sz w:val="19"/>
          <w:szCs w:val="19"/>
          <w:color w:val="auto"/>
        </w:rPr>
        <w:t>) in any Foreign Subsidiary Borrower as laid down in the Dutch Income Tax Act 2001 (</w:t>
      </w:r>
      <w:r>
        <w:rPr>
          <w:rFonts w:ascii="Times New Roman" w:cs="Times New Roman" w:eastAsia="Times New Roman" w:hAnsi="Times New Roman"/>
          <w:sz w:val="19"/>
          <w:szCs w:val="19"/>
          <w:i w:val="1"/>
          <w:iCs w:val="1"/>
          <w:color w:val="auto"/>
        </w:rPr>
        <w:t>Wet inkomstenbelasting 2001</w:t>
      </w:r>
      <w:r>
        <w:rPr>
          <w:rFonts w:ascii="Times New Roman" w:cs="Times New Roman" w:eastAsia="Times New Roman" w:hAnsi="Times New Roman"/>
          <w:sz w:val="19"/>
          <w:szCs w:val="19"/>
          <w:color w:val="auto"/>
        </w:rPr>
        <w:t>), and (g) Taxes imposed by the Netherlands in connection with or pursuant to the Dutch Withholding Tax Act 2021 (</w:t>
      </w:r>
      <w:r>
        <w:rPr>
          <w:rFonts w:ascii="Times New Roman" w:cs="Times New Roman" w:eastAsia="Times New Roman" w:hAnsi="Times New Roman"/>
          <w:sz w:val="19"/>
          <w:szCs w:val="19"/>
          <w:i w:val="1"/>
          <w:iCs w:val="1"/>
          <w:color w:val="auto"/>
        </w:rPr>
        <w:t>Wet bronbelasting 2021</w:t>
      </w:r>
      <w:r>
        <w:rPr>
          <w:rFonts w:ascii="Times New Roman" w:cs="Times New Roman" w:eastAsia="Times New Roman" w:hAnsi="Times New Roman"/>
          <w:sz w:val="19"/>
          <w:szCs w:val="19"/>
          <w:color w:val="auto"/>
        </w:rPr>
        <w:t>) in the form as at the date of this Agreement (or, where the relevant recipient becomes a party to this Agreement after the date of the Agreement, in the form as at that date).</w:t>
      </w:r>
    </w:p>
    <w:p>
      <w:pPr>
        <w:spacing w:after="0" w:line="177" w:lineRule="exact"/>
        <w:rPr>
          <w:sz w:val="20"/>
          <w:szCs w:val="20"/>
          <w:color w:val="auto"/>
        </w:rPr>
      </w:pPr>
    </w:p>
    <w:p>
      <w:pPr>
        <w:ind w:right="5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October 16, 2013 (as amended prior to the Third Restatement Date), among TriMas Company LLC, TriMas Corporation, the other loan parties party thereto, the lenders party thereto, JPMorgan Chase Bank, N.A., as administrative agent and collateral agent, and the other agents party thereto.</w:t>
      </w:r>
    </w:p>
    <w:p>
      <w:pPr>
        <w:spacing w:after="0" w:line="161"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means the letters of credit issued under the Existing Credit Agreement and outstanding as of the Third Restatement Date, which are listed on Schedule 1.01(a).</w:t>
      </w:r>
    </w:p>
    <w:p>
      <w:pPr>
        <w:spacing w:after="0" w:line="159"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Commitments</w:t>
      </w:r>
      <w:r>
        <w:rPr>
          <w:rFonts w:ascii="Times New Roman" w:cs="Times New Roman" w:eastAsia="Times New Roman" w:hAnsi="Times New Roman"/>
          <w:sz w:val="20"/>
          <w:szCs w:val="20"/>
          <w:color w:val="auto"/>
        </w:rPr>
        <w:t>” means “Revolving Commitments” outstanding under the Existing Credit Agreement immediately prior to the Third Restatement Date.</w:t>
      </w:r>
    </w:p>
    <w:p>
      <w:pPr>
        <w:spacing w:after="0" w:line="159"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Lender</w:t>
      </w:r>
      <w:r>
        <w:rPr>
          <w:rFonts w:ascii="Times New Roman" w:cs="Times New Roman" w:eastAsia="Times New Roman" w:hAnsi="Times New Roman"/>
          <w:sz w:val="20"/>
          <w:szCs w:val="20"/>
          <w:color w:val="auto"/>
        </w:rPr>
        <w:t>” means a “Revolving Lender” under the Existing Credit Agreement immediately prior to the Third Restatement Date.</w:t>
      </w:r>
    </w:p>
    <w:p>
      <w:pPr>
        <w:spacing w:after="0" w:line="159"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Loans</w:t>
      </w:r>
      <w:r>
        <w:rPr>
          <w:rFonts w:ascii="Times New Roman" w:cs="Times New Roman" w:eastAsia="Times New Roman" w:hAnsi="Times New Roman"/>
          <w:sz w:val="20"/>
          <w:szCs w:val="20"/>
          <w:color w:val="auto"/>
        </w:rPr>
        <w:t>” means “Revolving Loans” outstanding under the Existing Credit Agreement immediately prior to the Third Restatement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has the meaning assigned to such term in Section 2.23(a).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has the meaning assigned to such term in Section 2.23(a).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has the meaning assigned to such term in Section 2.23(a).</w:t>
      </w:r>
    </w:p>
    <w:p>
      <w:pPr>
        <w:spacing w:after="0" w:line="216" w:lineRule="exact"/>
        <w:rPr>
          <w:sz w:val="20"/>
          <w:szCs w:val="20"/>
          <w:color w:val="auto"/>
        </w:rPr>
      </w:pPr>
    </w:p>
    <w:p>
      <w:pPr>
        <w:ind w:right="4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(i) Sections 1471 through 1474 of the Code, as of the Third Restatement Date or any amended or successor provision that is substantively comparable and not materially more onerous to comply with, and, in each case, any regulations or official interpretations thereof, (ii) any agreements entered into pursuant to Section 1471(b)(1) of the Code as of the date this Agreement or any amended or successor provision as described in clause (i) above and (iii) any intergovernmental agreement, treaty or convention among Governmental Authorities (and any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20"/>
          </w:cols>
          <w:pgMar w:left="320" w:top="141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legislation, rules or official administrative practice) in each case implementing of the aforementioned sections of the Code.</w:t>
      </w:r>
    </w:p>
    <w:p>
      <w:pPr>
        <w:spacing w:after="0" w:line="216" w:lineRule="exact"/>
        <w:rPr>
          <w:sz w:val="20"/>
          <w:szCs w:val="20"/>
          <w:color w:val="auto"/>
        </w:rPr>
      </w:pPr>
    </w:p>
    <w:p>
      <w:pPr>
        <w:ind w:right="26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185" w:lineRule="exact"/>
        <w:rPr>
          <w:sz w:val="20"/>
          <w:szCs w:val="20"/>
          <w:color w:val="auto"/>
        </w:rPr>
      </w:pPr>
    </w:p>
    <w:p>
      <w:pPr>
        <w:ind w:right="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Holdings or the Parent Borrower, as applicable.</w:t>
      </w:r>
    </w:p>
    <w:p>
      <w:pPr>
        <w:spacing w:after="0" w:line="159" w:lineRule="exact"/>
        <w:rPr>
          <w:sz w:val="20"/>
          <w:szCs w:val="20"/>
          <w:color w:val="auto"/>
        </w:rPr>
      </w:pPr>
    </w:p>
    <w:p>
      <w:pPr>
        <w:ind w:right="8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Financing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any change in GAAP after the Restatement Date that would require lease obligations that would have been characterized and accounted for as operating leases in accordance with GAAP as in effect on the Restatement Date to be characterized and accounted for as Financing Lease Obligations shall be disregarded for purposes hereof.</w:t>
      </w:r>
    </w:p>
    <w:p>
      <w:pPr>
        <w:spacing w:after="0" w:line="18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66"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the benchmark rate floor, if any, provided in this Agreement initially (as of the execution of this Agreement, the modification, amendment or renewal of this Agreement or otherwise) with respect to Adjusted Term SOFR Rate, Adjusted EURIBOR Rate, each Adjusted Daily Simple RFR or the Central Bank Rate, as applicable. For the avoidance of doubt, the initial Floor for each of the Adjusted Term SOFR Rate, Adjusted EURIBOR Rate, each Adjusted Daily Simple RFR and the Central Bank Rate shall be 0.00%.</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w:t>
      </w:r>
      <w:r>
        <w:rPr>
          <w:rFonts w:ascii="Times New Roman" w:cs="Times New Roman" w:eastAsia="Times New Roman" w:hAnsi="Times New Roman"/>
          <w:sz w:val="20"/>
          <w:szCs w:val="20"/>
          <w:color w:val="auto"/>
        </w:rPr>
        <w:t>” means Pounds Sterling and the Euro.</w:t>
      </w:r>
    </w:p>
    <w:p>
      <w:pPr>
        <w:spacing w:after="0" w:line="216" w:lineRule="exact"/>
        <w:rPr>
          <w:sz w:val="20"/>
          <w:szCs w:val="20"/>
          <w:color w:val="auto"/>
        </w:rPr>
      </w:pPr>
    </w:p>
    <w:p>
      <w:pPr>
        <w:ind w:right="4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Lenders</w:t>
      </w:r>
      <w:r>
        <w:rPr>
          <w:rFonts w:ascii="Times New Roman" w:cs="Times New Roman" w:eastAsia="Times New Roman" w:hAnsi="Times New Roman"/>
          <w:sz w:val="20"/>
          <w:szCs w:val="20"/>
          <w:color w:val="auto"/>
        </w:rPr>
        <w:t>” means the Fronting Lender and, with respect to any Foreign Currency, each other Lender as may be designated in writing by the Parent Borrower as a Foreign Currency Lender with respect to such Foreign Currency which agrees in writing to act as such in accordance with the terms hereof and are reasonably acceptable to the Administrative Agent (which Foreign Currency Lenders, as of the Third Restatement Date, are listed on Schedule 1.01(c)), or any of their respective affiliates, in each case in their capacities as the lenders of Foreign Currency Loans pursuant to Section 2.01(a).</w:t>
      </w:r>
    </w:p>
    <w:p>
      <w:pPr>
        <w:spacing w:after="0" w:line="186"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Loan Participants</w:t>
      </w:r>
      <w:r>
        <w:rPr>
          <w:rFonts w:ascii="Times New Roman" w:cs="Times New Roman" w:eastAsia="Times New Roman" w:hAnsi="Times New Roman"/>
          <w:sz w:val="20"/>
          <w:szCs w:val="20"/>
          <w:color w:val="auto"/>
        </w:rPr>
        <w:t>” means, with respect to each Foreign Currency Loan, the collective reference to all Revolving Lenders other than the Foreign Currency Lenders with respect to such Foreign Currency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80"/>
          </w:cols>
          <w:pgMar w:left="320" w:top="1413" w:right="39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Loans</w:t>
      </w:r>
      <w:r>
        <w:rPr>
          <w:rFonts w:ascii="Times New Roman" w:cs="Times New Roman" w:eastAsia="Times New Roman" w:hAnsi="Times New Roman"/>
          <w:sz w:val="20"/>
          <w:szCs w:val="20"/>
          <w:color w:val="auto"/>
        </w:rPr>
        <w:t>” means Revolving Loans denominated in any Foreign Currency.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Participation Fee</w:t>
      </w:r>
      <w:r>
        <w:rPr>
          <w:rFonts w:ascii="Times New Roman" w:cs="Times New Roman" w:eastAsia="Times New Roman" w:hAnsi="Times New Roman"/>
          <w:sz w:val="20"/>
          <w:szCs w:val="20"/>
          <w:color w:val="auto"/>
        </w:rPr>
        <w:t>” has the meaning assigned to such term in Section 2.12(e).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Participating Interest</w:t>
      </w:r>
      <w:r>
        <w:rPr>
          <w:rFonts w:ascii="Times New Roman" w:cs="Times New Roman" w:eastAsia="Times New Roman" w:hAnsi="Times New Roman"/>
          <w:sz w:val="20"/>
          <w:szCs w:val="20"/>
          <w:color w:val="auto"/>
        </w:rPr>
        <w:t>” has the meaning assigned to such term in Section 2.24(a).</w:t>
      </w:r>
    </w:p>
    <w:p>
      <w:pPr>
        <w:spacing w:after="0" w:line="216"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Revolving Exposure</w:t>
      </w:r>
      <w:r>
        <w:rPr>
          <w:rFonts w:ascii="Times New Roman" w:cs="Times New Roman" w:eastAsia="Times New Roman" w:hAnsi="Times New Roman"/>
          <w:sz w:val="20"/>
          <w:szCs w:val="20"/>
          <w:color w:val="auto"/>
        </w:rPr>
        <w:t>” means, with respect to any Revolving Lender at any time, the sum of (a) the LC Exposure of such Lender in respect of Letters of Credit denominated in LC Foreign Currencies and (b) such Lender’s Applicable Percentage of the Dollar Equivalent of the aggregate principal amount of Foreign Currency Loans outstanding at such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$125,000,000.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Obligations</w:t>
      </w:r>
      <w:r>
        <w:rPr>
          <w:rFonts w:ascii="Times New Roman" w:cs="Times New Roman" w:eastAsia="Times New Roman" w:hAnsi="Times New Roman"/>
          <w:sz w:val="20"/>
          <w:szCs w:val="20"/>
          <w:color w:val="auto"/>
        </w:rPr>
        <w:t>” means any Obligations owing by any Foreign Subsidiary Borrower.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Security Collateral and Guarantee Requirement</w:t>
      </w:r>
      <w:r>
        <w:rPr>
          <w:rFonts w:ascii="Times New Roman" w:cs="Times New Roman" w:eastAsia="Times New Roman" w:hAnsi="Times New Roman"/>
          <w:sz w:val="20"/>
          <w:szCs w:val="20"/>
          <w:color w:val="auto"/>
        </w:rPr>
        <w:t>” means the requirement that:</w:t>
      </w:r>
    </w:p>
    <w:p>
      <w:pPr>
        <w:spacing w:after="0" w:line="216" w:lineRule="exact"/>
        <w:rPr>
          <w:sz w:val="20"/>
          <w:szCs w:val="20"/>
          <w:color w:val="auto"/>
        </w:rPr>
      </w:pPr>
    </w:p>
    <w:p>
      <w:pPr>
        <w:ind w:left="660" w:firstLine="644"/>
        <w:spacing w:after="0" w:line="243" w:lineRule="auto"/>
        <w:tabs>
          <w:tab w:leader="none" w:pos="17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have received from the applicable Foreign Subsidiary Borrower and its subsidiaries that are organized under the same jurisdiction of a Foreign Subsidiary Borrower a counterpart of each Foreign Security Document relating to the assets (including the Equity Interests of its subsidiaries) of such Foreign Subsidiary Borrower, excluding assets as to which the Collateral Agent shall determine in its reasonable discretion, after consultation with the Parent Borrower, that the costs and burdens of obtaining a security interest are excessive in relation to the value of the security afforded thereby;</w:t>
      </w:r>
    </w:p>
    <w:p>
      <w:pPr>
        <w:spacing w:after="0" w:line="185" w:lineRule="exact"/>
        <w:rPr>
          <w:rFonts w:ascii="Times New Roman" w:cs="Times New Roman" w:eastAsia="Times New Roman" w:hAnsi="Times New Roman"/>
          <w:sz w:val="20"/>
          <w:szCs w:val="20"/>
          <w:color w:val="auto"/>
        </w:rPr>
      </w:pPr>
    </w:p>
    <w:p>
      <w:pPr>
        <w:ind w:left="660" w:right="140" w:firstLine="644"/>
        <w:spacing w:after="0" w:line="249" w:lineRule="auto"/>
        <w:tabs>
          <w:tab w:leader="none" w:pos="173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and instruments (including legal opinions) required by law or reasonably requested by the Collateral Agent to be filed, registered or recorded to create the Liens intended to be created over the assets specified in clause (a) above and perfect such Liens to the extent required by, and with priority required by, such Foreign Security Documents, shall have been filed, registered or recorded or delivered to the Collateral Agent for filing, registration or recording;</w:t>
      </w:r>
    </w:p>
    <w:p>
      <w:pPr>
        <w:spacing w:after="0" w:line="166" w:lineRule="exact"/>
        <w:rPr>
          <w:rFonts w:ascii="Times New Roman" w:cs="Times New Roman" w:eastAsia="Times New Roman" w:hAnsi="Times New Roman"/>
          <w:sz w:val="20"/>
          <w:szCs w:val="20"/>
          <w:color w:val="auto"/>
        </w:rPr>
      </w:pPr>
    </w:p>
    <w:p>
      <w:pPr>
        <w:ind w:left="660" w:right="20" w:firstLine="644"/>
        <w:spacing w:after="0" w:line="244" w:lineRule="auto"/>
        <w:tabs>
          <w:tab w:leader="none" w:pos="17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Subsidiary Borrower and its subsidiaries that are organized under the same jurisdiction of a Foreign Subsidiary Borrower shall become a guarantor of the obligations under the Loan Documents of other Foreign Subsidiary Borrowers, if any, under a guarantee agreement reasonably acceptable to the Collateral Agent, in either case duly executed and delivered on behalf of such Foreign Subsidiary Borrower and such subsidiaries, except that such guarantee shall not be required if the Collateral Agent shall determine in its reasonable discretion, after consultation with the Parent Borrower, that the benefits of such a guarantee are limited and such limited benefits are not justified in relation to the burdens imposed by such guarantee on the Parent Borrower and its Subsidiaries; and</w:t>
      </w:r>
    </w:p>
    <w:p>
      <w:pPr>
        <w:spacing w:after="0" w:line="172" w:lineRule="exact"/>
        <w:rPr>
          <w:rFonts w:ascii="Times New Roman" w:cs="Times New Roman" w:eastAsia="Times New Roman" w:hAnsi="Times New Roman"/>
          <w:sz w:val="20"/>
          <w:szCs w:val="20"/>
          <w:color w:val="auto"/>
        </w:rPr>
      </w:pPr>
    </w:p>
    <w:p>
      <w:pPr>
        <w:ind w:left="660" w:right="140" w:firstLine="644"/>
        <w:spacing w:after="0" w:line="254" w:lineRule="auto"/>
        <w:tabs>
          <w:tab w:leader="none" w:pos="173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Subsidiary Borrower shall have obtained all consents and approvals required to be obtained by it in connection with the execution and delivery of such Foreign Security Documents, the performance of its obligations thereunder and the granting by it of the Liens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60"/>
          </w:cols>
          <w:pgMar w:left="320" w:top="1413" w:right="419" w:bottom="1440" w:gutter="0" w:footer="0" w:header="0"/>
        </w:sectPr>
      </w:pPr>
    </w:p>
    <w:bookmarkStart w:id="84" w:name="page85"/>
    <w:bookmarkEnd w:id="84"/>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Security Documents</w:t>
      </w:r>
      <w:r>
        <w:rPr>
          <w:rFonts w:ascii="Times New Roman" w:cs="Times New Roman" w:eastAsia="Times New Roman" w:hAnsi="Times New Roman"/>
          <w:sz w:val="20"/>
          <w:szCs w:val="20"/>
          <w:color w:val="auto"/>
        </w:rPr>
        <w:t>” means any agreement or instrument entered into by any Foreign Subsidiary Borrower that is reasonably requested by the Collateral Agent providing for a Lien over the assets (including shares of other Subsidiaries) of such Foreign Subsidiary Borrower.</w:t>
      </w:r>
    </w:p>
    <w:p>
      <w:pPr>
        <w:spacing w:after="0" w:line="174"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organized under the laws of a jurisdiction other than the United States of America or any State thereof or the District of Columbia.</w:t>
      </w:r>
    </w:p>
    <w:p>
      <w:pPr>
        <w:spacing w:after="0" w:line="173" w:lineRule="exact"/>
        <w:rPr>
          <w:sz w:val="20"/>
          <w:szCs w:val="20"/>
          <w:color w:val="auto"/>
        </w:rPr>
      </w:pPr>
    </w:p>
    <w:p>
      <w:pPr>
        <w:ind w:right="40"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Borrowers</w:t>
      </w:r>
      <w:r>
        <w:rPr>
          <w:rFonts w:ascii="Times New Roman" w:cs="Times New Roman" w:eastAsia="Times New Roman" w:hAnsi="Times New Roman"/>
          <w:sz w:val="20"/>
          <w:szCs w:val="20"/>
          <w:color w:val="auto"/>
        </w:rPr>
        <w:t xml:space="preserve"> ” means any wholly owned Foreign Subsidiary of the Parent Borrower organized under the laws of England and Wales, any member nation of the European Union or any other nation in Europe reasonably acceptable to the Collateral Agent that becomes a party to this Agreement in accordance with the requirements set forth in Section 2.20 and that has not ceased to be a Foreign Subsidiary Borrower pursuant to such Section (it being understood that as of the Third Restatement Date, each of Rieke Nederland Holdings B.V., Rieke Packaging Systems Limited and TriMas Corporation Limited is a Foreign Subsidiary Borrower).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Borrowing Agreement</w:t>
      </w:r>
      <w:r>
        <w:rPr>
          <w:rFonts w:ascii="Times New Roman" w:cs="Times New Roman" w:eastAsia="Times New Roman" w:hAnsi="Times New Roman"/>
          <w:sz w:val="20"/>
          <w:szCs w:val="20"/>
          <w:color w:val="auto"/>
        </w:rPr>
        <w:t>” means an agreement substantially in the form of Exhibit C.</w:t>
      </w:r>
    </w:p>
    <w:p>
      <w:pPr>
        <w:spacing w:after="0" w:line="202"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Freely Transferable</w:t>
      </w:r>
      <w:r>
        <w:rPr>
          <w:rFonts w:ascii="Times New Roman" w:cs="Times New Roman" w:eastAsia="Times New Roman" w:hAnsi="Times New Roman"/>
          <w:sz w:val="20"/>
          <w:szCs w:val="20"/>
          <w:color w:val="auto"/>
        </w:rPr>
        <w:t>” with respect to Permitted Investments, means that such cash and Permitted Investments are either located in the United States or freely transferable to the United States.</w:t>
      </w:r>
    </w:p>
    <w:p>
      <w:pPr>
        <w:spacing w:after="0" w:line="159" w:lineRule="exact"/>
        <w:rPr>
          <w:sz w:val="20"/>
          <w:szCs w:val="20"/>
          <w:color w:val="auto"/>
        </w:rPr>
      </w:pPr>
    </w:p>
    <w:p>
      <w:pPr>
        <w:jc w:val="both"/>
        <w:ind w:right="3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Fronted Foreign Currency Loans</w:t>
      </w:r>
      <w:r>
        <w:rPr>
          <w:rFonts w:ascii="Times New Roman" w:cs="Times New Roman" w:eastAsia="Times New Roman" w:hAnsi="Times New Roman"/>
          <w:sz w:val="19"/>
          <w:szCs w:val="19"/>
          <w:color w:val="auto"/>
        </w:rPr>
        <w:t>” means the Foreign Currency Loans made by the Fronting Lender (other than Foreign Currency Loans made by it in an amount equal to the Fronting Lender’s Applicable Percentage of outstanding Foreign Currency Loans).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Lender</w:t>
      </w:r>
      <w:r>
        <w:rPr>
          <w:rFonts w:ascii="Times New Roman" w:cs="Times New Roman" w:eastAsia="Times New Roman" w:hAnsi="Times New Roman"/>
          <w:sz w:val="20"/>
          <w:szCs w:val="20"/>
          <w:color w:val="auto"/>
        </w:rPr>
        <w:t>” means JPMorgan Chase Bank, N.A.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16"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shall not include endorsements for collection or deposit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60"/>
          </w:cols>
          <w:pgMar w:left="320" w:top="1413" w:right="419" w:bottom="1440" w:gutter="0" w:footer="0" w:header="0"/>
        </w:sectPr>
      </w:pPr>
    </w:p>
    <w:bookmarkStart w:id="85" w:name="page86"/>
    <w:bookmarkEnd w:id="85"/>
    <w:p>
      <w:pPr>
        <w:ind w:right="40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Agreement</w:t>
      </w:r>
      <w:r>
        <w:rPr>
          <w:rFonts w:ascii="Times New Roman" w:cs="Times New Roman" w:eastAsia="Times New Roman" w:hAnsi="Times New Roman"/>
          <w:sz w:val="19"/>
          <w:szCs w:val="19"/>
          <w:color w:val="auto"/>
        </w:rPr>
        <w:t>” means the Guarantee Agreement, substantially in the form of Exhibit D, made by Holdings, the Parent Borrower and the Subsidiary Loan Parties party thereto in favor of the Collateral Agent for the benefit of the Secured Parties.</w:t>
      </w:r>
    </w:p>
    <w:p>
      <w:pPr>
        <w:spacing w:after="0" w:line="138" w:lineRule="exact"/>
        <w:rPr>
          <w:sz w:val="20"/>
          <w:szCs w:val="20"/>
          <w:color w:val="auto"/>
        </w:rPr>
      </w:pPr>
    </w:p>
    <w:p>
      <w:pPr>
        <w:ind w:right="8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radioactive,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rate protection agreement, foreign currency exchange agreement, commodity price protection agreement or other interest or currency exchange rate or commodity price hedging arrangement.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means TriMas Corporation, a Delaware corporation.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Lender</w:t>
      </w:r>
      <w:r>
        <w:rPr>
          <w:rFonts w:ascii="Times New Roman" w:cs="Times New Roman" w:eastAsia="Times New Roman" w:hAnsi="Times New Roman"/>
          <w:sz w:val="20"/>
          <w:szCs w:val="20"/>
          <w:color w:val="auto"/>
        </w:rPr>
        <w:t>” has the meaning assigned to such term in Section 2.26.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means an Incremental Revolving Commitment.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has the meaning assigned to such term in Section 6.01(a)(xx).</w:t>
      </w:r>
    </w:p>
    <w:p>
      <w:pPr>
        <w:spacing w:after="0" w:line="202" w:lineRule="exact"/>
        <w:rPr>
          <w:sz w:val="20"/>
          <w:szCs w:val="20"/>
          <w:color w:val="auto"/>
        </w:rPr>
      </w:pPr>
    </w:p>
    <w:p>
      <w:pPr>
        <w:jc w:val="both"/>
        <w:ind w:right="8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Agreement</w:t>
      </w:r>
      <w:r>
        <w:rPr>
          <w:rFonts w:ascii="Times New Roman" w:cs="Times New Roman" w:eastAsia="Times New Roman" w:hAnsi="Times New Roman"/>
          <w:sz w:val="20"/>
          <w:szCs w:val="20"/>
          <w:color w:val="auto"/>
        </w:rPr>
        <w:t>” means an Incremental Facility Agreement, in form and substance reasonably satisfactory to the Administrative Agent, among Holdings, the Parent Borrower and the Foreign Subsidiary Borrowers, if any, the Administrative Agent and one or more Incremental Lenders, establishing Incremental Revolving Commitments and effecting such other amendments hereto and to the other Loan Documents as are contemplated by Section 2.21.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means an Incremental Revolving Lender.</w:t>
      </w:r>
    </w:p>
    <w:p>
      <w:pPr>
        <w:spacing w:after="0" w:line="216" w:lineRule="exact"/>
        <w:rPr>
          <w:sz w:val="20"/>
          <w:szCs w:val="20"/>
          <w:color w:val="auto"/>
        </w:rPr>
      </w:pPr>
    </w:p>
    <w:p>
      <w:pPr>
        <w:ind w:right="32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means, with respect to any Lender, the commitment, if any, of such Lender, established pursuant to an Incremental Facility Agreement and Section 2.21, to make Revolving Loans and to acquire participations in Letters of Credit and Swingline Loans hereunder, expressed as an amount representing the maximum aggregate permitted amount of such Lender’s Revolving Exposure under such Incremental Facility Agreement.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means a Lender with an Incremental Revolving Commitment.</w:t>
      </w:r>
    </w:p>
    <w:p>
      <w:pPr>
        <w:spacing w:after="0" w:line="216"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Financing Lease Obligations of such Person, (i) all obligations, contingent or otherwise, of such Person as an account party in respect of letters of credit and letters of guaranty, (j) all obligations, contingent or otherwise,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20"/>
          </w:cols>
          <w:pgMar w:left="320" w:top="141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Person in respect of bankers’ acceptances and (k) obligations in respect of Swaps and Hedging Agreements in excess of</w:t>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5,000,000</w:t>
      </w:r>
      <w:r>
        <w:rPr>
          <w:rFonts w:ascii="Times New Roman" w:cs="Times New Roman" w:eastAsia="Times New Roman" w:hAnsi="Times New Roman"/>
          <w:sz w:val="19"/>
          <w:szCs w:val="19"/>
          <w:u w:val="single" w:color="auto"/>
          <w:color w:val="0000FF"/>
        </w:rPr>
        <w:t>25,000,000</w:t>
      </w:r>
      <w:r>
        <w:rPr>
          <w:rFonts w:ascii="Times New Roman" w:cs="Times New Roman" w:eastAsia="Times New Roman" w:hAnsi="Times New Roman"/>
          <w:sz w:val="19"/>
          <w:szCs w:val="19"/>
          <w:color w:val="auto"/>
        </w:rPr>
        <w:t xml:space="preserve"> in the aggregate (it being understood that the amount of obligations in respect of Swaps and Hedging Agreements shall be calculated as of any date of determination as the maximum aggregate amount (giving effect to any netting agreements) that Holdings, the Parent Borrower or the applicable Subsidiary would be required to pay if all Swaps and Hedging Agreements were terminated at such time).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anything to the contrary in this paragraph, the term “</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shall not include (a) agreements providing for indemnification, purchase price adjustments or similar obligations incurred or assumed in connection with the acquisition or disposition of assets or capital stock; (b) trade payables and accrued expenses in each case arising in the ordinary course of business; (c) earn-out obligations until any such obligation becomes a liability on the balance sheet; (d) deferred or prepaid revenues; (e) purchase price holdbacks in respect of a portion of the purchase price of an asset to satisfy warranty or other unperformed obligations of the respective seller; (f) deferred compensation to employees of the Parent Borrower or any Subsidiary incurred in the ordinary course of business; (g) Non-Financing Lease Obligations and (h) indebtedness that has been defeased and/or discharged in accordance with its terms by the deposit of cash, cash equivalents and/or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any Taxes, other than Excluded Taxes, and (b) Other Taxes.</w:t>
      </w:r>
    </w:p>
    <w:p>
      <w:pPr>
        <w:spacing w:after="0" w:line="216" w:lineRule="exact"/>
        <w:rPr>
          <w:sz w:val="20"/>
          <w:szCs w:val="20"/>
          <w:color w:val="auto"/>
        </w:rPr>
      </w:pPr>
    </w:p>
    <w:p>
      <w:pPr>
        <w:ind w:right="44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Indemnity, Subrogation and Contribution Agreement</w:t>
      </w:r>
      <w:r>
        <w:rPr>
          <w:rFonts w:ascii="Times New Roman" w:cs="Times New Roman" w:eastAsia="Times New Roman" w:hAnsi="Times New Roman"/>
          <w:sz w:val="19"/>
          <w:szCs w:val="19"/>
          <w:color w:val="auto"/>
        </w:rPr>
        <w:t>” means the Indemnity, Subrogation and Contribution Agreement, substantially in the form of Exhibit E, among the Parent Borrower, the Subsidiary Loan Parties party thereto and the Collateral Agent.</w:t>
      </w:r>
    </w:p>
    <w:p>
      <w:pPr>
        <w:spacing w:after="0" w:line="138"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Confidential Information Memorandum dated February 2021, relating to the Parent Borrower and the Transactions.</w:t>
      </w:r>
    </w:p>
    <w:p>
      <w:pPr>
        <w:spacing w:after="0" w:line="173"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Parent Borrower or a Foreign Subsidiary Borrower, as the case may be, to convert or continue a Revolving Loan in accordance with Section 2.07.</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Expense Coverage Ratio</w:t>
      </w:r>
      <w:r>
        <w:rPr>
          <w:rFonts w:ascii="Times New Roman" w:cs="Times New Roman" w:eastAsia="Times New Roman" w:hAnsi="Times New Roman"/>
          <w:sz w:val="20"/>
          <w:szCs w:val="20"/>
          <w:color w:val="auto"/>
        </w:rPr>
        <w:t>” means, as of the last day of any fiscal quarter, the ratio of (a) Consolidated EBITDA to</w:t>
      </w:r>
    </w:p>
    <w:p>
      <w:pPr>
        <w:spacing w:after="0" w:line="22" w:lineRule="exact"/>
        <w:rPr>
          <w:sz w:val="20"/>
          <w:szCs w:val="20"/>
          <w:color w:val="auto"/>
        </w:rPr>
      </w:pPr>
    </w:p>
    <w:p>
      <w:pPr>
        <w:ind w:right="460" w:firstLine="8"/>
        <w:spacing w:after="0" w:line="246" w:lineRule="auto"/>
        <w:tabs>
          <w:tab w:leader="none" w:pos="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Consolidated Cash Interest Expense and (ii) Preferred Dividends, in each case for the period of four consecutive fiscal quarters then ended.</w:t>
      </w:r>
    </w:p>
    <w:p>
      <w:pPr>
        <w:spacing w:after="0" w:line="182"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(other than a Swingline Loan), the last day of each March, June, September and December,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w:t>
      </w:r>
    </w:p>
    <w:p>
      <w:pPr>
        <w:spacing w:after="0" w:line="178" w:lineRule="exact"/>
        <w:rPr>
          <w:sz w:val="20"/>
          <w:szCs w:val="20"/>
          <w:color w:val="auto"/>
        </w:rPr>
      </w:pPr>
    </w:p>
    <w:p>
      <w:pPr>
        <w:ind w:right="6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with respect to any Term Benchmark Borrowing, the period commencing on the date of such Borrowing and ending on the numerically corresponding day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87" w:name="page88"/>
    <w:bookmarkEnd w:id="87"/>
    <w:p>
      <w:pPr>
        <w:spacing w:after="0" w:line="239" w:lineRule="auto"/>
        <w:rPr>
          <w:sz w:val="20"/>
          <w:szCs w:val="20"/>
          <w:color w:val="auto"/>
        </w:rPr>
      </w:pPr>
      <w:r>
        <w:rPr>
          <w:rFonts w:ascii="Times New Roman" w:cs="Times New Roman" w:eastAsia="Times New Roman" w:hAnsi="Times New Roman"/>
          <w:sz w:val="20"/>
          <w:szCs w:val="20"/>
          <w:color w:val="auto"/>
        </w:rPr>
        <w:t xml:space="preserve">calendar month that is one, three or six months thereafter (or such other period as may be consented to by all of the Lenders of the applicable Class for the affected Borrowings; provided that if the Lenders elect any such other period, Adjusted Term SOFR shall be calculated without interpolation and the Term SOFR Rate shall be determined (i) if such other interest period is less than 1 month, pursuant to a 1-month interest period, (ii) if such other interest period is more than 1 month but less than 3 months, pursuant to a 3-month interest period, and (iii) otherwise, pursuant to a 6-month interest period) (in each case, subject to the availability of the Benchmark applicable to the relevant Loan or Commitment for any Agreed Currency), as the Parent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right="4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such issuance).</w:t>
      </w:r>
    </w:p>
    <w:p>
      <w:pPr>
        <w:spacing w:after="0" w:line="159" w:lineRule="exact"/>
        <w:rPr>
          <w:sz w:val="20"/>
          <w:szCs w:val="20"/>
          <w:color w:val="auto"/>
        </w:rPr>
      </w:pPr>
    </w:p>
    <w:p>
      <w:pPr>
        <w:ind w:right="2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any of JPMCB, Bank of Montreal, Bank of America, N.A. or Wells Fargo Bank, National Association, each in its capacity as an issuer of Letters of Credit hereunder, and their respective successors in such capacity as provided in Section 2.05(i). Any Issuing Bank may, in its discretion, arrange for one or more Letters of Credit to be issued by Affiliates of such Issuing Bank and in each such case the term “</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shall include any such Affiliate with respect to Letters of Credit issued by such Affiliate. References herein and in the other Loan Documents to the Issuing Bank shall be deemed to refer to the Issuing Bank in respect of the applicable Letter of Credit or to all Issuing Banks, as the context requires. Notwithstanding the foregoing, each institution listed on Schedule 1.01(a) shall be deemed to be an Issuing Bank with respect to the Existing Letters of Credit issued by 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United Kingdom Income Tax Act 2007.</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JPMCB</w:t>
      </w:r>
      <w:r>
        <w:rPr>
          <w:rFonts w:ascii="Times New Roman" w:cs="Times New Roman" w:eastAsia="Times New Roman" w:hAnsi="Times New Roman"/>
          <w:sz w:val="20"/>
          <w:szCs w:val="20"/>
          <w:color w:val="auto"/>
        </w:rPr>
        <w:t>” means JPMorgan Chase Bank, N.A.</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has the meaning assigned to such term in Section 10.14.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 Conversion Date</w:t>
      </w:r>
      <w:r>
        <w:rPr>
          <w:rFonts w:ascii="Times New Roman" w:cs="Times New Roman" w:eastAsia="Times New Roman" w:hAnsi="Times New Roman"/>
          <w:sz w:val="20"/>
          <w:szCs w:val="20"/>
          <w:color w:val="auto"/>
        </w:rPr>
        <w:t>” has the meaning assigned to such term in Section 10.14.</w:t>
      </w:r>
    </w:p>
    <w:p>
      <w:pPr>
        <w:spacing w:after="0" w:line="216"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Date applicable to any Loans outstanding or Commitments in effect hereunder.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the Issuing Bank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20"/>
          </w:cols>
          <w:pgMar w:left="320" w:top="1413" w:right="359" w:bottom="1440" w:gutter="0" w:footer="0" w:header="0"/>
        </w:sectPr>
      </w:pPr>
    </w:p>
    <w:bookmarkStart w:id="88" w:name="page89"/>
    <w:bookmarkEnd w:id="88"/>
    <w:p>
      <w:pPr>
        <w:ind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the sum of (a) the aggregate undrawn amount of all outstanding Letters of Credit (including the aggregate Dollar Equivalent of the undrawn amount of all outstanding Letters of Credit denominated in LC Foreign Currencies) at such time plus (b) the aggregate amount of all LC Disbursements (including the Dollar Equivalent of the amount of LC Disbursements made in LC Foreign Currencies) that have not yet been reimbursed by or on behalf of the Parent Borrower at such time. The LC Exposure of any Revolving Lender at any time shall be its Applicable Percentage of the total LC Exposure at such time (including, for the avoidance of doubt, such Revolving Lender’s Applicable Percentage of the Dollar Equivalent of the total LC Exposure denominated in an LC Foreign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that any tranche of Revolving Commitments has terminated or been expired and there is LC Exposure outstanding under such tranche of Revolving Commitments, the LC Exposure of any Revolving Lender under such tranche of Revolving Commitments at any time shall be an amount equal to its percentage of the total LC Exposure under such tranche represented by such Lender’s Revolving Commitment most recently in effect, giving effect to any assignments;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Foreign Currency</w:t>
      </w:r>
      <w:r>
        <w:rPr>
          <w:rFonts w:ascii="Times New Roman" w:cs="Times New Roman" w:eastAsia="Times New Roman" w:hAnsi="Times New Roman"/>
          <w:sz w:val="20"/>
          <w:szCs w:val="20"/>
          <w:color w:val="auto"/>
        </w:rPr>
        <w:t>” means Pounds Sterling and the Euro.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Reserve Account</w:t>
      </w:r>
      <w:r>
        <w:rPr>
          <w:rFonts w:ascii="Times New Roman" w:cs="Times New Roman" w:eastAsia="Times New Roman" w:hAnsi="Times New Roman"/>
          <w:sz w:val="20"/>
          <w:szCs w:val="20"/>
          <w:color w:val="auto"/>
        </w:rPr>
        <w:t>” has the meaning assigned to such term in Section 9.02(a).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means $40,000,000.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has the meaning assigned to such term in Section 1.05.</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has the meaning assigned to such term in Section 1.05.</w:t>
      </w:r>
    </w:p>
    <w:p>
      <w:pPr>
        <w:spacing w:after="0" w:line="202"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Affiliate</w:t>
      </w:r>
      <w:r>
        <w:rPr>
          <w:rFonts w:ascii="Times New Roman" w:cs="Times New Roman" w:eastAsia="Times New Roman" w:hAnsi="Times New Roman"/>
          <w:sz w:val="19"/>
          <w:szCs w:val="19"/>
          <w:color w:val="auto"/>
        </w:rPr>
        <w:t>” means,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that invests in bank loans and similar extensions of credit, any other fund that invests in bank loans and similar extensions of credit and is managed by the same investment advisor as such Lender or by an Affiliate of such investment advisor.</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such term in Section 10.03.</w:t>
      </w:r>
    </w:p>
    <w:p>
      <w:pPr>
        <w:spacing w:after="0" w:line="216" w:lineRule="exact"/>
        <w:rPr>
          <w:sz w:val="20"/>
          <w:szCs w:val="20"/>
          <w:color w:val="auto"/>
        </w:rPr>
      </w:pPr>
    </w:p>
    <w:p>
      <w:pPr>
        <w:ind w:right="8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the Persons listed on Schedule 2.01 and any other Person that shall have become a party hereto pursuant to an Assignment and Assumption or an Incremental Facility Agreement, as the case may be, other than any such Person that ceases to be a party hereto pursuant to an Assignment and Assumption. Unless the context otherwise requires, the term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includes the Swingline Lenders and the Fronting Lender.</w:t>
      </w:r>
    </w:p>
    <w:p>
      <w:pPr>
        <w:spacing w:after="0" w:line="185" w:lineRule="exact"/>
        <w:rPr>
          <w:sz w:val="20"/>
          <w:szCs w:val="20"/>
          <w:color w:val="auto"/>
        </w:rPr>
      </w:pPr>
    </w:p>
    <w:p>
      <w:pPr>
        <w:ind w:right="58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issued pursuant to this Agreement. Each Existing Letter of Credit shall be deemed to constitute a Letter of Credit issued hereunder as of the Third Restatement Date for all purposes of the Loan Documents.</w:t>
      </w:r>
    </w:p>
    <w:p>
      <w:pPr>
        <w:spacing w:after="0" w:line="13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means, on any date, the ratio of (a) Total Indebtedness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89" w:name="page90"/>
    <w:bookmarkEnd w:id="89"/>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for purposes of Section 10.03, any losses, claims (including intraparty claims), demands, damages or liabilities of any kind.</w:t>
      </w:r>
    </w:p>
    <w:p>
      <w:pPr>
        <w:spacing w:after="0" w:line="159"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in the case of securities, any purchase option, call or similar right of a third party with respect to such securities.</w:t>
      </w:r>
    </w:p>
    <w:p>
      <w:pPr>
        <w:spacing w:after="0" w:line="194"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Conditionality Acquisition</w:t>
      </w:r>
      <w:r>
        <w:rPr>
          <w:rFonts w:ascii="Times New Roman" w:cs="Times New Roman" w:eastAsia="Times New Roman" w:hAnsi="Times New Roman"/>
          <w:sz w:val="20"/>
          <w:szCs w:val="20"/>
          <w:color w:val="auto"/>
        </w:rPr>
        <w:t>” means an acquisition permitted by this Agreement for which the Parent Borrower has determined, in good faith, that limited conditionality is reasonably necessary.</w:t>
      </w:r>
    </w:p>
    <w:p>
      <w:pPr>
        <w:spacing w:after="0" w:line="159" w:lineRule="exact"/>
        <w:rPr>
          <w:sz w:val="20"/>
          <w:szCs w:val="20"/>
          <w:color w:val="auto"/>
        </w:rPr>
      </w:pPr>
    </w:p>
    <w:p>
      <w:pPr>
        <w:ind w:right="6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Conditionality Acquisition Agreement</w:t>
      </w:r>
      <w:r>
        <w:rPr>
          <w:rFonts w:ascii="Times New Roman" w:cs="Times New Roman" w:eastAsia="Times New Roman" w:hAnsi="Times New Roman"/>
          <w:sz w:val="20"/>
          <w:szCs w:val="20"/>
          <w:color w:val="auto"/>
        </w:rPr>
        <w:t>” means, with respect to any Limited Conditionality Acquisition, the definitive acquisition documentation in respect thereof.</w:t>
      </w:r>
    </w:p>
    <w:p>
      <w:pPr>
        <w:spacing w:after="0" w:line="159" w:lineRule="exact"/>
        <w:rPr>
          <w:sz w:val="20"/>
          <w:szCs w:val="20"/>
          <w:color w:val="auto"/>
        </w:rPr>
      </w:pPr>
    </w:p>
    <w:p>
      <w:pPr>
        <w:ind w:right="46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the Replacement Revolving Facility Amendment, the Second Replacement Revolving Facility Amendment, the Eighth Amendment, any Incremental Facility Agreement, any Foreign Subsidiary Borrowing Agreement, the Security Documents</w:t>
      </w:r>
      <w:r>
        <w:rPr>
          <w:rFonts w:ascii="Times New Roman" w:cs="Times New Roman" w:eastAsia="Times New Roman" w:hAnsi="Times New Roman"/>
          <w:sz w:val="20"/>
          <w:szCs w:val="20"/>
          <w:u w:val="single" w:color="auto"/>
          <w:color w:val="0000FF"/>
        </w:rPr>
        <w:t>, any other amendments to this Agreement</w:t>
      </w:r>
      <w:r>
        <w:rPr>
          <w:rFonts w:ascii="Times New Roman" w:cs="Times New Roman" w:eastAsia="Times New Roman" w:hAnsi="Times New Roman"/>
          <w:sz w:val="20"/>
          <w:szCs w:val="20"/>
          <w:color w:val="auto"/>
        </w:rPr>
        <w:t xml:space="preserve"> and the promissory notes, if any, executed and delivered pursuant to Section 2.09(e).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Holdings, the Parent Borrower, the Foreign Subsidiary Borrowers and the other Subsidiary Loan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Parent Borrower and the Foreign Subsidiary Borrowers pursuant to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80" w:lineRule="exact"/>
        <w:rPr>
          <w:sz w:val="20"/>
          <w:szCs w:val="20"/>
          <w:color w:val="auto"/>
        </w:rPr>
      </w:pPr>
    </w:p>
    <w:p>
      <w:pPr>
        <w:ind w:right="14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means (a) with respect to Foreign Currency Loans and Letters of Credit denominated in Euros or Pounds Sterling, local time in London, (b) with respect to Foreign Currency Loans denominated in currencies other than Euros and Pounds Sterling and Letters of Credit denominated in LC Foreign Currencies other than Euros and Pounds Sterling, local time in the Principal Financial Center for the applicable currency and (c) with respect to any other Loans, local time in New York City.</w:t>
      </w:r>
    </w:p>
    <w:p>
      <w:pPr>
        <w:spacing w:after="0" w:line="180" w:lineRule="exact"/>
        <w:rPr>
          <w:sz w:val="20"/>
          <w:szCs w:val="20"/>
          <w:color w:val="auto"/>
        </w:rPr>
      </w:pPr>
    </w:p>
    <w:p>
      <w:pPr>
        <w:ind w:right="7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Indebtedness</w:t>
      </w:r>
      <w:r>
        <w:rPr>
          <w:rFonts w:ascii="Times New Roman" w:cs="Times New Roman" w:eastAsia="Times New Roman" w:hAnsi="Times New Roman"/>
          <w:sz w:val="20"/>
          <w:szCs w:val="20"/>
          <w:color w:val="auto"/>
        </w:rPr>
        <w:t>” means any Indebtedness that, in accordance with GAAP, constitutes (or, when incurred, constituted) a long-term liability, including the current portion of any Long-Term Indebtedness.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shall have the meaning assigned to such term in Regulation U.</w:t>
      </w:r>
    </w:p>
    <w:p>
      <w:pPr>
        <w:spacing w:after="0" w:line="202" w:lineRule="exact"/>
        <w:rPr>
          <w:sz w:val="20"/>
          <w:szCs w:val="20"/>
          <w:color w:val="auto"/>
        </w:rPr>
      </w:pPr>
    </w:p>
    <w:p>
      <w:pPr>
        <w:ind w:right="40"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Capitalization</w:t>
      </w:r>
      <w:r>
        <w:rPr>
          <w:rFonts w:ascii="Times New Roman" w:cs="Times New Roman" w:eastAsia="Times New Roman" w:hAnsi="Times New Roman"/>
          <w:sz w:val="20"/>
          <w:szCs w:val="20"/>
          <w:color w:val="auto"/>
        </w:rPr>
        <w:t>” means an amount equal to (a) the total number of issued and outstanding shares of common Equity Interests of Holdings or any direct or indirect parent of Holdings on the date of the declaration of a Restricted Payment permitted pursuant to Section 6.08(a)(xii) multiplied by (b) the arithmetic mean of the closing prices per share of such common Equity Interests on the principal securities exchange on which such common Equity Interests are traded or quoted for the 30 consecutive trading days immediately preceding the date of declaration of such Restricted Payment.</w:t>
      </w:r>
    </w:p>
    <w:p>
      <w:pPr>
        <w:spacing w:after="0" w:line="185" w:lineRule="exact"/>
        <w:rPr>
          <w:sz w:val="20"/>
          <w:szCs w:val="20"/>
          <w:color w:val="auto"/>
        </w:rPr>
      </w:pPr>
    </w:p>
    <w:p>
      <w:pPr>
        <w:ind w:right="2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operations, properties, assets, financial condition, or material agreements of Holdings, the Parent Borrower and the Subsidiaries (including the Receivables Subsidiary), taken as a whole, (b)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00"/>
          </w:cols>
          <w:pgMar w:left="320" w:top="1413" w:right="379" w:bottom="1440" w:gutter="0" w:footer="0" w:header="0"/>
        </w:sectPr>
      </w:pPr>
    </w:p>
    <w:bookmarkStart w:id="90" w:name="page91"/>
    <w:bookmarkEnd w:id="90"/>
    <w:p>
      <w:pPr>
        <w:ind w:right="60"/>
        <w:spacing w:after="0" w:line="269" w:lineRule="auto"/>
        <w:rPr>
          <w:sz w:val="20"/>
          <w:szCs w:val="20"/>
          <w:color w:val="auto"/>
        </w:rPr>
      </w:pPr>
      <w:r>
        <w:rPr>
          <w:rFonts w:ascii="Times New Roman" w:cs="Times New Roman" w:eastAsia="Times New Roman" w:hAnsi="Times New Roman"/>
          <w:sz w:val="20"/>
          <w:szCs w:val="20"/>
          <w:color w:val="auto"/>
        </w:rPr>
        <w:t>any Loan Party in any material respect to perform any of its obligations under any Loan Document or (c) the rights of or benefits available to the Lenders under any Loan Document.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means any agreements or instruments relating to Material Indebtedness.</w:t>
      </w:r>
    </w:p>
    <w:p>
      <w:pPr>
        <w:spacing w:after="0" w:line="216" w:lineRule="exact"/>
        <w:rPr>
          <w:sz w:val="20"/>
          <w:szCs w:val="20"/>
          <w:color w:val="auto"/>
        </w:rPr>
      </w:pPr>
    </w:p>
    <w:p>
      <w:pPr>
        <w:ind w:right="7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acquisition that involves the payment of consideration by Parent Borrower and its Subsidiaries in excess of $50,000,000.</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means any disposition, or a series of related dispositions, of (a) all or substantially all of the issued and outstanding Equity Interests in any Person or (b) assets comprising all or substantially all of the assets of any Person or a business unit of any Person, in each case in excess of $50,000,000.</w:t>
      </w:r>
    </w:p>
    <w:p>
      <w:pPr>
        <w:spacing w:after="0" w:line="168" w:lineRule="exact"/>
        <w:rPr>
          <w:sz w:val="20"/>
          <w:szCs w:val="20"/>
          <w:color w:val="auto"/>
        </w:rPr>
      </w:pPr>
    </w:p>
    <w:p>
      <w:pPr>
        <w:ind w:right="120"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(a) obligations in respect of the Permitted Receivables Financing and (b) any other Indebtedness (other than the Loans and Letters of Credit), or obligations in respect of one or more Hedging Agreements, of any one or more of Holdings, the Parent Borrower and its Subsidiaries in an aggregate principal amount exceeding $50,000,000. For purposes of determining Material Indebtedness, the “</w:t>
      </w:r>
      <w:r>
        <w:rPr>
          <w:rFonts w:ascii="Times New Roman" w:cs="Times New Roman" w:eastAsia="Times New Roman" w:hAnsi="Times New Roman"/>
          <w:sz w:val="20"/>
          <w:szCs w:val="20"/>
          <w:u w:val="single" w:color="auto"/>
          <w:color w:val="auto"/>
        </w:rPr>
        <w:t>principal amount</w:t>
      </w:r>
      <w:r>
        <w:rPr>
          <w:rFonts w:ascii="Times New Roman" w:cs="Times New Roman" w:eastAsia="Times New Roman" w:hAnsi="Times New Roman"/>
          <w:sz w:val="20"/>
          <w:szCs w:val="20"/>
          <w:color w:val="auto"/>
        </w:rPr>
        <w:t>” of the obligations of Holdings, the Parent Borrower or any Subsidiary in respect of any Hedging Agreement at any time shall be the maximum aggregate amount (giving effect to any netting agreements) that Holdings, the Parent Borrower or such Subsidiary would be required to pay if such Hedging Agreement were terminated at such time.</w:t>
      </w:r>
    </w:p>
    <w:p>
      <w:pPr>
        <w:spacing w:after="0" w:line="177" w:lineRule="exact"/>
        <w:rPr>
          <w:sz w:val="20"/>
          <w:szCs w:val="20"/>
          <w:color w:val="auto"/>
        </w:rPr>
      </w:pPr>
    </w:p>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Revolving Maturity Date or the scheduled maturity date in respect of any Extended Revolving Commitments, as the context requires.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has the meaning assigned to such term in Section 2.23(b).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assignment of leases and rents, leasehold mortgage or other security document granting a Lien on any Mortgaged Property to secure the Obligations. Each Mortgage shall be substantially in the form of Exhibit F with such changes as are necessary under applicable local law.</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Amendment</w:t>
      </w:r>
      <w:r>
        <w:rPr>
          <w:rFonts w:ascii="Times New Roman" w:cs="Times New Roman" w:eastAsia="Times New Roman" w:hAnsi="Times New Roman"/>
          <w:sz w:val="20"/>
          <w:szCs w:val="20"/>
          <w:color w:val="auto"/>
        </w:rPr>
        <w:t>” has the meaning assigned to such term in Section 4.04(f).</w:t>
      </w:r>
    </w:p>
    <w:p>
      <w:pPr>
        <w:spacing w:after="0" w:line="229"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means each parcel of real property and improvements thereto with respect to which a Mortgage is granted pursuant to Section 5.12 or 5.13.</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6" w:lineRule="exact"/>
        <w:rPr>
          <w:sz w:val="20"/>
          <w:szCs w:val="20"/>
          <w:color w:val="auto"/>
        </w:rPr>
      </w:pPr>
    </w:p>
    <w:p>
      <w:pPr>
        <w:ind w:right="200"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with respect to any event (a) the cash proceeds received in respect of such event including (i) any cash received in respect of any noncash proceeds, but only as and when received, (ii) in the case of a casualty, insurance proceeds in excess of $1,000,000 and (iii) in the case of a condemnation or similar event, condemnation awards and similar payments, net of (b) the sum of (i) all reasonable fees and out-of-pocket expenses paid by Holdings, the Parent Borrower and the Subsidiaries to third parties (other than Affiliates) in connection with such event, (ii) in the case of a sale, transfer or other disposition of an asset (including pursuant to a sale and leaseback transaction or a casualty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91" w:name="page92"/>
    <w:bookmarkEnd w:id="91"/>
    <w:p>
      <w:pPr>
        <w:spacing w:after="0" w:line="249" w:lineRule="auto"/>
        <w:rPr>
          <w:sz w:val="20"/>
          <w:szCs w:val="20"/>
          <w:color w:val="auto"/>
        </w:rPr>
      </w:pPr>
      <w:r>
        <w:rPr>
          <w:rFonts w:ascii="Times New Roman" w:cs="Times New Roman" w:eastAsia="Times New Roman" w:hAnsi="Times New Roman"/>
          <w:sz w:val="20"/>
          <w:szCs w:val="20"/>
          <w:color w:val="auto"/>
        </w:rPr>
        <w:t>condemnation or similar proceeding), the amount of all payments required to be made by Holdings, the Parent Borrower and the Subsidiaries as a result of such event to repay Indebtedness (other than Loans) secured by such asset or otherwise subject to mandatory prepayment as a result of such event, and (iii) the amount of all Taxes paid (or reasonably estimated to be payable) by Holdings, the Parent Borrower and the Subsidiaries, and the amount of any reserves established by Holdings, the Parent Borrower and the Subsidiaries to fund contingent liabilities reasonably estimated to be payable, in each case during the 24-month period immediately following such event and that are directly attributable to such event (as determined reasonably and in good faith by the chief financial officer of Holdings or the Parent Borrower) to the extent such liabilities are actually paid within such applicable time periods.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10.02(c).</w:t>
      </w:r>
    </w:p>
    <w:p>
      <w:pPr>
        <w:spacing w:after="0" w:line="216" w:lineRule="exact"/>
        <w:rPr>
          <w:sz w:val="20"/>
          <w:szCs w:val="20"/>
          <w:color w:val="auto"/>
        </w:rPr>
      </w:pPr>
    </w:p>
    <w:p>
      <w:pPr>
        <w:ind w:right="4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Ninth Amendment</w:t>
      </w:r>
      <w:r>
        <w:rPr>
          <w:rFonts w:ascii="Times New Roman" w:cs="Times New Roman" w:eastAsia="Times New Roman" w:hAnsi="Times New Roman"/>
          <w:sz w:val="20"/>
          <w:szCs w:val="20"/>
          <w:color w:val="auto"/>
        </w:rPr>
        <w:t>” means that certain Ninth Amendment, dated as of December 29, 2025, among Holdings, the Parent Borrower, the Administrative Agent and the Lenders party thereto.</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any Revolving Lender that is not a Defaulting Lender at such time.</w:t>
      </w:r>
    </w:p>
    <w:p>
      <w:pPr>
        <w:spacing w:after="0" w:line="21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Non-Financing Lease Obligation</w:t>
      </w:r>
      <w:r>
        <w:rPr>
          <w:rFonts w:ascii="Times New Roman" w:cs="Times New Roman" w:eastAsia="Times New Roman" w:hAnsi="Times New Roman"/>
          <w:sz w:val="20"/>
          <w:szCs w:val="20"/>
          <w:color w:val="auto"/>
        </w:rPr>
        <w:t>” means a lease obligation that is not required to be classified and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means a Lender or Issuing Bank that is not a U.S. Person.</w:t>
      </w:r>
    </w:p>
    <w:p>
      <w:pPr>
        <w:spacing w:after="0" w:line="21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 Otherwise Applied</w:t>
      </w:r>
      <w:r>
        <w:rPr>
          <w:rFonts w:ascii="Times New Roman" w:cs="Times New Roman" w:eastAsia="Times New Roman" w:hAnsi="Times New Roman"/>
          <w:sz w:val="20"/>
          <w:szCs w:val="20"/>
          <w:color w:val="auto"/>
        </w:rPr>
        <w:t>” means, with reference to any proceeds of any transaction or event that is proposed to be applied to a particular use or transaction, that such amount has not previously been (and is not simultaneously being) applied to anything other than such particular use or transaction.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ind w:right="80" w:firstLine="1296"/>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none of such rates are published for any day that is a Business Day, the term “NYFRB Rate” means the rate for a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funds transaction quoted at 11:00 a.m. on such day received by the Administrative Agent from a federal funds broker of recognized standing selected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16"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 means the Credit Agreement dated as of October 16, 2013, among TriMas Company LLC, TriMas Corporation, the other loan parties party thereto, the lenders party thereto, JPMorgan Chase Bank, N.A., as administrative agent and collateral agent, and the other agents party thereto, as in effect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92" w:name="page93"/>
    <w:bookmarkEnd w:id="92"/>
    <w:p>
      <w:pPr>
        <w:ind w:right="2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imposed with respect to an assignment (other than an assignment under Section 2.19(b)).</w:t>
      </w:r>
    </w:p>
    <w:p>
      <w:pPr>
        <w:spacing w:after="0" w:line="174"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as of the date of this Agreement, and as codified at 31 C.F.R. § 850.101 et seq.</w:t>
      </w:r>
    </w:p>
    <w:p>
      <w:pPr>
        <w:spacing w:after="0" w:line="168" w:lineRule="exact"/>
        <w:rPr>
          <w:sz w:val="20"/>
          <w:szCs w:val="20"/>
          <w:color w:val="auto"/>
        </w:rPr>
      </w:pPr>
    </w:p>
    <w:p>
      <w:pPr>
        <w:ind w:right="22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4" w:lineRule="exact"/>
        <w:rPr>
          <w:sz w:val="20"/>
          <w:szCs w:val="20"/>
          <w:color w:val="auto"/>
        </w:rPr>
      </w:pPr>
    </w:p>
    <w:p>
      <w:pPr>
        <w:jc w:val="both"/>
        <w:ind w:right="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NYFRB Rate and (b) with respect to any amount denominated in a Foreign Currency, an overnight rate determined by the Administrative Agent or the Issuing Bank, as the case may be, in accordance with banking industry rules on interbank compensation.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Parallel Debt Foreign Obligations</w:t>
      </w:r>
      <w:r>
        <w:rPr>
          <w:rFonts w:ascii="Times New Roman" w:cs="Times New Roman" w:eastAsia="Times New Roman" w:hAnsi="Times New Roman"/>
          <w:sz w:val="20"/>
          <w:szCs w:val="20"/>
          <w:color w:val="auto"/>
        </w:rPr>
        <w:t>” has the meaning assigned to such term in Section 10.18(b).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means TriMas Company LLC, a Delaware limited liability company.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10.04(e).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10.04(e).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has the meaning assigned to such term in Section 10.16.</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it in Section 8.03.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it in Section 8.03.</w:t>
      </w:r>
    </w:p>
    <w:p>
      <w:pPr>
        <w:spacing w:after="0" w:line="216" w:lineRule="exact"/>
        <w:rPr>
          <w:sz w:val="20"/>
          <w:szCs w:val="20"/>
          <w:color w:val="auto"/>
        </w:rPr>
      </w:pPr>
    </w:p>
    <w:p>
      <w:pPr>
        <w:ind w:right="6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46"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a certificate in the form of Annex I to the Security Agreement or any other form approved by the Collateral Agent.</w:t>
      </w:r>
    </w:p>
    <w:p>
      <w:pPr>
        <w:spacing w:after="0" w:line="159" w:lineRule="exact"/>
        <w:rPr>
          <w:sz w:val="20"/>
          <w:szCs w:val="20"/>
          <w:color w:val="auto"/>
        </w:rPr>
      </w:pPr>
    </w:p>
    <w:p>
      <w:pPr>
        <w:ind w:right="100" w:firstLine="129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whether by purchase, merger, consolidation or otherwise, by the Parent Borrower or a Subsidiary of all or substantially all the assets of, or all of the Equity Interests in, a Person or a division, line of business or other business unit of a Person so long as (a) such acquisition shall not have been preceded by a tender offer that has not been approved or otherwise recommended by the board of directors of such Person, (b) such assets are to be used in, or such Person so acquired is engaged in, as the case may be, a business of the type conducted by the Parent Borrower and its Subsidiaries on the Third Restatement Date or in a business reasonably related thereto and (c) immediately after giving effect thereto, (i) (other than with respect to Limited Conditionality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20"/>
          </w:cols>
          <w:pgMar w:left="320" w:top="1413" w:right="359" w:bottom="1440" w:gutter="0" w:footer="0" w:header="0"/>
        </w:sectPr>
      </w:pPr>
    </w:p>
    <w:bookmarkStart w:id="93" w:name="page94"/>
    <w:bookmarkEnd w:id="93"/>
    <w:p>
      <w:pPr>
        <w:spacing w:after="0" w:line="251" w:lineRule="auto"/>
        <w:rPr>
          <w:sz w:val="20"/>
          <w:szCs w:val="20"/>
          <w:color w:val="auto"/>
        </w:rPr>
      </w:pPr>
      <w:r>
        <w:rPr>
          <w:rFonts w:ascii="Times New Roman" w:cs="Times New Roman" w:eastAsia="Times New Roman" w:hAnsi="Times New Roman"/>
          <w:sz w:val="19"/>
          <w:szCs w:val="19"/>
          <w:color w:val="auto"/>
        </w:rPr>
        <w:t>Acquisitions) no Default has occurred and is continuing or would result therefrom, (ii) all transactions related thereto are consummated in all material respects in accordance with applicable laws, (iii) all of the Equity Interests (other than Assumed Preferred Stock) of each Subsidiary formed for the purpose of or resulting from such acquisition shall be owned directly by the Parent Borrower or a Subsidiary and all actions required to be taken under Sections 5.12 and 5.13 have been taken, (iv) (other than with respect to Limited Conditionality Acquisitions) (x) the Loan Parties shall with respect to any Permitted Acquisition solely of Equity Interests of Persons that will become Loan Parties and/or the purchase of assets by Loan Parties that will become Collateral, be in compliance on a pro forma basis with the covenant set forth in Section 6.13 after giving effect to such acquisition and after recomputing the Total Net Leverage Ratio as of the last day of the most recently ended fiscal quarter of Holdings for which financial statements are available, as if such acquisition (and any related incurrence and repayment of Indebtedness) had occurred on the first day of the relevant period or (y) otherwise, on a pro forma basis after giving effect to such acquisition, the Total Net Leverage Ratio as of the last day of the most recently ended fiscal quarter of Holdings for which financial statements are available, as if such acquisition (and any related incurrence and repayment of Indebtedness) had occurred on the first day of the relevant period is at least 0.25 less than is otherwise required pursuant to Section 6.13 at the time of such event, (v) any Indebtedness or any preferred stock that is incurred, acquired or assumed in connection with such acquisition shall be in compliance with Section 6.01 and</w:t>
      </w:r>
    </w:p>
    <w:p>
      <w:pPr>
        <w:spacing w:after="0" w:line="8" w:lineRule="exact"/>
        <w:rPr>
          <w:sz w:val="20"/>
          <w:szCs w:val="20"/>
          <w:color w:val="auto"/>
        </w:rPr>
      </w:pPr>
    </w:p>
    <w:p>
      <w:pPr>
        <w:ind w:firstLine="8"/>
        <w:spacing w:after="0" w:line="238" w:lineRule="auto"/>
        <w:tabs>
          <w:tab w:leader="none" w:pos="33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has delivered to the Administrative Agent an officers’ certificate to the effect set forth in clauses (a), (b) and (c)(i) through (v) above, together with all relevant financial information for the Person or assets to be acquired;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Limited Conditionality Acquisition shall become effective unless (i) no Default or Event of Default shall have occurred and be continuing as of the date of entry into the Limited Conditionality Acquisition Agreement, (ii) on the date of effectiveness of the Limited Conditionality Acquisition Agreement, the representations and warranties of each Loan Party set forth in the Loan Documents shall be true and correct in all material respects (and in all respects if any such representation or warranty is already qualified by materiality or “material adverse effect”) on and as of such date and (iii) on the date of effectiveness of the Limited Conditionality Acquisition Agreement and assuming any related incurrence and repayment of Indebtedness, (x) with respect to any Permitted Acquisition solely of Equity Interests of Persons that will become Loan Parties and/or the purchase of assets by Loan Parties that will become Collateral, the Loan Parties shall be in compliance on a pro forma basis with the covenant set forth in Section 6.13 at such time or (y) the Total Net Leverage Ratio, on a pro forma basis after giving effect to such acquisition, is at least 0.25 less than is otherwise required pursuant to Section 6.13 at such time.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ind w:left="660" w:right="160" w:firstLine="644"/>
        <w:spacing w:after="0" w:line="269" w:lineRule="auto"/>
        <w:tabs>
          <w:tab w:leader="none" w:pos="172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assessments or other governmental charges that are not yet due or are being contested in compliance with Section 5.05;</w:t>
      </w:r>
    </w:p>
    <w:p>
      <w:pPr>
        <w:spacing w:after="0" w:line="159" w:lineRule="exact"/>
        <w:rPr>
          <w:rFonts w:ascii="Times New Roman" w:cs="Times New Roman" w:eastAsia="Times New Roman" w:hAnsi="Times New Roman"/>
          <w:sz w:val="20"/>
          <w:szCs w:val="20"/>
          <w:color w:val="auto"/>
        </w:rPr>
      </w:pPr>
    </w:p>
    <w:p>
      <w:pPr>
        <w:jc w:val="both"/>
        <w:ind w:left="660" w:right="80" w:firstLine="644"/>
        <w:spacing w:after="0" w:line="254" w:lineRule="auto"/>
        <w:tabs>
          <w:tab w:leader="none" w:pos="173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 overdue by more than 60 days or are being contested in compliance with Section 5.05;</w:t>
      </w:r>
    </w:p>
    <w:p>
      <w:pPr>
        <w:spacing w:after="0" w:line="174" w:lineRule="exact"/>
        <w:rPr>
          <w:rFonts w:ascii="Times New Roman" w:cs="Times New Roman" w:eastAsia="Times New Roman" w:hAnsi="Times New Roman"/>
          <w:sz w:val="20"/>
          <w:szCs w:val="20"/>
          <w:color w:val="auto"/>
        </w:rPr>
      </w:pPr>
    </w:p>
    <w:p>
      <w:pPr>
        <w:ind w:left="660" w:right="1160" w:firstLine="644"/>
        <w:spacing w:after="0" w:line="269" w:lineRule="auto"/>
        <w:tabs>
          <w:tab w:leader="none" w:pos="172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59" w:lineRule="exact"/>
        <w:rPr>
          <w:rFonts w:ascii="Times New Roman" w:cs="Times New Roman" w:eastAsia="Times New Roman" w:hAnsi="Times New Roman"/>
          <w:sz w:val="20"/>
          <w:szCs w:val="20"/>
          <w:color w:val="auto"/>
        </w:rPr>
      </w:pPr>
    </w:p>
    <w:p>
      <w:pPr>
        <w:ind w:left="660" w:right="540" w:firstLine="644"/>
        <w:spacing w:after="0" w:line="255" w:lineRule="auto"/>
        <w:tabs>
          <w:tab w:leader="none" w:pos="173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and attachments Liens that do not constitute an Event of Default under clause</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Article VII and notices of lis pendens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20"/>
          </w:cols>
          <w:pgMar w:left="320" w:top="1413" w:right="359" w:bottom="1440" w:gutter="0" w:footer="0" w:header="0"/>
        </w:sectPr>
      </w:pPr>
    </w:p>
    <w:bookmarkStart w:id="94" w:name="page95"/>
    <w:bookmarkEnd w:id="94"/>
    <w:p>
      <w:pPr>
        <w:ind w:left="660" w:right="100"/>
        <w:spacing w:after="0" w:line="269" w:lineRule="auto"/>
        <w:rPr>
          <w:sz w:val="20"/>
          <w:szCs w:val="20"/>
          <w:color w:val="auto"/>
        </w:rPr>
      </w:pPr>
      <w:r>
        <w:rPr>
          <w:rFonts w:ascii="Times New Roman" w:cs="Times New Roman" w:eastAsia="Times New Roman" w:hAnsi="Times New Roman"/>
          <w:sz w:val="20"/>
          <w:szCs w:val="20"/>
          <w:color w:val="auto"/>
        </w:rPr>
        <w:t>associated rights related to litigation being contested in good faith by appropriate proceedings and for which adequate reserves have been made;</w:t>
      </w:r>
    </w:p>
    <w:p>
      <w:pPr>
        <w:spacing w:after="0" w:line="159" w:lineRule="exact"/>
        <w:rPr>
          <w:sz w:val="20"/>
          <w:szCs w:val="20"/>
          <w:color w:val="auto"/>
        </w:rPr>
      </w:pPr>
    </w:p>
    <w:p>
      <w:pPr>
        <w:ind w:left="660" w:right="200" w:firstLine="644"/>
        <w:spacing w:after="0" w:line="254" w:lineRule="auto"/>
        <w:tabs>
          <w:tab w:leader="none" w:pos="17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Holdings, the Parent Borrower or any Subsidiary;</w:t>
      </w:r>
    </w:p>
    <w:p>
      <w:pPr>
        <w:spacing w:after="0" w:line="187" w:lineRule="exact"/>
        <w:rPr>
          <w:rFonts w:ascii="Times New Roman" w:cs="Times New Roman" w:eastAsia="Times New Roman" w:hAnsi="Times New Roman"/>
          <w:sz w:val="20"/>
          <w:szCs w:val="20"/>
          <w:color w:val="auto"/>
        </w:rPr>
      </w:pPr>
    </w:p>
    <w:p>
      <w:pPr>
        <w:ind w:left="660" w:right="180" w:firstLine="644"/>
        <w:spacing w:after="0" w:line="269" w:lineRule="auto"/>
        <w:tabs>
          <w:tab w:leader="none" w:pos="173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Holdings, the Parent Borrower or any of the Subsidiaries are located, other than any Mortgaged Property;</w:t>
      </w:r>
    </w:p>
    <w:p>
      <w:pPr>
        <w:spacing w:after="0" w:line="159" w:lineRule="exact"/>
        <w:rPr>
          <w:rFonts w:ascii="Times New Roman" w:cs="Times New Roman" w:eastAsia="Times New Roman" w:hAnsi="Times New Roman"/>
          <w:sz w:val="20"/>
          <w:szCs w:val="20"/>
          <w:color w:val="auto"/>
        </w:rPr>
      </w:pPr>
    </w:p>
    <w:p>
      <w:pPr>
        <w:ind w:left="660" w:right="260" w:firstLine="644"/>
        <w:spacing w:after="0" w:line="261" w:lineRule="auto"/>
        <w:tabs>
          <w:tab w:leader="none" w:pos="173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favor of credit card processors securing obligations in connection with credit card processing services incurred in the ordinary course of business and (ii) in favor or customs and revenue authorities arising as a matter of law to secure payment of customs duties in connection with the importation of goods in the ordinary course of business;</w:t>
      </w:r>
    </w:p>
    <w:p>
      <w:pPr>
        <w:spacing w:after="0" w:line="167" w:lineRule="exact"/>
        <w:rPr>
          <w:rFonts w:ascii="Times New Roman" w:cs="Times New Roman" w:eastAsia="Times New Roman" w:hAnsi="Times New Roman"/>
          <w:sz w:val="20"/>
          <w:szCs w:val="20"/>
          <w:color w:val="auto"/>
        </w:rPr>
      </w:pPr>
    </w:p>
    <w:p>
      <w:pPr>
        <w:ind w:left="660" w:right="240" w:firstLine="644"/>
        <w:spacing w:after="0" w:line="269" w:lineRule="auto"/>
        <w:tabs>
          <w:tab w:leader="none" w:pos="16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other Persons and not interfering in any material respect with the business of Holdings, the Parent Borrower and the Subsidiaries, taken as a whole;</w:t>
      </w:r>
    </w:p>
    <w:p>
      <w:pPr>
        <w:spacing w:after="0" w:line="17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or similar rights, in each case arising by operation of law;</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landlord on leasehold improvements in leased premises; and</w:t>
      </w:r>
    </w:p>
    <w:p>
      <w:pPr>
        <w:spacing w:after="0" w:line="211" w:lineRule="exact"/>
        <w:rPr>
          <w:rFonts w:ascii="Times New Roman" w:cs="Times New Roman" w:eastAsia="Times New Roman" w:hAnsi="Times New Roman"/>
          <w:sz w:val="20"/>
          <w:szCs w:val="20"/>
          <w:color w:val="auto"/>
        </w:rPr>
      </w:pPr>
    </w:p>
    <w:p>
      <w:pPr>
        <w:ind w:left="660" w:right="200" w:firstLine="644"/>
        <w:spacing w:after="0" w:line="287" w:lineRule="auto"/>
        <w:tabs>
          <w:tab w:leader="none" w:pos="174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(including, without limitation, rights to setoff) arising under the Dutch General Banking Conditions (</w:t>
      </w:r>
      <w:r>
        <w:rPr>
          <w:rFonts w:ascii="Times New Roman" w:cs="Times New Roman" w:eastAsia="Times New Roman" w:hAnsi="Times New Roman"/>
          <w:sz w:val="20"/>
          <w:szCs w:val="20"/>
          <w:i w:val="1"/>
          <w:iCs w:val="1"/>
          <w:color w:val="auto"/>
        </w:rPr>
        <w:t>Algemene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Bankvoorvaarden</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660" w:right="20" w:firstLine="644"/>
        <w:spacing w:after="0" w:line="261" w:lineRule="auto"/>
        <w:tabs>
          <w:tab w:leader="none" w:pos="17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3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one year from the date of acquisition thereof and having, at such date of acquisition, the highest credit rating obtainable from S&amp;P or from Moody’s;</w:t>
      </w:r>
    </w:p>
    <w:p>
      <w:pPr>
        <w:spacing w:after="0" w:line="146" w:lineRule="exact"/>
        <w:rPr>
          <w:rFonts w:ascii="Times New Roman" w:cs="Times New Roman" w:eastAsia="Times New Roman" w:hAnsi="Times New Roman"/>
          <w:sz w:val="20"/>
          <w:szCs w:val="20"/>
          <w:color w:val="auto"/>
        </w:rPr>
      </w:pPr>
    </w:p>
    <w:p>
      <w:pPr>
        <w:ind w:left="660" w:firstLine="644"/>
        <w:spacing w:after="0" w:line="254" w:lineRule="auto"/>
        <w:tabs>
          <w:tab w:leader="none" w:pos="17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00"/>
          </w:cols>
          <w:pgMar w:left="320" w:top="1413" w:right="379" w:bottom="1440" w:gutter="0" w:footer="0" w:header="0"/>
        </w:sectPr>
      </w:pPr>
    </w:p>
    <w:bookmarkStart w:id="95" w:name="page96"/>
    <w:bookmarkEnd w:id="95"/>
    <w:p>
      <w:pPr>
        <w:ind w:left="660" w:right="280" w:firstLine="644"/>
        <w:spacing w:after="0" w:line="269" w:lineRule="auto"/>
        <w:tabs>
          <w:tab w:leader="none" w:pos="173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2" w:lineRule="exact"/>
        <w:rPr>
          <w:rFonts w:ascii="Times New Roman" w:cs="Times New Roman" w:eastAsia="Times New Roman" w:hAnsi="Times New Roman"/>
          <w:sz w:val="20"/>
          <w:szCs w:val="20"/>
          <w:color w:val="auto"/>
        </w:rPr>
      </w:pPr>
    </w:p>
    <w:p>
      <w:pPr>
        <w:ind w:left="660" w:right="200" w:firstLine="644"/>
        <w:spacing w:after="0" w:line="247" w:lineRule="auto"/>
        <w:tabs>
          <w:tab w:leader="none" w:pos="17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by any state of the United States of America or any political subdivision of any such state or any public instrumentality thereof having maturities of not more than six months from the date of acquisition thereof and, at the time of acquisition, having the highest credit rating obtainable from S&amp;P or from Moody’s;</w:t>
      </w:r>
    </w:p>
    <w:p>
      <w:pPr>
        <w:spacing w:after="0" w:line="180" w:lineRule="exact"/>
        <w:rPr>
          <w:rFonts w:ascii="Times New Roman" w:cs="Times New Roman" w:eastAsia="Times New Roman" w:hAnsi="Times New Roman"/>
          <w:sz w:val="20"/>
          <w:szCs w:val="20"/>
          <w:color w:val="auto"/>
        </w:rPr>
      </w:pPr>
    </w:p>
    <w:p>
      <w:pPr>
        <w:ind w:left="660" w:right="580" w:firstLine="644"/>
        <w:spacing w:after="0" w:line="254" w:lineRule="auto"/>
        <w:tabs>
          <w:tab w:leader="none" w:pos="17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by any foreign government or any political subdivision of any foreign government or any public instrumentality thereof having maturities of not more than six months from the date of acquisition thereof and, at the time of acquisition, having the highest credit rating obtainable from S&amp;P or from Moody’s;</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the quality as those identified on Schedule 6.04 as “</w:t>
      </w:r>
      <w:r>
        <w:rPr>
          <w:rFonts w:ascii="Times New Roman" w:cs="Times New Roman" w:eastAsia="Times New Roman" w:hAnsi="Times New Roman"/>
          <w:sz w:val="20"/>
          <w:szCs w:val="20"/>
          <w:u w:val="single" w:color="auto"/>
          <w:color w:val="auto"/>
        </w:rPr>
        <w:t>Qualified Foreign Investments</w:t>
      </w:r>
      <w:r>
        <w:rPr>
          <w:rFonts w:ascii="Times New Roman" w:cs="Times New Roman" w:eastAsia="Times New Roman" w:hAnsi="Times New Roman"/>
          <w:sz w:val="20"/>
          <w:szCs w:val="20"/>
          <w:color w:val="auto"/>
        </w:rPr>
        <w:t>” made in the ordinary course of business;</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funds that invest solely in one or more types of securities described in clauses (a), (e) and (f) above.</w:t>
      </w:r>
    </w:p>
    <w:p>
      <w:pPr>
        <w:spacing w:after="0" w:line="216" w:lineRule="exact"/>
        <w:rPr>
          <w:sz w:val="20"/>
          <w:szCs w:val="20"/>
          <w:color w:val="auto"/>
        </w:rPr>
      </w:pPr>
    </w:p>
    <w:p>
      <w:pPr>
        <w:ind w:right="160"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Joint Venture and Foreign Subsidiary Investments</w:t>
      </w:r>
      <w:r>
        <w:rPr>
          <w:rFonts w:ascii="Times New Roman" w:cs="Times New Roman" w:eastAsia="Times New Roman" w:hAnsi="Times New Roman"/>
          <w:sz w:val="19"/>
          <w:szCs w:val="19"/>
          <w:color w:val="auto"/>
        </w:rPr>
        <w:t>” means investments by Holdings, the Parent Borrower or any Subsidiary in the Equity Interests of (a) any Person that is not a Subsidiary or (b) any Person that is a Foreign Subsidiary, in an aggregate amount not to exceed the greater of $125,000,000 and 9.50% of Consolidated Total Assets of Holdings (as of the date of such investment).</w:t>
      </w:r>
    </w:p>
    <w:p>
      <w:pPr>
        <w:spacing w:after="0" w:line="156"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Documents</w:t>
      </w:r>
      <w:r>
        <w:rPr>
          <w:rFonts w:ascii="Times New Roman" w:cs="Times New Roman" w:eastAsia="Times New Roman" w:hAnsi="Times New Roman"/>
          <w:sz w:val="20"/>
          <w:szCs w:val="20"/>
          <w:color w:val="auto"/>
        </w:rPr>
        <w:t>” means the Receivables Purchase Agreement, the Receivables Transfer Agreement and all other documents and agreements relating to the Permitted Receivables Financing.</w:t>
      </w:r>
    </w:p>
    <w:p>
      <w:pPr>
        <w:spacing w:after="0" w:line="14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Financing</w:t>
      </w:r>
      <w:r>
        <w:rPr>
          <w:rFonts w:ascii="Times New Roman" w:cs="Times New Roman" w:eastAsia="Times New Roman" w:hAnsi="Times New Roman"/>
          <w:sz w:val="20"/>
          <w:szCs w:val="20"/>
          <w:color w:val="auto"/>
        </w:rPr>
        <w:t>” means (a) the sale by the Parent Borrower and certain Subsidiaries of accounts receivable to the Receivables Subsidiary pursuant to the Receivables Purchase Agreement and (b) the sale or pledge of such accounts receivable (or participations therein) by the Receivables Subsidiary to certain purchasers pursuant to the Receivables Transfer Agreement.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Tax Distribution</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660" w:right="220" w:firstLine="644"/>
        <w:spacing w:after="0" w:line="242" w:lineRule="auto"/>
        <w:tabs>
          <w:tab w:leader="none" w:pos="172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taxable period during which the Parent Borrower is treated as a disregarded entity for U.S. federal income tax purposes and/or any of its Subsidiaries is a member of a consolidated, unitary, combined or similar tax group in which Holdings or Holdings’ direct or indirect parent is the common parent, distributions by the Parent Borrower to Holdings to pay the portion of such consolidated, unitary combined or similar tax liability that is attributable to the taxable income of the Parent Borrower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amount of such aggregate amount of payments that would be made pursuant to this clause (a) in respect of any taxable period does not exceed the actual tax liability of such consolidated, unitary, combined or similar tax group and</w:t>
      </w:r>
    </w:p>
    <w:p>
      <w:pPr>
        <w:spacing w:after="0" w:line="185" w:lineRule="exact"/>
        <w:rPr>
          <w:rFonts w:ascii="Times New Roman" w:cs="Times New Roman" w:eastAsia="Times New Roman" w:hAnsi="Times New Roman"/>
          <w:sz w:val="20"/>
          <w:szCs w:val="20"/>
          <w:color w:val="auto"/>
        </w:rPr>
      </w:pPr>
    </w:p>
    <w:p>
      <w:pPr>
        <w:ind w:left="660" w:right="700" w:firstLine="644"/>
        <w:spacing w:after="0" w:line="269" w:lineRule="auto"/>
        <w:tabs>
          <w:tab w:leader="none" w:pos="173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taxable period during which Holdings is treated as a partnership for U.S. federal income tax purposes and the Parent Borrower is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96" w:name="page97"/>
    <w:bookmarkEnd w:id="96"/>
    <w:p>
      <w:pPr>
        <w:ind w:left="660" w:right="20"/>
        <w:spacing w:after="0" w:line="241" w:lineRule="auto"/>
        <w:rPr>
          <w:sz w:val="20"/>
          <w:szCs w:val="20"/>
          <w:color w:val="auto"/>
        </w:rPr>
      </w:pPr>
      <w:r>
        <w:rPr>
          <w:rFonts w:ascii="Times New Roman" w:cs="Times New Roman" w:eastAsia="Times New Roman" w:hAnsi="Times New Roman"/>
          <w:sz w:val="20"/>
          <w:szCs w:val="20"/>
          <w:color w:val="auto"/>
        </w:rPr>
        <w:t>disregarded entity or partnership for U.S. federal income tax purposes, distributions by the Parent Borrower to Holdings to pay the portion of the tax liability of Holdings’ direct or indirect owners that is attributable to the taxable income of the Parent Borrower (determined as if the Parent Borrower were a taxpayer), in an aggregate amount equal to the product of (y) the taxable income of the Parent Borrower allocable to Holdings for such period less the cumulative amount of net taxable loss of the Parent Borrower allocated to Holdings for all prior taxable periods beginning after the Third Restatement Date (determined as if such periods were one combined period) to the extent such prior net losses are of a character (i.e., ordinary or capital) that would have allowed such losses to be offset against the current period’s income and (z) the highest combined marginal federal and applicable state and/or local income tax rate applicable to the Parent Borrower for the taxable period in question (taking into account the deductibility of state and local income taxes (subject to applicable limitations) for U.S. federal income tax purposes).</w:t>
      </w:r>
    </w:p>
    <w:p>
      <w:pPr>
        <w:spacing w:after="0" w:line="19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Unsecured Debt</w:t>
      </w:r>
      <w:r>
        <w:rPr>
          <w:rFonts w:ascii="Times New Roman" w:cs="Times New Roman" w:eastAsia="Times New Roman" w:hAnsi="Times New Roman"/>
          <w:sz w:val="19"/>
          <w:szCs w:val="19"/>
          <w:color w:val="auto"/>
        </w:rPr>
        <w:t xml:space="preserve">” means any unsecured notes or bonds or other unsecured debt securities;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Indebtedness shall not mature prior to the date that is 91 days after the Latest Maturity Date in effect at the time of the issuance of such Indebtedness and shall not have any principal payments due prior to such date, except upon the occurrence of a change of control or similar event (including asset sales), in each case so long as the provisions relating to change of control or similar events (including asset sales) included in the governing instrument of such Indebtedness provide that the provisions of this Agreement must be satisfied prior to the satisfaction of such provisions of such Indebtedness, (b) such Indebtedness is not Guaranteed by any Subsidiary of Holdings other than the Loan Parties (which Guarantees shall be unsecured and shall be permitted only to the extent permitted by Section 6.01(a)(vi)), (c) such Indebtedness shall not have any financial maintenance covenants, (d) such Indebtedness shall not have a definition of “Change of Control” or “Change in Control” (or any other defined term having a similar purpose) that is materially more restrictive than the definition of Change of Control set forth herein and (e) such Indebtedness, if subordinated in right of payment to the Obligations, shall be subject to subordination and intercreditor provisions that are, in the Administrative Agent’s reasonable judgment, customary under then-existing market convention.</w:t>
      </w:r>
    </w:p>
    <w:p>
      <w:pPr>
        <w:spacing w:after="0" w:line="180" w:lineRule="exact"/>
        <w:rPr>
          <w:sz w:val="20"/>
          <w:szCs w:val="20"/>
          <w:color w:val="auto"/>
        </w:rPr>
      </w:pPr>
    </w:p>
    <w:p>
      <w:pPr>
        <w:ind w:right="6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right="200"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Parent Borrower or any ERISA Affiliate is (or, if such plan were terminated, would under Section 4069 of ERISA be deemed to be) an “</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as defined in Section 3(5) of ERISA.</w:t>
      </w:r>
    </w:p>
    <w:p>
      <w:pPr>
        <w:spacing w:after="0" w:line="139" w:lineRule="exact"/>
        <w:rPr>
          <w:sz w:val="20"/>
          <w:szCs w:val="20"/>
          <w:color w:val="auto"/>
        </w:rPr>
      </w:pPr>
    </w:p>
    <w:p>
      <w:pPr>
        <w:ind w:right="64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 time.</w:t>
      </w:r>
    </w:p>
    <w:p>
      <w:pPr>
        <w:spacing w:after="0" w:line="142" w:lineRule="exact"/>
        <w:rPr>
          <w:sz w:val="20"/>
          <w:szCs w:val="20"/>
          <w:color w:val="auto"/>
        </w:rPr>
      </w:pPr>
    </w:p>
    <w:p>
      <w:pPr>
        <w:ind w:right="5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w:t>
      </w:r>
      <w:r>
        <w:rPr>
          <w:rFonts w:ascii="Times New Roman" w:cs="Times New Roman" w:eastAsia="Times New Roman" w:hAnsi="Times New Roman"/>
          <w:sz w:val="20"/>
          <w:szCs w:val="20"/>
          <w:color w:val="auto"/>
        </w:rPr>
        <w:t>” means the Pledge Agreement, substantially in the form of Exhibit G, among Holdings, the Parent Borrower, the Subsidiary Loan Parties party thereto and the Collateral Agent for the benefit of the Secured Parties.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Dividends</w:t>
      </w:r>
      <w:r>
        <w:rPr>
          <w:rFonts w:ascii="Times New Roman" w:cs="Times New Roman" w:eastAsia="Times New Roman" w:hAnsi="Times New Roman"/>
          <w:sz w:val="20"/>
          <w:szCs w:val="20"/>
          <w:color w:val="auto"/>
        </w:rPr>
        <w:t>” means any cash dividends of Holdings permitted hereunder paid with respect to preferred stock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20"/>
          </w:cols>
          <w:pgMar w:left="320" w:top="1413" w:right="359" w:bottom="1440" w:gutter="0" w:footer="0" w:header="0"/>
        </w:sectPr>
      </w:pPr>
    </w:p>
    <w:bookmarkStart w:id="97" w:name="page98"/>
    <w:bookmarkEnd w:id="97"/>
    <w:p>
      <w:pPr>
        <w:ind w:right="2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 “</w:t>
      </w:r>
      <w:r>
        <w:rPr>
          <w:rFonts w:ascii="Times New Roman" w:cs="Times New Roman" w:eastAsia="Times New Roman" w:hAnsi="Times New Roman"/>
          <w:sz w:val="20"/>
          <w:szCs w:val="20"/>
          <w:u w:val="single" w:color="auto"/>
          <w:color w:val="auto"/>
        </w:rPr>
        <w:t>Principal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Financial Center</w:t>
      </w:r>
      <w:r>
        <w:rPr>
          <w:rFonts w:ascii="Times New Roman" w:cs="Times New Roman" w:eastAsia="Times New Roman" w:hAnsi="Times New Roman"/>
          <w:sz w:val="20"/>
          <w:szCs w:val="20"/>
          <w:color w:val="auto"/>
        </w:rPr>
        <w:t>” means, with respect to any Foreign Currency, the principal financial center where such currency is cleared and settled, as determined by the Administrative Agent.</w:t>
      </w:r>
    </w:p>
    <w:p>
      <w:pPr>
        <w:spacing w:after="0" w:line="186" w:lineRule="exact"/>
        <w:rPr>
          <w:sz w:val="20"/>
          <w:szCs w:val="20"/>
          <w:color w:val="auto"/>
        </w:rPr>
      </w:pPr>
    </w:p>
    <w:p>
      <w:pPr>
        <w:ind w:right="9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for purposes of Section 10.03, any claim, litigation, investigation, action, suit, arbitration or administrative, judicial or regulatory action or proceeding in any jurisdiction.</w:t>
      </w:r>
    </w:p>
    <w:p>
      <w:pPr>
        <w:spacing w:after="0" w:line="159"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4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Party</w:t>
      </w:r>
      <w:r>
        <w:rPr>
          <w:rFonts w:ascii="Times New Roman" w:cs="Times New Roman" w:eastAsia="Times New Roman" w:hAnsi="Times New Roman"/>
          <w:sz w:val="20"/>
          <w:szCs w:val="20"/>
          <w:color w:val="auto"/>
        </w:rPr>
        <w:t>” has the meaning assigned to such term in Section 10.22.</w:t>
      </w:r>
    </w:p>
    <w:p>
      <w:pPr>
        <w:spacing w:after="0" w:line="21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Holdings Preferred Stock</w:t>
      </w:r>
      <w:r>
        <w:rPr>
          <w:rFonts w:ascii="Times New Roman" w:cs="Times New Roman" w:eastAsia="Times New Roman" w:hAnsi="Times New Roman"/>
          <w:sz w:val="19"/>
          <w:szCs w:val="19"/>
          <w:color w:val="auto"/>
        </w:rPr>
        <w:t>” means any preferred capital stock or preferred Equity Interest of Holdings (a)(i) that does not provide for any cash dividend payments or other cash distributions in respect thereof prior to the Latest Maturity Date in effect as of the date of issuance of such Indebtedness and (ii) that by its terms (or by the terms of any security into which it is convertible or for which it is exchangeable or exercisable) or upon the happening of any event does not (A)(x) mature or become mandatorily redeemable pursuant to a sinking fund obligation or otherwise, (y) become convertible or exchangeable at the option of the holder thereof for Indebtedness or preferred stock that is not Qualified Holdings Preferred Stock or (z) become redeemable at the option of the holder thereof (other than as a result of a change of control event), in whole or in part, in each case on or prior to the date that is 365 days after the Latest Maturity Date in effect at the time of the issuance thereof and (B) provide holders thereunder with any rights upon the occurrence of a “</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xml:space="preserve">” event prior to the repayment of the Obligations and termination of the Commitments under the Loan Documents, (b) with respect to which Holdings has delivered a notice to the Administrative Agent that it has issued preferred stock or preferred Equity Interest in lieu of incurring (x) Permitted Acquisition Subordination Notes or (y) Indebtedness permitted by Section 6.01(a)(xii), with such notice specifying to which of such Indebtedness such preferred stock or preferred Equity Interest applies;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liquidation value of all such preferred stock or preferred Equity Interest issued pursuant to this clause (b) shall not exceed at any time the dollar limitation related to the applicable Indebtedness hereunder, less the aggregate principal amount of such Indebtedness then outstanding and (ii) the terms of such preferred stock or preferred Equity Interests (x) shall provide that upon a default thereof, the remedies of the holders thereof shall be limited to the right to additional representation on the board of directors of Holdings and (y) shall otherwise be no less favorable to the Lenders, in the aggregate, than the terms of the applicable Indebtedness or (c) having an aggregate initial liquidation value not to exceed $25,000,000;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terms of such preferred stock or preferred Equity Interests shall provide that upon a default thereof, the remedies of the holders thereof shall be limited to the right to additional representation on the board of directors of Holdings.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20"/>
          </w:cols>
          <w:pgMar w:left="320" w:top="1413" w:right="359" w:bottom="1440" w:gutter="0" w:footer="0" w:header="0"/>
        </w:sectPr>
      </w:pPr>
    </w:p>
    <w:bookmarkStart w:id="98" w:name="page99"/>
    <w:bookmarkEnd w:id="98"/>
    <w:p>
      <w:pPr>
        <w:ind w:left="660" w:right="20" w:firstLine="644"/>
        <w:spacing w:after="0" w:line="269" w:lineRule="auto"/>
        <w:tabs>
          <w:tab w:leader="none" w:pos="177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Revolving Lender (other than a Lender within clause (b) of the definition of Qualifying Lender) which is beneficially entitled to interest payable to that Lender in respect of an advance under a Loan Document and is:</w:t>
      </w:r>
    </w:p>
    <w:p>
      <w:pPr>
        <w:spacing w:after="0" w:line="159"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215" w:lineRule="exact"/>
        <w:rPr>
          <w:rFonts w:ascii="Times New Roman" w:cs="Times New Roman" w:eastAsia="Times New Roman" w:hAnsi="Times New Roman"/>
          <w:sz w:val="20"/>
          <w:szCs w:val="20"/>
          <w:color w:val="auto"/>
        </w:rPr>
      </w:pPr>
    </w:p>
    <w:p>
      <w:pPr>
        <w:jc w:val="both"/>
        <w:ind w:left="1300" w:right="120" w:firstLine="919"/>
        <w:spacing w:after="0" w:line="247" w:lineRule="auto"/>
        <w:tabs>
          <w:tab w:leader="none" w:pos="2757" w:val="left"/>
        </w:tabs>
        <w:numPr>
          <w:ilvl w:val="4"/>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180" w:lineRule="exact"/>
        <w:rPr>
          <w:rFonts w:ascii="Times New Roman" w:cs="Times New Roman" w:eastAsia="Times New Roman" w:hAnsi="Times New Roman"/>
          <w:sz w:val="20"/>
          <w:szCs w:val="20"/>
          <w:color w:val="auto"/>
        </w:rPr>
      </w:pPr>
    </w:p>
    <w:p>
      <w:pPr>
        <w:jc w:val="both"/>
        <w:ind w:left="1300" w:right="120" w:firstLine="872"/>
        <w:spacing w:after="0" w:line="254" w:lineRule="auto"/>
        <w:tabs>
          <w:tab w:leader="none" w:pos="2707" w:val="left"/>
        </w:tabs>
        <w:numPr>
          <w:ilvl w:val="3"/>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under a Loan Document by a person that was a bank (as defined for the purpose of section 879 of the ITA) at the time that such advance under a Loan Document was made and within the charge to United Kingdom corporation tax as respects any payments of interest made in respect of that advance; or</w:t>
      </w:r>
    </w:p>
    <w:p>
      <w:pPr>
        <w:spacing w:after="0" w:line="174"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215" w:lineRule="exact"/>
        <w:rPr>
          <w:rFonts w:ascii="Times New Roman" w:cs="Times New Roman" w:eastAsia="Times New Roman" w:hAnsi="Times New Roman"/>
          <w:sz w:val="20"/>
          <w:szCs w:val="20"/>
          <w:color w:val="auto"/>
        </w:rPr>
      </w:pPr>
    </w:p>
    <w:p>
      <w:pPr>
        <w:ind w:left="2680" w:hanging="530"/>
        <w:spacing w:after="0"/>
        <w:tabs>
          <w:tab w:leader="none" w:pos="26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202" w:lineRule="exact"/>
        <w:rPr>
          <w:rFonts w:ascii="Times New Roman" w:cs="Times New Roman" w:eastAsia="Times New Roman" w:hAnsi="Times New Roman"/>
          <w:sz w:val="20"/>
          <w:szCs w:val="20"/>
          <w:color w:val="auto"/>
        </w:rPr>
      </w:pPr>
    </w:p>
    <w:p>
      <w:pPr>
        <w:ind w:left="2660" w:hanging="510"/>
        <w:spacing w:after="0"/>
        <w:tabs>
          <w:tab w:leader="none" w:pos="266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15" w:lineRule="exact"/>
        <w:rPr>
          <w:rFonts w:ascii="Times New Roman" w:cs="Times New Roman" w:eastAsia="Times New Roman" w:hAnsi="Times New Roman"/>
          <w:sz w:val="20"/>
          <w:szCs w:val="20"/>
          <w:color w:val="auto"/>
        </w:rPr>
      </w:pPr>
    </w:p>
    <w:p>
      <w:pPr>
        <w:ind w:left="3720" w:hanging="472"/>
        <w:spacing w:after="0"/>
        <w:tabs>
          <w:tab w:leader="none" w:pos="3720" w:val="left"/>
        </w:tabs>
        <w:numPr>
          <w:ilvl w:val="5"/>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29" w:lineRule="exact"/>
        <w:rPr>
          <w:rFonts w:ascii="Times New Roman" w:cs="Times New Roman" w:eastAsia="Times New Roman" w:hAnsi="Times New Roman"/>
          <w:sz w:val="20"/>
          <w:szCs w:val="20"/>
          <w:color w:val="auto"/>
        </w:rPr>
      </w:pPr>
    </w:p>
    <w:p>
      <w:pPr>
        <w:jc w:val="both"/>
        <w:ind w:left="2600" w:right="120" w:firstLine="648"/>
        <w:spacing w:after="0" w:line="254" w:lineRule="auto"/>
        <w:tabs>
          <w:tab w:leader="none" w:pos="3768" w:val="left"/>
        </w:tabs>
        <w:numPr>
          <w:ilvl w:val="5"/>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73" w:lineRule="exact"/>
        <w:rPr>
          <w:rFonts w:ascii="Times New Roman" w:cs="Times New Roman" w:eastAsia="Times New Roman" w:hAnsi="Times New Roman"/>
          <w:sz w:val="20"/>
          <w:szCs w:val="20"/>
          <w:color w:val="auto"/>
        </w:rPr>
      </w:pPr>
    </w:p>
    <w:p>
      <w:pPr>
        <w:jc w:val="both"/>
        <w:ind w:left="1300" w:right="120" w:firstLine="852"/>
        <w:spacing w:after="0" w:line="254" w:lineRule="auto"/>
        <w:tabs>
          <w:tab w:leader="none" w:pos="2661"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60"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1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Revolving Lender that is a building society (as defined for the purposes of section 880 of the ITA) making an</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w:t>
      </w:r>
    </w:p>
    <w:p>
      <w:pPr>
        <w:spacing w:after="0" w:line="19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Fees</w:t>
      </w:r>
      <w:r>
        <w:rPr>
          <w:rFonts w:ascii="Times New Roman" w:cs="Times New Roman" w:eastAsia="Times New Roman" w:hAnsi="Times New Roman"/>
          <w:sz w:val="20"/>
          <w:szCs w:val="20"/>
          <w:color w:val="auto"/>
        </w:rPr>
        <w:t>” means distributions or payments made directly or by means of discounts with respect to any participation interests issued or sold in connection with, and all other fees paid to a Person that is a Subsidiary in connection with, any Permitted Receivables Financing or Specified Vendor Receivables Financing.</w:t>
      </w:r>
    </w:p>
    <w:p>
      <w:pPr>
        <w:spacing w:after="0" w:line="174" w:lineRule="exact"/>
        <w:rPr>
          <w:sz w:val="20"/>
          <w:szCs w:val="20"/>
          <w:color w:val="auto"/>
        </w:rPr>
      </w:pPr>
    </w:p>
    <w:p>
      <w:pPr>
        <w:ind w:right="4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Agreement</w:t>
      </w:r>
      <w:r>
        <w:rPr>
          <w:rFonts w:ascii="Times New Roman" w:cs="Times New Roman" w:eastAsia="Times New Roman" w:hAnsi="Times New Roman"/>
          <w:sz w:val="20"/>
          <w:szCs w:val="20"/>
          <w:color w:val="auto"/>
        </w:rPr>
        <w:t>” means (a) the Amended and Restated Receivables Purchase Agreement dated as of December 29, 2009 among the Receivables Subsidiary, Holdings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20"/>
          </w:cols>
          <w:pgMar w:left="320" w:top="1413" w:right="359" w:bottom="1440" w:gutter="0" w:footer="0" w:header="0"/>
        </w:sectPr>
      </w:pPr>
    </w:p>
    <w:bookmarkStart w:id="99" w:name="page100"/>
    <w:bookmarkEnd w:id="99"/>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Subsidiaries party thereto, related to the Permitted Receivables Financing, as may be amended, supplemented or otherwise modified to the extent permitted by Section 6.11 and (b) any agreement replacing such Receivables Purchase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receivables financings pursuant to the Receivables Purchase Agreement shall not exceed the greater of $75,000,000 and 6.0% of Consolidated Total Assets of Holdings (as of any date of determination) at any time outstanding;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such replacing agreement contains terms that are substantially similar to such Receivables Purchase Agreement and that are otherwise no more adverse to the Lenders than the applicable terms of such Receivables Purchase Agreement.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TSPC, Inc., a Nevada corporation.</w:t>
      </w:r>
    </w:p>
    <w:p>
      <w:pPr>
        <w:spacing w:after="0" w:line="216" w:lineRule="exact"/>
        <w:rPr>
          <w:sz w:val="20"/>
          <w:szCs w:val="20"/>
          <w:color w:val="auto"/>
        </w:rPr>
      </w:pPr>
    </w:p>
    <w:p>
      <w:pPr>
        <w:ind w:right="340" w:firstLine="1296"/>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Transfer Agreement</w:t>
      </w:r>
      <w:r>
        <w:rPr>
          <w:rFonts w:ascii="Times New Roman" w:cs="Times New Roman" w:eastAsia="Times New Roman" w:hAnsi="Times New Roman"/>
          <w:sz w:val="19"/>
          <w:szCs w:val="19"/>
          <w:color w:val="auto"/>
        </w:rPr>
        <w:t>” means (a) the Receivables Transfer Agreement dated as of the December 29, 2009, among the Receivables Subsidiary, Holdings and the purchasers party thereto, relating to the Permitted Receivables Financing, as may be amended, supplemented or otherwise modified to the extent permitted by Section 6.11 and (b) any agreement replacing such Receivables Transfer Agreement, provided that such replacing agreement contains terms that are substantially similar to such Receivables Transfer Agreement and that are otherwise no more adverse to the Lenders than the applicable terms of such Receivables Transfer Agreement.</w:t>
      </w:r>
    </w:p>
    <w:p>
      <w:pPr>
        <w:spacing w:after="0" w:line="171"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 5:00 a.m. (Chicago time) on the day that is two U.S. Government Securities Business Days preceding the date of such setting, (2) if such Benchmark is the EURIBOR Rate, 11:00 a.m. (Brussels time) two TARGET days preceding the date of such setting, (3) if the RFR for such Benchmark is SONIA, then four RFR Business Days prior to such setting, (4) if the RFR for such Benchmark is Daily Simple SOFR, then four RFR Business Days prior to such setting and (5) if such Benchmark is none of the Term SOFR Rate, the EURIBOR Rate, SONIA or Daily Simple SOFR, the time determined by the Administrative Agent in its reasonable discretion with notice to the Parent Borrower.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10.04(c).</w:t>
      </w:r>
    </w:p>
    <w:p>
      <w:pPr>
        <w:spacing w:after="0" w:line="216" w:lineRule="exact"/>
        <w:rPr>
          <w:sz w:val="20"/>
          <w:szCs w:val="20"/>
          <w:color w:val="auto"/>
        </w:rPr>
      </w:pPr>
    </w:p>
    <w:p>
      <w:pPr>
        <w:ind w:right="1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as from time to time in effect and all official rulings and interpretations thereunder or thereof.</w:t>
      </w:r>
    </w:p>
    <w:p>
      <w:pPr>
        <w:spacing w:after="0" w:line="159" w:lineRule="exact"/>
        <w:rPr>
          <w:sz w:val="20"/>
          <w:szCs w:val="20"/>
          <w:color w:val="auto"/>
        </w:rPr>
      </w:pPr>
    </w:p>
    <w:p>
      <w:pPr>
        <w:ind w:right="1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as from time to time in effect and all official rulings and interpretations thereunder or thereof.</w:t>
      </w:r>
    </w:p>
    <w:p>
      <w:pPr>
        <w:spacing w:after="0" w:line="159"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trustees and advisors of such Person and of such Person’s Affiliates.</w:t>
      </w:r>
    </w:p>
    <w:p>
      <w:pPr>
        <w:spacing w:after="0" w:line="146" w:lineRule="exact"/>
        <w:rPr>
          <w:sz w:val="20"/>
          <w:szCs w:val="20"/>
          <w:color w:val="auto"/>
        </w:rPr>
      </w:pPr>
    </w:p>
    <w:p>
      <w:pPr>
        <w:ind w:right="18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dumping, injection, pouring, deposit, disposal, discharge, dispersal, leaching or migration into or through the environment (including ambient air, surface water, groundwater, land surface or subsurface strata) or within any building, structure, facility or fixture.</w:t>
      </w:r>
    </w:p>
    <w:p>
      <w:pPr>
        <w:spacing w:after="0" w:line="174"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(a) with respect to a Benchmark Replacement in respect of Loans denominated in dollars, the Board and/or the NYFRB, or a committee officially endorsed or convened by the Board and/or the NYFRB, or, in each case, any successor thereto, (b) with respect to a Benchmark Replacement in respect of Loans denominated in Pounds Sterling, the Bank of England, or a committee officially endorsed or convened by the Bank of England or, in each case,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20"/>
          </w:cols>
          <w:pgMar w:left="320" w:top="1413" w:right="359" w:bottom="1440" w:gutter="0" w:footer="0" w:header="0"/>
        </w:sectPr>
      </w:pPr>
    </w:p>
    <w:bookmarkStart w:id="100" w:name="page101"/>
    <w:bookmarkEnd w:id="100"/>
    <w:p>
      <w:pPr>
        <w:ind w:right="160"/>
        <w:spacing w:after="0" w:line="269" w:lineRule="auto"/>
        <w:rPr>
          <w:sz w:val="20"/>
          <w:szCs w:val="20"/>
          <w:color w:val="auto"/>
        </w:rPr>
      </w:pPr>
      <w:r>
        <w:rPr>
          <w:rFonts w:ascii="Times New Roman" w:cs="Times New Roman" w:eastAsia="Times New Roman" w:hAnsi="Times New Roman"/>
          <w:sz w:val="20"/>
          <w:szCs w:val="20"/>
          <w:color w:val="auto"/>
        </w:rPr>
        <w:t>successor thereto, and (c) with respect to a Benchmark Replacement in respect of Loans denominated in Euros, the European Central Bank, or a committee officially endorsed or convened by the European Central Bank or, in each case, any successor thereto.</w:t>
      </w:r>
    </w:p>
    <w:p>
      <w:pPr>
        <w:spacing w:after="0" w:line="159" w:lineRule="exact"/>
        <w:rPr>
          <w:sz w:val="20"/>
          <w:szCs w:val="20"/>
          <w:color w:val="auto"/>
        </w:rPr>
      </w:pPr>
    </w:p>
    <w:p>
      <w:pPr>
        <w:ind w:right="80" w:firstLine="1296"/>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denominated in dollars, the Adjusted Term SOFR Rate, (ii) with respect to any Term Benchmark Borrowing denominated in Euros, the Adjusted EURIBOR Rate or (iii) with respect to any RFR Borrowing denominated in Pounds Sterling or dollars, the applicable Adjusted Daily Simple RFR, as applicable.</w:t>
      </w:r>
    </w:p>
    <w:p>
      <w:pPr>
        <w:spacing w:after="0" w:line="181" w:lineRule="exact"/>
        <w:rPr>
          <w:sz w:val="20"/>
          <w:szCs w:val="20"/>
          <w:color w:val="auto"/>
        </w:rPr>
      </w:pPr>
    </w:p>
    <w:p>
      <w:pPr>
        <w:ind w:right="16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Screen Rate</w:t>
      </w:r>
      <w:r>
        <w:rPr>
          <w:rFonts w:ascii="Times New Roman" w:cs="Times New Roman" w:eastAsia="Times New Roman" w:hAnsi="Times New Roman"/>
          <w:sz w:val="19"/>
          <w:szCs w:val="19"/>
          <w:color w:val="auto"/>
        </w:rPr>
        <w:t>” means (i) with respect to any Term Benchmark Borrowing denominated in dollars, the Term SOFR Reference Rate or (ii) with respect to any Term Benchmark Borrowing denominated in Euros, the EURIBOR Screen Rate, as applicable.</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has the meaning assigned to such term in Section 10.02(d).</w:t>
      </w:r>
    </w:p>
    <w:p>
      <w:pPr>
        <w:spacing w:after="0" w:line="216"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 Amendment</w:t>
      </w:r>
      <w:r>
        <w:rPr>
          <w:rFonts w:ascii="Times New Roman" w:cs="Times New Roman" w:eastAsia="Times New Roman" w:hAnsi="Times New Roman"/>
          <w:sz w:val="20"/>
          <w:szCs w:val="20"/>
          <w:color w:val="auto"/>
        </w:rPr>
        <w:t>” means that certain Replacement Revolving Facility Amendment, dated as of September 20, 2017.</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has the meaning assigned to such term in Section 10.02(d).</w:t>
      </w:r>
    </w:p>
    <w:p>
      <w:pPr>
        <w:spacing w:after="0" w:line="202"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having Revolving Exposures and unused Commitments representing more than 50% of the sum of the total Revolving Exposures and unused Commitments at such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has the meaning assigned to such term in Section 2.25(a).</w:t>
      </w:r>
    </w:p>
    <w:p>
      <w:pPr>
        <w:spacing w:after="0" w:line="216" w:lineRule="exact"/>
        <w:rPr>
          <w:sz w:val="20"/>
          <w:szCs w:val="20"/>
          <w:color w:val="auto"/>
        </w:rPr>
      </w:pPr>
    </w:p>
    <w:p>
      <w:pPr>
        <w:ind w:right="8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ind w:right="2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means the date on which the conditions precedent set forth in Section 4.04 have been satisfied, which date is September 20, 2017.</w:t>
      </w:r>
    </w:p>
    <w:p>
      <w:pPr>
        <w:spacing w:after="0" w:line="146" w:lineRule="exact"/>
        <w:rPr>
          <w:sz w:val="20"/>
          <w:szCs w:val="20"/>
          <w:color w:val="auto"/>
        </w:rPr>
      </w:pPr>
    </w:p>
    <w:p>
      <w:pPr>
        <w:ind w:right="9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Indebtedness</w:t>
      </w:r>
      <w:r>
        <w:rPr>
          <w:rFonts w:ascii="Times New Roman" w:cs="Times New Roman" w:eastAsia="Times New Roman" w:hAnsi="Times New Roman"/>
          <w:sz w:val="20"/>
          <w:szCs w:val="20"/>
          <w:color w:val="auto"/>
        </w:rPr>
        <w:t>” means Indebtedness of Holdings, the Parent Borrower or any Subsidiary, the payment, prepayment, redemption, repurchase or defeasance of which is restricted under Section 6.08(b).</w:t>
      </w:r>
    </w:p>
    <w:p>
      <w:pPr>
        <w:spacing w:after="0" w:line="159" w:lineRule="exact"/>
        <w:rPr>
          <w:sz w:val="20"/>
          <w:szCs w:val="20"/>
          <w:color w:val="auto"/>
        </w:rPr>
      </w:pPr>
    </w:p>
    <w:p>
      <w:pPr>
        <w:ind w:right="4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Holdings, the Parent Borrower or any Subsidiary (including the Receivables Subsidiary), or any payment (whether in cash, securities or other property), including any sinking fund or similar deposit, on account of the purchase, redemption, retirement, acquisition, cancelation or termination of any Equity Interests in Holdings, the Parent Borrower or any Subsidiary (including the Receivables Subsidiary) or any option, warrant or other right to acquire any such Equity Interests in Holdings, the Parent Borrower or any Subsidiary (including the Receivables Subsidiary).</w:t>
      </w:r>
    </w:p>
    <w:p>
      <w:pPr>
        <w:spacing w:after="0" w:line="188"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Availability Period</w:t>
      </w:r>
      <w:r>
        <w:rPr>
          <w:rFonts w:ascii="Times New Roman" w:cs="Times New Roman" w:eastAsia="Times New Roman" w:hAnsi="Times New Roman"/>
          <w:sz w:val="20"/>
          <w:szCs w:val="20"/>
          <w:color w:val="auto"/>
        </w:rPr>
        <w:t>” means the period from and including the Third Restatement Date to but excluding the earlier of the Revolving Maturity Date and the date of termination of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20"/>
          </w:cols>
          <w:pgMar w:left="320" w:top="1413" w:right="359" w:bottom="1440" w:gutter="0" w:footer="0" w:header="0"/>
        </w:sectPr>
      </w:pPr>
    </w:p>
    <w:bookmarkStart w:id="101" w:name="page102"/>
    <w:bookmarkEnd w:id="101"/>
    <w:p>
      <w:pPr>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Commitment</w:t>
      </w:r>
      <w:r>
        <w:rPr>
          <w:rFonts w:ascii="Times New Roman" w:cs="Times New Roman" w:eastAsia="Times New Roman" w:hAnsi="Times New Roman"/>
          <w:sz w:val="19"/>
          <w:szCs w:val="19"/>
          <w:color w:val="auto"/>
        </w:rPr>
        <w:t>” means, with respect to each Revolving Lender, the commitment of such Revolving Lender to make Revolving Loans and to acquire participations in Letters of Credit, Swingline Loans and Foreign Currency Loans hereunder, expressed as an amount representing the maximum aggregate amount of such Revolving Lender’s Revolving Exposure hereunder, as such commitment may be (a) reduced from time to time pursuant to Section 2.08, (b) reduced or increased from time to time pursuant to assignments by or to such Lender pursuant to Section 10.04 and (c) increased or assumed pursuant to an Incremental Facility Agreement. The amount of each Revolving Lender’s Revolving Commitment as of the Third Restatement Date is set forth on Schedule 2.01 or in the Assignment and Assumption or the Incremental Facility Agreement pursuant to which such Revolving Lender shall have assumed its Revolving Commitment, as applicable. The initial aggregate amount of the Lenders’ Revolving Commitments on the Third Restatement Date is $250,000,000.</w:t>
      </w:r>
    </w:p>
    <w:p>
      <w:pPr>
        <w:spacing w:after="0" w:line="174" w:lineRule="exact"/>
        <w:rPr>
          <w:sz w:val="20"/>
          <w:szCs w:val="20"/>
          <w:color w:val="auto"/>
        </w:rPr>
      </w:pPr>
    </w:p>
    <w:p>
      <w:pPr>
        <w:ind w:right="10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Revolving Lender at any time, the sum of (a) the aggregate outstanding principal amount of Revolving Loans (other than Foreign Currency Loans) held by such Lender, (b) the LC Exposure of such Lender, (c) the Swingline Exposure of such Lender and (d) such Lender’s Applicable Percentage of the Dollar Equivalent of the aggregate principal amount of Foreign Currency Loans outstanding at such time.</w:t>
      </w:r>
    </w:p>
    <w:p>
      <w:pPr>
        <w:spacing w:after="0" w:line="185" w:lineRule="exact"/>
        <w:rPr>
          <w:sz w:val="20"/>
          <w:szCs w:val="20"/>
          <w:color w:val="auto"/>
        </w:rPr>
      </w:pPr>
    </w:p>
    <w:p>
      <w:pPr>
        <w:ind w:right="2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with a Revolving Commitment or, if the Revolving Commitments have terminated or expired, a Lender with Revolving Exposure.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 Parent</w:t>
      </w:r>
      <w:r>
        <w:rPr>
          <w:rFonts w:ascii="Times New Roman" w:cs="Times New Roman" w:eastAsia="Times New Roman" w:hAnsi="Times New Roman"/>
          <w:sz w:val="20"/>
          <w:szCs w:val="20"/>
          <w:color w:val="auto"/>
        </w:rPr>
        <w:t>” means, with respect to any Revolving Lender, any Person in respect of which such Lender is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any Loan made by a Revolving Lender pursuant to Section 2.01(a)(iii) or 2.01(a)(iv).</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Maturity Date</w:t>
      </w:r>
      <w:r>
        <w:rPr>
          <w:rFonts w:ascii="Times New Roman" w:cs="Times New Roman" w:eastAsia="Times New Roman" w:hAnsi="Times New Roman"/>
          <w:sz w:val="20"/>
          <w:szCs w:val="20"/>
          <w:color w:val="auto"/>
        </w:rPr>
        <w:t>” means March 31, 2030.</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RP Period</w:t>
      </w:r>
      <w:r>
        <w:rPr>
          <w:rFonts w:ascii="Times New Roman" w:cs="Times New Roman" w:eastAsia="Times New Roman" w:hAnsi="Times New Roman"/>
          <w:sz w:val="20"/>
          <w:szCs w:val="20"/>
          <w:color w:val="auto"/>
        </w:rPr>
        <w:t>” has the meaning assigned to such term in Section 6.08(a)(viii).</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(a) Pounds Sterling, SONIA and (b) dollars, Daily Simple SOFR.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ind w:right="14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 denominated in (a) Pounds Sterling, any day except for (i) a Saturday, (ii) a Sunday or (iii) a day on which banks are closed for general business in London and (b) dollars, a U.S. Government Securities Business Day.</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or any successor thereto.</w:t>
      </w:r>
    </w:p>
    <w:p>
      <w:pPr>
        <w:spacing w:after="0" w:line="216" w:lineRule="exact"/>
        <w:rPr>
          <w:sz w:val="20"/>
          <w:szCs w:val="20"/>
          <w:color w:val="auto"/>
        </w:rPr>
      </w:pPr>
    </w:p>
    <w:p>
      <w:pPr>
        <w:ind w:right="3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of comprehensive Sanctions (as of the Third Restatement Date, the Crimea, so-called Donetsk, and so-called Luhansk People’s Republic regions of Ukraine, Cuba, Iran, North Korea and Syria).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102" w:name="page103"/>
    <w:bookmarkEnd w:id="102"/>
    <w:p>
      <w:pPr>
        <w:ind w:right="60"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United States government, including the the Office of Foreign Assets Control of the U.S. Department of the Treasury, the U.S. Department of State, or the U.S. Department of Commerce, or by the United Nations Security Council, the European Union, any European Union member state or the United Kingdom, (b) any Person located, organized or resident in a Sanctioned Country, (c) any Person owned, 50% or more, or controlled by any such Person or Persons described in the foregoing clauses (a) or (b), or (d) any Person otherwise the subject of any Sanctions.</w:t>
      </w:r>
    </w:p>
    <w:p>
      <w:pPr>
        <w:spacing w:after="0" w:line="188"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80" w:lineRule="exact"/>
        <w:rPr>
          <w:sz w:val="20"/>
          <w:szCs w:val="20"/>
          <w:color w:val="auto"/>
        </w:rPr>
      </w:pPr>
    </w:p>
    <w:p>
      <w:pPr>
        <w:ind w:right="7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Replacement Revolving Facility Amendment</w:t>
      </w:r>
      <w:r>
        <w:rPr>
          <w:rFonts w:ascii="Times New Roman" w:cs="Times New Roman" w:eastAsia="Times New Roman" w:hAnsi="Times New Roman"/>
          <w:sz w:val="20"/>
          <w:szCs w:val="20"/>
          <w:color w:val="auto"/>
        </w:rPr>
        <w:t>” means that certain Second Replacement Revolving Facility Amendment, dated as of March 29, 2021.</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“Second Restatement Date” has the meaning specified in the Second Replacement Revolving Facility Amendment.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Agreement, substantially in the form of Exhibit H, among Holdings, the Parent Borrower, the Subsidiary Loan Parties party thereto and the Collateral Agent for the benefit of the Secured Parties.</w:t>
      </w:r>
    </w:p>
    <w:p>
      <w:pPr>
        <w:spacing w:after="0" w:line="159" w:lineRule="exact"/>
        <w:rPr>
          <w:sz w:val="20"/>
          <w:szCs w:val="20"/>
          <w:color w:val="auto"/>
        </w:rPr>
      </w:pPr>
    </w:p>
    <w:p>
      <w:pPr>
        <w:ind w:right="16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the Security Agreement, the Pledge Agreement, the Mortgages, the Mortgage Amendments, the Guarantee Agreement, the Indemnity, Subrogation and Contribution Agreement, each Foreign Security Document entered into pursuant to Section 2.20 and Section 4.03 and each other security agreement or other instrument or document executed and delivered pursuant to Section 5.12 or 5.13 to secure any of the Obligations.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Indebtedness</w:t>
      </w:r>
      <w:r>
        <w:rPr>
          <w:rFonts w:ascii="Times New Roman" w:cs="Times New Roman" w:eastAsia="Times New Roman" w:hAnsi="Times New Roman"/>
          <w:sz w:val="20"/>
          <w:szCs w:val="20"/>
          <w:color w:val="auto"/>
        </w:rPr>
        <w:t>” means Total Indebtedness less Subordinated Debt.</w:t>
      </w:r>
    </w:p>
    <w:p>
      <w:pPr>
        <w:spacing w:after="0" w:line="216"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Indebtedness</w:t>
      </w:r>
      <w:r>
        <w:rPr>
          <w:rFonts w:ascii="Times New Roman" w:cs="Times New Roman" w:eastAsia="Times New Roman" w:hAnsi="Times New Roman"/>
          <w:sz w:val="20"/>
          <w:szCs w:val="20"/>
          <w:color w:val="auto"/>
        </w:rPr>
        <w:t>” means Senior Indebtedness that is secured by a Lien on any asset of Holdings, the Parent Borrower or any of its Subsidiaries.</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Net Leverage Ratio</w:t>
      </w:r>
      <w:r>
        <w:rPr>
          <w:rFonts w:ascii="Times New Roman" w:cs="Times New Roman" w:eastAsia="Times New Roman" w:hAnsi="Times New Roman"/>
          <w:sz w:val="20"/>
          <w:szCs w:val="20"/>
          <w:color w:val="auto"/>
        </w:rPr>
        <w:t xml:space="preserve">” means, on any date, the ratio of (a) (i) Senior Secured Indebtedness as of such date </w:t>
      </w:r>
      <w:r>
        <w:rPr>
          <w:rFonts w:ascii="Times New Roman" w:cs="Times New Roman" w:eastAsia="Times New Roman" w:hAnsi="Times New Roman"/>
          <w:sz w:val="20"/>
          <w:szCs w:val="20"/>
          <w:i w:val="1"/>
          <w:iCs w:val="1"/>
          <w:u w:val="single" w:color="auto"/>
          <w:color w:val="auto"/>
        </w:rPr>
        <w:t>less</w:t>
      </w:r>
    </w:p>
    <w:p>
      <w:pPr>
        <w:spacing w:after="0" w:line="26" w:lineRule="exact"/>
        <w:rPr>
          <w:sz w:val="20"/>
          <w:szCs w:val="20"/>
          <w:color w:val="auto"/>
        </w:rPr>
      </w:pPr>
    </w:p>
    <w:p>
      <w:pPr>
        <w:ind w:right="60" w:firstLine="8"/>
        <w:spacing w:after="0" w:line="237" w:lineRule="auto"/>
        <w:tabs>
          <w:tab w:leader="none" w:pos="2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in excess of $10,000,000 (but not to exceed $150,000,000) of the Freely Transferable unrestricted cash and unrestricted Permitted Investments of the Parent Borrower and its Subsidiaries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spacing w:after="0" w:line="190"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w:t>
      </w:r>
      <w:r>
        <w:rPr>
          <w:rFonts w:ascii="Times New Roman" w:cs="Times New Roman" w:eastAsia="Times New Roman" w:hAnsi="Times New Roman"/>
          <w:sz w:val="20"/>
          <w:szCs w:val="20"/>
          <w:color w:val="auto"/>
        </w:rPr>
        <w:t>” means that certain Seventh Amendment, dated as of April 7, 2023, among the Parent Borrower, the Administrative Agent, each Revolving Lender and the other parties party thereto.</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 Effective Date</w:t>
      </w:r>
      <w:r>
        <w:rPr>
          <w:rFonts w:ascii="Times New Roman" w:cs="Times New Roman" w:eastAsia="Times New Roman" w:hAnsi="Times New Roman"/>
          <w:sz w:val="20"/>
          <w:szCs w:val="20"/>
          <w:color w:val="auto"/>
        </w:rPr>
        <w:t>” has the meaning specified in the Seventh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20"/>
          </w:cols>
          <w:pgMar w:left="320" w:top="1413" w:right="359" w:bottom="1440" w:gutter="0" w:footer="0" w:header="0"/>
        </w:sectPr>
      </w:pPr>
    </w:p>
    <w:bookmarkStart w:id="103" w:name="page104"/>
    <w:bookmarkEnd w:id="103"/>
    <w:p>
      <w:pPr>
        <w:ind w:right="44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Significant Investment</w:t>
      </w:r>
      <w:r>
        <w:rPr>
          <w:rFonts w:ascii="Times New Roman" w:cs="Times New Roman" w:eastAsia="Times New Roman" w:hAnsi="Times New Roman"/>
          <w:sz w:val="19"/>
          <w:szCs w:val="19"/>
          <w:color w:val="auto"/>
        </w:rPr>
        <w:t>” means any acquisition by the Parent Borrower or a Subsidiary of more than 50% (but less than 100%) of the Equity Interests in a Person (such Person, the “</w:t>
      </w:r>
      <w:r>
        <w:rPr>
          <w:rFonts w:ascii="Times New Roman" w:cs="Times New Roman" w:eastAsia="Times New Roman" w:hAnsi="Times New Roman"/>
          <w:sz w:val="19"/>
          <w:szCs w:val="19"/>
          <w:u w:val="single" w:color="auto"/>
          <w:color w:val="auto"/>
        </w:rPr>
        <w:t>Subject Person</w:t>
      </w:r>
      <w:r>
        <w:rPr>
          <w:rFonts w:ascii="Times New Roman" w:cs="Times New Roman" w:eastAsia="Times New Roman" w:hAnsi="Times New Roman"/>
          <w:sz w:val="19"/>
          <w:szCs w:val="19"/>
          <w:color w:val="auto"/>
        </w:rPr>
        <w:t>”), so long as such acquisition is permitted by Section 6.04.</w:t>
      </w:r>
    </w:p>
    <w:p>
      <w:pPr>
        <w:spacing w:after="0" w:line="13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means any business (a) the majority of whose revenues are derived from business or activities conducted by the Parent Borrower and its Subsidiaries on the Third Restatement Date, (b) that is a natural outgrowth or reasonable extension, development, expansion of any business or activities conducted by the Parent Borrower and its Subsidiaries on the Third Restatement Date or any business similar, reasonably related, incidental, complementary or ancillary to any of the foregoing and (c) any business that in the Parent Borrower’s good faith business judgment constitutes a reasonable diversification of businesses conducted by the Parent Borrower and its Subsidiaries.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16" w:lineRule="exact"/>
        <w:rPr>
          <w:sz w:val="20"/>
          <w:szCs w:val="20"/>
          <w:color w:val="auto"/>
        </w:rPr>
      </w:pPr>
    </w:p>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jc w:val="both"/>
        <w:ind w:right="6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w:t>
      </w:r>
    </w:p>
    <w:p>
      <w:pPr>
        <w:spacing w:after="0" w:line="194" w:lineRule="exact"/>
        <w:rPr>
          <w:sz w:val="20"/>
          <w:szCs w:val="20"/>
          <w:color w:val="auto"/>
        </w:rPr>
      </w:pPr>
    </w:p>
    <w:p>
      <w:pPr>
        <w:ind w:right="2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59" w:lineRule="exact"/>
        <w:rPr>
          <w:sz w:val="20"/>
          <w:szCs w:val="20"/>
          <w:color w:val="auto"/>
        </w:rPr>
      </w:pPr>
    </w:p>
    <w:p>
      <w:pPr>
        <w:ind w:right="5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Discontinued Operations</w:t>
      </w:r>
      <w:r>
        <w:rPr>
          <w:rFonts w:ascii="Times New Roman" w:cs="Times New Roman" w:eastAsia="Times New Roman" w:hAnsi="Times New Roman"/>
          <w:sz w:val="20"/>
          <w:szCs w:val="20"/>
          <w:color w:val="auto"/>
        </w:rPr>
        <w:t>” means Holdings’ aerospace business segment as described on Form 8-K, filed on November 5, 2024.</w:t>
      </w:r>
    </w:p>
    <w:p>
      <w:pPr>
        <w:spacing w:after="0" w:line="159"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Vendor Receivables Financing</w:t>
      </w:r>
      <w:r>
        <w:rPr>
          <w:rFonts w:ascii="Times New Roman" w:cs="Times New Roman" w:eastAsia="Times New Roman" w:hAnsi="Times New Roman"/>
          <w:sz w:val="20"/>
          <w:szCs w:val="20"/>
          <w:color w:val="auto"/>
        </w:rPr>
        <w:t>” means the sale by the Parent Borrower and certain Subsidiaries (other than Foreign Subsidiaries) of accounts receivable to one or more financial institutions pursuant to third-party financing agreements in transactions constituting “</w:t>
      </w:r>
      <w:r>
        <w:rPr>
          <w:rFonts w:ascii="Times New Roman" w:cs="Times New Roman" w:eastAsia="Times New Roman" w:hAnsi="Times New Roman"/>
          <w:sz w:val="20"/>
          <w:szCs w:val="20"/>
          <w:u w:val="single" w:color="auto"/>
          <w:color w:val="auto"/>
        </w:rPr>
        <w:t>true sales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receivables financings shall not exceed the greater of $75,000,000 and 6.0% of Consolidated Total Assets of Holdings (as of the date of such sale) at any time outstanding.</w:t>
      </w:r>
    </w:p>
    <w:p>
      <w:pPr>
        <w:spacing w:after="0" w:line="180"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Vendor Receivables Financing Documents</w:t>
      </w:r>
      <w:r>
        <w:rPr>
          <w:rFonts w:ascii="Times New Roman" w:cs="Times New Roman" w:eastAsia="Times New Roman" w:hAnsi="Times New Roman"/>
          <w:sz w:val="20"/>
          <w:szCs w:val="20"/>
          <w:color w:val="auto"/>
        </w:rPr>
        <w:t>” means all documents and agreements relating to Specified Vendor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104" w:name="page105"/>
    <w:bookmarkEnd w:id="104"/>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has the meaning assigned to such term in the definition of “Significant Investment.”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subordinated Indebtedness of Holdings, the Parent Borrower or any Subsidiary.</w:t>
      </w:r>
    </w:p>
    <w:p>
      <w:pPr>
        <w:spacing w:after="0" w:line="216" w:lineRule="exact"/>
        <w:rPr>
          <w:sz w:val="20"/>
          <w:szCs w:val="20"/>
          <w:color w:val="auto"/>
        </w:rPr>
      </w:pPr>
    </w:p>
    <w:p>
      <w:pPr>
        <w:ind w:right="140"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6" w:lineRule="exact"/>
        <w:rPr>
          <w:sz w:val="20"/>
          <w:szCs w:val="20"/>
          <w:color w:val="auto"/>
        </w:rPr>
      </w:pPr>
    </w:p>
    <w:p>
      <w:pPr>
        <w:ind w:right="60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subsidiary of the Parent Borrower or Holdings, as the context requires, including the Foreign Subsidiary Borrowers. Unless expressly otherwise provided, the term “</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not include the Receivables Subsidiary.</w:t>
      </w:r>
    </w:p>
    <w:p>
      <w:pPr>
        <w:spacing w:after="0" w:line="138"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Loan Party</w:t>
      </w:r>
      <w:r>
        <w:rPr>
          <w:rFonts w:ascii="Times New Roman" w:cs="Times New Roman" w:eastAsia="Times New Roman" w:hAnsi="Times New Roman"/>
          <w:sz w:val="20"/>
          <w:szCs w:val="20"/>
          <w:color w:val="auto"/>
        </w:rPr>
        <w:t>” means (a) any Domestic Subsidiary (other than (i) any CFC, (ii) any CFC Holdco and (iii) any U.S. Holdco) that executes the documents required by clause (a)(i) or (a)(ii), as applicable, of the Collateral and Guarantee Requirement and (b) any Foreign Subsidiary Borrower and any other Foreign Subsidiary that executes a guarantee agreement pursuant to paragraph (c) of the Foreign Security Collateral and Guarantee Requirement.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such term in in Section 10.22.</w:t>
      </w:r>
    </w:p>
    <w:p>
      <w:pPr>
        <w:spacing w:after="0" w:line="216" w:lineRule="exact"/>
        <w:rPr>
          <w:sz w:val="20"/>
          <w:szCs w:val="20"/>
          <w:color w:val="auto"/>
        </w:rPr>
      </w:pPr>
    </w:p>
    <w:p>
      <w:pPr>
        <w:ind w:right="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means any agreement, contract, or transaction that constitutes a “swap” within the meaning of section 1a(47) of the Commodity Exchange Act.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person, any obligation to pay or perform under any Swap.</w:t>
      </w:r>
    </w:p>
    <w:p>
      <w:pPr>
        <w:spacing w:after="0" w:line="216"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Revolving Lender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20"/>
          </w:cols>
          <w:pgMar w:left="320" w:top="1413" w:right="359" w:bottom="1440" w:gutter="0" w:footer="0" w:header="0"/>
        </w:sectPr>
      </w:pPr>
    </w:p>
    <w:bookmarkStart w:id="105" w:name="page106"/>
    <w:bookmarkEnd w:id="105"/>
    <w:p>
      <w:pPr>
        <w:spacing w:after="0" w:line="249" w:lineRule="auto"/>
        <w:rPr>
          <w:sz w:val="20"/>
          <w:szCs w:val="20"/>
          <w:color w:val="auto"/>
        </w:rPr>
      </w:pPr>
      <w:r>
        <w:rPr>
          <w:rFonts w:ascii="Times New Roman" w:cs="Times New Roman" w:eastAsia="Times New Roman" w:hAnsi="Times New Roman"/>
          <w:sz w:val="20"/>
          <w:szCs w:val="20"/>
          <w:color w:val="auto"/>
        </w:rPr>
        <w:t>shall be (a) its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Revolving Lenders shall not have funded their participations in such Swingline Loans).</w:t>
      </w:r>
    </w:p>
    <w:p>
      <w:pPr>
        <w:spacing w:after="0" w:line="180" w:lineRule="exact"/>
        <w:rPr>
          <w:sz w:val="20"/>
          <w:szCs w:val="20"/>
          <w:color w:val="auto"/>
        </w:rPr>
      </w:pPr>
    </w:p>
    <w:p>
      <w:pPr>
        <w:ind w:right="16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either JPMCB, in its capacity as lender of Swingline Loans hereunder or any additional Swingline Lender designated pursuant to Section 10.02(d), as the case may be. References herein and in the other Loan Documents to the Swingline Lender shall be deemed to refer to the Swingline Lender in respect of the applicable Swingline Loan or to all Swingline Lenders, as the context requires.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Agents</w:t>
      </w:r>
      <w:r>
        <w:rPr>
          <w:rFonts w:ascii="Times New Roman" w:cs="Times New Roman" w:eastAsia="Times New Roman" w:hAnsi="Times New Roman"/>
          <w:sz w:val="20"/>
          <w:szCs w:val="20"/>
          <w:color w:val="auto"/>
        </w:rPr>
        <w:t>” means the Co-Syndication Agents identified on the cover page of this Agreement.</w:t>
      </w:r>
    </w:p>
    <w:p>
      <w:pPr>
        <w:spacing w:after="0" w:line="216" w:lineRule="exact"/>
        <w:rPr>
          <w:sz w:val="20"/>
          <w:szCs w:val="20"/>
          <w:color w:val="auto"/>
        </w:rPr>
      </w:pPr>
    </w:p>
    <w:p>
      <w:pPr>
        <w:ind w:right="10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Purchase Agreement</w:t>
      </w:r>
      <w:r>
        <w:rPr>
          <w:rFonts w:ascii="Times New Roman" w:cs="Times New Roman" w:eastAsia="Times New Roman" w:hAnsi="Times New Roman"/>
          <w:sz w:val="20"/>
          <w:szCs w:val="20"/>
          <w:color w:val="auto"/>
        </w:rPr>
        <w:t xml:space="preserve">” means any swap, derivative or other agreement or combination of agreements pursuant to which Holdings, the Parent Borrower or a Subsidiary is or may become obligated to make (i) any payment (other than in the form of Equity Interests in Holdings) in connection with a purchase by a third party from a Person other than Holdings, the Parent Borrower or a Subsidiary of any Equity Interest or Restricted Indebtedness or (ii) any payment (other than on account of a permitted purchase by it of any Equity Interest or any Restricted Indebtedness) the amount of which is determined by reference to the price or value at any time of any Equity Interest or Restricted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phantom stock or similar plans providing for payments only to current or former directors, officers, consultants, advisors or employees of Holdings, the Parent Borrower or the Subsidiaries (or to their heirs or estates) shall not be deemed to be Synthetic Purchase Agreements.</w:t>
      </w:r>
    </w:p>
    <w:p>
      <w:pPr>
        <w:spacing w:after="0" w:line="189" w:lineRule="exact"/>
        <w:rPr>
          <w:sz w:val="20"/>
          <w:szCs w:val="20"/>
          <w:color w:val="auto"/>
        </w:rPr>
      </w:pPr>
    </w:p>
    <w:p>
      <w:pPr>
        <w:ind w:right="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T2 (or, if such payment system ceases to be operative, such other payment system, if any, reasonably determined by the Administrative Agent to be a suitable replacement) is open for the settlement of payments in Euro.</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operating by the Eurosystem, or any successor system.</w:t>
      </w:r>
    </w:p>
    <w:p>
      <w:pPr>
        <w:spacing w:after="0" w:line="216"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is either:</w:t>
      </w:r>
    </w:p>
    <w:p>
      <w:pPr>
        <w:spacing w:after="0" w:line="159" w:lineRule="exact"/>
        <w:rPr>
          <w:sz w:val="20"/>
          <w:szCs w:val="20"/>
          <w:color w:val="auto"/>
        </w:rPr>
      </w:pPr>
    </w:p>
    <w:p>
      <w:pPr>
        <w:ind w:left="1780" w:hanging="476"/>
        <w:spacing w:after="0"/>
        <w:tabs>
          <w:tab w:leader="none" w:pos="17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21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15"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15" w:lineRule="exact"/>
        <w:rPr>
          <w:rFonts w:ascii="Times New Roman" w:cs="Times New Roman" w:eastAsia="Times New Roman" w:hAnsi="Times New Roman"/>
          <w:sz w:val="20"/>
          <w:szCs w:val="20"/>
          <w:color w:val="auto"/>
        </w:rPr>
      </w:pPr>
    </w:p>
    <w:p>
      <w:pPr>
        <w:ind w:left="1300" w:firstLine="652"/>
        <w:spacing w:after="0" w:line="249" w:lineRule="auto"/>
        <w:tabs>
          <w:tab w:leader="none" w:pos="238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20"/>
          </w:cols>
          <w:pgMar w:left="320" w:top="1413" w:right="359" w:bottom="1440" w:gutter="0" w:footer="0" w:header="0"/>
        </w:sectPr>
      </w:pPr>
    </w:p>
    <w:bookmarkStart w:id="106" w:name="page107"/>
    <w:bookmarkEnd w:id="106"/>
    <w:p>
      <w:pPr>
        <w:ind w:left="660" w:firstLine="644"/>
        <w:spacing w:after="0" w:line="254" w:lineRule="auto"/>
        <w:tabs>
          <w:tab w:leader="none" w:pos="177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4"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(of any nature whatsoever), levies, imposts, duties, deductions, charges or withholdings (including backup withholding) imposed by any Governmental Authority, including any interest, additions to tax or penalties applicable thereto.</w:t>
      </w:r>
    </w:p>
    <w:p>
      <w:pPr>
        <w:spacing w:after="0" w:line="174" w:lineRule="exact"/>
        <w:rPr>
          <w:sz w:val="20"/>
          <w:szCs w:val="20"/>
          <w:color w:val="auto"/>
        </w:rPr>
      </w:pPr>
    </w:p>
    <w:p>
      <w:pPr>
        <w:ind w:right="4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Adjusted Term SOFR Rate or the Adjusted EURIBOR Rate.</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16" w:lineRule="exact"/>
        <w:rPr>
          <w:sz w:val="20"/>
          <w:szCs w:val="20"/>
          <w:color w:val="auto"/>
        </w:rPr>
      </w:pPr>
    </w:p>
    <w:p>
      <w:pPr>
        <w:ind w:right="12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0"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reasonably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2"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Restatement Date</w:t>
      </w:r>
      <w:r>
        <w:rPr>
          <w:rFonts w:ascii="Times New Roman" w:cs="Times New Roman" w:eastAsia="Times New Roman" w:hAnsi="Times New Roman"/>
          <w:sz w:val="20"/>
          <w:szCs w:val="20"/>
          <w:color w:val="auto"/>
        </w:rPr>
        <w:t>” means the date on which the conditions precedent set forth in Section 4.04 have been satisfied, which date is March 31, 2025.</w:t>
      </w:r>
    </w:p>
    <w:p>
      <w:pPr>
        <w:spacing w:after="0" w:line="159" w:lineRule="exact"/>
        <w:rPr>
          <w:sz w:val="20"/>
          <w:szCs w:val="20"/>
          <w:color w:val="auto"/>
        </w:rPr>
      </w:pPr>
    </w:p>
    <w:p>
      <w:pPr>
        <w:ind w:right="80" w:firstLine="1296"/>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Indebtedness</w:t>
      </w:r>
      <w:r>
        <w:rPr>
          <w:rFonts w:ascii="Times New Roman" w:cs="Times New Roman" w:eastAsia="Times New Roman" w:hAnsi="Times New Roman"/>
          <w:sz w:val="20"/>
          <w:szCs w:val="20"/>
          <w:color w:val="auto"/>
        </w:rPr>
        <w:t>” means, as of any date, the sum of, without duplication, (a) the aggregate principal amount of Indebtedness of Holdings, the Parent Borrower and the Subsidiaries outstanding as of such date, in the amount that would be reflected on a balance sheet prepared as of such date on a consolidated basis in accordance with GAAP, plus (b) the aggregate “</w:t>
      </w:r>
      <w:r>
        <w:rPr>
          <w:rFonts w:ascii="Times New Roman" w:cs="Times New Roman" w:eastAsia="Times New Roman" w:hAnsi="Times New Roman"/>
          <w:sz w:val="20"/>
          <w:szCs w:val="20"/>
          <w:u w:val="single" w:color="auto"/>
          <w:color w:val="auto"/>
        </w:rPr>
        <w:t>Net Investment</w:t>
      </w:r>
      <w:r>
        <w:rPr>
          <w:rFonts w:ascii="Times New Roman" w:cs="Times New Roman" w:eastAsia="Times New Roman" w:hAnsi="Times New Roman"/>
          <w:sz w:val="20"/>
          <w:szCs w:val="20"/>
          <w:color w:val="auto"/>
        </w:rPr>
        <w:t xml:space="preserve">” as defined in Annex A to the Receivables Transfer Agreement, plus (c) the aggregate principal amount of Indebtedness of Holdings, the Parent Borrower and the Subsidiaries outstanding as of such date that is not required to be reflected on a balance sheet in accordance with GAAP, determined on a consolidated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 (c) above, the term “Indebtedness” shall not include (i) contingent obligations of Holdings, the Parent Borrower or any Subsidiary as an account party in respect of any letter of credit or letter of guaranty unless, without duplication, such letter of credit or letter of guaranty supports an obligation that constitutes Indebtedness and (ii) Indebtedness described in Section 6.01(a)(xi).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20"/>
          </w:cols>
          <w:pgMar w:left="320" w:top="1413" w:right="359" w:bottom="1440" w:gutter="0" w:footer="0" w:header="0"/>
        </w:sectPr>
      </w:pPr>
    </w:p>
    <w:bookmarkStart w:id="107" w:name="page108"/>
    <w:bookmarkEnd w:id="107"/>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on any date, the ratio of (a) (i) Total Indebtedness as of such date </w:t>
      </w:r>
      <w:r>
        <w:rPr>
          <w:rFonts w:ascii="Times New Roman" w:cs="Times New Roman" w:eastAsia="Times New Roman" w:hAnsi="Times New Roman"/>
          <w:sz w:val="20"/>
          <w:szCs w:val="20"/>
          <w:i w:val="1"/>
          <w:iCs w:val="1"/>
          <w:u w:val="single" w:color="auto"/>
          <w:color w:val="auto"/>
        </w:rPr>
        <w:t>less</w:t>
      </w:r>
      <w:r>
        <w:rPr>
          <w:rFonts w:ascii="Times New Roman" w:cs="Times New Roman" w:eastAsia="Times New Roman" w:hAnsi="Times New Roman"/>
          <w:sz w:val="20"/>
          <w:szCs w:val="20"/>
          <w:color w:val="auto"/>
        </w:rPr>
        <w:t xml:space="preserve"> (ii) the aggregate amount in excess of $10,000,000 (but not to exceed $150,000,000 </w:t>
      </w:r>
      <w:r>
        <w:rPr>
          <w:rFonts w:ascii="Times New Roman" w:cs="Times New Roman" w:eastAsia="Times New Roman" w:hAnsi="Times New Roman"/>
          <w:sz w:val="20"/>
          <w:szCs w:val="20"/>
          <w:color w:val="0000FF"/>
        </w:rPr>
        <w:t>or, solely with respect to the financial covenants set forth in 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not to exceed $240,000,000</w:t>
      </w:r>
      <w:r>
        <w:rPr>
          <w:rFonts w:ascii="Times New Roman" w:cs="Times New Roman" w:eastAsia="Times New Roman" w:hAnsi="Times New Roman"/>
          <w:sz w:val="20"/>
          <w:szCs w:val="20"/>
          <w:color w:val="000000"/>
        </w:rPr>
        <w:t>) of the Freely Transferable unrestricted cash and unrestricted Permitted Investments of the Parent Borrower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its Subsidiaries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-614680</wp:posOffset>
            </wp:positionV>
            <wp:extent cx="37211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721100" cy="8255"/>
                    </a:xfrm>
                    <a:prstGeom prst="rect">
                      <a:avLst/>
                    </a:prstGeom>
                    <a:noFill/>
                  </pic:spPr>
                </pic:pic>
              </a:graphicData>
            </a:graphic>
          </wp:anchor>
        </w:drawing>
      </w:r>
    </w:p>
    <w:p>
      <w:pPr>
        <w:spacing w:after="0" w:line="163" w:lineRule="exact"/>
        <w:rPr>
          <w:sz w:val="20"/>
          <w:szCs w:val="20"/>
          <w:color w:val="auto"/>
        </w:rPr>
      </w:pPr>
    </w:p>
    <w:p>
      <w:pPr>
        <w:ind w:right="48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execution and delivery of the Eighth Amendment and the amendment of the Existing Credit Agreement effected thereby, (b) the establishment of revolving commitments in an aggregate amount of $250,000,000 hereunder and (c) the payment of the fees and expenses payable in connection with the foregoing.</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has the meaning assigned to such term in the definition of Treaty State.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Revolving Lender which:</w:t>
      </w:r>
    </w:p>
    <w:p>
      <w:pPr>
        <w:spacing w:after="0" w:line="229" w:lineRule="exact"/>
        <w:rPr>
          <w:sz w:val="20"/>
          <w:szCs w:val="20"/>
          <w:color w:val="auto"/>
        </w:rPr>
      </w:pPr>
    </w:p>
    <w:p>
      <w:pPr>
        <w:ind w:left="1740" w:hanging="436"/>
        <w:spacing w:after="0"/>
        <w:tabs>
          <w:tab w:leader="none" w:pos="17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treated as a resident of a Treaty State for the purposes of the Treaty;</w:t>
      </w:r>
    </w:p>
    <w:p>
      <w:pPr>
        <w:spacing w:after="0" w:line="219" w:lineRule="exact"/>
        <w:rPr>
          <w:rFonts w:ascii="Times New Roman" w:cs="Times New Roman" w:eastAsia="Times New Roman" w:hAnsi="Times New Roman"/>
          <w:sz w:val="22"/>
          <w:szCs w:val="22"/>
          <w:color w:val="auto"/>
        </w:rPr>
      </w:pPr>
    </w:p>
    <w:p>
      <w:pPr>
        <w:ind w:left="660" w:right="480" w:firstLine="644"/>
        <w:spacing w:after="0" w:line="245" w:lineRule="auto"/>
        <w:tabs>
          <w:tab w:leader="none" w:pos="175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any advance is effectively connected; and</w:t>
      </w:r>
    </w:p>
    <w:p>
      <w:pPr>
        <w:spacing w:after="0" w:line="195" w:lineRule="exact"/>
        <w:rPr>
          <w:rFonts w:ascii="Times New Roman" w:cs="Times New Roman" w:eastAsia="Times New Roman" w:hAnsi="Times New Roman"/>
          <w:sz w:val="22"/>
          <w:szCs w:val="22"/>
          <w:color w:val="auto"/>
        </w:rPr>
      </w:pPr>
    </w:p>
    <w:p>
      <w:pPr>
        <w:ind w:left="660" w:right="100" w:firstLine="644"/>
        <w:spacing w:after="0" w:line="259" w:lineRule="auto"/>
        <w:tabs>
          <w:tab w:leader="none" w:pos="174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meets all of the conditions in the Treaty that relate to the Lender for full exemption from Taxes imposed by the United Kingdom on interest, subject to the completion of procedural formalities.</w:t>
      </w:r>
    </w:p>
    <w:p>
      <w:pPr>
        <w:spacing w:after="0" w:line="167"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15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EURIBOR Rate, the Adjusted Daily Simple RFR, the Alternate Base Rate, or the Central Bank Rate.</w:t>
      </w:r>
    </w:p>
    <w:p>
      <w:pPr>
        <w:spacing w:after="0" w:line="174" w:lineRule="exact"/>
        <w:rPr>
          <w:sz w:val="20"/>
          <w:szCs w:val="20"/>
          <w:color w:val="auto"/>
        </w:rPr>
      </w:pPr>
    </w:p>
    <w:p>
      <w:pPr>
        <w:ind w:right="8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UCP</w:t>
      </w:r>
      <w:r>
        <w:rPr>
          <w:rFonts w:ascii="Times New Roman" w:cs="Times New Roman" w:eastAsia="Times New Roman" w:hAnsi="Times New Roman"/>
          <w:sz w:val="19"/>
          <w:szCs w:val="19"/>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38"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means a Foreign Subsidiary Borrower which is incorporated in or otherwise organized under the laws of England and Wales or which is resident for Tax purposes in England and Wales.</w:t>
      </w:r>
    </w:p>
    <w:p>
      <w:pPr>
        <w:spacing w:after="0" w:line="159" w:lineRule="exact"/>
        <w:rPr>
          <w:sz w:val="20"/>
          <w:szCs w:val="20"/>
          <w:color w:val="auto"/>
        </w:rPr>
      </w:pPr>
    </w:p>
    <w:p>
      <w:pPr>
        <w:ind w:right="22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00"/>
          </w:cols>
          <w:pgMar w:left="320" w:top="1409" w:right="379" w:bottom="1440" w:gutter="0" w:footer="0" w:header="0"/>
        </w:sectPr>
      </w:pPr>
    </w:p>
    <w:bookmarkStart w:id="108" w:name="page109"/>
    <w:bookmarkEnd w:id="108"/>
    <w:p>
      <w:pPr>
        <w:spacing w:after="0" w:line="18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right="5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Loan</w:t>
      </w:r>
      <w:r>
        <w:rPr>
          <w:rFonts w:ascii="Times New Roman" w:cs="Times New Roman" w:eastAsia="Times New Roman" w:hAnsi="Times New Roman"/>
          <w:sz w:val="20"/>
          <w:szCs w:val="20"/>
          <w:color w:val="auto"/>
        </w:rPr>
        <w:t>” means any Loan or other extension of credit (including any Letter of Credit) made to a UK Borrower by a Revolving Lender.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has the meaning assigned to such term in Section 2.17(k).</w:t>
      </w:r>
    </w:p>
    <w:p>
      <w:pPr>
        <w:spacing w:after="0" w:line="216"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jc w:val="both"/>
        <w:ind w:right="24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right="30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Holdco</w:t>
      </w:r>
      <w:r>
        <w:rPr>
          <w:rFonts w:ascii="Times New Roman" w:cs="Times New Roman" w:eastAsia="Times New Roman" w:hAnsi="Times New Roman"/>
          <w:sz w:val="20"/>
          <w:szCs w:val="20"/>
          <w:color w:val="auto"/>
        </w:rPr>
        <w:t xml:space="preserve">” means any existing or future Domestic Subsidiary the Equity Interests of which are held solely by Foreign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existing or newly formed Subsidiary shall not engage in any business or own any assets other than the ownership of Equity Interests in Foreign Subsidiaries and intercompany obligations that are otherwise permitted hereunder.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Obligations</w:t>
      </w:r>
      <w:r>
        <w:rPr>
          <w:rFonts w:ascii="Times New Roman" w:cs="Times New Roman" w:eastAsia="Times New Roman" w:hAnsi="Times New Roman"/>
          <w:sz w:val="20"/>
          <w:szCs w:val="20"/>
          <w:color w:val="auto"/>
        </w:rPr>
        <w:t>” means any Obligations owing by the Parent Borrower.</w:t>
      </w:r>
    </w:p>
    <w:p>
      <w:pPr>
        <w:spacing w:after="0" w:line="216" w:lineRule="exact"/>
        <w:rPr>
          <w:sz w:val="20"/>
          <w:szCs w:val="20"/>
          <w:color w:val="auto"/>
        </w:rPr>
      </w:pPr>
    </w:p>
    <w:p>
      <w:pPr>
        <w:ind w:right="80"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(i) for purposes of Sections 3.23 and 6.15 hereof, any United States citizen, lawful permanent resident, entity organized under the laws of the United States or any jurisdiction within the United States, including any foreign branch of any such entity, or any person in the United States and (ii) for all other purposes, a “</w:t>
      </w:r>
      <w:r>
        <w:rPr>
          <w:rFonts w:ascii="Times New Roman" w:cs="Times New Roman" w:eastAsia="Times New Roman" w:hAnsi="Times New Roman"/>
          <w:sz w:val="20"/>
          <w:szCs w:val="20"/>
          <w:u w:val="single" w:color="auto"/>
          <w:color w:val="auto"/>
        </w:rPr>
        <w:t>United States person</w:t>
      </w:r>
      <w:r>
        <w:rPr>
          <w:rFonts w:ascii="Times New Roman" w:cs="Times New Roman" w:eastAsia="Times New Roman" w:hAnsi="Times New Roman"/>
          <w:sz w:val="20"/>
          <w:szCs w:val="20"/>
          <w:color w:val="auto"/>
        </w:rPr>
        <w:t>” within the meaning of Section 7701(a)(30) of the Code.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has the meaning assigned to such term in in Section 10.22.</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Certificate</w:t>
      </w:r>
      <w:r>
        <w:rPr>
          <w:rFonts w:ascii="Times New Roman" w:cs="Times New Roman" w:eastAsia="Times New Roman" w:hAnsi="Times New Roman"/>
          <w:sz w:val="20"/>
          <w:szCs w:val="20"/>
          <w:color w:val="auto"/>
        </w:rPr>
        <w:t>” has the meaning assigned to such term in Section 2.17(f)(i)(D)(2).</w:t>
      </w:r>
    </w:p>
    <w:p>
      <w:pPr>
        <w:spacing w:after="0" w:line="21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Yield</w:t>
      </w:r>
      <w:r>
        <w:rPr>
          <w:rFonts w:ascii="Times New Roman" w:cs="Times New Roman" w:eastAsia="Times New Roman" w:hAnsi="Times New Roman"/>
          <w:sz w:val="20"/>
          <w:szCs w:val="20"/>
          <w:color w:val="auto"/>
        </w:rPr>
        <w:t xml:space="preserve">” means, as to any Indebtedness, the yield thereof (as determined in the reasonable discretion of the Administrative Agent as described below and consistent with generally accepted financial practices), whether in the form of interest rate, margin, original issue discount, upfront fees, a Floor or Alternate Base Rate floor (with such increased amount being equated to interest margins for purposes of determining any increase to the Applicable Rate),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original issue discount and upfront fees shall be equated to interest rate assuming a 4-year life to maturity (or, if less, the stated life to maturity at the time of incurrence of the applicable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u w:val="single" w:color="auto"/>
          <w:color w:val="auto"/>
        </w:rPr>
        <w:t>Weighted Average Yield</w:t>
      </w:r>
      <w:r>
        <w:rPr>
          <w:rFonts w:ascii="Times New Roman" w:cs="Times New Roman" w:eastAsia="Times New Roman" w:hAnsi="Times New Roman"/>
          <w:sz w:val="20"/>
          <w:szCs w:val="20"/>
          <w:color w:val="auto"/>
        </w:rPr>
        <w:t>” shall not include arrangement fees, structuring fees or underwriting or similar fees not generally paid to lenders in connection with such Indebtedness.</w:t>
      </w:r>
    </w:p>
    <w:p>
      <w:pPr>
        <w:spacing w:after="0" w:line="186" w:lineRule="exact"/>
        <w:rPr>
          <w:sz w:val="20"/>
          <w:szCs w:val="20"/>
          <w:color w:val="auto"/>
        </w:rPr>
      </w:pPr>
    </w:p>
    <w:p>
      <w:pPr>
        <w:ind w:right="3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right="5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245" w:lineRule="auto"/>
        <w:rPr>
          <w:sz w:val="20"/>
          <w:szCs w:val="20"/>
          <w:color w:val="auto"/>
        </w:rPr>
      </w:pPr>
      <w:r>
        <w:rPr>
          <w:rFonts w:ascii="Times New Roman" w:cs="Times New Roman" w:eastAsia="Times New Roman" w:hAnsi="Times New Roman"/>
          <w:sz w:val="20"/>
          <w:szCs w:val="20"/>
          <w:color w:val="auto"/>
        </w:rPr>
        <w:t>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4"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1.02 Classification of Loans and Borrowings</w:t>
      </w:r>
      <w:r>
        <w:rPr>
          <w:rFonts w:ascii="Times New Roman" w:cs="Times New Roman" w:eastAsia="Times New Roman" w:hAnsi="Times New Roman"/>
          <w:sz w:val="20"/>
          <w:szCs w:val="20"/>
          <w:color w:val="auto"/>
        </w:rPr>
        <w:t>. For purposes of this Agreement, Loans may be classified and referred to by Type (e.g., a “Term Benchmark Revolving Loan” or “RFR Revolving Loan”). Borrowings also may be classified and referred to by Type (e.g., a “Term Benchmark Revolving Borrowing” or “RFR Revolving Borrowing”).</w:t>
      </w:r>
    </w:p>
    <w:p>
      <w:pPr>
        <w:spacing w:after="0" w:line="174"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1.03 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w:t>
      </w:r>
    </w:p>
    <w:p>
      <w:pPr>
        <w:spacing w:after="0" w:line="5" w:lineRule="exact"/>
        <w:rPr>
          <w:sz w:val="20"/>
          <w:szCs w:val="20"/>
          <w:color w:val="auto"/>
        </w:rPr>
      </w:pPr>
    </w:p>
    <w:p>
      <w:pPr>
        <w:ind w:right="840" w:firstLine="8"/>
        <w:spacing w:after="0" w:line="246" w:lineRule="auto"/>
        <w:tabs>
          <w:tab w:leader="none" w:pos="26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8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1.04 Accounting Terms; GAAP</w:t>
      </w:r>
      <w:r>
        <w:rPr>
          <w:rFonts w:ascii="Times New Roman" w:cs="Times New Roman" w:eastAsia="Times New Roman" w:hAnsi="Times New Roman"/>
          <w:sz w:val="19"/>
          <w:szCs w:val="19"/>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Parent Borrower notifies the Administrative Agent that the Parent Borrower requests an amendment to any provision hereof to eliminate the effect of any change occurring after the Third Restatement Date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Holdings, the Parent Borrower or any Subsidiary at “fair value,” as defined therein and</w:t>
      </w:r>
    </w:p>
    <w:p>
      <w:pPr>
        <w:spacing w:after="0" w:line="1" w:lineRule="exact"/>
        <w:rPr>
          <w:sz w:val="20"/>
          <w:szCs w:val="20"/>
          <w:color w:val="auto"/>
        </w:rPr>
      </w:pPr>
    </w:p>
    <w:p>
      <w:pPr>
        <w:jc w:val="both"/>
        <w:ind w:right="200" w:firstLine="8"/>
        <w:spacing w:after="0" w:line="241" w:lineRule="auto"/>
        <w:tabs>
          <w:tab w:leader="none" w:pos="29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110" w:name="page111"/>
    <w:bookmarkEnd w:id="110"/>
    <w:p>
      <w:pPr>
        <w:ind w:right="20" w:firstLine="1296"/>
        <w:spacing w:after="0"/>
        <w:rPr>
          <w:sz w:val="20"/>
          <w:szCs w:val="20"/>
          <w:color w:val="auto"/>
        </w:rPr>
      </w:pPr>
      <w:r>
        <w:rPr>
          <w:rFonts w:ascii="Times New Roman" w:cs="Times New Roman" w:eastAsia="Times New Roman" w:hAnsi="Times New Roman"/>
          <w:sz w:val="20"/>
          <w:szCs w:val="20"/>
          <w:u w:val="single" w:color="auto"/>
          <w:color w:val="auto"/>
        </w:rPr>
        <w:t>SECTION 1.05 Limited Conditionality Acquisition</w:t>
      </w:r>
      <w:r>
        <w:rPr>
          <w:rFonts w:ascii="Times New Roman" w:cs="Times New Roman" w:eastAsia="Times New Roman" w:hAnsi="Times New Roman"/>
          <w:sz w:val="20"/>
          <w:szCs w:val="20"/>
          <w:color w:val="auto"/>
        </w:rPr>
        <w:t>. For purposes of (i) determining compliance with any provision of this Agreement or any other Loan Document which requires the calculation of the Leverage Ratio, the Total Net Leverage Ratio or the Senior Secured Net Leverage Ratio, (ii) determining compliance with representations, warranties, Defaults or Events of Default (other than for purposes of any drawing of Revolving Loans or Swingline Loans or the issuance of any Letters of Credit) or (iii) testing availability under baskets set forth in this Agreement or any other Loan Document (including baskets measured as a percentage of Consolidated Total Assets or otherwise), in each case, in connection with a Limited Conditionality Acquisition, at the option of the Parent Borrower (the Parent Borrower’s election to exercise such option in connection with any Limited Conditionality Acquisition,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of whether any such action is permitted under this Agreement and the other Loan Documents shall be deemed to be the date the Limited Conditionality Acquisition Agreement is entered into (or, with respect to the incurrence of Indebtedness, at the option of the Parent Borrower, the date of the Limited Conditionality Acquisition for which the proceeds will be used)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giving effect on a pro forma basis to the Limited Conditionality Acquisition and the other transactions to be entered into in connection therewith as if they had occurred at the beginning of the four most recently ended consecutive fiscal quarters of the Parent Borrower, the Parent Borrower could have taken such action on the relevant LCT Test Date in compliance with such representation, warranty, ratio or basket, such representation, warranty, ratio or basket shall be deemed to have been complied with. For the avoidance of doubt, if the Parent Borrower has made an LCT Election and any of the ratios or baskets for which compliance was determined or tested as of the LCT Test Date are exceeded as a result of fluctuations in any such ratio or basket (including due to fluctuations in Consolidated Total Assets of the Parent Borrower) at or prior to the consummation of the relevant transaction or action, such baskets or ratios will not be deemed to have been exceeded as a result of such fluctuations. If the Parent Borrower has made an LCT Election for any Limited Conditionality Acquisition, then in connection with any subsequent calculation of ratios or baskets on or following the relevant LCT Test Date and prior to the earlier of (i) the date on which such Limited Conditionality Acquisition is consummated or (ii) the date that the applicable Limited Conditionality Acquisition Agreement is terminated or expires without consummation of such Limited Conditionality Acquisition, any such ratio or basket shall be calculated (a) on a pro forma basis assuming such Limited Conditionality Acquisition and other transactions in connection therewith (including any incurrence of Indebtedness and the use of proceeds thereof) have been consummated and (b) in the case of any such ratio or basket related to Restricted Payments or prepayments of Indebtedness, calculated both pursuant to clause (a) above and without giving effect to such Limited Conditionality Acquisition and other transactions in connection therewith, with the calculation resulting in the most restrictive calculation (e.g., the highest Leverage Ratio) being the determinative calculation. Notwithstanding the foregoing, the amount of any Incremental Commitments that may be incurred under clause (B) to the proviso of Section 2.21(a), determined at the time of signing of definitive documentation with respect to, or giving of notice with respect to, a Limited Conditionality Acquisition, may be recalculated, at the option of the Parent Borrower, at the time of funding.</w:t>
      </w:r>
    </w:p>
    <w:p>
      <w:pPr>
        <w:spacing w:after="0" w:line="202"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1.06</w:t>
      </w:r>
      <w:r>
        <w:rPr>
          <w:sz w:val="20"/>
          <w:szCs w:val="20"/>
          <w:color w:val="auto"/>
        </w:rPr>
        <w:tab/>
      </w:r>
      <w:r>
        <w:rPr>
          <w:rFonts w:ascii="Times New Roman" w:cs="Times New Roman" w:eastAsia="Times New Roman" w:hAnsi="Times New Roman"/>
          <w:sz w:val="19"/>
          <w:szCs w:val="19"/>
          <w:u w:val="single" w:color="auto"/>
          <w:color w:val="auto"/>
        </w:rPr>
        <w:t>Ratio Calculations; Negative Covenant Classifications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firstLine="1288"/>
        <w:spacing w:after="0" w:line="244" w:lineRule="auto"/>
        <w:tabs>
          <w:tab w:leader="none" w:pos="205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amounts incurred or transactions entered into (or consummated) in reliance on a provision of any Loan Document that does not require compliance with a financial ratio or test (including the Leverage Ratio, the Total Net Leverage Ratio and/or the Senior Secured Net Leverage Ratio, whether or not specifically required to be determined on a pro forma basis) (any such amounts (which will include any related “grower” component,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in reliance on a provision of such Loan Document that requires compliance with a financial ratio or test (including the Leverage Ratio, the Total Net Leverage Ratio and/or the Senior Secured Net Leverage Ratio, whether or not specifically required to be determined on a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111" w:name="page112"/>
    <w:bookmarkEnd w:id="111"/>
    <w:p>
      <w:pPr>
        <w:ind w:left="340"/>
        <w:spacing w:after="0" w:line="249" w:lineRule="auto"/>
        <w:rPr>
          <w:sz w:val="20"/>
          <w:szCs w:val="20"/>
          <w:color w:val="auto"/>
        </w:rPr>
      </w:pPr>
      <w:r>
        <w:rPr>
          <w:rFonts w:ascii="Times New Roman" w:cs="Times New Roman" w:eastAsia="Times New Roman" w:hAnsi="Times New Roman"/>
          <w:sz w:val="20"/>
          <w:szCs w:val="20"/>
          <w:color w:val="auto"/>
        </w:rPr>
        <w:t>basis) (any such amounts, the “</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it is understood and agreed that the Fixed Amounts shall be disregarded in the calculation of the financial ratio or test applicable to such Incurrence-Based Amounts. For the avoidance of doubt, all Indebtedness and Liens substantially contemporaneously incurred will be included for purposes of determining compliance with incurrence-based ratio tests outside of the debt and liens covenants.</w:t>
      </w:r>
    </w:p>
    <w:p>
      <w:pPr>
        <w:spacing w:after="0" w:line="180" w:lineRule="exact"/>
        <w:rPr>
          <w:sz w:val="20"/>
          <w:szCs w:val="20"/>
          <w:color w:val="auto"/>
        </w:rPr>
      </w:pPr>
    </w:p>
    <w:p>
      <w:pPr>
        <w:ind w:left="340" w:right="120" w:firstLine="1288"/>
        <w:spacing w:after="0" w:line="243" w:lineRule="auto"/>
        <w:tabs>
          <w:tab w:leader="none" w:pos="206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Parent Borrower or its Subsidiaries enters into any revolving, delayed draw or other committed debt facility, the Parent Borrower may elect to determine compliance of such debt facility with the Indebtedness and Liens covenants of this Agreement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amount of such facility (and any applicable Liens that are granted in respect thereof) shall be deemed to be outstanding for all purposes of subsequent testings of the same baskets or exceptions (it being understood that any subsequent permanent reduction of outstanding amounts (or, without duplication, committed amounts) in respect of such facility shall correspondingly reduce the amount of such facility (and, if applicable, Liens) deemed outstanding.</w:t>
      </w:r>
    </w:p>
    <w:p>
      <w:pPr>
        <w:spacing w:after="0" w:line="185" w:lineRule="exact"/>
        <w:rPr>
          <w:rFonts w:ascii="Times New Roman" w:cs="Times New Roman" w:eastAsia="Times New Roman" w:hAnsi="Times New Roman"/>
          <w:sz w:val="20"/>
          <w:szCs w:val="20"/>
          <w:color w:val="auto"/>
        </w:rPr>
      </w:pPr>
    </w:p>
    <w:p>
      <w:pPr>
        <w:ind w:left="340" w:right="40" w:firstLine="1288"/>
        <w:spacing w:after="0" w:line="249" w:lineRule="auto"/>
        <w:tabs>
          <w:tab w:leader="none" w:pos="205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w:t>
      </w:r>
    </w:p>
    <w:p>
      <w:pPr>
        <w:spacing w:after="0" w:line="180" w:lineRule="exact"/>
        <w:rPr>
          <w:sz w:val="20"/>
          <w:szCs w:val="20"/>
          <w:color w:val="auto"/>
        </w:rPr>
      </w:pPr>
    </w:p>
    <w:p>
      <w:pPr>
        <w:ind w:right="40" w:firstLine="1296"/>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1.07 Interest Rates</w:t>
      </w:r>
      <w:r>
        <w:rPr>
          <w:rFonts w:ascii="Times New Roman" w:cs="Times New Roman" w:eastAsia="Times New Roman" w:hAnsi="Times New Roman"/>
          <w:sz w:val="20"/>
          <w:szCs w:val="20"/>
          <w:color w:val="auto"/>
        </w:rPr>
        <w:t>.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Parent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Parent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0"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1.08 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20"/>
          </w:cols>
          <w:pgMar w:left="320" w:top="1413" w:right="359" w:bottom="1440" w:gutter="0" w:footer="0" w:header="0"/>
        </w:sectPr>
      </w:pPr>
    </w:p>
    <w:bookmarkStart w:id="112" w:name="page113"/>
    <w:bookmarkEnd w:id="112"/>
    <w:p>
      <w:pPr>
        <w:ind w:right="360"/>
        <w:spacing w:after="0" w:line="269" w:lineRule="auto"/>
        <w:rPr>
          <w:sz w:val="20"/>
          <w:szCs w:val="20"/>
          <w:color w:val="auto"/>
        </w:rPr>
      </w:pPr>
      <w:r>
        <w:rPr>
          <w:rFonts w:ascii="Times New Roman" w:cs="Times New Roman" w:eastAsia="Times New Roman" w:hAnsi="Times New Roman"/>
          <w:sz w:val="20"/>
          <w:szCs w:val="20"/>
          <w:color w:val="auto"/>
        </w:rPr>
        <w:t>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59"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1.09 Pro Forma Effect</w:t>
      </w:r>
      <w:r>
        <w:rPr>
          <w:rFonts w:ascii="Times New Roman" w:cs="Times New Roman" w:eastAsia="Times New Roman" w:hAnsi="Times New Roman"/>
          <w:sz w:val="20"/>
          <w:szCs w:val="20"/>
          <w:color w:val="auto"/>
        </w:rPr>
        <w:t>. Notwithstanding anything to the contrary herein, for purposes of determining availability under any basket set forth herein which is measured as a percentage of Consolidated Total Assets, such calculation shall be made giving pro forma effect to any Material Acquisition or Material Disposition consummated or to be consummated substantially simultaneously with use of such basket.</w:t>
      </w:r>
    </w:p>
    <w:p>
      <w:pPr>
        <w:spacing w:after="0" w:line="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u w:val="single" w:color="auto"/>
          <w:color w:val="auto"/>
        </w:rPr>
        <w:t>ARTICLE II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1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firstLine="1288"/>
        <w:spacing w:after="0" w:line="242" w:lineRule="auto"/>
        <w:tabs>
          <w:tab w:leader="none" w:pos="205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(i) each Revolving Lender agrees to make Revolving Loans in dollars to the Parent Borrower and the Foreign Subsidiary Borrowers, as the case may be, from time to time during the Revolving Availability Period in an aggregate principal amount at any one time outstanding that, when added (after giving effect to any application of proceeds of such Revolving Loans to repay outstanding Swingline Loans) to such Lender’s Revolving Exposure at such time, does not exceed such Lender’s Revolving Commitment, and (ii) each Foreign Currency Lender agrees, with respect to any Foreign Currency Loan in a Foreign Currency for which it is designated a Foreign Currency Lender, to make Foreign Currency Loans to the Parent Borrower or the Foreign Subsidiary Borrowers, as the case may be, from time to time during the Revolving Availability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the requested Foreign Currency Loan (and after giving effect to any application of proceeds of such Foreign Currency Loan pursuant to Section 2.04), (x) the Foreign Currency Revolving Exposure of all Revolving Lenders does not exceed the Foreign Currency Sublimit, (y) such Lender’s Revolving Exposure at such time does not exceed the amount of such Lender’s Revolving Commitment and (z) the total Revolving Exposure at such time does not exceed the total Revolving Commitments.</w:t>
      </w:r>
    </w:p>
    <w:p>
      <w:pPr>
        <w:spacing w:after="0" w:line="189" w:lineRule="exact"/>
        <w:rPr>
          <w:rFonts w:ascii="Times New Roman" w:cs="Times New Roman" w:eastAsia="Times New Roman" w:hAnsi="Times New Roman"/>
          <w:sz w:val="20"/>
          <w:szCs w:val="20"/>
          <w:color w:val="auto"/>
        </w:rPr>
      </w:pPr>
    </w:p>
    <w:p>
      <w:pPr>
        <w:ind w:left="340" w:right="300" w:firstLine="1288"/>
        <w:spacing w:after="0" w:line="269" w:lineRule="auto"/>
        <w:tabs>
          <w:tab w:leader="none" w:pos="206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foregoing limits and subject to the terms and conditions set forth herein, the Parent Borrower and the Foreign Subsidiary Borrowers, as the case may be, may borrow, prepay and reborrow Revolving Loans.</w:t>
      </w:r>
    </w:p>
    <w:p>
      <w:pPr>
        <w:spacing w:after="0" w:line="159"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140" w:firstLine="1288"/>
        <w:spacing w:after="0" w:line="266" w:lineRule="auto"/>
        <w:tabs>
          <w:tab w:leader="none" w:pos="2053"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(other than a Swingline Loan or a Foreign Currency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 responsible for any other Lender’s failure to make Loans as required.</w:t>
      </w:r>
    </w:p>
    <w:p>
      <w:pPr>
        <w:spacing w:after="0" w:line="165" w:lineRule="exact"/>
        <w:rPr>
          <w:rFonts w:ascii="Times New Roman" w:cs="Times New Roman" w:eastAsia="Times New Roman" w:hAnsi="Times New Roman"/>
          <w:sz w:val="19"/>
          <w:szCs w:val="19"/>
          <w:color w:val="auto"/>
        </w:rPr>
      </w:pPr>
    </w:p>
    <w:p>
      <w:pPr>
        <w:ind w:left="340" w:right="20" w:firstLine="1288"/>
        <w:spacing w:after="0" w:line="246" w:lineRule="auto"/>
        <w:tabs>
          <w:tab w:leader="none" w:pos="206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Currency Loan shall be made as part of a Borrowing consisting of Foreign Currency Loans denominated in the same Foreign Currency made by the applicable Foreign Currency Lenders. With respect to any Borrowing of Foreign Currency Loans, the Foreign Currency Loan of each applicable Foreign Currency Lender (other than the Fronting Lender) shall be in an amount equal to its Applicable Percentage of such Borrowing and the Foreign Currency Loan of the Fronting Lender shall be in an amount equal to the aggregate amount of such Borrowing 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20"/>
          </w:cols>
          <w:pgMar w:left="320" w:top="1413" w:right="359" w:bottom="1440" w:gutter="0" w:footer="0" w:header="0"/>
        </w:sectPr>
      </w:pPr>
    </w:p>
    <w:bookmarkStart w:id="113" w:name="page114"/>
    <w:bookmarkEnd w:id="113"/>
    <w:p>
      <w:pPr>
        <w:ind w:right="900"/>
        <w:spacing w:after="0" w:line="269" w:lineRule="auto"/>
        <w:rPr>
          <w:sz w:val="20"/>
          <w:szCs w:val="20"/>
          <w:color w:val="auto"/>
        </w:rPr>
      </w:pPr>
      <w:r>
        <w:rPr>
          <w:rFonts w:ascii="Times New Roman" w:cs="Times New Roman" w:eastAsia="Times New Roman" w:hAnsi="Times New Roman"/>
          <w:sz w:val="20"/>
          <w:szCs w:val="20"/>
          <w:color w:val="auto"/>
        </w:rPr>
        <w:t>amount of the Foreign Currency Loans being made by other applicable Foreign Currency Lenders and comprising part of such Borrowing.</w:t>
      </w:r>
    </w:p>
    <w:p>
      <w:pPr>
        <w:spacing w:after="0" w:line="159" w:lineRule="exact"/>
        <w:rPr>
          <w:sz w:val="20"/>
          <w:szCs w:val="20"/>
          <w:color w:val="auto"/>
        </w:rPr>
      </w:pPr>
    </w:p>
    <w:p>
      <w:pPr>
        <w:ind w:right="20" w:firstLine="1288"/>
        <w:spacing w:after="0" w:line="243" w:lineRule="auto"/>
        <w:tabs>
          <w:tab w:leader="none" w:pos="17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2.14, each Loan (other than a Swingline Loan or a Foreign Currency Loan) shall be comprised entirely of ABR Loans or Term Benchmark Loans as the Parent Borrower may request in accordance herewith. Each Swingline Loan shall be an ABR Loan. Each Foreign Currency Loan denominated in any currency other than Pounds Sterling shall be comprised entirely of Term Benchmark Loans. Each Foreign Currency Loan denominated in Pounds Sterling shall be comprised entirely of RFR Loans. Each Lender at its option may make any Loan or other extension of credit hereunder by causing any domestic or foreign branch or Affiliate of such Lender to make such Loan or other extension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Parent Borrower or a Foreign Subsidiary Borrower, as the case may be, to repay such Loan in accordance with the terms of this Agreement.</w:t>
      </w:r>
    </w:p>
    <w:p>
      <w:pPr>
        <w:spacing w:after="0" w:line="189" w:lineRule="exact"/>
        <w:rPr>
          <w:rFonts w:ascii="Times New Roman" w:cs="Times New Roman" w:eastAsia="Times New Roman" w:hAnsi="Times New Roman"/>
          <w:sz w:val="20"/>
          <w:szCs w:val="20"/>
          <w:color w:val="auto"/>
        </w:rPr>
      </w:pPr>
    </w:p>
    <w:p>
      <w:pPr>
        <w:ind w:firstLine="1288"/>
        <w:spacing w:after="0" w:line="255" w:lineRule="auto"/>
        <w:tabs>
          <w:tab w:leader="none" w:pos="171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the commencement of each Interest Period for any Term Benchmark Borrowing in dollars, such Borrowing shall be in an aggregate amount that is an integral multiple of $1,000,000 and not less than $1,000,000;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Term Benchmark Revolving Borrowing may be in an aggregate amount that is equal to the amount that is required to finance the reimbursement of an LC Disbursement made in respect of a Letter of Credit denominated in dollars for which a Foreign Subsidiary Borrower is the applicant or a co-applicant, as contemplated by Section 2.05(e).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 ABR Revolving Borrowing may be in an aggregate amount that is equal to the entire unused balance of the total Revolving Commitments and (ii) an ABR Revolving Borrowing may be in an aggregate amount that is equal to the amount that is required to finance the reimbursement of an LC Disbursement made in respect of a Letter of Credit denominated in dollars for which the Parent Borrower is the applicant or a co-applicant, as contemplated by Section 2.05(e). Each Borrowing of Foreign Currency Loans in a particular Foreign Currency shall be in a minimum amount as set forth on the Administrative Schedule;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Borrowing of Foreign Currency Loans may be in an aggregate amount that is equal to the amount that is required to finance the reimbursement of an LC Disbursement made in respect of a Letter of Credit denominated in an LC Foreign Currency, as contemplated by Section 2.05(e). Each Swingline Loan shall be in an amount that is an integral multiple of $250,000 and not less than $250,000. Borrowings of more than one Type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a total of 12 Term Benchmark Borrowings in dollars outstanding. There shall be no more than six Borrowings of Foreign Currency Loans outstanding at any time.</w:t>
      </w:r>
    </w:p>
    <w:p>
      <w:pPr>
        <w:spacing w:after="0" w:line="173" w:lineRule="exact"/>
        <w:rPr>
          <w:rFonts w:ascii="Times New Roman" w:cs="Times New Roman" w:eastAsia="Times New Roman" w:hAnsi="Times New Roman"/>
          <w:sz w:val="19"/>
          <w:szCs w:val="19"/>
          <w:color w:val="auto"/>
        </w:rPr>
      </w:pPr>
    </w:p>
    <w:p>
      <w:pPr>
        <w:ind w:right="340" w:firstLine="1288"/>
        <w:spacing w:after="0" w:line="254" w:lineRule="auto"/>
        <w:tabs>
          <w:tab w:leader="none" w:pos="17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none of the Parent Borrower or any Foreign Subsidiary Borrower shall be entitled to request, or to elect to convert or continue, any Borrowing if the Interest Period requested with respect thereto would end after the Maturity Date applicable thereto.</w:t>
      </w:r>
    </w:p>
    <w:p>
      <w:pPr>
        <w:spacing w:after="0" w:line="174"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2.03</w:t>
      </w:r>
      <w:r>
        <w:rPr>
          <w:sz w:val="20"/>
          <w:szCs w:val="20"/>
          <w:color w:val="auto"/>
        </w:rPr>
        <w:tab/>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88"/>
        <w:spacing w:after="0" w:line="245" w:lineRule="auto"/>
        <w:tabs>
          <w:tab w:leader="none" w:pos="171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a Revolving Borrowing (other than a Borrowing of a Foreign Currency Loan), the Parent Borrower shall notify the Administrative Agent of such request by telephone (i) in the case of a Term Benchmark Borrowing denominated in dollars, not later than 11:00 a.m., New York City time, three (3) Business Days before the date of the proposed Borrowing or (ii) in the case of an ABR Borrowing, not later than 12:00 noon, New York City time, one Business Day before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900"/>
          </w:cols>
          <w:pgMar w:left="660" w:top="1413" w:right="339" w:bottom="1440" w:gutter="0" w:footer="0" w:header="0"/>
        </w:sectPr>
      </w:pPr>
    </w:p>
    <w:bookmarkStart w:id="114" w:name="page115"/>
    <w:bookmarkEnd w:id="114"/>
    <w:p>
      <w:pPr>
        <w:ind w:left="340" w:right="320"/>
        <w:spacing w:after="0" w:line="249" w:lineRule="auto"/>
        <w:rPr>
          <w:sz w:val="20"/>
          <w:szCs w:val="20"/>
          <w:color w:val="auto"/>
        </w:rPr>
      </w:pPr>
      <w:r>
        <w:rPr>
          <w:rFonts w:ascii="Times New Roman" w:cs="Times New Roman" w:eastAsia="Times New Roman" w:hAnsi="Times New Roman"/>
          <w:sz w:val="20"/>
          <w:szCs w:val="20"/>
          <w:color w:val="auto"/>
        </w:rPr>
        <w:t>may be given not later than 10:00 a.m., New York City time, on the date of the proposed Borrowing. Each such telephonic Borrowing Request shall be irrevocable and shall be confirmed promptly by hand delivery or telecopy to the Administrative Agent of a written Borrowing Request signed by the Parent Borrower. Each such telephonic and written Borrowing Request shall specify the following information in compliance with Section 2.02:</w:t>
      </w:r>
    </w:p>
    <w:p>
      <w:pPr>
        <w:spacing w:after="0" w:line="180" w:lineRule="exact"/>
        <w:rPr>
          <w:sz w:val="20"/>
          <w:szCs w:val="20"/>
          <w:color w:val="auto"/>
        </w:rPr>
      </w:pPr>
    </w:p>
    <w:p>
      <w:pPr>
        <w:ind w:left="1940" w:hanging="377"/>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00" w:hanging="437"/>
        <w:spacing w:after="0"/>
        <w:tabs>
          <w:tab w:leader="none" w:pos="20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Borrowing;</w:t>
      </w:r>
    </w:p>
    <w:p>
      <w:pPr>
        <w:spacing w:after="0" w:line="215" w:lineRule="exact"/>
        <w:rPr>
          <w:rFonts w:ascii="Times New Roman" w:cs="Times New Roman" w:eastAsia="Times New Roman" w:hAnsi="Times New Roman"/>
          <w:sz w:val="20"/>
          <w:szCs w:val="20"/>
          <w:color w:val="auto"/>
        </w:rPr>
      </w:pPr>
    </w:p>
    <w:p>
      <w:pPr>
        <w:ind w:left="2060" w:hanging="497"/>
        <w:spacing w:after="0"/>
        <w:tabs>
          <w:tab w:leader="none" w:pos="20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ind w:left="2040" w:hanging="477"/>
        <w:spacing w:after="0"/>
        <w:tabs>
          <w:tab w:leader="none" w:pos="20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or a Term Benchmark Borrowing;</w:t>
      </w:r>
    </w:p>
    <w:p>
      <w:pPr>
        <w:spacing w:after="0" w:line="215" w:lineRule="exact"/>
        <w:rPr>
          <w:rFonts w:ascii="Times New Roman" w:cs="Times New Roman" w:eastAsia="Times New Roman" w:hAnsi="Times New Roman"/>
          <w:sz w:val="20"/>
          <w:szCs w:val="20"/>
          <w:color w:val="auto"/>
        </w:rPr>
      </w:pPr>
    </w:p>
    <w:p>
      <w:pPr>
        <w:ind w:left="660" w:right="380" w:firstLine="903"/>
        <w:spacing w:after="0" w:line="269" w:lineRule="auto"/>
        <w:tabs>
          <w:tab w:leader="none" w:pos="19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660" w:right="60" w:firstLine="903"/>
        <w:spacing w:after="0" w:line="269" w:lineRule="auto"/>
        <w:tabs>
          <w:tab w:leader="none" w:pos="205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Parent Borrower’s or the applicable Foreign Subsidiary Borrower’s, as the case may be, account to which funds are to be disbursed, which shall comply with the requirements of Section 2.06.</w:t>
      </w:r>
    </w:p>
    <w:p>
      <w:pPr>
        <w:spacing w:after="0" w:line="1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Benchmark Borrowing, then the Parent Borrower shall be deemed to have selected an Interest Period of one month’s duration. Promptly following receipt of a Borrowing Request in accordance with this Section 2.03(a), the Administrative Agent shall advise each Lender of the details thereof and of the amount of such Lender’s Loan to be made as part of the requested Borrowing.</w:t>
      </w:r>
    </w:p>
    <w:p>
      <w:pPr>
        <w:spacing w:after="0" w:line="185" w:lineRule="exact"/>
        <w:rPr>
          <w:sz w:val="20"/>
          <w:szCs w:val="20"/>
          <w:color w:val="auto"/>
        </w:rPr>
      </w:pPr>
    </w:p>
    <w:p>
      <w:pPr>
        <w:ind w:left="340" w:firstLine="1288"/>
        <w:spacing w:after="0" w:line="245" w:lineRule="auto"/>
        <w:tabs>
          <w:tab w:leader="none" w:pos="206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Foreign Currency Loan, the Parent Borrower shall notify the Administrative Agent of such request, not later than, in the case of Foreign Currency Loans denominated in Euros, 12:00 noon, New York City time, four Business Days prior to the date of the proposed Borrowing and, in the case of Foreign Currency Loans denominated in Pounds Sterling, 11:00 a.m., New York City time, five RFR Business Days prior to the date of the proposed Borrowing. Each such Borrowing Request shall be irrevocable and shall be hand delivered or sent by telecopy to the Administrative Agent and such Borrowing Request shall be signed by the Parent Borrower. Each such written Borrowing Request shall specify the following information in compliance with Section 2.02:</w:t>
      </w:r>
    </w:p>
    <w:p>
      <w:pPr>
        <w:spacing w:after="0" w:line="184"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Foreign Currency Loans to be borrowed;</w:t>
      </w:r>
    </w:p>
    <w:p>
      <w:pPr>
        <w:spacing w:after="0" w:line="215" w:lineRule="exact"/>
        <w:rPr>
          <w:rFonts w:ascii="Times New Roman" w:cs="Times New Roman" w:eastAsia="Times New Roman" w:hAnsi="Times New Roman"/>
          <w:sz w:val="20"/>
          <w:szCs w:val="20"/>
          <w:color w:val="auto"/>
        </w:rPr>
      </w:pPr>
    </w:p>
    <w:p>
      <w:pPr>
        <w:ind w:left="2000" w:hanging="437"/>
        <w:spacing w:after="0"/>
        <w:tabs>
          <w:tab w:leader="none" w:pos="20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ind w:left="2060" w:hanging="497"/>
        <w:spacing w:after="0"/>
        <w:tabs>
          <w:tab w:leader="none" w:pos="2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Foreign Currency in which such Foreign Currency Loans will be denominated;</w:t>
      </w:r>
    </w:p>
    <w:p>
      <w:pPr>
        <w:spacing w:after="0" w:line="215" w:lineRule="exact"/>
        <w:rPr>
          <w:rFonts w:ascii="Times New Roman" w:cs="Times New Roman" w:eastAsia="Times New Roman" w:hAnsi="Times New Roman"/>
          <w:sz w:val="20"/>
          <w:szCs w:val="20"/>
          <w:color w:val="auto"/>
        </w:rPr>
      </w:pPr>
    </w:p>
    <w:p>
      <w:pPr>
        <w:ind w:left="2040" w:hanging="477"/>
        <w:spacing w:after="0"/>
        <w:tabs>
          <w:tab w:leader="none" w:pos="20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Term Benchmark Borrowing or an RFR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115" w:name="page116"/>
    <w:bookmarkEnd w:id="115"/>
    <w:p>
      <w:pPr>
        <w:ind w:left="2000" w:hanging="437"/>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Benchmark Borrowing, the length of the initial Interest Period therefor; and</w:t>
      </w:r>
    </w:p>
    <w:p>
      <w:pPr>
        <w:spacing w:after="0" w:line="215" w:lineRule="exact"/>
        <w:rPr>
          <w:rFonts w:ascii="Times New Roman" w:cs="Times New Roman" w:eastAsia="Times New Roman" w:hAnsi="Times New Roman"/>
          <w:sz w:val="20"/>
          <w:szCs w:val="20"/>
          <w:color w:val="auto"/>
        </w:rPr>
      </w:pPr>
    </w:p>
    <w:p>
      <w:pPr>
        <w:ind w:left="660" w:right="40" w:firstLine="903"/>
        <w:spacing w:after="0" w:line="269" w:lineRule="auto"/>
        <w:tabs>
          <w:tab w:leader="none" w:pos="205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Parent Borrower’s or the applicable Foreign Subsidiary Borrower’s, as the case may be, account to which funds are to be disbursed, which shall comply with the requirements of Section 2.06.</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no Interest Period is specified with respect to any requested Term Benchmark Borrowing of Foreign Currency Loans, then the Parent Borrower shall be deemed to have selected an Interest Period of three months’ duration. Promptly following receipt of a Borrowing Request in accordance with this Section 2.03(b), the Administrative Agent shall advise each applicable Foreign Currency Lender of the details thereof and of the amount of such Lender’s Loan to be made as part of the requested Borrowing. On the date of each Borrowing, each applicable Foreign Currency Lender will make the amount of its share of such Borrowing available to the Administrative Agent at the applicable office specified on the Administrative Schedule, prior to the time specified on the Administrative Schedule for the relevant Foreign Currency, in the relevant Foreign Currency in immediately available funds.</w:t>
      </w:r>
    </w:p>
    <w:p>
      <w:pPr>
        <w:spacing w:after="0" w:line="18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2.04</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200" w:firstLine="1288"/>
        <w:spacing w:after="0" w:line="243" w:lineRule="auto"/>
        <w:tabs>
          <w:tab w:leader="none" w:pos="20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from time to time during the Revolving Availability Period, each Swingline Lender may, in its sole discretion, make Swingline Loans in dollars to the Parent Borrower in an aggregate principal amount at any time outstanding that will not result in (i) the Revolving Exposure of such Swingline Lender (in its capacity as a Revolving Lender) exceeding its Revolving Commitment then in effect, (ii) the aggregate principal amount of outstanding Swingline Loans exceeding $40,000,000 or (iii) the sum of the total Revolving Exposures exceeding the total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Swingline Lender shall be required to make a Swingline Loan to refinance an outstanding Swingline Loan. On the earlier of the Revolving Maturity Date and the last day of each month during the Revolving Availability Period, the Parent Borrower shall repay any outstanding Swingline Loans. Within the foregoing limits and subject to the terms and conditions set forth herein, the Parent Borrower may borrow, prepay and reborrow Swingline Loans.</w:t>
      </w:r>
    </w:p>
    <w:p>
      <w:pPr>
        <w:spacing w:after="0" w:line="185" w:lineRule="exact"/>
        <w:rPr>
          <w:rFonts w:ascii="Times New Roman" w:cs="Times New Roman" w:eastAsia="Times New Roman" w:hAnsi="Times New Roman"/>
          <w:sz w:val="20"/>
          <w:szCs w:val="20"/>
          <w:color w:val="auto"/>
        </w:rPr>
      </w:pPr>
    </w:p>
    <w:p>
      <w:pPr>
        <w:ind w:left="340" w:right="40" w:firstLine="1288"/>
        <w:spacing w:after="0" w:line="243" w:lineRule="auto"/>
        <w:tabs>
          <w:tab w:leader="none" w:pos="206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Loan, the Parent Borrower shall notify the Administrative Agent and the applicable Swingline Lender of such request by telephone (confirmed by telecopy), not later than 1:00 p.m., New York City time, on the day of a proposed Swingline Loan. Each such notice shall be irrevocable and shall specify the requested date (which shall be a Business Day) and the amount of the requested Swingline Loan. If the applicable Swingline Lender agrees, in its discretion to make the applicable Swingline Loan, such Swingline Lender shall make such Swingline Loan available to the Parent Borrower by means of a credit to the general deposit account of the Parent Borrower with such Swingline Lender (or, in the case of a Swingline Loan made to finance the reimbursement of an LC Disbursement as provided in Section 2.05(e), by remittance to the Issuing Bank) by 3:00 p.m., New York City time, on the requested date of such Swingline Loan. The Parent Borrower shall not request a Swingline Loan if at the time of and immediately after giving effect to such request a Default has occurred and is continuing.</w:t>
      </w:r>
    </w:p>
    <w:p>
      <w:pPr>
        <w:spacing w:after="0" w:line="185" w:lineRule="exact"/>
        <w:rPr>
          <w:rFonts w:ascii="Times New Roman" w:cs="Times New Roman" w:eastAsia="Times New Roman" w:hAnsi="Times New Roman"/>
          <w:sz w:val="20"/>
          <w:szCs w:val="20"/>
          <w:color w:val="auto"/>
        </w:rPr>
      </w:pPr>
    </w:p>
    <w:p>
      <w:pPr>
        <w:ind w:left="2040" w:hanging="412"/>
        <w:spacing w:after="0"/>
        <w:tabs>
          <w:tab w:leader="none" w:pos="20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40" w:right="100" w:firstLine="1288"/>
        <w:spacing w:after="0" w:line="254" w:lineRule="auto"/>
        <w:tabs>
          <w:tab w:leader="none" w:pos="205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Swingline Lender may by written notice given to the Administrative Agent not later than 12:00 noon, New York City time, on any Business Day require the Revolving Lenders to acquire participations on such Business Day in all or a portion of its Swingline Loans outstanding. Such notice shall specify the aggregate amount of Swingline Loans in which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20"/>
          </w:cols>
          <w:pgMar w:left="320" w:top="1413"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color w:val="auto"/>
        </w:rPr>
        <w:t xml:space="preserve">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applicable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(provided that such payment shall not cause such Revolving Lender’s Revolving Exposure to exceed such Revolving Lender’s Revolving Commitment). Each Revolving Lender shall comply with its obligation under this paragraph by wire transfer of immediately available funds, in the same manner as provided in Section 2.06 with respect to Loans made by such Lender (and Section 2.06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Revolving Lenders), and the Administrative Agent shall promptly pay to the applicable Swingline Lender the amounts so received by it from the Revolving Lenders. The Administrative Agent shall notify the Parent Borrower of any participations in any Swingline Loan of a Swingline Lender acquired pursuant to this paragraph, and thereafter payments in respect of such Swingline Loan shall be made to the Administrative Agent and not to such Swingline Lender. Any amounts received by any Swingline Lender from the Parent Borrower (or other party on behalf of the Parent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such Swingline Lender, as their interests may appear. The purchase of participations in a Swingline Loan pursuant to this paragraph shall not constitute a Loan and shall not relieve the Parent Borrower of its obligation to repay such Swingline Loan or of any default in the payment thereof.</w:t>
      </w:r>
    </w:p>
    <w:p>
      <w:pPr>
        <w:spacing w:after="0" w:line="206" w:lineRule="exact"/>
        <w:rPr>
          <w:sz w:val="20"/>
          <w:szCs w:val="20"/>
          <w:color w:val="auto"/>
        </w:rPr>
      </w:pPr>
    </w:p>
    <w:p>
      <w:pPr>
        <w:ind w:right="20" w:firstLine="1288"/>
        <w:spacing w:after="0" w:line="242" w:lineRule="auto"/>
        <w:tabs>
          <w:tab w:leader="none" w:pos="171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maturity date shall have occurred in respect of any tranche of Revolving Commitments at a time when another tranche or tranches of Revolving Commitments is or are in effect with a longer maturity date, then on the earliest occurring maturity date all then outstanding Swingline Loans shall be repaid in full on such date (and there shall be no adjustment to the participations in such Swingline Loans as a result of the occurrence of such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on the occurrence of such earliest maturity date (after giving effect to any repayments of Revolving Loans and any reallocation of Letter of Credit participations as contemplated in Section 2.05(k)), there shall exist sufficient unutilized Extended Revolving Commitments so that the respective outstanding Swingline Loans could be incurred pursuant to the Extended Revolving Commitments that will remain in effect after the occurrence of such maturity date, then there shall be an automatic adjustment on such date of the participations in such Swingline Loans and same shall be deemed to have been incurred solely pursuant to the relevant Extended Revolving Commitments, and such Swingline Loans shall not be so required to be repaid in full on such earliest maturity date.</w:t>
      </w:r>
    </w:p>
    <w:p>
      <w:pPr>
        <w:spacing w:after="0" w:line="192"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2.05</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440" w:firstLine="1288"/>
        <w:spacing w:after="0" w:line="249" w:lineRule="auto"/>
        <w:tabs>
          <w:tab w:leader="none" w:pos="171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Parent Borrower may request the issuance of Letters of Credit for its own account or the account of a Subsidiary or any Foreign Subsidiary Borrower may request the issuance of Letters of Credit for its own account or the account of a Subsidiary of such Foreign Subsidiary Borrower, in each case in a form reasonably acceptable to the Administrative Agent and the Issuing Bank, at any time and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0880"/>
          </w:cols>
          <w:pgMar w:left="660" w:top="1413" w:right="359" w:bottom="1440" w:gutter="0" w:footer="0" w:header="0"/>
        </w:sectPr>
      </w:pPr>
    </w:p>
    <w:bookmarkStart w:id="117" w:name="page118"/>
    <w:bookmarkEnd w:id="117"/>
    <w:p>
      <w:pPr>
        <w:ind w:left="8" w:right="20"/>
        <w:spacing w:after="0" w:line="243" w:lineRule="auto"/>
        <w:rPr>
          <w:sz w:val="20"/>
          <w:szCs w:val="20"/>
          <w:color w:val="auto"/>
        </w:rPr>
      </w:pPr>
      <w:r>
        <w:rPr>
          <w:rFonts w:ascii="Times New Roman" w:cs="Times New Roman" w:eastAsia="Times New Roman" w:hAnsi="Times New Roman"/>
          <w:sz w:val="20"/>
          <w:szCs w:val="20"/>
          <w:color w:val="auto"/>
        </w:rPr>
        <w:t>time to time during the Revolving Availability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Borrower or a Foreign Subsidiary Borrower, as the case may be, shall be a co-applicant with respect to each Letter of Credit issued for the account of or in favor of a Subsidiary that is not a Foreign Subsidiary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Issuing Bank shall be under any obligation to issue a Letter of Credit that would result in more than a total of 20 Letters of Credit outstanding. In the event of any inconsistency between the terms and conditions of this Agreement and the terms and conditions of any form of letter of credit application or other agreement submitted by the Parent Borrower or any Foreign Subsidiary Borrower, as the case may be, to, or entered into by the Parent Borrower or any Foreign Subsidiary Borrower, as the case may be, with, the Issuing Bank relating to any Letter of Credit, the terms and conditions of this Agreement shall control. For the avoidance of doubt, the Existing Letters of Credit shall continue to be Letters of Credit outstanding under this Agreement immediately after giving effect to the Third Restatement Date.</w:t>
      </w:r>
    </w:p>
    <w:p>
      <w:pPr>
        <w:spacing w:after="0" w:line="186" w:lineRule="exact"/>
        <w:rPr>
          <w:sz w:val="20"/>
          <w:szCs w:val="20"/>
          <w:color w:val="auto"/>
        </w:rPr>
      </w:pPr>
    </w:p>
    <w:p>
      <w:pPr>
        <w:ind w:left="8" w:right="100" w:firstLine="1288"/>
        <w:spacing w:after="0" w:line="255" w:lineRule="auto"/>
        <w:tabs>
          <w:tab w:leader="none" w:pos="1732"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Issuance, Amendment, Renewal, Extension; Certain Conditions</w:t>
      </w:r>
      <w:r>
        <w:rPr>
          <w:rFonts w:ascii="Times New Roman" w:cs="Times New Roman" w:eastAsia="Times New Roman" w:hAnsi="Times New Roman"/>
          <w:sz w:val="19"/>
          <w:szCs w:val="19"/>
          <w:color w:val="auto"/>
        </w:rPr>
        <w:t>. To request the issuance of a Letter of Credit (or the amendment, renewal or extension of an outstanding Letter of Credit), the Parent Borrower or the applicable Foreign Subsidiary Borrower, as the case may be,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(i) the date of issuance, amendment, renewal or extension (which shall be a Business Day), (ii) the date on which such Letter of Credit is to expire (which shall comply with paragraph (c) of this Section)</w:t>
      </w:r>
    </w:p>
    <w:p>
      <w:pPr>
        <w:spacing w:after="0" w:line="3" w:lineRule="exact"/>
        <w:rPr>
          <w:rFonts w:ascii="Times New Roman" w:cs="Times New Roman" w:eastAsia="Times New Roman" w:hAnsi="Times New Roman"/>
          <w:sz w:val="19"/>
          <w:szCs w:val="19"/>
          <w:color w:val="auto"/>
        </w:rPr>
      </w:pPr>
    </w:p>
    <w:p>
      <w:pPr>
        <w:ind w:left="8" w:hanging="8"/>
        <w:spacing w:after="0" w:line="239" w:lineRule="auto"/>
        <w:tabs>
          <w:tab w:leader="none" w:pos="35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in which such Letter of Credit is to be denominated (which currency shall be dollars or an LC Foreign Currency), (iv) the amount of such Letter of Credit, (v) the name and address of the beneficiary thereof and (vi) such other information as shall be necessary to prepare, amend, renew or extend such Letter of Credit. If requested by the Issuing Bank, the Parent Borrower or the applicable Foreign Subsidiary Borrower, as the case may be, also shall submit a letter of credit application on the Issuing Bank’s standard form in connection with any request for a Letter of Credit. The Issuing Bank may, in its sole discretion, issue, amend, renew or extend a Letter of Credit if (and upon issuance, amendment, renewal or extension of each Letter of Credit the Parent Borrower or the applicable Foreign Subsidiary Borrower, as the case may be, shall be deemed to represent and warrant that), after giving effect to such issuance, amendment, renewal or extension (i) the LC Exposure shall not exceed the LC Sublimit, (ii) the total Revolving Exposures shall not exceed the total Revolving Commitments and (iii) if such Letter of Credit is to be denominated in an LC Foreign Currency, the Foreign Currency Revolving Exposure of all Revolving Lenders does not exceed the Foreign Currency Sublimit. Notwithstanding anything herein to the contrary, no Issuing Bank shall be required to issue, amend, renew or extend any Letter of Credit and may, in such Issuing Bank’s sole discretion, decline to issue, amend, renew or extend any Letter of Credit for any reason, including, but not limited to, if, (i) after giving effect to such issuance, amendment, renewal or extension the LC Exposure in respect of Letters of Credit issued by such Issuing Bank would exceed $15,000,000, (ii) any order, judgment or decree of any Governmental Authority or arbitrator shall by its terms purport to enjoin or restrain the Issuing Bank from issuing the Letter of Credit, (iii) any law applicable to the Issuing Bank or any request or directive (whether or not having the force of law) from any Governmental Authority with jurisdiction over the Issuing Bank shall (x) prohibit, or request that the Issuing Bank refrain from, the issuance of letters of credit generally or the Letter of Credit in particular, (y) impose upon the Issuing Bank with respect to the Letter of Credit any restriction, reserve or capital requirement not in effect on the Third Restatement Date and for which the Parent Borrower or any applicable Foreign Subsidiary Borrower is not otherwise required to compensate the Issuing Bank hereunder, or (z) impose upon the Issuing Bank any loss, cost or expense which was not applicable on the Third Restatement Date, which the Issuing Bank in good faith deems material to it and which the Parent Borrower or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0888"/>
          </w:cols>
          <w:pgMar w:left="652" w:top="1413" w:right="359" w:bottom="1440" w:gutter="0" w:footer="0" w:header="0"/>
        </w:sectPr>
      </w:pPr>
    </w:p>
    <w:bookmarkStart w:id="118" w:name="page119"/>
    <w:bookmarkEnd w:id="118"/>
    <w:p>
      <w:pPr>
        <w:ind w:right="480"/>
        <w:spacing w:after="0" w:line="269" w:lineRule="auto"/>
        <w:rPr>
          <w:sz w:val="20"/>
          <w:szCs w:val="20"/>
          <w:color w:val="auto"/>
        </w:rPr>
      </w:pPr>
      <w:r>
        <w:rPr>
          <w:rFonts w:ascii="Times New Roman" w:cs="Times New Roman" w:eastAsia="Times New Roman" w:hAnsi="Times New Roman"/>
          <w:sz w:val="20"/>
          <w:szCs w:val="20"/>
          <w:color w:val="auto"/>
        </w:rPr>
        <w:t>Foreign Subsidiary Borrower is not otherwise required to reimburse the Issuing Bank hereunder, or (iv) the issuance of the Letter of Credit would violate one or more policies of the Issuing Bank applicable to letters of credit generally.</w:t>
      </w:r>
    </w:p>
    <w:p>
      <w:pPr>
        <w:spacing w:after="0" w:line="159" w:lineRule="exact"/>
        <w:rPr>
          <w:sz w:val="20"/>
          <w:szCs w:val="20"/>
          <w:color w:val="auto"/>
        </w:rPr>
      </w:pPr>
    </w:p>
    <w:p>
      <w:pPr>
        <w:ind w:right="80" w:firstLine="1288"/>
        <w:spacing w:after="0" w:line="242" w:lineRule="auto"/>
        <w:tabs>
          <w:tab w:leader="none" w:pos="17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the immediately succeeding clause (ii), any Letter of Credit with a one-year tenor may provide for the automatic renewal or extension thereof for additional one year periods and (ii) the date that is five Business Days prior to the Revolving Maturity Date (or, at any time that there are any Extended Revolving Commitments outstanding, the date that is five Business Days prior to the latest maturity date in respect of such Extended Revolving Commitments). Notwithstanding the foregoing, any Letter of Credit may expire not later than one year after the Revolving Maturity Date so long as the Parent Borrower cash collateralizes such Letter of Credit by the date that is five Business Days prior to the Revolving Maturity Date (or, at any time that there are any Extended Revolving Commitments outstanding , the date that is five Business Days prior to the latest maturity date in respect of such Extended Revolving Commitments so long as there are Extended Revolving Commitments outstanding in an amount not less than the LC Exposure of such extended Letters of Credit), in the manner described in Section 2.05(j) and otherwise on terms and conditions reasonably acceptable to the applicable Issuing Bank.</w:t>
      </w:r>
    </w:p>
    <w:p>
      <w:pPr>
        <w:spacing w:after="0" w:line="187" w:lineRule="exact"/>
        <w:rPr>
          <w:rFonts w:ascii="Times New Roman" w:cs="Times New Roman" w:eastAsia="Times New Roman" w:hAnsi="Times New Roman"/>
          <w:sz w:val="20"/>
          <w:szCs w:val="20"/>
          <w:color w:val="auto"/>
        </w:rPr>
      </w:pPr>
    </w:p>
    <w:p>
      <w:pPr>
        <w:ind w:firstLine="1288"/>
        <w:spacing w:after="0" w:line="241" w:lineRule="auto"/>
        <w:tabs>
          <w:tab w:leader="none" w:pos="17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Issuing Bank or the Lenders, the Issuing Bank hereby grants to each Revolving Lender, and each Revolving Lender hereby acquires from the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Revolving Lender’s Applicable Percentage of each LC Disbursement (including the Dollar Equivalent of any LC Disbursement made in an LC Foreign Currency) made by the Issuing Bank and not reimbursed by the Parent Borrower or the applicable Foreign Subsidiary Borrower, as the case may be, on the date due as provided in paragraph (e) of this Section, or of any reimbursement payment in respect of an LC Disbursement (including the Dollar Equivalent of any LC Disbursement made in an LC Foreign Currency) required to be refunded to the Parent Borrower or the applicable Foreign Subsidiary Borrower, as the case may be,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its Revolving Commitment or all Revolving Commitments, and that each such payment shall be made without any offset, abatement, withholding or reduction whatsoever.</w:t>
      </w:r>
    </w:p>
    <w:p>
      <w:pPr>
        <w:spacing w:after="0" w:line="194" w:lineRule="exact"/>
        <w:rPr>
          <w:rFonts w:ascii="Times New Roman" w:cs="Times New Roman" w:eastAsia="Times New Roman" w:hAnsi="Times New Roman"/>
          <w:sz w:val="20"/>
          <w:szCs w:val="20"/>
          <w:color w:val="auto"/>
        </w:rPr>
      </w:pPr>
    </w:p>
    <w:p>
      <w:pPr>
        <w:ind w:right="200" w:firstLine="1288"/>
        <w:spacing w:after="0" w:line="244" w:lineRule="auto"/>
        <w:tabs>
          <w:tab w:leader="none" w:pos="17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If the Issuing Bank shall make any LC Disbursement in respect of a Letter of Credit, the Parent Borrower or the applicable Foreign Subsidiary Borrower, as the case may be, shall reimburse such LC Disbursement by paying to the Administrative Agent, in the same currency as such LC Disbursement, an amount equal to such LC Disbursement, not later than 12:00 noon, New York City time, on the Business Day immediately following the date that such LC Disbursement is made, if the Parent Borrower or the applicable Foreign Subsidiary Borrower, as the case may be, shall have received notice of such LC Disbursement prior to 3:00 p.m., New York City time or London time, on such date, or, if such notice has not been received by the Parent Borrower or the applicable Foreign Subsidiary Borrower, as the case may be, prior to such time on such date,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0900"/>
          </w:cols>
          <w:pgMar w:left="660" w:top="1413" w:right="339" w:bottom="1440" w:gutter="0" w:footer="0" w:header="0"/>
        </w:sectPr>
      </w:pPr>
    </w:p>
    <w:bookmarkStart w:id="119" w:name="page120"/>
    <w:bookmarkEnd w:id="119"/>
    <w:p>
      <w:pPr>
        <w:spacing w:after="0" w:line="253" w:lineRule="auto"/>
        <w:rPr>
          <w:sz w:val="20"/>
          <w:szCs w:val="20"/>
          <w:color w:val="auto"/>
        </w:rPr>
      </w:pPr>
      <w:r>
        <w:rPr>
          <w:rFonts w:ascii="Times New Roman" w:cs="Times New Roman" w:eastAsia="Times New Roman" w:hAnsi="Times New Roman"/>
          <w:sz w:val="19"/>
          <w:szCs w:val="19"/>
          <w:color w:val="auto"/>
        </w:rPr>
        <w:t xml:space="preserve">not later than 12:00 noon, New York City time or London time, on the second Business Day immediately following the day that the Parent Borrower or the applicable Foreign Subsidiary Borrower, as the case may be, receives such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the case of any such payment in respect of an LC Disbursement made in dollars, (A) the Parent Borrower may, subject to the conditions to borrowing set forth herein, request in accordance with Section 2.03 or 2.04 that such payment be financed with an ABR Borrowing in an equivalent amount and, to the extent so financed, the Parent Borrower’s obligation to make such payment shall be discharged and replaced by the resulting ABR Revolving Loans or Swingline Loan and (B) such Foreign Subsidiary Borrower may, subject to the conditions to borrowing set forth herein, request in accordance with Section 2.03 that such payment be financed with a Term Benchmark Revolving Borrowing or an RFR Revolving Borrowing in an equivalent amount and, to the extent so financed, such Foreign Subsidiary Borrower’s obligation to make such payment in respect of any LC Disbursement shall be discharged and replaced by the resulting Term Benchmark Revolving Loans or RFR Revolving Loans and (ii) in the case of any such payment in respect of an LC Disbursement made in an LC Foreign Currency, the Parent Borrower or such Foreign Subsidiary Borrower, as the case may be, may, subject to the conditions to borrowing set forth herein, request in accordance with Section 2.03 that such payment be financed with a Borrowing of Foreign Currency Loans in the same currency and in an equivalent amount and, to the extent so financed, the obligation of the Parent Borrower or such Foreign Subsidiary Borrower, as the case may be, to make such payment shall be discharged and replaced by the resulting Foreign Currency Loans. If the Parent Borrower or the applicable Foreign Subsidiary Borrower, as the case may be, fails to make such payment when due, the Administrative Agent shall notify each Revolving Lender of the applicable LC Disbursement, the payment then due from the Parent Borrower or the applicable Foreign Subsidiary Borrower, as the case may be, in respect thereof and such Lender’s Applicable Percentage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contained in this Section 2.05, prior to demanding any reimbursement from the Revolving Lenders pursuant to this Section 2.05(e) in respect of any Letter of Credit denominated in an LC Foreign Currency, the Issuing Bank shall convert the obligations of the Parent Borrower or applicable Foreign Subsidiary Borrower, as the case may be, under this Section 2.05(e) to reimburse the Issuing Bank in such currency into an obligation to reimburse the Issuing Bank in dollars and the dollar amount of the reimbursement obligation of the Parent Borrower or applicable Foreign Subsidiary Borrower, as the case may be, shall be computed by the Issuing Bank based upon the Exchange Rate in effect for the day on which such conversion occurs, as determined by the Administrative Agent in accordance with the terms hereof and specified in such notice to the Revolving Lenders demanding reimbursement;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after such conversion, the reimbursement obligations of the Parent Borrower or applicable Foreign Subsidiary Borrower, as the case may be, in respect of the applicable Letter of Credit denominated in an LC Foreign Currency shall be payable in dollars based upon the Exchange Rate in effect for the day on which such conversion occurs, as determined in accordance with the terms hereof. Promptly following receipt of such notice, each Lender shall pay to the Administrative Agent its Applicable Percentage of the unreimbursed LC Disbursement in the same manner as provided in Section 2.06 with respect to Loans made by such Lender (and Section 2.06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Parent Borrower or the applicable Foreign Subsidiary Borrower, as the case may be, pursuant to this paragraph, the Administrative Agent shall distribute such payment to the Issuing Bank or, to the extent that Revolving Lenders have made payments pursuant to this paragraph to reimburse the Issuing Bank, then distribute such payment to such Lenders and the Issuing Bank as their interests may appear. Any payment made by a Revolving Lender pursuant to this paragraph to reimburse the Issuing Bank for any LC Disbursement (other than the funding of ABR Revolving Loans, Term Benchmark Revolving Loans, RFR Revolving Loans, Foreign Currency Loans or a Swingline Loan as contemplated above) shall not constitute a Loan and shall not relieve the Parent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0880"/>
          </w:cols>
          <w:pgMar w:left="660" w:top="1413"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color w:val="auto"/>
        </w:rPr>
        <w:t>applicable Foreign Subsidiary Borrower, as the case may be, of its obligation to reimburse such LC Disbursement.</w:t>
      </w:r>
    </w:p>
    <w:p>
      <w:pPr>
        <w:spacing w:after="0" w:line="216" w:lineRule="exact"/>
        <w:rPr>
          <w:sz w:val="20"/>
          <w:szCs w:val="20"/>
          <w:color w:val="auto"/>
        </w:rPr>
      </w:pPr>
    </w:p>
    <w:p>
      <w:pPr>
        <w:ind w:firstLine="1288"/>
        <w:spacing w:after="0"/>
        <w:tabs>
          <w:tab w:leader="none" w:pos="169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obligation of the Parent Borrower or any Foreign Subsidiary Borrower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(including honor of a demand for payment presented electronically even if such Letter of Credit requires that demand be in the form of a draft), (iv) waiver by the Issuing Bank of any requirement that exists for the Issuing Bank’s protection and not the protection of the Parent Borrower or any applicable Foreign Subsidiary Borrower, or any waiver by the Issuing Bank which does not in fact materially prejudice the Parent Borrower or any applicable Foreign Subsidiary Borrower, (v) any payment made by the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or (vi) any other event or circumstance whatsoever, whether or not similar to any of the foregoing, that might, but for the provisions of this Section, constitute a legal or equitable discharge of, or provide a right of setoff against, the obligations of the Parent Borrower or any Foreign Subsidiary Borrower hereunder. The Parent Borrower or any applicable Foreign Subsidiary Borrower shall promptly examine a copy of each Letter of Credit and each amendment thereto that is delivered to it and, in the event of any claim of noncompliance with the Parent Borrower’s or such applicable Foreign Subsidiary Borrower’s instructions or other irregularity, the Parent Borrower or such Foreign Subsidiary Borrower, as applicable, will immediately notify the Issuing Bank. The Parent Borrower and any applicable Foreign Subsidiary Borrower shall be conclusively deemed to have waived any such claim against the Issuing Bank and its correspondents unless such notice is given as aforesaid. None of the Administrative Agent, the Lenders or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Issuing Bank from liability to the Parent Borrower or any applicable Foreign Subsidiary Borrower, as the case may be, to the extent of any direct damages (as opposed to consequential damages, claims in respect of which are hereby waived by the Parent Borrower or any applicable Foreign Subsidiary Borrower, as the case may be, to the extent permitted by applicable law) suffered by the Parent Borrower or any applicable Foreign Subsidiary Borrower, as the case may be,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0860"/>
          </w:cols>
          <w:pgMar w:left="660" w:top="1413" w:right="379" w:bottom="1440" w:gutter="0" w:footer="0" w:header="0"/>
        </w:sectPr>
      </w:pPr>
    </w:p>
    <w:bookmarkStart w:id="121" w:name="page122"/>
    <w:bookmarkEnd w:id="121"/>
    <w:p>
      <w:pPr>
        <w:ind w:right="280"/>
        <w:spacing w:after="0" w:line="269" w:lineRule="auto"/>
        <w:rPr>
          <w:sz w:val="20"/>
          <w:szCs w:val="20"/>
          <w:color w:val="auto"/>
        </w:rPr>
      </w:pPr>
      <w:r>
        <w:rPr>
          <w:rFonts w:ascii="Times New Roman" w:cs="Times New Roman" w:eastAsia="Times New Roman" w:hAnsi="Times New Roman"/>
          <w:sz w:val="20"/>
          <w:szCs w:val="20"/>
          <w:color w:val="auto"/>
        </w:rPr>
        <w:t>regardless of any notice or information to the contrary, or refuse to accept and make payment upon such documents if such documents are not in strict compliance with the terms of such Letter of Credit.</w:t>
      </w:r>
    </w:p>
    <w:p>
      <w:pPr>
        <w:spacing w:after="0" w:line="159" w:lineRule="exact"/>
        <w:rPr>
          <w:sz w:val="20"/>
          <w:szCs w:val="20"/>
          <w:color w:val="auto"/>
        </w:rPr>
      </w:pPr>
    </w:p>
    <w:p>
      <w:pPr>
        <w:ind w:right="80" w:firstLine="1288"/>
        <w:spacing w:after="0" w:line="243" w:lineRule="auto"/>
        <w:tabs>
          <w:tab w:leader="none" w:pos="17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Issuing Bank shall, promptly following its receipt thereof, examine all documents purporting to represent a demand for payment under a Letter of Credit. The Issuing Bank shall promptly notify the Administrative Agent and the Parent Borrower or any applicable Foreign Subsidiary Borrower, as the case may be, by telephone (confirmed by telecopy)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(i) relieve the Parent Borrower or any applicable Foreign Subsidiary Borrower, as the case may be, of its obligation to reimburse the Issuing Bank and the Lenders with respect to any such LC Disbursement (other than with respect to the timing of such reimbursement obligation set forth in Section 2.05(e)) or (ii) relieve any Lender’s obligations to acquire participations as required pursuant to paragraph (d) of this Section 2.05.</w:t>
      </w:r>
    </w:p>
    <w:p>
      <w:pPr>
        <w:spacing w:after="0" w:line="189" w:lineRule="exact"/>
        <w:rPr>
          <w:rFonts w:ascii="Times New Roman" w:cs="Times New Roman" w:eastAsia="Times New Roman" w:hAnsi="Times New Roman"/>
          <w:sz w:val="20"/>
          <w:szCs w:val="20"/>
          <w:color w:val="auto"/>
        </w:rPr>
      </w:pPr>
    </w:p>
    <w:p>
      <w:pPr>
        <w:ind w:right="40" w:firstLine="1288"/>
        <w:spacing w:after="0" w:line="241" w:lineRule="auto"/>
        <w:tabs>
          <w:tab w:leader="none" w:pos="17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Issuing Bank shall make any LC Disbursement (i) in respect of any Letter of Credit denominated in dollars, then, unless the Parent Borrower or any applicable Foreign Subsidiary Borrower, as the case may be, shall reimburse such LC Disbursement in full on the date such LC Disbursement is made, the unpaid amount thereof shall bear interest, for each day from and including the date such LC Disbursement is made to but excluding the date that the Parent Borrower or any applicable Foreign Subsidiary Borrower, as the case may be, reimburses such LC Disbursement, at the rate per annum then applicable to ABR Revolving Loans and (ii) in respect of any Letter of Credit denominated in an LC Foreign Currency, then, unless the Parent Borrower or any applicable Foreign Subsidiary Borrower, as the case may be, shall reimburse such LC Disbursement in full on the date such LC Disbursement is made, the unpaid amount thereof shall bear interest, for each day from and including the date such LC Disbursement is made to but excluding the date that the Parent Borrower or any applicable Foreign Subsidiary Borrower, as the case may be, reimburses such LC Disbursement, at the rate per annum then applicable to Foreign Currency Loans in the applicable Foreign Currency with an Interest Period of three months’ duration;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Parent Borrower or any applicable Foreign Subsidiary Borrower, as the case may be, fails to reimburse such LC Disbursement when due pursuant to Section 2.05(e), then Section 2.13(c) shall apply. Interest accrued pursuant to this paragraph shall be for the account of the Issuing Bank, except that interest accrued on and after the date of payment by any Lender pursuant to Section 2.05(e) to reimburse the Issuing Bank shall be for the account of such Lender to the extent of such payment.</w:t>
      </w:r>
    </w:p>
    <w:p>
      <w:pPr>
        <w:spacing w:after="0" w:line="194" w:lineRule="exact"/>
        <w:rPr>
          <w:rFonts w:ascii="Times New Roman" w:cs="Times New Roman" w:eastAsia="Times New Roman" w:hAnsi="Times New Roman"/>
          <w:sz w:val="20"/>
          <w:szCs w:val="20"/>
          <w:color w:val="auto"/>
        </w:rPr>
      </w:pPr>
    </w:p>
    <w:p>
      <w:pPr>
        <w:ind w:firstLine="1288"/>
        <w:spacing w:after="0" w:line="242" w:lineRule="auto"/>
        <w:tabs>
          <w:tab w:leader="none" w:pos="168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 Issuing Bank; Additional Issuing Banks</w:t>
      </w:r>
      <w:r>
        <w:rPr>
          <w:rFonts w:ascii="Times New Roman" w:cs="Times New Roman" w:eastAsia="Times New Roman" w:hAnsi="Times New Roman"/>
          <w:sz w:val="20"/>
          <w:szCs w:val="20"/>
          <w:color w:val="auto"/>
        </w:rPr>
        <w:t>. Any Issuing Bank may be replaced at any time by written agreement among the Parent Borrower (on behalf of itself and the Foreign Subsidiary Borrowers), the Administrative Agent, the replaced Issuing Bank and the successor Issuing Bank. One or more Lenders may be appointed as additional Issuing Banks by written agreement among the Parent Borrower (on behalf of itself and the Foreign Subsidiary Borrowers), the Administrative Agent (whose consent will not be unreasonably withheld) and the Lender that is to be so appointed. The Administrative Agent shall notify the Lenders of any such replacement of an Issuing Bank or any such additional Issuing Bank. At the time any such replacement shall become effective, the Parent Borrower (on behalf of itself and the Foreign Subsidiary Borrowers) shall pay all unpaid fees accrued for the account of the replaced Issuing Bank pursuant to Section 2.12(b). From and after the effective date of any such replacement or addition, as applicable, (i) the successor or additional Issuing Bank shall have all the rights and obligations of an Issuing Bank under this Agreement with respect to Letters of Credit to be issued thereafter and (ii) references herein to the term “</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shall be deemed to refer to such successor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0900"/>
          </w:cols>
          <w:pgMar w:left="660" w:top="1413" w:right="339" w:bottom="1440" w:gutter="0" w:footer="0" w:header="0"/>
        </w:sectPr>
      </w:pPr>
    </w:p>
    <w:bookmarkStart w:id="122" w:name="page123"/>
    <w:bookmarkEnd w:id="122"/>
    <w:p>
      <w:pPr>
        <w:ind w:left="8" w:right="120"/>
        <w:spacing w:after="0" w:line="245" w:lineRule="auto"/>
        <w:rPr>
          <w:sz w:val="20"/>
          <w:szCs w:val="20"/>
          <w:color w:val="auto"/>
        </w:rPr>
      </w:pPr>
      <w:r>
        <w:rPr>
          <w:rFonts w:ascii="Times New Roman" w:cs="Times New Roman" w:eastAsia="Times New Roman" w:hAnsi="Times New Roman"/>
          <w:sz w:val="20"/>
          <w:szCs w:val="20"/>
          <w:color w:val="auto"/>
        </w:rPr>
        <w:t>addition or to any previous Issuing Bank, or to such successor or such addition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If at any time there is more than one Issuing Bank hereunder, the Parent Borrower (on behalf of itself and the Foreign Subsidiary Borrowers) may, in its discretion, select which Issuing Bank is to issue any particular Letter of Credit.</w:t>
      </w:r>
    </w:p>
    <w:p>
      <w:pPr>
        <w:spacing w:after="0" w:line="184" w:lineRule="exact"/>
        <w:rPr>
          <w:sz w:val="20"/>
          <w:szCs w:val="20"/>
          <w:color w:val="auto"/>
        </w:rPr>
      </w:pPr>
    </w:p>
    <w:p>
      <w:pPr>
        <w:ind w:left="8" w:right="20" w:firstLine="1288"/>
        <w:spacing w:after="0" w:line="254" w:lineRule="auto"/>
        <w:tabs>
          <w:tab w:leader="none" w:pos="1689"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xml:space="preserve">. If any Event of Default shall occur and be continuing, on the Business Day that the Parent Borrower or any Foreign Subsidiary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Parent Borrower and the Foreign Subsidiary Borrowers, as the case may be, shall deposit in an account with the Administrative Agent, in the name of the Administrative Agent and for the benefit of the Revolving Lenders, the undrawn amount of each outstanding Letter of Credit and the amount of each unreimbursed LC Disbursements at such time (and in such currency as each such Letter of Credit is denominated and each such unreimbursed LC Disbursement was made),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Parent Borrower or any Foreign Subsidiary Borrower described in clause</w:t>
      </w:r>
    </w:p>
    <w:p>
      <w:pPr>
        <w:spacing w:after="0" w:line="4" w:lineRule="exact"/>
        <w:rPr>
          <w:rFonts w:ascii="Times New Roman" w:cs="Times New Roman" w:eastAsia="Times New Roman" w:hAnsi="Times New Roman"/>
          <w:sz w:val="19"/>
          <w:szCs w:val="19"/>
          <w:color w:val="auto"/>
        </w:rPr>
      </w:pPr>
    </w:p>
    <w:p>
      <w:pPr>
        <w:ind w:left="8" w:hanging="8"/>
        <w:spacing w:after="0" w:line="239" w:lineRule="auto"/>
        <w:tabs>
          <w:tab w:leader="none" w:pos="28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 of Article VII. Each such deposit shall be held by the Administrative Agent as collateral for the payment and performance of the obligations of the Parent Borrower and the Foreign Subsidiary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risk and expense of the Parent Borrower and the Foreign Subsidiary Borrowers,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Parent Borrower and the Foreign Subsidiary Borrowers for the LC Exposure at such time or, if the maturity of the Loans has been accelerated (but subject to the consent of Revolving Lenders with LC Exposure representing greater than 50% of the total LC Exposure), be applied to satisfy other obligations of the Parent Borrower and the Foreign Subsidiary Borrowers under this Agreement. If the Parent Borrower or any Foreign Subsidiary Borrower is required to provide an amount of cash collateral hereunder as a result of the occurrence of an Event of Default, such amount plus any accrued interest or realized profits of such amounts (to the extent not applied as aforesaid) shall be returned to the Parent Borrower or such Foreign Subsidiary Borrower within three Business Days after all Events of Default have been cured or waived. If the Parent Borrower is required to provide an amount of such collateral hereunder pursuant to Section 2.11(b), such amount plus any accrued interest or realized profits on account of such amount (to the extent not applied as aforesaid) shall be returned to the Parent Borrower as and to the extent that, after giving effect to such return, the Parent Borrower would remain in compliance with Section 2.11(b) and no Default or Event of Default shall have occurred and be continuing.</w:t>
      </w:r>
    </w:p>
    <w:p>
      <w:pPr>
        <w:spacing w:after="0" w:line="202" w:lineRule="exact"/>
        <w:rPr>
          <w:rFonts w:ascii="Times New Roman" w:cs="Times New Roman" w:eastAsia="Times New Roman" w:hAnsi="Times New Roman"/>
          <w:sz w:val="20"/>
          <w:szCs w:val="20"/>
          <w:color w:val="auto"/>
        </w:rPr>
      </w:pPr>
    </w:p>
    <w:p>
      <w:pPr>
        <w:ind w:left="8" w:right="280" w:firstLine="1288"/>
        <w:spacing w:after="0" w:line="254" w:lineRule="auto"/>
        <w:tabs>
          <w:tab w:leader="none" w:pos="173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maturity date in respect of any tranche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0888"/>
          </w:cols>
          <w:pgMar w:left="652" w:top="1413" w:right="359" w:bottom="1440" w:gutter="0" w:footer="0" w:header="0"/>
        </w:sectPr>
      </w:pPr>
    </w:p>
    <w:bookmarkStart w:id="123" w:name="page124"/>
    <w:bookmarkEnd w:id="123"/>
    <w:p>
      <w:pPr>
        <w:spacing w:after="0" w:line="242" w:lineRule="auto"/>
        <w:rPr>
          <w:sz w:val="20"/>
          <w:szCs w:val="20"/>
          <w:color w:val="auto"/>
        </w:rPr>
      </w:pPr>
      <w:r>
        <w:rPr>
          <w:rFonts w:ascii="Times New Roman" w:cs="Times New Roman" w:eastAsia="Times New Roman" w:hAnsi="Times New Roman"/>
          <w:sz w:val="20"/>
          <w:szCs w:val="20"/>
          <w:color w:val="auto"/>
        </w:rPr>
        <w:t>purposes of the obligations of the Revolving Lenders to purchase participations therein and to make Revolving Loans and payments in respect thereof pursuant to Section 2.05(e)) under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the immediately preceding clause (i), the Parent Borrower shall cash collateralize any such Letter of Credit in accordance with Section 2.05(j). If, for any reason, such cash collateral is not provided or the reallocation does not occur, the Revolving Lenders under the maturing tranche shall continue to be responsible for their participating interests in the Letters of Credit. Except to the extent of reallocations of participations pursuant to clause (i) of the second preceding sentence, the occurrence of a maturity date with respect to a given tranche of Revolving Commitments shall have no effect upon (and shall not diminish) the percentage participations of the Revolving Lenders in any Letter of Credit issued before such maturity date. Commencing with the maturity date of any tranche of Revolving Commitments, the sublimit for Letters of Credit shall be agreed with the Lenders under the extended tranches.</w:t>
      </w:r>
    </w:p>
    <w:p>
      <w:pPr>
        <w:spacing w:after="0" w:line="187" w:lineRule="exact"/>
        <w:rPr>
          <w:sz w:val="20"/>
          <w:szCs w:val="20"/>
          <w:color w:val="auto"/>
        </w:rPr>
      </w:pPr>
    </w:p>
    <w:p>
      <w:pPr>
        <w:ind w:right="80" w:firstLine="1288"/>
        <w:spacing w:after="0" w:line="260" w:lineRule="auto"/>
        <w:tabs>
          <w:tab w:leader="none" w:pos="1681"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Cash Collateralization</w:t>
      </w:r>
      <w:r>
        <w:rPr>
          <w:rFonts w:ascii="Times New Roman" w:cs="Times New Roman" w:eastAsia="Times New Roman" w:hAnsi="Times New Roman"/>
          <w:sz w:val="19"/>
          <w:szCs w:val="19"/>
          <w:color w:val="auto"/>
        </w:rPr>
        <w:t>. In the event and on each occasion that the total LC Exposure exceeds the LC Sublimit, the Parent Borrower or the Foreign Subsidiary Borrowers, as the case may be, shall deposit cash collateral in an account with the Administrative Agent, in the name of the Administrative Agent and for the benefit of the Revolving Lenders, in an aggregate amount equal to such excess in accordance with the provisions of Section 2.05(j). Such amount plus any accrued interest or realized profits of such amounts (to the extent not applied as aforesaid) shall be returned to the Parent Borrower or such Foreign Subsidiary Borrower within three Business days after the first Calculation Date on which the total LC Exposure no longer exceeds the LC Sublimit.</w:t>
      </w:r>
    </w:p>
    <w:p>
      <w:pPr>
        <w:spacing w:after="0" w:line="173"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2.06</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1" w:lineRule="auto"/>
        <w:tabs>
          <w:tab w:leader="none" w:pos="171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Swingline Loans shall be made as provided in Section 2.04 and (ii) Foreign Currency Loans shall be made as provided in Section 2.03(b). In the case of all Loans other than Foreign Currency Loans, the Administrative Agent will make such Loans available to the Parent Borrower or the applicable Foreign Subsidiary Borrower, as the case may be, by promptly crediting the amounts so received, in like funds, to an account of the Parent Borrower or such Foreign Subsidiary Borrower, as the case may be, maintained with the Administrative Agent in New York City, and designated by the Parent Borrower or such Foreign Subsidiary Borrower, as the case may be, in the applicable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Revolving Loans made to finance the reimbursement of an LC Disbursement as provided in Section 2.05(e) shall be remitted by the Administrative Agent to the Issuing Bank. In the case of Foreign Currency Loans, the Administrative Agent will make such Loans available to the Parent Borrower or the applicable Foreign Subsidiary Borrower, as the case may be, by promptly crediting or disbursing the aggregate of the amounts received by the Administrative Agent from the Foreign Currency Lenders, in like funds, to an account of the Parent Borrower or such Foreign Subsidiary Borrower, as the case may be, designated by the Parent Borrower or such Foreign Subsidiary Borrower, as the case may be, in the applicable Borrowing Request.</w:t>
      </w:r>
    </w:p>
    <w:p>
      <w:pPr>
        <w:spacing w:after="0" w:line="195" w:lineRule="exact"/>
        <w:rPr>
          <w:rFonts w:ascii="Times New Roman" w:cs="Times New Roman" w:eastAsia="Times New Roman" w:hAnsi="Times New Roman"/>
          <w:sz w:val="20"/>
          <w:szCs w:val="20"/>
          <w:color w:val="auto"/>
        </w:rPr>
      </w:pPr>
    </w:p>
    <w:p>
      <w:pPr>
        <w:ind w:right="680" w:firstLine="1288"/>
        <w:spacing w:after="0" w:line="269" w:lineRule="auto"/>
        <w:tabs>
          <w:tab w:leader="none" w:pos="17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(other than a Borrowing of Foreign Currency Loans)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0900"/>
          </w:cols>
          <w:pgMar w:left="660" w:top="1413" w:right="339" w:bottom="1440" w:gutter="0" w:footer="0" w:header="0"/>
        </w:sectPr>
      </w:pPr>
    </w:p>
    <w:bookmarkStart w:id="124" w:name="page125"/>
    <w:bookmarkEnd w:id="124"/>
    <w:p>
      <w:pPr>
        <w:ind w:right="20"/>
        <w:spacing w:after="0" w:line="242" w:lineRule="auto"/>
        <w:rPr>
          <w:sz w:val="20"/>
          <w:szCs w:val="20"/>
          <w:color w:val="auto"/>
        </w:rPr>
      </w:pPr>
      <w:r>
        <w:rPr>
          <w:rFonts w:ascii="Times New Roman" w:cs="Times New Roman" w:eastAsia="Times New Roman" w:hAnsi="Times New Roman"/>
          <w:sz w:val="20"/>
          <w:szCs w:val="20"/>
          <w:color w:val="auto"/>
        </w:rPr>
        <w:t>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Lender has not in fact made its share of the applicable Borrowing available to the Administrative Agent, then the applicable Lender and the Parent Borrower or 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Lender, the greater of (x) the NYFRB Rate and (y) a rate determined by the Administrative Agent in accordance with banking industry rules on interbank compensation, the applicable rate shall be determined as specified in clause (y) above, or (ii) in the case of the Parent Borrower or any Foreign Subsidiary Borrower, the interest rate applicable to ABR Revolving Loans. If such Lender pays such amount to the Administrative Agent, then such amount shall constitute such Lender’s Loan included in such Borrowing.</w:t>
      </w:r>
    </w:p>
    <w:p>
      <w:pPr>
        <w:spacing w:after="0" w:line="187" w:lineRule="exact"/>
        <w:rPr>
          <w:sz w:val="20"/>
          <w:szCs w:val="20"/>
          <w:color w:val="auto"/>
        </w:rPr>
      </w:pPr>
    </w:p>
    <w:p>
      <w:pPr>
        <w:ind w:right="100" w:firstLine="1288"/>
        <w:spacing w:after="0" w:line="241" w:lineRule="auto"/>
        <w:tabs>
          <w:tab w:leader="none" w:pos="171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Foreign Currency Lender prior to the proposed date of any Borrowing of Foreign Currency Loans that such Foreign Currency Lender will not make available to the Administrative Agent such Foreign Currency Lender’s share of such Borrowing, the Administrative Agent may assume that such Foreign Currency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Foreign Currency Lender has not in fact made its share of the applicable Borrowing of Foreign Currency Loans available to the Administrative Agent, then the applicable Foreign Currency Lender and the Parent Borrower or 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Foreign Currency Lender, a rate determined by the Administrative Agent in accordance with banking industry rules on interbank compensation, or (ii) in the case of the Parent Borrower or any Foreign Subsidiary Borrower, the interest rate applicable to Foreign Currency Loans in the applicable Foreign Currency with an Interest Period of three months’ duration. If such Foreign Currency Lender pays such amount to the Administrative Agent, then such amount shall constitute such Foreign Currency Lender’s Loan included in such Borrowing.</w:t>
      </w:r>
    </w:p>
    <w:p>
      <w:pPr>
        <w:spacing w:after="0" w:line="194" w:lineRule="exact"/>
        <w:rPr>
          <w:rFonts w:ascii="Times New Roman" w:cs="Times New Roman" w:eastAsia="Times New Roman" w:hAnsi="Times New Roman"/>
          <w:sz w:val="20"/>
          <w:szCs w:val="20"/>
          <w:color w:val="auto"/>
        </w:rPr>
      </w:pPr>
    </w:p>
    <w:p>
      <w:pPr>
        <w:ind w:firstLine="1288"/>
        <w:spacing w:after="0" w:line="243" w:lineRule="auto"/>
        <w:tabs>
          <w:tab w:leader="none" w:pos="172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Third Restatement Date, all Existing Revolving Loans shall be deemed repaid and the portion thereof requested by the Parent Borrower to be borrowed on the Third Restatement Date shall be deemed reborrowed as Revolving Loans hereunder by the Parent Borrower or the Foreign Subsidiary Borrowers,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reborrowed Revolving Loan shall be deemed made in the same Type and currency as the relevant Existing Revolving Loan (it being understood that for each tranche of Existing Revolving Loans that were Term Benchmark Loans, (x) the initial Interest Period for the relevant reborrowed Term Benchmark Loans shall equal the remaining length of the Interest Period for such tranche and (y) the Adjusted Term SOFR Rate or Adjusted EURIBOR Rate for the relevant reborrowed Term Benchmark Loans during such initial Interest Period shall be the Adjusted Term SOFR Rate or Adjusted EURIBOR Rate, as applicable, for such tranche immediately prior to the Third Restatement Date). Any Revolving Lenders that are not Existing Revolving Lenders (and any Existing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0900"/>
          </w:cols>
          <w:pgMar w:left="660" w:top="1413" w:right="339" w:bottom="1440" w:gutter="0" w:footer="0" w:header="0"/>
        </w:sectPr>
      </w:pPr>
    </w:p>
    <w:bookmarkStart w:id="125" w:name="page126"/>
    <w:bookmarkEnd w:id="125"/>
    <w:p>
      <w:pPr>
        <w:ind w:right="260"/>
        <w:spacing w:after="0" w:line="260" w:lineRule="auto"/>
        <w:rPr>
          <w:sz w:val="20"/>
          <w:szCs w:val="20"/>
          <w:color w:val="auto"/>
        </w:rPr>
      </w:pPr>
      <w:r>
        <w:rPr>
          <w:rFonts w:ascii="Times New Roman" w:cs="Times New Roman" w:eastAsia="Times New Roman" w:hAnsi="Times New Roman"/>
          <w:sz w:val="19"/>
          <w:szCs w:val="19"/>
          <w:color w:val="auto"/>
        </w:rPr>
        <w:t>with Revolving Commitments as of the Third Restatement Date that are greater than their Existing Revolving Commitments) shall advance funds (in the relevant currency) to the Administrative Agent on the Third Restatement Date as shall be required to repay the portion of the Revolving Loans of Existing Revolving Lenders such that (A) each Revolving Lender’s share of outstanding Revolving Loans denominated in dollars on the Third Restatement Date is equal to its Applicable Percentage (after giving effect to the Third Restatement Date) and (B) each Foreign Currency Lender’s (other than the Fronting Lender’s) share of outstanding Foreign Currency Loans is equal to its Applicable Percentage (after giving effect to the Third Restatement Date) of Foreign Currency Loans.</w:t>
      </w:r>
    </w:p>
    <w:p>
      <w:pPr>
        <w:spacing w:after="0" w:line="173"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2.07</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88"/>
        <w:spacing w:after="0" w:line="242" w:lineRule="auto"/>
        <w:tabs>
          <w:tab w:leader="none" w:pos="1713"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initially shall be of the Type specified in the applicable Borrowing Request and, in the case of a Term Benchmark Borrowing, shall have an initial Interest Period as specified in such Borrowing Request or as otherwise provided in Section 2.03. Thereafter, the Parent Borrower or the applicable Foreign Subsidiary Borrower, as the case may be, may elect to (i) convert any ABR Borrowing denominated in dollars to a Term Benchmark Borrowing denominated in dollars, (ii) convert any Term Benchmark Borrowing (or, if the Adjusted Term SOFR Rate has been replaced pursuant to Section 2.14 with the Adjusted Daily Simple RFR, an RFR Borrowing) to an ABR Borrowing, (iii) continue any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Borrowing must be continued in the same currency) and (iv) in the case of a Term Benchmark Borrowing, may elect Interest Periods therefor, all as provided in this Section. The Parent Borrower or the applicable Foreign Subsidiary Borrower, as the case may be,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9" w:lineRule="exact"/>
        <w:rPr>
          <w:rFonts w:ascii="Times New Roman" w:cs="Times New Roman" w:eastAsia="Times New Roman" w:hAnsi="Times New Roman"/>
          <w:sz w:val="20"/>
          <w:szCs w:val="20"/>
          <w:color w:val="auto"/>
        </w:rPr>
      </w:pPr>
    </w:p>
    <w:p>
      <w:pPr>
        <w:ind w:right="20" w:firstLine="1288"/>
        <w:spacing w:after="0" w:line="242" w:lineRule="auto"/>
        <w:tabs>
          <w:tab w:leader="none" w:pos="172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 election pursuant to this Section, the Parent Borrower or the applicable Foreign Subsidiary Borrower, as the case may be, shall notify the Administrative Agent of such election (in the case of any Revolving Loans other than Foreign Currency Loans, by telephone, and in the case of Foreign Currency Loans, through a written Interest Election Request delivered by hand or telecopy) by the time that a Borrowing Request would be required under Section 2.03 if the Parent Borrower or the applicable Foreign Subsidiary Borrower, as the case may be, were requesting a Revolving Borrowing (other than a Borrowing of Foreign Currency Loans) or a Borrowing of Foreign Currency Loans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and all such written Interest Election Requests (including with respect to Foreign Currency Loans) shall be in a form approved by the Administrative Agent and signed by the Parent Borrower or the applicable Foreign Subsidiary Borrower, as the case may be.</w:t>
      </w:r>
    </w:p>
    <w:p>
      <w:pPr>
        <w:spacing w:after="0" w:line="192" w:lineRule="exact"/>
        <w:rPr>
          <w:rFonts w:ascii="Times New Roman" w:cs="Times New Roman" w:eastAsia="Times New Roman" w:hAnsi="Times New Roman"/>
          <w:sz w:val="20"/>
          <w:szCs w:val="20"/>
          <w:color w:val="auto"/>
        </w:rPr>
      </w:pPr>
    </w:p>
    <w:p>
      <w:pPr>
        <w:ind w:left="1700" w:hanging="412"/>
        <w:spacing w:after="0"/>
        <w:tabs>
          <w:tab w:leader="none" w:pos="17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telephonic and written Interest Election Request shall specify the following information in compliance with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2.02:</w:t>
      </w:r>
    </w:p>
    <w:p>
      <w:pPr>
        <w:spacing w:after="0" w:line="193" w:lineRule="exact"/>
        <w:rPr>
          <w:rFonts w:ascii="Times New Roman" w:cs="Times New Roman" w:eastAsia="Times New Roman" w:hAnsi="Times New Roman"/>
          <w:sz w:val="20"/>
          <w:szCs w:val="20"/>
          <w:color w:val="auto"/>
        </w:rPr>
      </w:pPr>
    </w:p>
    <w:p>
      <w:pPr>
        <w:ind w:left="320" w:firstLine="903"/>
        <w:spacing w:after="0" w:line="254" w:lineRule="auto"/>
        <w:tabs>
          <w:tab w:leader="none" w:pos="161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4" w:lineRule="exact"/>
        <w:rPr>
          <w:rFonts w:ascii="Times New Roman" w:cs="Times New Roman" w:eastAsia="Times New Roman" w:hAnsi="Times New Roman"/>
          <w:sz w:val="20"/>
          <w:szCs w:val="20"/>
          <w:color w:val="auto"/>
        </w:rPr>
      </w:pPr>
    </w:p>
    <w:p>
      <w:pPr>
        <w:ind w:left="1660" w:hanging="437"/>
        <w:spacing w:after="0"/>
        <w:tabs>
          <w:tab w:leader="none" w:pos="1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860"/>
          </w:cols>
          <w:pgMar w:left="660" w:top="1413" w:right="379" w:bottom="1440" w:gutter="0" w:footer="0" w:header="0"/>
        </w:sectPr>
      </w:pPr>
    </w:p>
    <w:bookmarkStart w:id="126" w:name="page127"/>
    <w:bookmarkEnd w:id="126"/>
    <w:p>
      <w:pPr>
        <w:ind w:left="660" w:right="60" w:firstLine="903"/>
        <w:spacing w:after="0" w:line="269" w:lineRule="auto"/>
        <w:tabs>
          <w:tab w:leader="none" w:pos="20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any Interest Election Request made with respect to a Borrowing of Foreign Currency Loans, whether the resulting Borrowing is to be an ABR Borrowing or a Term Benchmark Borrowing; and</w:t>
      </w:r>
    </w:p>
    <w:p>
      <w:pPr>
        <w:spacing w:after="0" w:line="159" w:lineRule="exact"/>
        <w:rPr>
          <w:rFonts w:ascii="Times New Roman" w:cs="Times New Roman" w:eastAsia="Times New Roman" w:hAnsi="Times New Roman"/>
          <w:sz w:val="20"/>
          <w:szCs w:val="20"/>
          <w:color w:val="auto"/>
        </w:rPr>
      </w:pPr>
    </w:p>
    <w:p>
      <w:pPr>
        <w:ind w:left="660" w:right="60" w:firstLine="903"/>
        <w:spacing w:after="0" w:line="269" w:lineRule="auto"/>
        <w:tabs>
          <w:tab w:leader="none" w:pos="205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shall be a period contemplated by the definition of the term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40" w:firstLine="1296"/>
        <w:spacing w:after="0" w:line="246" w:lineRule="auto"/>
        <w:rPr>
          <w:sz w:val="20"/>
          <w:szCs w:val="20"/>
          <w:color w:val="auto"/>
        </w:rPr>
      </w:pPr>
      <w:r>
        <w:rPr>
          <w:rFonts w:ascii="Times New Roman" w:cs="Times New Roman" w:eastAsia="Times New Roman" w:hAnsi="Times New Roman"/>
          <w:sz w:val="20"/>
          <w:szCs w:val="20"/>
          <w:color w:val="auto"/>
        </w:rPr>
        <w:t>If any such Interest Election Request requests (i) a Term Benchmark Borrowing (other than a Borrowing of Foreign Currency Loans) but does not specify an Interest Period, then the Parent Borrower or the applicable Foreign Subsidiary Borrower, as the case may be, shall be deemed to have selected an Interest Period of one month’s duration or (ii) a Term Benchmark Borrowing of Foreign Currency Loans but does not specify an Interest Period, then the Parent Borrower or the applicable Foreign Subsidiary Borrower, as the case may be, shall be deemed to have selected an Interest Period of three months’ duration.</w:t>
      </w:r>
    </w:p>
    <w:p>
      <w:pPr>
        <w:spacing w:after="0" w:line="185" w:lineRule="exact"/>
        <w:rPr>
          <w:sz w:val="20"/>
          <w:szCs w:val="20"/>
          <w:color w:val="auto"/>
        </w:rPr>
      </w:pPr>
    </w:p>
    <w:p>
      <w:pPr>
        <w:ind w:left="340" w:right="220" w:firstLine="1288"/>
        <w:spacing w:after="0" w:line="269" w:lineRule="auto"/>
        <w:tabs>
          <w:tab w:leader="none" w:pos="206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59" w:lineRule="exact"/>
        <w:rPr>
          <w:rFonts w:ascii="Times New Roman" w:cs="Times New Roman" w:eastAsia="Times New Roman" w:hAnsi="Times New Roman"/>
          <w:sz w:val="20"/>
          <w:szCs w:val="20"/>
          <w:color w:val="auto"/>
        </w:rPr>
      </w:pPr>
    </w:p>
    <w:p>
      <w:pPr>
        <w:ind w:left="340" w:firstLine="1288"/>
        <w:spacing w:after="0" w:line="242" w:lineRule="auto"/>
        <w:tabs>
          <w:tab w:leader="none" w:pos="205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Interest Election Request with respect to a Term Benchmark Borrowing (other than a Borrowing of Foreign Currency Loans) is not timely delivered prior to the end of the Interest Period applicable thereto, then, unless such Borrowing is repaid as provided herein, at the end of such Interest Period such Borrowing shall be converted to an ABR Borrowing. If an Interest Election Request with respect to a Borrowing of Foreign Currency Loans is not timely delivered prior to the end of the Interest Period applicable thereto, then, unless such Borrowing is repaid as provided herein, at the end of such Interest Period such Borrowing shall be continued as a Term Benchmark Borrowing with an Interest Period of three months’ duration. Notwithstanding any contrary provision hereof, if an Event of Default has occurred and is continuing and the Administrative Agent, at the request of the Required Lenders, so notifies the Parent Borrower (on behalf of itself and the Foreign Subsidiary Borrowers), then, so long as an Event of Default is continuing (i) no outstanding Borrowing may be converted to or continued as a Term Benchmark Borrowing, (ii) unless repaid, each Term Benchmark Borrowing (other than a Borrowing of Foreign Currency Loans) shall be converted to an ABR Borrowing at the end of the Interest Period applicable thereto and (iii) each Borrowing of Foreign Currency Loans shall be due and payable on the last day of the Interest Period applicable thereto.</w:t>
      </w:r>
    </w:p>
    <w:p>
      <w:pPr>
        <w:spacing w:after="0" w:line="187"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20"/>
          <w:szCs w:val="20"/>
          <w:u w:val="single" w:color="auto"/>
          <w:color w:val="auto"/>
        </w:rPr>
        <w:t>SECTION 2.08</w:t>
      </w:r>
      <w:r>
        <w:rPr>
          <w:sz w:val="20"/>
          <w:szCs w:val="20"/>
          <w:color w:val="auto"/>
        </w:rPr>
        <w:tab/>
      </w:r>
      <w:r>
        <w:rPr>
          <w:rFonts w:ascii="Times New Roman" w:cs="Times New Roman" w:eastAsia="Times New Roman" w:hAnsi="Times New Roman"/>
          <w:sz w:val="19"/>
          <w:szCs w:val="19"/>
          <w:u w:val="single" w:color="auto"/>
          <w:color w:val="auto"/>
        </w:rPr>
        <w:t>Termination and Reduction of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40" w:hanging="412"/>
        <w:spacing w:after="0"/>
        <w:tabs>
          <w:tab w:leader="none" w:pos="20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Revolving Commitments shall terminate on the Revolving Maturity Date.</w:t>
      </w:r>
    </w:p>
    <w:p>
      <w:pPr>
        <w:spacing w:after="0" w:line="215" w:lineRule="exact"/>
        <w:rPr>
          <w:rFonts w:ascii="Times New Roman" w:cs="Times New Roman" w:eastAsia="Times New Roman" w:hAnsi="Times New Roman"/>
          <w:sz w:val="20"/>
          <w:szCs w:val="20"/>
          <w:color w:val="auto"/>
        </w:rPr>
      </w:pPr>
    </w:p>
    <w:p>
      <w:pPr>
        <w:ind w:left="340" w:right="40" w:firstLine="1288"/>
        <w:spacing w:after="0" w:line="244" w:lineRule="auto"/>
        <w:tabs>
          <w:tab w:leader="none" w:pos="206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(on behalf of itself and the Foreign Subsidiary Borrowers) may at any time terminate, or from time to time reduce, the Revolving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of any Class shall be in an amount that is an integral multiple of $1,000,000 and not less than $5,000,000 and (ii) the Revolving Commitments of any Class shall not be terminated or reduced if, after giving effect to any concurrent prepayment of the Revolving Loans of such Class in accordance with Section 2.11, the sum of the Revolving Exposures of such Class would exceed the total Revolving Commitments of such Class. Any reduction in the Revolving Commitments shall be made ratably in accordance with each Revolving Lender’s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127" w:name="page128"/>
    <w:bookmarkEnd w:id="127"/>
    <w:p>
      <w:pPr>
        <w:ind w:firstLine="1288"/>
        <w:spacing w:after="0" w:line="242" w:lineRule="auto"/>
        <w:tabs>
          <w:tab w:leader="none" w:pos="171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(on behalf of itself and the Foreign Subsidiary Borrowers) shall notify the Administrative Agent of any election to terminate or reduce the Revolving Commitments of any Class under Section 2.08(b)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Parent Borrower (on behalf of itself and the Foreign Subsidiary Borrowers)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Parent Borrower (on behalf of itself and the Foreign Subsidiary Borrowers) may state that such notice is conditioned upon the effectiveness of other credit facilities or the occurrence of another transaction, in which case such notice may be revoked by the Parent Borrower (on behalf of itself and the Foreign Subsidiary Borrowers) (by notice to the Administrative Agent on or prior to the specified effective date) if such condition is not satisfied. Any reduction of the Commitments shall be permanent. Each reduction of the Revolving Commitments shall be made ratably among the Revolving Lenders in accordance with their respective Revolving Commitments.</w:t>
      </w:r>
    </w:p>
    <w:p>
      <w:pPr>
        <w:spacing w:after="0" w:line="190"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2.09</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288"/>
        <w:spacing w:after="0" w:line="243" w:lineRule="auto"/>
        <w:tabs>
          <w:tab w:leader="none" w:pos="171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and each Foreign Subsidiary Borrower hereby unconditionally promises to pay (i) to the Administrative Agent, in dollars, for the account of each Revolving Lender the then unpaid principal amount of each Revolving Loan (other than any Foreign Currency Loan) of such Lender on the Revolving Maturity Date, (ii) to the Administrative Agent for the account of each Foreign Currency Lender the then unpaid principal amount in the applicable currency of each Foreign Currency Loan of such Foreign Currency Lender on the Revolving Maturity Date and (iii) to the Swingline Lenders the then unpaid principal amount of each Swingline Loan on the earlier of the Revolving Maturity Date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Borrowing is made, the Parent Borrower shall repay all Swingline Loans that were outstanding on the date such Borrowing was requested.</w:t>
      </w:r>
    </w:p>
    <w:p>
      <w:pPr>
        <w:spacing w:after="0" w:line="185" w:lineRule="exact"/>
        <w:rPr>
          <w:rFonts w:ascii="Times New Roman" w:cs="Times New Roman" w:eastAsia="Times New Roman" w:hAnsi="Times New Roman"/>
          <w:sz w:val="20"/>
          <w:szCs w:val="20"/>
          <w:color w:val="auto"/>
        </w:rPr>
      </w:pPr>
    </w:p>
    <w:p>
      <w:pPr>
        <w:ind w:right="520" w:firstLine="1288"/>
        <w:spacing w:after="0" w:line="254" w:lineRule="auto"/>
        <w:tabs>
          <w:tab w:leader="none" w:pos="17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Parent Borrower and the Foreign Subsidiary Borrowers to such Lender resulting from each Loan made by such Lender, including the amounts of principal and interest payable and paid to such Lender from time to time hereunder.</w:t>
      </w:r>
    </w:p>
    <w:p>
      <w:pPr>
        <w:spacing w:after="0" w:line="174" w:lineRule="exact"/>
        <w:rPr>
          <w:rFonts w:ascii="Times New Roman" w:cs="Times New Roman" w:eastAsia="Times New Roman" w:hAnsi="Times New Roman"/>
          <w:sz w:val="20"/>
          <w:szCs w:val="20"/>
          <w:color w:val="auto"/>
        </w:rPr>
      </w:pPr>
    </w:p>
    <w:p>
      <w:pPr>
        <w:ind w:right="140" w:firstLine="1288"/>
        <w:spacing w:after="0" w:line="246" w:lineRule="auto"/>
        <w:tabs>
          <w:tab w:leader="none" w:pos="171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and Type thereof and the Interest Period applicable thereto, (ii) the applicable currency and the amount of any principal or interest due and payable or to become due and payable from the Parent Borrower and the Foreign Subsidiary Borrowers to each Lender hereunder and (iii) the currency and amount of any sum received by the Administrative Agent hereunder for the account of the Lenders and each Lender’s share thereof.</w:t>
      </w:r>
    </w:p>
    <w:p>
      <w:pPr>
        <w:spacing w:after="0" w:line="184" w:lineRule="exact"/>
        <w:rPr>
          <w:rFonts w:ascii="Times New Roman" w:cs="Times New Roman" w:eastAsia="Times New Roman" w:hAnsi="Times New Roman"/>
          <w:sz w:val="20"/>
          <w:szCs w:val="20"/>
          <w:color w:val="auto"/>
        </w:rPr>
      </w:pPr>
    </w:p>
    <w:p>
      <w:pPr>
        <w:ind w:right="20" w:firstLine="1288"/>
        <w:spacing w:after="0" w:line="249" w:lineRule="auto"/>
        <w:tabs>
          <w:tab w:leader="none" w:pos="172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shall be prima facie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Parent Borrower and the Foreign Subsidiary Borrowers to repay the Loans in accordance with the terms of this Agreement.</w:t>
      </w:r>
    </w:p>
    <w:p>
      <w:pPr>
        <w:spacing w:after="0" w:line="179" w:lineRule="exact"/>
        <w:rPr>
          <w:rFonts w:ascii="Times New Roman" w:cs="Times New Roman" w:eastAsia="Times New Roman" w:hAnsi="Times New Roman"/>
          <w:sz w:val="20"/>
          <w:szCs w:val="20"/>
          <w:color w:val="auto"/>
        </w:rPr>
      </w:pPr>
    </w:p>
    <w:p>
      <w:pPr>
        <w:jc w:val="both"/>
        <w:ind w:right="140" w:firstLine="1288"/>
        <w:spacing w:after="0" w:line="254" w:lineRule="auto"/>
        <w:tabs>
          <w:tab w:leader="none" w:pos="170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of any Class made by it be evidenced by a promissory note. In such event, the Parent Borrower or the applicable Foreign Subsidiary Borrower, as the case may be, shall prepare, execute and deliver to such Lender a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0880"/>
          </w:cols>
          <w:pgMar w:left="660" w:top="1413" w:right="359" w:bottom="1440" w:gutter="0" w:footer="0" w:header="0"/>
        </w:sectPr>
      </w:pPr>
    </w:p>
    <w:bookmarkStart w:id="128" w:name="page129"/>
    <w:bookmarkEnd w:id="128"/>
    <w:p>
      <w:pPr>
        <w:spacing w:after="0" w:line="249" w:lineRule="auto"/>
        <w:rPr>
          <w:sz w:val="20"/>
          <w:szCs w:val="20"/>
          <w:color w:val="auto"/>
        </w:rPr>
      </w:pPr>
      <w:r>
        <w:rPr>
          <w:rFonts w:ascii="Times New Roman" w:cs="Times New Roman" w:eastAsia="Times New Roman" w:hAnsi="Times New Roman"/>
          <w:sz w:val="20"/>
          <w:szCs w:val="20"/>
          <w:color w:val="auto"/>
        </w:rPr>
        <w:t>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180"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960"/>
        <w:spacing w:after="0"/>
        <w:tabs>
          <w:tab w:leader="none" w:pos="2360" w:val="left"/>
        </w:tabs>
        <w:rPr>
          <w:sz w:val="20"/>
          <w:szCs w:val="20"/>
          <w:color w:val="auto"/>
        </w:rPr>
      </w:pPr>
      <w:r>
        <w:rPr>
          <w:rFonts w:ascii="Times New Roman" w:cs="Times New Roman" w:eastAsia="Times New Roman" w:hAnsi="Times New Roman"/>
          <w:sz w:val="20"/>
          <w:szCs w:val="20"/>
          <w:u w:val="single" w:color="auto"/>
          <w:color w:val="auto"/>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69" w:lineRule="auto"/>
        <w:tabs>
          <w:tab w:leader="none" w:pos="171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and the Foreign Subsidiary Borrowers, as the case may be, shall have the right at any time and from time to time to prepay any Borrowing in whole or in part, subject to the requirements of this Section.</w:t>
      </w:r>
    </w:p>
    <w:p>
      <w:pPr>
        <w:spacing w:after="0" w:line="159" w:lineRule="exact"/>
        <w:rPr>
          <w:rFonts w:ascii="Times New Roman" w:cs="Times New Roman" w:eastAsia="Times New Roman" w:hAnsi="Times New Roman"/>
          <w:sz w:val="20"/>
          <w:szCs w:val="20"/>
          <w:color w:val="auto"/>
        </w:rPr>
      </w:pPr>
    </w:p>
    <w:p>
      <w:pPr>
        <w:ind w:firstLine="1288"/>
        <w:spacing w:after="0" w:line="242" w:lineRule="auto"/>
        <w:tabs>
          <w:tab w:leader="none" w:pos="17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and on each occasion that (i) the sum of the Revolving Exposures exceeds the total Revolving Commitments, the Parent Borrower and the Foreign Subsidiary Borrowers, as the case may be, shall prepay Revolving Loans and/or Swingline Loans (or, if no such Borrowings are outstanding, deposit cash collateral in an account with the Administrative Agent pursuant to Section 2.05(j)) in an aggregate amount equal to such excess, (ii) the sum of the Foreign Currency Revolving Exposures exceeds the Foreign Currency Sublimit, the Parent Borrower or the Foreign Subsidiary Borrowers, as the case may be, shall prepay Foreign Currency Loans (or, if no such Borrowings are outstanding, deposit cash collateral in an account with the Administrative Agent pursuant to Section 2.05(j)) in an aggregate amount equal to such excess or (iii) the aggregate Dollar Equivalent of the aggregate outstanding principal amounts of Foreign Currency Loans exceeds an amount equal to 105% of the Foreign Currency Sublimit, the Parent Borrower shall, or shall cause any applicable Foreign Subsidiary Borrower, without notice or demand, immediately to prepay such of the outstanding Foreign Currency Loans in an aggregate principal amount such that, after giving effect thereto, the aggregate Dollar Equivalents of the outstanding principal amounts of Foreign Currency Loans does not exceed the Foreign Currency Sublimit.</w:t>
      </w:r>
    </w:p>
    <w:p>
      <w:pPr>
        <w:spacing w:after="0" w:line="189" w:lineRule="exact"/>
        <w:rPr>
          <w:rFonts w:ascii="Times New Roman" w:cs="Times New Roman" w:eastAsia="Times New Roman" w:hAnsi="Times New Roman"/>
          <w:sz w:val="20"/>
          <w:szCs w:val="20"/>
          <w:color w:val="auto"/>
        </w:rPr>
      </w:pPr>
    </w:p>
    <w:p>
      <w:pPr>
        <w:ind w:left="1700" w:hanging="412"/>
        <w:spacing w:after="0"/>
        <w:tabs>
          <w:tab w:leader="none" w:pos="17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720" w:hanging="432"/>
        <w:spacing w:after="0"/>
        <w:tabs>
          <w:tab w:leader="none" w:pos="17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200" w:firstLine="1288"/>
        <w:spacing w:after="0" w:line="254" w:lineRule="auto"/>
        <w:tabs>
          <w:tab w:leader="none" w:pos="171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optional or mandatory prepayment of Borrowings hereunder, the Parent Borrower (on behalf of itself and the Foreign Subsidiary Borrowers) shall select the Borrowing or Borrowings to be prepaid and shall specify such selection in the notice of such prepayment pursuant to paragraph (f) of this Section.</w:t>
      </w:r>
    </w:p>
    <w:p>
      <w:pPr>
        <w:spacing w:after="0" w:line="174" w:lineRule="exact"/>
        <w:rPr>
          <w:rFonts w:ascii="Times New Roman" w:cs="Times New Roman" w:eastAsia="Times New Roman" w:hAnsi="Times New Roman"/>
          <w:sz w:val="20"/>
          <w:szCs w:val="20"/>
          <w:color w:val="auto"/>
        </w:rPr>
      </w:pPr>
    </w:p>
    <w:p>
      <w:pPr>
        <w:ind w:firstLine="1288"/>
        <w:spacing w:after="0" w:line="243" w:lineRule="auto"/>
        <w:tabs>
          <w:tab w:leader="none" w:pos="168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(on behalf of itself and the Foreign Subsidiary Borrowers) shall notify the Administrative Agent (and, (A) in the case of prepayment of a Foreign Currency Loan, the Administrative Agent and (B) in the case of prepayment of a Swingline Loan, the Swingline Lenders), by (x) in the case of Revolving Loans (other than Foreign Currency Loans) or Swingline Loans, by telephone (confirmed by telecopy) and (y) in the case of Foreign Currency Loans, by telecopy, of any prepayment hereunder (i) in the case of prepayment of a Term Benchmark Borrowing (other than a Borrowing of Foreign Currency Loans), not later than 11:00 a.m., New York City time, three Business Days before the date of prepayment, (ii) in the case of prepayment of an ABR Borrowing, not later than 12:00 noon, New York City time, one Business Day before the date of prepayment, (iii) in the case of prepayment of a Swingline Loan, not later than 12:00 noon, New York City time, on the date of prepayment, (iv) in the case of prepayment of a Foreign Currency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0880"/>
          </w:cols>
          <w:pgMar w:left="660" w:top="1413" w:right="359" w:bottom="1440" w:gutter="0" w:footer="0" w:header="0"/>
        </w:sectPr>
      </w:pPr>
    </w:p>
    <w:bookmarkStart w:id="129" w:name="page130"/>
    <w:bookmarkEnd w:id="129"/>
    <w:p>
      <w:pPr>
        <w:spacing w:after="0" w:line="241" w:lineRule="auto"/>
        <w:rPr>
          <w:sz w:val="20"/>
          <w:szCs w:val="20"/>
          <w:color w:val="auto"/>
        </w:rPr>
      </w:pPr>
      <w:r>
        <w:rPr>
          <w:rFonts w:ascii="Times New Roman" w:cs="Times New Roman" w:eastAsia="Times New Roman" w:hAnsi="Times New Roman"/>
          <w:sz w:val="20"/>
          <w:szCs w:val="20"/>
          <w:color w:val="auto"/>
        </w:rPr>
        <w:t xml:space="preserve">denominated in Euros, not later than 12:00 noon, New York City time, three Business Days before the date of prepayment, (v) in the case of prepayment of an RFR Loan denominated in dollars, not later than 11:00 a.m., New York City time, five RFR Business Days before the date of the prepayment and (vi) in the case of prepayment of an RFR Loan denominated in Pounds Sterling, not later than 11:00 a.m., New York City time, five RFR Business Days before the date of prepayment. Each such notice shall be irrevocable and shall specify (i) whether the prepayment is of Term Benchmark Loans (or, if applicable, RFR Loans) denominated in dollars, Foreign Currency Loans (and if Foreign Currency Loans are to be prepaid, the Foreign Currency in which such Loans are denominated) or ABR Loans, (ii) the prepayment date, (iii) the principal amount of each Borrowing or portion thereof to be prepaid and (iv) in the case of a mandatory prepayment, a reasonably detailed calculation of the amount of such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optional prepayment is given in connection with a conditional notice of termination of Revolving Commitments as contemplated by Section 2.08, then such notice of prepayment may be revoked if such notice of termination is revoked in accordance with Section 2.08.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w:t>
      </w:r>
    </w:p>
    <w:p>
      <w:pPr>
        <w:spacing w:after="0" w:line="194"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88"/>
        <w:spacing w:after="0" w:line="242" w:lineRule="auto"/>
        <w:tabs>
          <w:tab w:leader="none" w:pos="171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(on behalf of itself and the Foreign Subsidiary Borrowers) agrees to pay to the Administrative Agent for the account of each Lender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which shall accrue at the Applicable Rate on the daily unused amount of the Revolving Commitment of such Lender during the period from and including the Third Restatement Date to but excluding the date on which such Commitment terminates. Accrued Commitment Fees shall be payable in arrears on the last day of March, June, September and December of each year and on the date on which the Revolving Commitments terminate, commencing on the first such date to occur after the Third Restatement Date. All Commitment Fees shall be computed on the basis of a year of 360 days and shall be payable for the actual number of days elapsed (including the first day but excluding the last day). For purposes of computing Commitment Fees with respect to Revolving Commitments, a Revolving Commitment of a Lender shall be deemed to be used to the extent of the outstanding Revolving Loans and LC Exposure of such Lender (and the Swingline Exposure of such Lender shall be disregarded for such purpose).</w:t>
      </w:r>
    </w:p>
    <w:p>
      <w:pPr>
        <w:spacing w:after="0" w:line="192" w:lineRule="exact"/>
        <w:rPr>
          <w:rFonts w:ascii="Times New Roman" w:cs="Times New Roman" w:eastAsia="Times New Roman" w:hAnsi="Times New Roman"/>
          <w:sz w:val="20"/>
          <w:szCs w:val="20"/>
          <w:color w:val="auto"/>
        </w:rPr>
      </w:pPr>
    </w:p>
    <w:p>
      <w:pPr>
        <w:ind w:right="40" w:firstLine="1288"/>
        <w:spacing w:after="0" w:line="242" w:lineRule="auto"/>
        <w:tabs>
          <w:tab w:leader="none" w:pos="172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Parent Borrower (on behalf of itself and the Foreign Subsidiary Borrowers) agrees to pay (A) to the Administrative Agent for the account of each Revolving Lender a participation fee with respect to its participations in Letters of Credit, which shall accrue at the same Applicable Rate as interest on Term Benchmark Revolving Loans made by such Lender on the daily amount of such Lender’s LC Exposure (excluding any portion thereof attributable to unreimbursed LC Disbursements) during the period from and including the Third Restatement Date to but excluding the later of the date on which (x) such Lender’s Revolving Commitment terminates and (y) such Lender ceases to have any LC Exposure, and (B) to the Issuing Bank a fronting fee, which shall accrue at the rate of 0.125% per annum on the daily amount of the LC Exposure (excluding any portion thereof attributable to unreimbursed LC Disbursements) during the period from and including the Third Restatement Date to but excluding the later of the date on which (x) all Revolving Commitments terminate and (y) the date on which there ceases to be any LC Exposure, as well as the Issuing Bank’s standard fees with respect to the issuance, administration, amendment, renewal or extension of any Letter of Credit or processing of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0900"/>
          </w:cols>
          <w:pgMar w:left="660" w:top="1413" w:right="339" w:bottom="1440" w:gutter="0" w:footer="0" w:header="0"/>
        </w:sectPr>
      </w:pPr>
    </w:p>
    <w:bookmarkStart w:id="130" w:name="page131"/>
    <w:bookmarkEnd w:id="130"/>
    <w:p>
      <w:pPr>
        <w:ind w:right="20"/>
        <w:spacing w:after="0" w:line="257"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in this Agreement, for purposes of calculating any fee in respect of a Letter of Credit in respect of any Business Day, the Administrative Agent shall convert the amount available to be drawn under any Letter of Credit denominated in an LC Foreign Currency into an amount of dollars based upon the Exchange Rate. Participation fees and fronting fees accrued through and including the last day of March, June, September and December of each year shall be payable on the third Business Day following such last day, commencing on the first such date to occur after the Third Restatement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such fees in respect of Letters of Credit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6" w:lineRule="exact"/>
        <w:rPr>
          <w:sz w:val="20"/>
          <w:szCs w:val="20"/>
          <w:color w:val="auto"/>
        </w:rPr>
      </w:pPr>
    </w:p>
    <w:p>
      <w:pPr>
        <w:ind w:right="40" w:firstLine="1288"/>
        <w:spacing w:after="0" w:line="254" w:lineRule="auto"/>
        <w:tabs>
          <w:tab w:leader="none" w:pos="171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(on behalf of itself and the Foreign Subsidiary Borrowers) agrees to pay to the Administrative Agent, for its own account, fees payable in the amounts and at the times separately agreed upon between the Parent Borrower and the Administrative Agent.</w:t>
      </w:r>
    </w:p>
    <w:p>
      <w:pPr>
        <w:spacing w:after="0" w:line="174" w:lineRule="exact"/>
        <w:rPr>
          <w:rFonts w:ascii="Times New Roman" w:cs="Times New Roman" w:eastAsia="Times New Roman" w:hAnsi="Times New Roman"/>
          <w:sz w:val="20"/>
          <w:szCs w:val="20"/>
          <w:color w:val="auto"/>
        </w:rPr>
      </w:pPr>
    </w:p>
    <w:p>
      <w:pPr>
        <w:ind w:right="120" w:firstLine="1288"/>
        <w:spacing w:after="0" w:line="244" w:lineRule="auto"/>
        <w:tabs>
          <w:tab w:leader="none" w:pos="172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agrees to pay to the Administrative Agent, for the account of the Fronting Lender, at the applicable office of the Administrative Agent set forth on the Administrative Schedule, a fronting fee with respect to each Fronted Foreign Currency Loan for the period from and including the date of the Borrowing of such Foreign Currency Loan to but excluding the date of repayment thereof computed at a rate of 0.25% per annum on the average daily principal amount of such Fronted Foreign Currency Loan outstanding during the period for which such fee is calculated. Such fronting fee shall be payable quarterly in arrears on the last day of March, June, September and December of each year and on the date on which the Revolving Commitments terminate, commencing on the first such date to occur after the Third Restatement Date.</w:t>
      </w:r>
    </w:p>
    <w:p>
      <w:pPr>
        <w:spacing w:after="0" w:line="185" w:lineRule="exact"/>
        <w:rPr>
          <w:rFonts w:ascii="Times New Roman" w:cs="Times New Roman" w:eastAsia="Times New Roman" w:hAnsi="Times New Roman"/>
          <w:sz w:val="20"/>
          <w:szCs w:val="20"/>
          <w:color w:val="auto"/>
        </w:rPr>
      </w:pPr>
    </w:p>
    <w:p>
      <w:pPr>
        <w:ind w:firstLine="1288"/>
        <w:spacing w:after="0" w:line="243" w:lineRule="auto"/>
        <w:tabs>
          <w:tab w:leader="none" w:pos="171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Foreign Currency Loan, the Parent Borrower shall pay to the Administrative Agent, for the account of the applicable Foreign Currency Loan Participants, a participation fee (the “</w:t>
      </w:r>
      <w:r>
        <w:rPr>
          <w:rFonts w:ascii="Times New Roman" w:cs="Times New Roman" w:eastAsia="Times New Roman" w:hAnsi="Times New Roman"/>
          <w:sz w:val="20"/>
          <w:szCs w:val="20"/>
          <w:u w:val="single" w:color="auto"/>
          <w:color w:val="auto"/>
        </w:rPr>
        <w:t>Foreign Currency Participation Fee</w:t>
      </w:r>
      <w:r>
        <w:rPr>
          <w:rFonts w:ascii="Times New Roman" w:cs="Times New Roman" w:eastAsia="Times New Roman" w:hAnsi="Times New Roman"/>
          <w:sz w:val="20"/>
          <w:szCs w:val="20"/>
          <w:color w:val="auto"/>
        </w:rPr>
        <w:t>”) for the period from and including the date of the Borrowing of such Foreign Currency Loan to but excluding the date of repayment thereof, computed at a rate per annum equal to the Applicable Rate with respect to Term Benchmark Loans that are Revolving Loans from time to time in effect on the average daily principal amount of such Fronted Foreign Currency Loans outstanding during the period for which such fee is calculated, which fee shall be paid in dollars based on the Dollar Equivalent thereof. Such fee shall, with respect to each Foreign Currency Loan, be payable in arrears on each Interest Payment Date to occur after the making of such Foreign Currency Loan and on the date on which the Revolving Commitments terminate, commencing on the first such date to occur after the Third Restatement Date.</w:t>
      </w:r>
    </w:p>
    <w:p>
      <w:pPr>
        <w:spacing w:after="0" w:line="185" w:lineRule="exact"/>
        <w:rPr>
          <w:rFonts w:ascii="Times New Roman" w:cs="Times New Roman" w:eastAsia="Times New Roman" w:hAnsi="Times New Roman"/>
          <w:sz w:val="20"/>
          <w:szCs w:val="20"/>
          <w:color w:val="auto"/>
        </w:rPr>
      </w:pPr>
    </w:p>
    <w:p>
      <w:pPr>
        <w:ind w:right="60" w:firstLine="1288"/>
        <w:spacing w:after="0" w:line="254" w:lineRule="auto"/>
        <w:tabs>
          <w:tab w:leader="none" w:pos="168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74"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2.13</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80" w:firstLine="1288"/>
        <w:spacing w:after="0" w:line="269" w:lineRule="auto"/>
        <w:tabs>
          <w:tab w:leader="none" w:pos="171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ABR Borrowing (including each Swingline Loan) shall bear interest at the Alternate Base Rate plus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0900"/>
          </w:cols>
          <w:pgMar w:left="660" w:top="1413" w:right="339" w:bottom="1440" w:gutter="0" w:footer="0" w:header="0"/>
        </w:sectPr>
      </w:pPr>
    </w:p>
    <w:bookmarkStart w:id="131" w:name="page132"/>
    <w:bookmarkEnd w:id="131"/>
    <w:p>
      <w:pPr>
        <w:ind w:right="100" w:firstLine="1288"/>
        <w:spacing w:after="0" w:line="246" w:lineRule="auto"/>
        <w:tabs>
          <w:tab w:leader="none" w:pos="172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(i) each Term Benchmark Borrowing shall bear interest at the Adjusted Term SOFR Rate or the Adjusted EURIBOR Rate, as applicable, for the Interest Period in effect for such Borrowing plus the Applicable Rate and (ii) each RFR Borrowing shall bear interest at the Adjusted Daily Simple RFR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Fronted Foreign Currency Loan shall bear interest for each day during each Interest Period with respect thereto at a rate per annum equal to the Adjusted Term SOFR Rate or the Adjusted Daily Simple RFR, as applicable, for such day.</w:t>
      </w:r>
    </w:p>
    <w:p>
      <w:pPr>
        <w:spacing w:after="0" w:line="184" w:lineRule="exact"/>
        <w:rPr>
          <w:rFonts w:ascii="Times New Roman" w:cs="Times New Roman" w:eastAsia="Times New Roman" w:hAnsi="Times New Roman"/>
          <w:sz w:val="20"/>
          <w:szCs w:val="20"/>
          <w:color w:val="auto"/>
        </w:rPr>
      </w:pPr>
    </w:p>
    <w:p>
      <w:pPr>
        <w:ind w:firstLine="1288"/>
        <w:spacing w:after="0" w:line="244" w:lineRule="auto"/>
        <w:tabs>
          <w:tab w:leader="none" w:pos="171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principal of or interest on any Loan or any fee or other amount payable by the Parent Borrower or the Foreign Subsidiary Borrowers, as the case may be,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overdue amount payable (A) with respect to any Loan other than a Foreign Currency Loan, 2% plus the rate applicable to ABR Revolving Loans and (B) with respect to any Foreign Currency Loan, 2% plus the rate otherwise applicable to such Loan.</w:t>
      </w:r>
    </w:p>
    <w:p>
      <w:pPr>
        <w:spacing w:after="0" w:line="185" w:lineRule="exact"/>
        <w:rPr>
          <w:rFonts w:ascii="Times New Roman" w:cs="Times New Roman" w:eastAsia="Times New Roman" w:hAnsi="Times New Roman"/>
          <w:sz w:val="20"/>
          <w:szCs w:val="20"/>
          <w:color w:val="auto"/>
        </w:rPr>
      </w:pPr>
    </w:p>
    <w:p>
      <w:pPr>
        <w:ind w:right="20" w:firstLine="1288"/>
        <w:spacing w:after="0" w:line="260" w:lineRule="auto"/>
        <w:tabs>
          <w:tab w:leader="none" w:pos="171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72" w:lineRule="exact"/>
        <w:rPr>
          <w:rFonts w:ascii="Times New Roman" w:cs="Times New Roman" w:eastAsia="Times New Roman" w:hAnsi="Times New Roman"/>
          <w:sz w:val="19"/>
          <w:szCs w:val="19"/>
          <w:color w:val="auto"/>
        </w:rPr>
      </w:pPr>
    </w:p>
    <w:p>
      <w:pPr>
        <w:ind w:right="40" w:firstLine="1288"/>
        <w:spacing w:after="0" w:line="244" w:lineRule="auto"/>
        <w:tabs>
          <w:tab w:leader="none" w:pos="170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at times when the Alternate Base Rate is based on the Prime Rate and interest computed on Foreign Currency Loans made in Pounds Sterling shall be computed on the basis of a year of 365 days (or 366 days in a leap year), and in each case shall be payable for the actual number of days elapsed (including the first day but excluding the last day). The applicable Alternate Base Rate, the Adjusted Term SOFR Rate, the Term SOFR Rate, the Daily Simple SOFR, the Adjusted EURIBOR Rate, the EURIBOR Rate, the Adjusted Daily Simple RFR or the Daily Simple RFR shall be determined by the Administrative Agent, and such determination shall be conclusive absent manifest error.</w:t>
      </w:r>
    </w:p>
    <w:p>
      <w:pPr>
        <w:spacing w:after="0" w:line="186" w:lineRule="exact"/>
        <w:rPr>
          <w:sz w:val="20"/>
          <w:szCs w:val="20"/>
          <w:color w:val="auto"/>
        </w:rPr>
      </w:pPr>
    </w:p>
    <w:p>
      <w:pPr>
        <w:ind w:left="960"/>
        <w:spacing w:after="0"/>
        <w:tabs>
          <w:tab w:leader="none" w:pos="2360" w:val="left"/>
          <w:tab w:leader="none" w:pos="4780" w:val="left"/>
        </w:tabs>
        <w:rPr>
          <w:sz w:val="20"/>
          <w:szCs w:val="20"/>
          <w:color w:val="auto"/>
        </w:rPr>
      </w:pPr>
      <w:r>
        <w:rPr>
          <w:rFonts w:ascii="Times New Roman" w:cs="Times New Roman" w:eastAsia="Times New Roman" w:hAnsi="Times New Roman"/>
          <w:sz w:val="20"/>
          <w:szCs w:val="20"/>
          <w:u w:val="single" w:color="auto"/>
          <w:color w:val="auto"/>
        </w:rPr>
        <w:t>SECTION 2.14</w:t>
      </w:r>
      <w:r>
        <w:rPr>
          <w:sz w:val="20"/>
          <w:szCs w:val="20"/>
          <w:color w:val="auto"/>
        </w:rPr>
        <w:tab/>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 (a) Subject to clauses (b), (c), (d), (e) and (f) of this Section 2.14, if:</w:t>
      </w:r>
    </w:p>
    <w:p>
      <w:pPr>
        <w:spacing w:after="0" w:line="216" w:lineRule="exact"/>
        <w:rPr>
          <w:sz w:val="20"/>
          <w:szCs w:val="20"/>
          <w:color w:val="auto"/>
        </w:rPr>
      </w:pPr>
    </w:p>
    <w:p>
      <w:pPr>
        <w:ind w:left="320" w:right="40" w:firstLine="903"/>
        <w:spacing w:after="0" w:line="245" w:lineRule="auto"/>
        <w:tabs>
          <w:tab w:leader="none" w:pos="161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reasonably determines (which determination shall be conclusive absent manifest error) (A) prior to the commencement of any Interest Period for a Term Benchmark Borrowing of any Class or currency, that adequate and reasonable means do not exist for ascertaining the Adjusted Term SOFR Rate or the Adjusted EURIBOR Rate, as applicable (including because the Relevant Screen Rate is not available or published on a current basis), for the applicable currency and such Interest Period or (B) that adequate and reasonable means do not exist for ascertaining the applicable Adjusted Daily Simple RFR for the applicable Agreed Currency;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0900"/>
          </w:cols>
          <w:pgMar w:left="660" w:top="1413" w:right="339" w:bottom="1440" w:gutter="0" w:footer="0" w:header="0"/>
        </w:sectPr>
      </w:pPr>
    </w:p>
    <w:bookmarkStart w:id="132" w:name="page133"/>
    <w:bookmarkEnd w:id="132"/>
    <w:p>
      <w:pPr>
        <w:ind w:left="660" w:right="40" w:firstLine="903"/>
        <w:spacing w:after="0" w:line="260" w:lineRule="auto"/>
        <w:tabs>
          <w:tab w:leader="none" w:pos="2007"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is advised by a majority in interest of the applicable Class (A) prior to the commencement of any Interest Period for a Term Benchmark Borrowing of any Class or currency, that the Adjusted Term SOFR or the Adjusted EURIBOR Rate, as applicable, for such Interest Period will not adequately and fairly reflect the cost to such Lenders of making or maintaining their Loans included in such Borrowing for such Interest Period or (B) at any time that the applicable Adjusted Daily Simple RFR for the applicable Agreed Currency will not adequately and fairly reflect the cost to such Lenders (or Lender) of making or maintaining their Loans (or its Loan) included in such Borrowing for the applicable Agreed Currency;</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Parent Borrower (on behalf of the Parent Borrower and the Foreign Subsidiary Borrowers) and the Lenders of the applicable Class by telephone or telecopy or electronic mail as promptly as practicable thereafter and, until</w:t>
      </w:r>
    </w:p>
    <w:p>
      <w:pPr>
        <w:ind w:right="20" w:firstLine="8"/>
        <w:spacing w:after="0" w:line="239" w:lineRule="auto"/>
        <w:tabs>
          <w:tab w:leader="none" w:pos="2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notifies the Parent Borrower (on behalf of itself and the Foreign Subsidiary Borrowers) and such Lenders that the circumstances giving rise to such notice no longer exist with respect to the relevant Benchmark, and (y) the Parent Borrower (on behalf of the Parent Borrower and the Foreign Subsidiary Borrowers) delivers a new Interest Election Request in accordance with the terms of Section 2.07 or a new Borrowing Request in accordance with the terms of Section 2.03,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2.14(a)(i) or (ii) above or (y) an ABR Borrowing if the Adjusted Daily Simple SOFR also is the subject of Section 2.14(a)(i)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Parent Borrower’s receipt of the notice from the Administrative Agent referred to in this Section 2.14(a) with respect to a Relevant Rate applicable to such Term Benchmark Loan or RFR Loan, then until (x) the Administrative Agent notifies the Parent Borrower and the Lenders that the circumstances giving rise to such notice no longer exist with respect to the relevant Benchmark and (y) the Parent Borrower delivers a new Interest Election Request in accordance with the terms of Section 2.08 or a new Borrowing Request in accordance with the terms of Section 2.03, (A) for Loans denominated in dollars, any Term Benchmark Loan shall on the last day of the Interest Period applicable to such Loan, be converted by the Administrative Agent to, and shall constitute, (x) an RFR Borrowing denominated in dollars so long as the Adjusted Daily Simple RFR for Borrowings in dollars is not also the subject of Section 2.14(a)(i) or (ii) above or (y) an ABR Loan if the Adjusted Daily Simple RFR for Borrowings in dollars also is the subject of Section 2.14(a)(i) or (ii) above, on such day and (B) for Loans denominated in a Foreign Currency, (1) any Term Benchmark Loan shall, on the last day of the Interest Period applicable to such Loan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Parent Borrower’s election prior to such day: (A) be prepaid by the applicable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133" w:name="page134"/>
    <w:bookmarkEnd w:id="133"/>
    <w:p>
      <w:pPr>
        <w:ind w:right="60"/>
        <w:spacing w:after="0" w:line="254" w:lineRule="auto"/>
        <w:rPr>
          <w:sz w:val="20"/>
          <w:szCs w:val="20"/>
          <w:color w:val="auto"/>
        </w:rPr>
      </w:pPr>
      <w:r>
        <w:rPr>
          <w:rFonts w:ascii="Times New Roman" w:cs="Times New Roman" w:eastAsia="Times New Roman" w:hAnsi="Times New Roman"/>
          <w:sz w:val="20"/>
          <w:szCs w:val="20"/>
          <w:color w:val="auto"/>
        </w:rPr>
        <w:t>outstanding affected RFR Loans denominated in any Foreign Currency, at the Parent Borrower’s election, shall either (A) be converted into ABR Loans denominated in dollars (in an amount equal to the Dollar Equivalent of such Foreign Currency) immediately or (B) be prepaid in full immediately.</w:t>
      </w:r>
    </w:p>
    <w:p>
      <w:pPr>
        <w:spacing w:after="0" w:line="174" w:lineRule="exact"/>
        <w:rPr>
          <w:sz w:val="20"/>
          <w:szCs w:val="20"/>
          <w:color w:val="auto"/>
        </w:rPr>
      </w:pPr>
    </w:p>
    <w:p>
      <w:pPr>
        <w:ind w:left="340" w:right="20" w:firstLine="1288"/>
        <w:spacing w:after="0" w:line="255" w:lineRule="auto"/>
        <w:tabs>
          <w:tab w:leader="none" w:pos="2065"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(and any Hedging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rFonts w:ascii="Times New Roman" w:cs="Times New Roman" w:eastAsia="Times New Roman" w:hAnsi="Times New Roman"/>
          <w:sz w:val="19"/>
          <w:szCs w:val="19"/>
          <w:color w:val="auto"/>
        </w:rPr>
      </w:pPr>
    </w:p>
    <w:p>
      <w:pPr>
        <w:ind w:left="340" w:right="60" w:firstLine="1288"/>
        <w:spacing w:after="0" w:line="249" w:lineRule="auto"/>
        <w:tabs>
          <w:tab w:leader="none" w:pos="205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20"/>
          <w:szCs w:val="20"/>
          <w:color w:val="auto"/>
        </w:rPr>
      </w:pPr>
    </w:p>
    <w:p>
      <w:pPr>
        <w:ind w:left="340" w:right="60" w:firstLine="1288"/>
        <w:spacing w:after="0" w:line="243" w:lineRule="auto"/>
        <w:tabs>
          <w:tab w:leader="none" w:pos="206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Parent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5" w:lineRule="exact"/>
        <w:rPr>
          <w:rFonts w:ascii="Times New Roman" w:cs="Times New Roman" w:eastAsia="Times New Roman" w:hAnsi="Times New Roman"/>
          <w:sz w:val="20"/>
          <w:szCs w:val="20"/>
          <w:color w:val="auto"/>
        </w:rPr>
      </w:pPr>
    </w:p>
    <w:p>
      <w:pPr>
        <w:ind w:left="340" w:firstLine="1288"/>
        <w:spacing w:after="0" w:line="245" w:lineRule="auto"/>
        <w:tabs>
          <w:tab w:leader="none" w:pos="205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or the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134" w:name="page135"/>
    <w:bookmarkEnd w:id="134"/>
    <w:p>
      <w:pPr>
        <w:ind w:right="220"/>
        <w:spacing w:after="0" w:line="246" w:lineRule="auto"/>
        <w:rPr>
          <w:sz w:val="20"/>
          <w:szCs w:val="20"/>
          <w:color w:val="auto"/>
        </w:rPr>
      </w:pPr>
      <w:r>
        <w:rPr>
          <w:rFonts w:ascii="Times New Roman" w:cs="Times New Roman" w:eastAsia="Times New Roman" w:hAnsi="Times New Roman"/>
          <w:sz w:val="20"/>
          <w:szCs w:val="20"/>
          <w:color w:val="auto"/>
        </w:rPr>
        <w:t>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5" w:lineRule="exact"/>
        <w:rPr>
          <w:sz w:val="20"/>
          <w:szCs w:val="20"/>
          <w:color w:val="auto"/>
        </w:rPr>
      </w:pPr>
    </w:p>
    <w:p>
      <w:pPr>
        <w:ind w:firstLine="1288"/>
        <w:spacing w:after="0"/>
        <w:tabs>
          <w:tab w:leader="none" w:pos="169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Parent Borrower’s receipt of notice of the commencement of a Benchmark Unavailability Period, the Parent Borrower may revoke any request for a Term Benchmark Borrowing or RFR Borrowing of, conversion to or continuation of Term Benchmark Loans to be made, converted or continued during any Benchmark Unavailability Period and, failing that, either (x) the Parent Borrower will be deemed to have converted any request for a Term Benchmark Borrowing denominated in dollars into a request for a Borrowing of or conversion to (A) an RFR Borrowing denominated in dollars so long as the Adjusted Daily Simple RFR for Borrowings in dollars is not the subject of a Benchmark Transition Event or (B) an ABR Borrowing if the Adjusted Daily Simple RFR for Borrowings in dollars is the subject of a Benchmark Transition Event or (y) any request for a Term Benchmark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Parent Borrower’s receipt of notice of the commencement of a Benchmark Unavailability Period with respect to the Relevant Rate to such Term Benchmark Loan or RFR Loan, as applicable, then until such time as a Benchmark Replacement for such Agreed Currency is implemented pursuant to this Section 2.14, (i) for Term Benchmark Loans denominated in dollars, (1) any Term Benchmark Loan shall on the last day of the Interest Period applicable to such Loan be converted by the Administrative Agent to, and shall constitute, (x) an RFR Borrowing denominated in dollars so long as the Adjusted Daily Simple RFR for Borrowings in dollars is not the subject of a Benchmark Transition Event or (y) an ABR Loan if the Adjusted Daily Simple RFR for Borrowings in dollars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Parent Borrower’s election prior to such day: (A) be prepaid by the applicable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Parent Borrower’s election, shall either (A) be converted into ABR Loans denominated in dollars (in an amount equal to the Dollar Equivalent of such Foreign Currency) immediately or (B) be prepaid in full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0880"/>
          </w:cols>
          <w:pgMar w:left="660" w:top="1413" w:right="359" w:bottom="1440" w:gutter="0" w:footer="0" w:header="0"/>
        </w:sectPr>
      </w:pPr>
    </w:p>
    <w:bookmarkStart w:id="135" w:name="page136"/>
    <w:bookmarkEnd w:id="135"/>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40" w:hanging="412"/>
        <w:spacing w:after="0"/>
        <w:tabs>
          <w:tab w:leader="none" w:pos="204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15" w:lineRule="exact"/>
        <w:rPr>
          <w:rFonts w:ascii="Times New Roman" w:cs="Times New Roman" w:eastAsia="Times New Roman" w:hAnsi="Times New Roman"/>
          <w:sz w:val="20"/>
          <w:szCs w:val="20"/>
          <w:color w:val="auto"/>
        </w:rPr>
      </w:pPr>
    </w:p>
    <w:p>
      <w:pPr>
        <w:ind w:left="660" w:right="320" w:firstLine="903"/>
        <w:spacing w:after="0" w:line="254" w:lineRule="auto"/>
        <w:tabs>
          <w:tab w:leader="none" w:pos="195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or similar requirement against assets of, deposits with or for the account of, or credit extended by, any Lender (except any such reserve requirement reflected in the Adjusted EURIBOR Rate) or the Issuing Bank;</w:t>
      </w:r>
    </w:p>
    <w:p>
      <w:pPr>
        <w:spacing w:after="0" w:line="174" w:lineRule="exact"/>
        <w:rPr>
          <w:rFonts w:ascii="Times New Roman" w:cs="Times New Roman" w:eastAsia="Times New Roman" w:hAnsi="Times New Roman"/>
          <w:sz w:val="20"/>
          <w:szCs w:val="20"/>
          <w:color w:val="auto"/>
        </w:rPr>
      </w:pPr>
    </w:p>
    <w:p>
      <w:pPr>
        <w:jc w:val="both"/>
        <w:ind w:left="660" w:right="300" w:firstLine="903"/>
        <w:spacing w:after="0" w:line="254" w:lineRule="auto"/>
        <w:tabs>
          <w:tab w:leader="none" w:pos="200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Issuing Bank or the applicable offshore interbank market for the applicable Agreed Currency any other condition affecting this Agreement or the Loans made by such Lender or any Letter of Credit or participation therein; or</w:t>
      </w:r>
    </w:p>
    <w:p>
      <w:pPr>
        <w:spacing w:after="0" w:line="174" w:lineRule="exact"/>
        <w:rPr>
          <w:rFonts w:ascii="Times New Roman" w:cs="Times New Roman" w:eastAsia="Times New Roman" w:hAnsi="Times New Roman"/>
          <w:sz w:val="20"/>
          <w:szCs w:val="20"/>
          <w:color w:val="auto"/>
        </w:rPr>
      </w:pPr>
    </w:p>
    <w:p>
      <w:pPr>
        <w:jc w:val="both"/>
        <w:ind w:left="660" w:firstLine="903"/>
        <w:spacing w:after="0" w:line="249" w:lineRule="auto"/>
        <w:tabs>
          <w:tab w:leader="none" w:pos="206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Lender or the Issuing Bank to any Taxes on its loans, loan principal, Letters of Credit, commitments, or other obligations, or its deposits, reserves, other liabilities or capital attributable thereto (other than (A) Indemnified Taxes otherwise indemnifiable under Section 2.17, (B) Excluded Taxes and (C) Indemnified Taxes which are not indemnifiable pursuant to Section 2.17(j));</w:t>
      </w:r>
    </w:p>
    <w:p>
      <w:pPr>
        <w:spacing w:after="0" w:line="180"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or maintaining any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Parent Borrower or the applicable Foreign Subsidiary Borrowers, as the case may be, will pay to such Lender or the Issuing Bank, as the case may be, such additional amount or amounts as will compensate such Lender or the Issuing Bank, as the case may be, for such additional costs incurred or reduction suffered.</w:t>
      </w:r>
    </w:p>
    <w:p>
      <w:pPr>
        <w:spacing w:after="0" w:line="184" w:lineRule="exact"/>
        <w:rPr>
          <w:sz w:val="20"/>
          <w:szCs w:val="20"/>
          <w:color w:val="auto"/>
        </w:rPr>
      </w:pPr>
    </w:p>
    <w:p>
      <w:pPr>
        <w:ind w:left="340" w:right="20" w:firstLine="1288"/>
        <w:spacing w:after="0" w:line="257" w:lineRule="auto"/>
        <w:tabs>
          <w:tab w:leader="none" w:pos="206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or liquidity), then from time to time the Parent Borrower or the applicable Foreign Subsidiary Borrowers, as the case may be, will pay to such Lender or the Issuing Bank, as the case may be, such additional amount or amounts as will compensate such Lender or the Issuing Bank or such Lender’s or the Issuing Bank’s holding company for any such reduction suffered.</w:t>
      </w:r>
    </w:p>
    <w:p>
      <w:pPr>
        <w:spacing w:after="0" w:line="175" w:lineRule="exact"/>
        <w:rPr>
          <w:rFonts w:ascii="Times New Roman" w:cs="Times New Roman" w:eastAsia="Times New Roman" w:hAnsi="Times New Roman"/>
          <w:sz w:val="19"/>
          <w:szCs w:val="19"/>
          <w:color w:val="auto"/>
        </w:rPr>
      </w:pPr>
    </w:p>
    <w:p>
      <w:pPr>
        <w:ind w:left="340" w:firstLine="1288"/>
        <w:spacing w:after="0" w:line="244" w:lineRule="auto"/>
        <w:tabs>
          <w:tab w:leader="none" w:pos="205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reason of any Change in Law subsequent to the Third Restatement Date, disruption of currency or foreign exchange markets, war or civil disturbance or similar event, the funding of any Foreign Currency Loan in any relevant Foreign Currency or the funding of any Foreign Currency Loan in any relevant Foreign Currency to an office located other than in New York shall be impossible or, in the reasonable judgment of the Fronting Lender such Foreign Currency is no longer available or readily convertible into dollars, or the Dollar Equivalent of such Foreign Currency is no longer readily calculable, then, at the election of the Fronting Lender, no Foreign Currency Loans in the relevant currency shall be made or any Foreign Currency Loan in the relevant currency shall be made to an office of the Administrative Agent located in New York,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00"/>
          </w:cols>
          <w:pgMar w:left="320" w:top="1413" w:right="379" w:bottom="1440" w:gutter="0" w:footer="0" w:header="0"/>
        </w:sectPr>
      </w:pPr>
    </w:p>
    <w:bookmarkStart w:id="136" w:name="page137"/>
    <w:bookmarkEnd w:id="136"/>
    <w:p>
      <w:pPr>
        <w:ind w:right="80"/>
        <w:spacing w:after="0" w:line="249" w:lineRule="auto"/>
        <w:rPr>
          <w:sz w:val="20"/>
          <w:szCs w:val="20"/>
          <w:color w:val="auto"/>
        </w:rPr>
      </w:pPr>
      <w:r>
        <w:rPr>
          <w:rFonts w:ascii="Times New Roman" w:cs="Times New Roman" w:eastAsia="Times New Roman" w:hAnsi="Times New Roman"/>
          <w:sz w:val="20"/>
          <w:szCs w:val="20"/>
          <w:color w:val="auto"/>
        </w:rPr>
        <w:t>be, until such time as, in the reasonable judgment of the Fronting Lender, the funding of Foreign Currency Loans in the relevant Foreign Currency is possible, the funding of Foreign Currency Loans in the relevant Foreign Currency to an office located other than in New York is possible, the relevant Foreign Currency is available and readily convertible into dollars or the Dollar Equivalent of the relevant Foreign Currency Loan is readily calculable, as applicable.</w:t>
      </w:r>
    </w:p>
    <w:p>
      <w:pPr>
        <w:spacing w:after="0" w:line="180" w:lineRule="exact"/>
        <w:rPr>
          <w:sz w:val="20"/>
          <w:szCs w:val="20"/>
          <w:color w:val="auto"/>
        </w:rPr>
      </w:pPr>
    </w:p>
    <w:p>
      <w:pPr>
        <w:ind w:firstLine="1288"/>
        <w:spacing w:after="0" w:line="241" w:lineRule="auto"/>
        <w:tabs>
          <w:tab w:leader="none" w:pos="172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payment in respect of any Foreign Currency Loan shall be due in a currency other than dollars and/or at a place of payment other than New York and if, by reason of any Change in Law subsequent to the Third Restatement Date, disruption of currency or foreign exchange markets, war or civil disturbance or similar event, payment of such Obligations in such currency or such place of payment shall be impossible or, in the reasonable judgment of the Fronting Lender, such Foreign Currency is no longer available or readily convertible to dollars, or the Dollar Equivalent of such Foreign Currency is no longer readily calculable, then, at the election of any affected Lender, the Parent Borrower (on behalf of itself and the Foreign Subsidiary Borrowers) shall make payment of such Loan in dollars (based upon the Exchange Rate in effect for the day on which such payment occurs, as determined by the Administrative Agent in accordance with the terms hereof) and/or in New York or (ii) if any Foreign Currency in which Loans are outstanding is redenominated then, at the election of any affected Lender, such affected Loan and all obligations of the Parent Borrower or any applicable Foreign Subsidiary Borrower in respect thereof shall be converted into obligations in dollars (based upon the Exchange Rate in effect on such date, as determined by the Administrative Agent in accordance with the terms hereof), and, in each case, the Parent Borrower (on behalf of itself and the Foreign Subsidiary Borrowers) shall indemnify the Lenders, against any currency exchange losses or reasonable out-of-pocket expenses that it shall sustain as a result of such alternative payment.</w:t>
      </w:r>
    </w:p>
    <w:p>
      <w:pPr>
        <w:spacing w:after="0" w:line="197" w:lineRule="exact"/>
        <w:rPr>
          <w:rFonts w:ascii="Times New Roman" w:cs="Times New Roman" w:eastAsia="Times New Roman" w:hAnsi="Times New Roman"/>
          <w:sz w:val="20"/>
          <w:szCs w:val="20"/>
          <w:color w:val="auto"/>
        </w:rPr>
      </w:pPr>
    </w:p>
    <w:p>
      <w:pPr>
        <w:ind w:firstLine="1288"/>
        <w:spacing w:after="0" w:line="246" w:lineRule="auto"/>
        <w:tabs>
          <w:tab w:leader="none" w:pos="170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the Issuing Bank setting forth the amount or amounts necessary to compensate such Lender or the Issuing Bank or its holding company, as the case may be, as specified in paragraph (a) or (b) of this Section shall be delivered to the Parent Borrower (on behalf of itself and the Foreign Subsidiary Borrowers) and shall be conclusive absent manifest error. The Parent Borrower or the applicable Foreign Subsidiary Borrowers, as the case may be, shall pay such Lender or the Issuing Bank, as the case may be, the amount shown as due on any such certificate within 10 days after receipt thereof.</w:t>
      </w:r>
    </w:p>
    <w:p>
      <w:pPr>
        <w:spacing w:after="0" w:line="184" w:lineRule="exact"/>
        <w:rPr>
          <w:rFonts w:ascii="Times New Roman" w:cs="Times New Roman" w:eastAsia="Times New Roman" w:hAnsi="Times New Roman"/>
          <w:sz w:val="20"/>
          <w:szCs w:val="20"/>
          <w:color w:val="auto"/>
        </w:rPr>
      </w:pPr>
    </w:p>
    <w:p>
      <w:pPr>
        <w:ind w:right="60" w:firstLine="1288"/>
        <w:spacing w:after="0" w:line="243" w:lineRule="auto"/>
        <w:tabs>
          <w:tab w:leader="none" w:pos="169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Parent Borrower or any Foreign Subsidiary Borrower shall be required to compensate a Lender or the Issuing Bank pursuant to this Section for any increased costs or reductions incurred more than 270 days prior to the date that such Lender or the Issuing Bank, as the case may be, notifies the Parent Borrower (on behalf of itself and the Foreign Subsidiary Borrowers) of the Change in Law giving rise to such increased costs or reductions and of such Lender’s or the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9"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2.16</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1288"/>
        <w:spacing w:after="0" w:line="254" w:lineRule="auto"/>
        <w:tabs>
          <w:tab w:leader="none" w:pos="171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Loans that are not RFR Loans, in the event of (i) the payment of any principal of any Term Benchmark Loan other than on the last day of an Interest Period applicable thereto (including as a result of an Event of Default), (ii) the conversion of any Term Benchmark Loan other than on the last day of the Interest Period applicable thereto, (iii) the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0880"/>
          </w:cols>
          <w:pgMar w:left="660" w:top="1413" w:right="359" w:bottom="1440" w:gutter="0" w:footer="0" w:header="0"/>
        </w:sectPr>
      </w:pPr>
    </w:p>
    <w:bookmarkStart w:id="137" w:name="page138"/>
    <w:bookmarkEnd w:id="137"/>
    <w:p>
      <w:pPr>
        <w:ind w:right="20"/>
        <w:spacing w:after="0" w:line="241" w:lineRule="auto"/>
        <w:rPr>
          <w:sz w:val="20"/>
          <w:szCs w:val="20"/>
          <w:color w:val="auto"/>
        </w:rPr>
      </w:pPr>
      <w:r>
        <w:rPr>
          <w:rFonts w:ascii="Times New Roman" w:cs="Times New Roman" w:eastAsia="Times New Roman" w:hAnsi="Times New Roman"/>
          <w:sz w:val="20"/>
          <w:szCs w:val="20"/>
          <w:color w:val="auto"/>
        </w:rPr>
        <w:t>borrow, convert, continue or prepay any Revolving Loan on the date specified in any notice delivered pursuant hereto (regardless of whether such notice may be revoked under Section 2.11(f) and is revoked in accordance therewith), or (iv) the assignment of any Term Benchmark Loan other than on the last day of the Interest Period applicable thereto as a result of a request by the Parent Borrower or any Foreign Subsidiary Borrower pursuant to Section 2.19, then, in any such event, the Parent Borrower or the applicable Foreign Subsidiary Borrower, as the case may be, shall compensate each Lender for the loss, cost and expense attributable to such event. In the case of a Term Benchmark Loan, such loss, cost or expense to any Lender shall be deemed to include an amount determined by such Lender to be the excess, if any, of (x) the amount of interest that would have accrued on the principal amount of such Loan had such event not occurred, at the Adjusted Term SOFR Rate or Adjusted EURIBOR Rate,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(y)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applicable offshore market. A certificate of any Lender setting forth any amount or amounts that such Lender is entitled to receive pursuant to this Section shall be delivered to the Parent Borrower (on behalf of itself and the Foreign Subsidiary Borrowers) and shall be conclusive absent manifest error. The Parent Borrower or the applicable Foreign Subsidiary Borrower, as the case may be, shall pay such Lender the amount shown as due on any such certificate within 10 days after receipt thereof.</w:t>
      </w:r>
    </w:p>
    <w:p>
      <w:pPr>
        <w:spacing w:after="0" w:line="193" w:lineRule="exact"/>
        <w:rPr>
          <w:sz w:val="20"/>
          <w:szCs w:val="20"/>
          <w:color w:val="auto"/>
        </w:rPr>
      </w:pPr>
    </w:p>
    <w:p>
      <w:pPr>
        <w:ind w:firstLine="1288"/>
        <w:spacing w:after="0" w:line="256" w:lineRule="auto"/>
        <w:tabs>
          <w:tab w:leader="none" w:pos="1721"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RFR Loans, in the event of (i) the payment of any principal of any RFR Loan other than on the Interest Payment Date applicable thereto (including as a result of an Event of Default), (ii) the failure to borrow or prepay any RFR Loan on the date specified in any notice delivered pursuant hereto (regardless of whether such notice may be revoked under Section 2.11(f) and is revoked in accordance therewith) or (iii) the assignment of any RFR Loan other than on the Interest Payment Date applicable thereto as a result of a request by the Parent Borrower or any Foreign Subsidiary Borrower pursuant to Section 2.19 then, in any such event, the Parent Borrower or the applicable Foreign Subsidiary Borrower, as the case may be, shall compensate each Lender for the loss, cost and expense attributable to such event. A certificate of any Lender setting forth any amount or amounts that such Lender is entitled to receive pursuant to this Section shall be delivered to the Parent Borrower (on behalf of itself and the Foreign Subsidiary Borrowers) and shall be conclusive absent manifest error. The Parent Borrower or the applicable Foreign Subsidiary Borrower, as the case may be, shall pay such Lender the amount shown as due on any such certificate within 10 days after receipt thereof.</w:t>
      </w:r>
    </w:p>
    <w:p>
      <w:pPr>
        <w:spacing w:after="0" w:line="181" w:lineRule="exact"/>
        <w:rPr>
          <w:sz w:val="20"/>
          <w:szCs w:val="20"/>
          <w:color w:val="auto"/>
        </w:rPr>
      </w:pPr>
    </w:p>
    <w:p>
      <w:pPr>
        <w:ind w:left="960"/>
        <w:spacing w:after="0"/>
        <w:tabs>
          <w:tab w:leader="none" w:pos="2360" w:val="left"/>
        </w:tabs>
        <w:rPr>
          <w:sz w:val="20"/>
          <w:szCs w:val="20"/>
          <w:color w:val="auto"/>
        </w:rPr>
      </w:pPr>
      <w:r>
        <w:rPr>
          <w:rFonts w:ascii="Times New Roman" w:cs="Times New Roman" w:eastAsia="Times New Roman" w:hAnsi="Times New Roman"/>
          <w:sz w:val="20"/>
          <w:szCs w:val="20"/>
          <w:u w:val="single" w:color="auto"/>
          <w:color w:val="auto"/>
        </w:rPr>
        <w:t>SECTION 2.17</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88"/>
        <w:spacing w:after="0" w:line="243" w:lineRule="auto"/>
        <w:tabs>
          <w:tab w:leader="none" w:pos="170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the Parent Borrower or any Foreign Subsidiary Borrower hereunder or under any other Loan Document shall be made free and clear of and without deduction for any Indemnified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Parent Borrower or any Foreign Subsidiary Borrower (the “</w:t>
      </w:r>
      <w:r>
        <w:rPr>
          <w:rFonts w:ascii="Times New Roman" w:cs="Times New Roman" w:eastAsia="Times New Roman" w:hAnsi="Times New Roman"/>
          <w:sz w:val="20"/>
          <w:szCs w:val="20"/>
          <w:u w:val="single" w:color="auto"/>
          <w:color w:val="auto"/>
        </w:rPr>
        <w:t>Applicable Borrower</w:t>
      </w:r>
      <w:r>
        <w:rPr>
          <w:rFonts w:ascii="Times New Roman" w:cs="Times New Roman" w:eastAsia="Times New Roman" w:hAnsi="Times New Roman"/>
          <w:sz w:val="20"/>
          <w:szCs w:val="20"/>
          <w:color w:val="auto"/>
        </w:rPr>
        <w:t>”) or the Administrative Agent shall be required to deduct any Indemnified Taxes from such payments, then (i) the sum payable shall be increased as necessary so that after making all required deductions (including deductions applicable to additional sums payable under this Section) the Administrative Agent or the Lender (as the case may be) receives an amount equal to the sum it would have received had no such deductions been made, (ii) the Applicable Borrower or the Administrative Agent shall make such deductions and (iii) the Applicable Borrower or the Administrative Agent shall pay the full amount deducted to the relevant Governmental Authority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0900"/>
          </w:cols>
          <w:pgMar w:left="660" w:top="1413" w:right="339" w:bottom="1440" w:gutter="0" w:footer="0" w:header="0"/>
        </w:sectPr>
      </w:pPr>
    </w:p>
    <w:bookmarkStart w:id="138" w:name="page139"/>
    <w:bookmarkEnd w:id="138"/>
    <w:p>
      <w:pPr>
        <w:ind w:right="200" w:firstLine="1288"/>
        <w:spacing w:after="0" w:line="295" w:lineRule="auto"/>
        <w:tabs>
          <w:tab w:leader="none" w:pos="1725"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Applicable Borrower shall timely pay any Other Taxes to the relevant Governmental Authority in accordance with applicable law, or at the option of the Administrative Agent timely reimburse it for the payment of any Other Taxes.</w:t>
      </w:r>
    </w:p>
    <w:p>
      <w:pPr>
        <w:spacing w:after="0" w:line="137" w:lineRule="exact"/>
        <w:rPr>
          <w:rFonts w:ascii="Times New Roman" w:cs="Times New Roman" w:eastAsia="Times New Roman" w:hAnsi="Times New Roman"/>
          <w:sz w:val="19"/>
          <w:szCs w:val="19"/>
          <w:color w:val="auto"/>
        </w:rPr>
      </w:pPr>
    </w:p>
    <w:p>
      <w:pPr>
        <w:ind w:right="60" w:firstLine="1288"/>
        <w:spacing w:after="0" w:line="243" w:lineRule="auto"/>
        <w:tabs>
          <w:tab w:leader="none" w:pos="171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shall indemnify the Administrative Agent, each Lender and the Issuing Bank, within 10 Business Days after written demand therefor, for the full amount of any Indemnified Taxes paid by the Administrative Agent, such Lender or the Issuing Bank, as the case may be, on or with respect to any payment by or on account of any obligation of the Applicable Borrower, hereunder or under any other Loan Document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ind w:right="60" w:firstLine="1288"/>
        <w:spacing w:after="0" w:line="249" w:lineRule="auto"/>
        <w:tabs>
          <w:tab w:leader="none" w:pos="171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Indemnified Taxes or Other Taxes by the Applicable Borrower to a Governmental Authority, the Applicable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ind w:right="60" w:firstLine="1288"/>
        <w:spacing w:after="0" w:line="243" w:lineRule="auto"/>
        <w:tabs>
          <w:tab w:leader="none" w:pos="171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for any Taxes (but, in the case of any Indemnified Taxes, only to the extent that any Loan Party has not already indemnified the Administrative Agent for such Indemnified Taxes and without limiting or expanding the obligation of the Applicable Borrower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189" w:lineRule="exact"/>
        <w:rPr>
          <w:rFonts w:ascii="Times New Roman" w:cs="Times New Roman" w:eastAsia="Times New Roman" w:hAnsi="Times New Roman"/>
          <w:sz w:val="20"/>
          <w:szCs w:val="20"/>
          <w:color w:val="auto"/>
        </w:rPr>
      </w:pPr>
    </w:p>
    <w:p>
      <w:pPr>
        <w:ind w:firstLine="1288"/>
        <w:spacing w:after="0" w:line="241" w:lineRule="auto"/>
        <w:tabs>
          <w:tab w:leader="none" w:pos="168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any applicable withholding Tax with respect to any payments under any Loan Document shall deliver to the Parent Borrower (on behalf of itself and the Foreign Subsidiary Borrowers) (with a copy to the Administrative Agent), at the time or times prescribed by applicable law, such properly completed and executed documentation prescribed by applicable law or reasonably requested by the Parent Borrower (on behalf of itself and the Foreign Subsidiary Borrowers) or the Administrative Agent as will permit such payments to be made without withholding, or at a reduced rate of, withholding. In addition, any Lender, if reasonably requested by the Parent Borrower or the Administrate Agent, shall deliver such other documentation prescribed by applicable law or reasonably requested by the Parent Borrower or the Administrative Agent as will enable the Parent Borrower or the Administrative Agent to determine whether or not such Lender is subject to backup withholding or information reporting requirements. If any form or certification previously delivered pursuant to this Section expires or becomes obsolete or inaccurate in any respect with respect to a Lender, such Lender shall promptly (and in any event within 10 Business Days after such expiration, obsolescence or inaccuracy) notify the Parent Borrower (on behalf of itself and the Foreign Subsidiary Borrowers) and the Administrative Agent in writing of such expiration, obsolescence or inaccuracy and update the form or certification if it is legally eligible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0880"/>
          </w:cols>
          <w:pgMar w:left="660" w:top="1413" w:right="359" w:bottom="1440" w:gutter="0" w:footer="0" w:header="0"/>
        </w:sectPr>
      </w:pPr>
    </w:p>
    <w:bookmarkStart w:id="139" w:name="page140"/>
    <w:bookmarkEnd w:id="139"/>
    <w:p>
      <w:pPr>
        <w:ind w:left="-460" w:right="100" w:firstLine="903"/>
        <w:spacing w:after="0" w:line="246" w:lineRule="auto"/>
        <w:tabs>
          <w:tab w:leader="none" w:pos="82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with respect to any Loan made to the Parent Borrower or a Foreign Subsidiary Borrower that is or deemed a U.S. Person (the “</w:t>
      </w:r>
      <w:r>
        <w:rPr>
          <w:rFonts w:ascii="Times New Roman" w:cs="Times New Roman" w:eastAsia="Times New Roman" w:hAnsi="Times New Roman"/>
          <w:sz w:val="20"/>
          <w:szCs w:val="20"/>
          <w:u w:val="single" w:color="auto"/>
          <w:color w:val="auto"/>
        </w:rPr>
        <w:t>Applicable U.S. Borrower</w:t>
      </w:r>
      <w:r>
        <w:rPr>
          <w:rFonts w:ascii="Times New Roman" w:cs="Times New Roman" w:eastAsia="Times New Roman" w:hAnsi="Times New Roman"/>
          <w:sz w:val="20"/>
          <w:szCs w:val="20"/>
          <w:color w:val="auto"/>
        </w:rPr>
        <w:t>”), any Lender shall, to the extent it is legally eligible to do so, deliver to the Applicable U.S. Borrower and the Administrative Agent (in such number of copies reasonably requested by the Applicable U.S. Borrower and the Administrative Agent) on or prior to the date on which such Lender becomes a party hereto, duly completed and executed copies of whichever of the following is applicable:</w:t>
      </w:r>
    </w:p>
    <w:p>
      <w:pPr>
        <w:spacing w:after="0" w:line="184" w:lineRule="exact"/>
        <w:rPr>
          <w:rFonts w:ascii="Times New Roman" w:cs="Times New Roman" w:eastAsia="Times New Roman" w:hAnsi="Times New Roman"/>
          <w:sz w:val="20"/>
          <w:szCs w:val="20"/>
          <w:color w:val="auto"/>
        </w:rPr>
      </w:pPr>
    </w:p>
    <w:p>
      <w:pPr>
        <w:ind w:left="180" w:right="240" w:firstLine="652"/>
        <w:spacing w:after="0" w:line="269" w:lineRule="auto"/>
        <w:tabs>
          <w:tab w:leader="none" w:pos="130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Lender that is a U.S. Person, IRS Form W-9 certifying that such Lender is exempt from U.S. Federal backup withholding tax;</w:t>
      </w:r>
    </w:p>
    <w:p>
      <w:pPr>
        <w:spacing w:after="0" w:line="159" w:lineRule="exact"/>
        <w:rPr>
          <w:rFonts w:ascii="Times New Roman" w:cs="Times New Roman" w:eastAsia="Times New Roman" w:hAnsi="Times New Roman"/>
          <w:sz w:val="20"/>
          <w:szCs w:val="20"/>
          <w:color w:val="auto"/>
        </w:rPr>
      </w:pPr>
    </w:p>
    <w:p>
      <w:pPr>
        <w:ind w:left="180" w:right="60" w:firstLine="652"/>
        <w:spacing w:after="0" w:line="245" w:lineRule="auto"/>
        <w:tabs>
          <w:tab w:leader="none" w:pos="129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an income tax treaty to which the United States is a party (1) with respect to payments of interest under any Loan Document, the applicable IRS Form W-8BEN or W-8BEN-E establishing an exemption from, or reduction of, U.S. Federal withholding Tax pursuant to the “interest” article of such tax treaty and (2) with respect to any other applicable payments under this Agreement, the applicable IRS Form W-8BEN or W-8BEN-E establishing an exemption from, or reduction of, U.S. Federal withholding Tax pursuant to the “business profits” or “other income” article of such tax treaty;</w:t>
      </w:r>
    </w:p>
    <w:p>
      <w:pPr>
        <w:spacing w:after="0" w:line="184" w:lineRule="exact"/>
        <w:rPr>
          <w:rFonts w:ascii="Times New Roman" w:cs="Times New Roman" w:eastAsia="Times New Roman" w:hAnsi="Times New Roman"/>
          <w:sz w:val="20"/>
          <w:szCs w:val="20"/>
          <w:color w:val="auto"/>
        </w:rPr>
      </w:pPr>
    </w:p>
    <w:p>
      <w:pPr>
        <w:ind w:left="180" w:right="820" w:firstLine="652"/>
        <w:spacing w:after="0" w:line="295" w:lineRule="auto"/>
        <w:tabs>
          <w:tab w:leader="none" w:pos="129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Non-U.S. Lender for whom payments under this Agreement constitute income that is effectively connected with such Lender’s conduct of a trade or business in the United States, IRS Form W-8ECI;</w:t>
      </w:r>
    </w:p>
    <w:p>
      <w:pPr>
        <w:spacing w:after="0" w:line="137" w:lineRule="exact"/>
        <w:rPr>
          <w:rFonts w:ascii="Times New Roman" w:cs="Times New Roman" w:eastAsia="Times New Roman" w:hAnsi="Times New Roman"/>
          <w:sz w:val="19"/>
          <w:szCs w:val="19"/>
          <w:color w:val="auto"/>
        </w:rPr>
      </w:pPr>
    </w:p>
    <w:p>
      <w:pPr>
        <w:ind w:left="180" w:firstLine="652"/>
        <w:spacing w:after="0" w:line="245" w:lineRule="auto"/>
        <w:tabs>
          <w:tab w:leader="none" w:pos="130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the exemption for portfolio interest under Section 881(c) of the Code both (1) the applicable IRS Form W-8BEN or W-8BEN-E and (2) a certificate substantially in the form of Exhibit I to the effect that such Lender is not (a) a “bank” within the meaning of Section 881(c)(3)(A) of the Code, (b) a “10 percent shareholder” of the Applicable U.S. Borrower within the meaning of Section 881(c)(3)(B) of the Code (c) a “controlled foreign corporation” described in Section 881(c)(3)(C) of the Code and (d) conducting a trade or business in the United States with which the relevant interest payments are effectively connected (a “</w:t>
      </w:r>
      <w:r>
        <w:rPr>
          <w:rFonts w:ascii="Times New Roman" w:cs="Times New Roman" w:eastAsia="Times New Roman" w:hAnsi="Times New Roman"/>
          <w:sz w:val="20"/>
          <w:szCs w:val="20"/>
          <w:u w:val="single" w:color="auto"/>
          <w:color w:val="auto"/>
        </w:rPr>
        <w:t>U.S. Tax Certificate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80" w:firstLine="652"/>
        <w:spacing w:after="0" w:line="244" w:lineRule="auto"/>
        <w:tabs>
          <w:tab w:leader="none" w:pos="127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Non-U.S. Lender that is not the beneficial owner of payments made under this Agreement (including a partnership or a participating Lender) (1) an IRS Form W-8IMY on behalf of itself, accompanied by IRS Form W-8ECI, IRS Form W-8BEN or IRS Form W-8BEN-E, as applicable, and (2) a U.S. Tax Certificate substantially in the form of Exhibit I-2 or Exhibit I-3,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Lender is a partnership and one or more of its partners are claiming the exemption for portfolio interest under Section 881(c) of the Code, such Lender may provide a U.S. Tax Certificate substantially in the form of Exhibit I-4 on behalf of each such partner; or</w:t>
      </w:r>
    </w:p>
    <w:p>
      <w:pPr>
        <w:spacing w:after="0" w:line="185" w:lineRule="exact"/>
        <w:rPr>
          <w:rFonts w:ascii="Times New Roman" w:cs="Times New Roman" w:eastAsia="Times New Roman" w:hAnsi="Times New Roman"/>
          <w:sz w:val="20"/>
          <w:szCs w:val="20"/>
          <w:color w:val="auto"/>
        </w:rPr>
      </w:pPr>
    </w:p>
    <w:p>
      <w:pPr>
        <w:ind w:left="180" w:right="160" w:firstLine="652"/>
        <w:spacing w:after="0" w:line="254" w:lineRule="auto"/>
        <w:tabs>
          <w:tab w:leader="none" w:pos="126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law as a basis for claiming exemption from, or a reduction of, U.S. Federal withholding Tax together with such supplementary documentation necessary to enable the Applicable U.S. Borrower or the Administrative Agent to determine the amount of Tax (if any) required by law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0100"/>
          </w:cols>
          <w:pgMar w:left="1440" w:top="1413" w:right="359" w:bottom="1440" w:gutter="0" w:footer="0" w:header="0"/>
        </w:sectPr>
      </w:pPr>
    </w:p>
    <w:bookmarkStart w:id="140" w:name="page141"/>
    <w:bookmarkEnd w:id="140"/>
    <w:p>
      <w:pPr>
        <w:ind w:left="660" w:right="120" w:firstLine="903"/>
        <w:spacing w:after="0" w:line="242" w:lineRule="auto"/>
        <w:tabs>
          <w:tab w:leader="none" w:pos="20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U.S. Borrower and the Administrative Agent, at the time or times prescribed by law and at such time or times reasonably requested by the Applicable U.S. Borrower or the Administrative Agent, such documentation prescribed by applicable law (including as prescribed by Section 1471(b)(3)(C)(i) of the Code) and such additional documentation reasonably requested by the Applicable U.S. Borrower or the Administrative Agent as may be necessary for the Applicable U.S.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2.17(f)(ii),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include any amendments made to FATCA after the Third Restatement Date.</w:t>
      </w:r>
    </w:p>
    <w:p>
      <w:pPr>
        <w:spacing w:after="0" w:line="192"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Each Lender hereby authorizes the Administrative Agent to deliver to the Loan Parties and to any successor Administrative Agent any documentation provided by such Lender to the Administrative Agent pursuant to Section 2.17(f).</w:t>
      </w:r>
    </w:p>
    <w:p>
      <w:pPr>
        <w:spacing w:after="0" w:line="159" w:lineRule="exact"/>
        <w:rPr>
          <w:sz w:val="20"/>
          <w:szCs w:val="20"/>
          <w:color w:val="auto"/>
        </w:rPr>
      </w:pPr>
    </w:p>
    <w:p>
      <w:pPr>
        <w:ind w:right="360" w:firstLine="1296"/>
        <w:spacing w:after="0" w:line="249" w:lineRule="auto"/>
        <w:rPr>
          <w:sz w:val="20"/>
          <w:szCs w:val="20"/>
          <w:color w:val="auto"/>
        </w:rPr>
      </w:pPr>
      <w:r>
        <w:rPr>
          <w:rFonts w:ascii="Times New Roman" w:cs="Times New Roman" w:eastAsia="Times New Roman" w:hAnsi="Times New Roman"/>
          <w:sz w:val="20"/>
          <w:szCs w:val="20"/>
          <w:color w:val="auto"/>
        </w:rPr>
        <w:t>For purposes of determining withholding Taxes imposed under FATCA, from and after the Restatement Date, the Parent Borrower (on behalf of itself and the Foreign Subsidiary Borrowers) and the Administrative Agent shall treat (and the Lenders hereby authorize the Administrative Agent to treat) the Loan Documents as not qualifying as a “grandfathered obligation” within the meaning of Treasury Regulation Section 1.1471-2(b)(2)(i)</w:t>
      </w:r>
    </w:p>
    <w:p>
      <w:pPr>
        <w:spacing w:after="0" w:line="180" w:lineRule="exact"/>
        <w:rPr>
          <w:sz w:val="20"/>
          <w:szCs w:val="20"/>
          <w:color w:val="auto"/>
        </w:rPr>
      </w:pPr>
    </w:p>
    <w:p>
      <w:pPr>
        <w:ind w:left="340" w:firstLine="1288"/>
        <w:spacing w:after="0" w:line="242" w:lineRule="auto"/>
        <w:tabs>
          <w:tab w:leader="none" w:pos="206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party determines, in its sole discretion exercised in good faith, that it has received a refund of any Indemnified Taxes (including additional amounts paid pursuant to this Section 2.17), it shall pay to the indemnifying party an amount equal to such refund (but only to the extent of indemnity payments made, or additional amounts paid, under this Section 2.17 with respect to the Indemnified Taxes giving rise to such refund), net of all out-of-pocket expenses (including any Taxes) of such indemnified party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indemnifying party, upon the request of such indemnified party, agrees to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Nothing contained in this Section 2.17(g) shall require any indemnified party to make available its Tax returns or any other information relating to its Taxes which it deems confidential to the indemnifying party or any other Person.</w:t>
      </w:r>
    </w:p>
    <w:p>
      <w:pPr>
        <w:spacing w:after="0" w:line="192"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2.17, the term “Lender” includes any Issuing Bank.</w:t>
      </w:r>
    </w:p>
    <w:p>
      <w:pPr>
        <w:spacing w:after="0" w:line="215" w:lineRule="exact"/>
        <w:rPr>
          <w:rFonts w:ascii="Times New Roman" w:cs="Times New Roman" w:eastAsia="Times New Roman" w:hAnsi="Times New Roman"/>
          <w:sz w:val="20"/>
          <w:szCs w:val="20"/>
          <w:color w:val="auto"/>
        </w:rPr>
      </w:pPr>
    </w:p>
    <w:p>
      <w:pPr>
        <w:ind w:left="340" w:right="60" w:firstLine="1288"/>
        <w:spacing w:after="0" w:line="244" w:lineRule="auto"/>
        <w:tabs>
          <w:tab w:leader="none" w:pos="201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provisions of Section 2.17(g), if a UK Tax Deduction is required by law to be made by a Loan Party from an Applicable UK Payment to a Revolving Lender which is a Treaty Lender and any Loan Party makes an increased payment to that Treaty Lender under Sections 2.15(a), 2.17(a) or 2.17(c) in respect of that UK Tax Deduction but the Treaty Lender is or becomes entitled to a refund of the relevant Tax by virtue of the relevant Treaty (a “</w:t>
      </w:r>
      <w:r>
        <w:rPr>
          <w:rFonts w:ascii="Times New Roman" w:cs="Times New Roman" w:eastAsia="Times New Roman" w:hAnsi="Times New Roman"/>
          <w:sz w:val="20"/>
          <w:szCs w:val="20"/>
          <w:u w:val="single" w:color="auto"/>
          <w:color w:val="auto"/>
        </w:rPr>
        <w:t>Treaty Rebate</w:t>
      </w:r>
      <w:r>
        <w:rPr>
          <w:rFonts w:ascii="Times New Roman" w:cs="Times New Roman" w:eastAsia="Times New Roman" w:hAnsi="Times New Roman"/>
          <w:sz w:val="20"/>
          <w:szCs w:val="20"/>
          <w:color w:val="auto"/>
        </w:rPr>
        <w:t>”), the Treaty Lender shall, following written request to do so from the relevant Loan Party, use commercially reasonable endeavors to claim that Treaty Rebate from the relevant Governmental Authority and shall pay to the relevant Loan Party a sum equal to the amount of that Treaty Rebate, net of all out-of-pocket expenses (including any Taxes) and without interest (other than any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141" w:name="page142"/>
    <w:bookmarkEnd w:id="141"/>
    <w:p>
      <w:pPr>
        <w:ind w:right="60"/>
        <w:spacing w:after="0" w:line="274" w:lineRule="auto"/>
        <w:rPr>
          <w:sz w:val="20"/>
          <w:szCs w:val="20"/>
          <w:color w:val="auto"/>
        </w:rPr>
      </w:pPr>
      <w:r>
        <w:rPr>
          <w:rFonts w:ascii="Times New Roman" w:cs="Times New Roman" w:eastAsia="Times New Roman" w:hAnsi="Times New Roman"/>
          <w:sz w:val="19"/>
          <w:szCs w:val="19"/>
          <w:color w:val="auto"/>
        </w:rPr>
        <w:t>paid by the relevant Governmental Authority in respect of such refund), as soon as reasonably practicable following receipt of the Treaty Rebate from the relevant Governmental Authority. Nothing contained in this Section 2.17(j) shall require any Treaty Lender to make available its Tax returns or any other information relating to its Taxes which it deems confidential to that Lender or any other person.</w:t>
      </w:r>
    </w:p>
    <w:p>
      <w:pPr>
        <w:spacing w:after="0" w:line="156" w:lineRule="exact"/>
        <w:rPr>
          <w:sz w:val="20"/>
          <w:szCs w:val="20"/>
          <w:color w:val="auto"/>
        </w:rPr>
      </w:pPr>
    </w:p>
    <w:p>
      <w:pPr>
        <w:ind w:firstLine="1288"/>
        <w:spacing w:after="0" w:line="245" w:lineRule="auto"/>
        <w:tabs>
          <w:tab w:leader="none" w:pos="1681"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other provision of this Section 2.17, in the case of any UK Loan, no payment by any Loan Party under any Loan Document to that Revolving Lender in connection with that UK Loan (an “</w:t>
      </w:r>
      <w:r>
        <w:rPr>
          <w:rFonts w:ascii="Times New Roman" w:cs="Times New Roman" w:eastAsia="Times New Roman" w:hAnsi="Times New Roman"/>
          <w:sz w:val="20"/>
          <w:szCs w:val="20"/>
          <w:u w:val="single" w:color="auto"/>
          <w:color w:val="auto"/>
        </w:rPr>
        <w:t>Applicable UK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shall be increased pursuant to Section 2.17(a) or Section 2.15(a) by reason of any deduction or withholding on account of Taxes imposed by the United Kingdom (a “</w:t>
      </w: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and no Loan Party shall be liable to make any payment under Section 2.17(c) to a Revolving Lender as a result of or in connection with any such UK Tax Deduction if, on the date on which the Applicable UK Payment falls due:</w:t>
      </w:r>
    </w:p>
    <w:p>
      <w:pPr>
        <w:spacing w:after="0" w:line="184" w:lineRule="exact"/>
        <w:rPr>
          <w:rFonts w:ascii="Times New Roman" w:cs="Times New Roman" w:eastAsia="Times New Roman" w:hAnsi="Times New Roman"/>
          <w:sz w:val="20"/>
          <w:szCs w:val="20"/>
          <w:color w:val="auto"/>
        </w:rPr>
      </w:pPr>
    </w:p>
    <w:p>
      <w:pPr>
        <w:ind w:left="320" w:right="240" w:firstLine="903"/>
        <w:spacing w:after="0" w:line="249" w:lineRule="auto"/>
        <w:tabs>
          <w:tab w:leader="none" w:pos="161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UK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79" w:lineRule="exact"/>
        <w:rPr>
          <w:rFonts w:ascii="Times New Roman" w:cs="Times New Roman" w:eastAsia="Times New Roman" w:hAnsi="Times New Roman"/>
          <w:sz w:val="20"/>
          <w:szCs w:val="20"/>
          <w:color w:val="auto"/>
        </w:rPr>
      </w:pPr>
    </w:p>
    <w:p>
      <w:pPr>
        <w:ind w:left="1660" w:hanging="437"/>
        <w:spacing w:after="0"/>
        <w:tabs>
          <w:tab w:leader="none" w:pos="1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clause (a)(ii) of the definition of Qualifying Lender,</w:t>
      </w:r>
    </w:p>
    <w:p>
      <w:pPr>
        <w:spacing w:after="0" w:line="21"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left="960" w:right="160" w:firstLine="652"/>
        <w:spacing w:after="0" w:line="254" w:lineRule="auto"/>
        <w:tabs>
          <w:tab w:leader="none" w:pos="2081"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under section 931 of the ITA which relates to the payment and that Lender has received from the UK Borrower making the payment a certified copy of that Direction; and</w:t>
      </w:r>
    </w:p>
    <w:p>
      <w:pPr>
        <w:spacing w:after="0" w:line="174" w:lineRule="exact"/>
        <w:rPr>
          <w:rFonts w:ascii="Times New Roman" w:cs="Times New Roman" w:eastAsia="Times New Roman" w:hAnsi="Times New Roman"/>
          <w:sz w:val="20"/>
          <w:szCs w:val="20"/>
          <w:color w:val="auto"/>
        </w:rPr>
      </w:pPr>
    </w:p>
    <w:p>
      <w:pPr>
        <w:ind w:left="2080" w:hanging="468"/>
        <w:spacing w:after="0"/>
        <w:tabs>
          <w:tab w:leader="none" w:pos="2080" w:val="left"/>
        </w:tabs>
        <w:numPr>
          <w:ilvl w:val="2"/>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could have been made to the Lender without any UK Tax Deduction if that Direction had not been</w:t>
      </w:r>
    </w:p>
    <w:p>
      <w:pPr>
        <w:spacing w:after="0" w:line="33" w:lineRule="exact"/>
        <w:rPr>
          <w:rFonts w:ascii="Times New Roman" w:cs="Times New Roman" w:eastAsia="Times New Roman" w:hAnsi="Times New Roman"/>
          <w:sz w:val="19"/>
          <w:szCs w:val="19"/>
          <w:color w:val="auto"/>
        </w:rPr>
      </w:pPr>
    </w:p>
    <w:p>
      <w:pPr>
        <w:ind w:left="9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made; or</w:t>
      </w:r>
    </w:p>
    <w:p>
      <w:pPr>
        <w:spacing w:after="0" w:line="193" w:lineRule="exact"/>
        <w:rPr>
          <w:rFonts w:ascii="Times New Roman" w:cs="Times New Roman" w:eastAsia="Times New Roman" w:hAnsi="Times New Roman"/>
          <w:sz w:val="19"/>
          <w:szCs w:val="19"/>
          <w:color w:val="auto"/>
        </w:rPr>
      </w:pPr>
    </w:p>
    <w:p>
      <w:pPr>
        <w:ind w:left="1720" w:hanging="497"/>
        <w:spacing w:after="0"/>
        <w:tabs>
          <w:tab w:leader="none" w:pos="172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clause (a)(ii) of the definition of Qualifying Lender</w:t>
      </w:r>
    </w:p>
    <w:p>
      <w:pPr>
        <w:spacing w:after="0" w:line="21"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left="2080" w:hanging="468"/>
        <w:spacing w:after="0"/>
        <w:tabs>
          <w:tab w:leader="none" w:pos="2080"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Tax Confirmation to the UK Borrower; and</w:t>
      </w:r>
    </w:p>
    <w:p>
      <w:pPr>
        <w:spacing w:after="0" w:line="215" w:lineRule="exact"/>
        <w:rPr>
          <w:rFonts w:ascii="Times New Roman" w:cs="Times New Roman" w:eastAsia="Times New Roman" w:hAnsi="Times New Roman"/>
          <w:sz w:val="20"/>
          <w:szCs w:val="20"/>
          <w:color w:val="auto"/>
        </w:rPr>
      </w:pPr>
    </w:p>
    <w:p>
      <w:pPr>
        <w:ind w:left="960" w:firstLine="652"/>
        <w:spacing w:after="0" w:line="254" w:lineRule="auto"/>
        <w:tabs>
          <w:tab w:leader="none" w:pos="2070"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UK Tax Deduction if the Lender had given a Tax Confirmation to the UK Borrower, on the basis that the Tax Confirmation would have enabled the UK Borrower to have formed a reasonable belief that the payment was an “excepted payment” for the purpose of section 930 of the ITA; or</w:t>
      </w:r>
    </w:p>
    <w:p>
      <w:pPr>
        <w:spacing w:after="0" w:line="174" w:lineRule="exact"/>
        <w:rPr>
          <w:rFonts w:ascii="Times New Roman" w:cs="Times New Roman" w:eastAsia="Times New Roman" w:hAnsi="Times New Roman"/>
          <w:sz w:val="20"/>
          <w:szCs w:val="20"/>
          <w:color w:val="auto"/>
        </w:rPr>
      </w:pPr>
    </w:p>
    <w:p>
      <w:pPr>
        <w:jc w:val="both"/>
        <w:ind w:left="320" w:right="520" w:firstLine="903"/>
        <w:spacing w:after="0" w:line="254" w:lineRule="auto"/>
        <w:tabs>
          <w:tab w:leader="none" w:pos="171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Treaty Lender and the Loan Party making the payment is able to demonstrate that the payment could have been made to the Lender without a UK Tax Deduction had the Lender complied with its obligations under paragraphs (k)(i) and (k)(iii) below.</w:t>
      </w:r>
    </w:p>
    <w:p>
      <w:pPr>
        <w:spacing w:after="0" w:line="174" w:lineRule="exact"/>
        <w:rPr>
          <w:rFonts w:ascii="Times New Roman" w:cs="Times New Roman" w:eastAsia="Times New Roman" w:hAnsi="Times New Roman"/>
          <w:sz w:val="20"/>
          <w:szCs w:val="20"/>
          <w:color w:val="auto"/>
        </w:rPr>
      </w:pPr>
    </w:p>
    <w:p>
      <w:pPr>
        <w:ind w:left="1720" w:hanging="432"/>
        <w:spacing w:after="0"/>
        <w:tabs>
          <w:tab w:leader="none" w:pos="172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provisions of Section 2.17(f):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0880"/>
          </w:cols>
          <w:pgMar w:left="660" w:top="1413" w:right="359" w:bottom="1440" w:gutter="0" w:footer="0" w:header="0"/>
        </w:sectPr>
      </w:pPr>
    </w:p>
    <w:bookmarkStart w:id="142" w:name="page143"/>
    <w:bookmarkEnd w:id="142"/>
    <w:p>
      <w:pPr>
        <w:ind w:left="-460" w:firstLine="903"/>
        <w:spacing w:after="0" w:line="249" w:lineRule="auto"/>
        <w:tabs>
          <w:tab w:leader="none" w:pos="8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and each relevant UK Borrower which makes a payment to which that Treaty Lender is entitled shall co-operate in completing any procedural formalities necessary for that Loan Party to obtain authorisation to make that payment without a UK Tax Deduction and, upon satisfying (A) or (B) below, such Treaty Lender shall be deemed to have satisfied its obligations under this paragraph:</w:t>
      </w:r>
    </w:p>
    <w:p>
      <w:pPr>
        <w:spacing w:after="0" w:line="179" w:lineRule="exact"/>
        <w:rPr>
          <w:rFonts w:ascii="Times New Roman" w:cs="Times New Roman" w:eastAsia="Times New Roman" w:hAnsi="Times New Roman"/>
          <w:sz w:val="20"/>
          <w:szCs w:val="20"/>
          <w:color w:val="auto"/>
        </w:rPr>
      </w:pPr>
    </w:p>
    <w:p>
      <w:pPr>
        <w:ind w:left="180" w:right="120" w:firstLine="652"/>
        <w:spacing w:after="0" w:line="244" w:lineRule="auto"/>
        <w:tabs>
          <w:tab w:leader="none" w:pos="1301"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which (a) is a party to this Agreement on the date on which a UK Borrower becomes a party to this Agreement pursuant to Section 2.20, (b)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(y) the date on which the UK Borrower becomes a party to this Agreement or, if later, (z) the date falling 5 Business Days after the Administrative Agent has notified the Treaty Lender that the UK Borrower has or will become a party to this Agreement in accordance with Section 2.20;</w:t>
      </w:r>
    </w:p>
    <w:p>
      <w:pPr>
        <w:spacing w:after="0" w:line="185" w:lineRule="exact"/>
        <w:rPr>
          <w:rFonts w:ascii="Times New Roman" w:cs="Times New Roman" w:eastAsia="Times New Roman" w:hAnsi="Times New Roman"/>
          <w:sz w:val="20"/>
          <w:szCs w:val="20"/>
          <w:color w:val="auto"/>
        </w:rPr>
      </w:pPr>
    </w:p>
    <w:p>
      <w:pPr>
        <w:ind w:left="180" w:right="80" w:firstLine="652"/>
        <w:spacing w:after="0" w:line="246" w:lineRule="auto"/>
        <w:tabs>
          <w:tab w:leader="none" w:pos="129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which (a) becomes a party to this Agreement after the date on which a UK Borrower has become a party to this Agreement pursuant to Section 2.20, (b)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the date on which it becomes a party to this Agreement;</w:t>
      </w:r>
    </w:p>
    <w:p>
      <w:pPr>
        <w:spacing w:after="0" w:line="184" w:lineRule="exact"/>
        <w:rPr>
          <w:rFonts w:ascii="Times New Roman" w:cs="Times New Roman" w:eastAsia="Times New Roman" w:hAnsi="Times New Roman"/>
          <w:sz w:val="20"/>
          <w:szCs w:val="20"/>
          <w:color w:val="auto"/>
        </w:rPr>
      </w:pPr>
    </w:p>
    <w:p>
      <w:pPr>
        <w:ind w:left="-460" w:right="20" w:firstLine="903"/>
        <w:spacing w:after="0" w:line="249" w:lineRule="auto"/>
        <w:tabs>
          <w:tab w:leader="none" w:pos="88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30 days of a Treaty Lender satisfying (A) or (B) in paragraph (i) above, each relevant UK Borrower shall duly complete and file an HM Revenue &amp; Customs form DTTP2 which contains the Treaty Lender’s scheme reference number and jurisdiction of tax residence as notified to the Parent Borrower in accordance with (A) or (B) in paragraph (i) above (a “</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DTTP Filing</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460" w:right="300" w:firstLine="903"/>
        <w:spacing w:after="0" w:line="269" w:lineRule="auto"/>
        <w:tabs>
          <w:tab w:leader="none" w:pos="94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Treaty Lender has confirmed its scheme reference number and its jurisdiction of tax residence in accordance with (A) or (B) of paragraph (i) above and:</w:t>
      </w:r>
    </w:p>
    <w:p>
      <w:pPr>
        <w:spacing w:after="0" w:line="159" w:lineRule="exact"/>
        <w:rPr>
          <w:rFonts w:ascii="Times New Roman" w:cs="Times New Roman" w:eastAsia="Times New Roman" w:hAnsi="Times New Roman"/>
          <w:sz w:val="20"/>
          <w:szCs w:val="20"/>
          <w:color w:val="auto"/>
        </w:rPr>
      </w:pPr>
    </w:p>
    <w:p>
      <w:pPr>
        <w:ind w:left="180" w:right="100" w:firstLine="652"/>
        <w:spacing w:after="0" w:line="269" w:lineRule="auto"/>
        <w:tabs>
          <w:tab w:leader="none" w:pos="1301"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making a payment to that Treaty Lender has not made a UK Borrower DTTP Filing in respect of that Lender within the period provided for in paragraph (ii) above; or</w:t>
      </w:r>
    </w:p>
    <w:p>
      <w:pPr>
        <w:spacing w:after="0" w:line="159" w:lineRule="exact"/>
        <w:rPr>
          <w:rFonts w:ascii="Times New Roman" w:cs="Times New Roman" w:eastAsia="Times New Roman" w:hAnsi="Times New Roman"/>
          <w:sz w:val="20"/>
          <w:szCs w:val="20"/>
          <w:color w:val="auto"/>
        </w:rPr>
      </w:pPr>
    </w:p>
    <w:p>
      <w:pPr>
        <w:ind w:left="180" w:right="200" w:firstLine="652"/>
        <w:spacing w:after="0" w:line="269" w:lineRule="auto"/>
        <w:tabs>
          <w:tab w:leader="none" w:pos="129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making a payment to that Treaty Lender has made a UK Borrower DTTP Filing in respect of that Treaty Lender but:</w:t>
      </w:r>
    </w:p>
    <w:p>
      <w:pPr>
        <w:spacing w:after="0" w:line="159" w:lineRule="exact"/>
        <w:rPr>
          <w:rFonts w:ascii="Times New Roman" w:cs="Times New Roman" w:eastAsia="Times New Roman" w:hAnsi="Times New Roman"/>
          <w:sz w:val="20"/>
          <w:szCs w:val="20"/>
          <w:color w:val="auto"/>
        </w:rPr>
      </w:pPr>
    </w:p>
    <w:p>
      <w:pPr>
        <w:ind w:left="1860" w:hanging="380"/>
        <w:spacing w:after="0"/>
        <w:tabs>
          <w:tab w:leader="none" w:pos="1860"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UK Borrower DTTP Filing has been rejected by HM Revenue &amp; Customs; or</w:t>
      </w:r>
    </w:p>
    <w:p>
      <w:pPr>
        <w:spacing w:after="0" w:line="215" w:lineRule="exact"/>
        <w:rPr>
          <w:rFonts w:ascii="Times New Roman" w:cs="Times New Roman" w:eastAsia="Times New Roman" w:hAnsi="Times New Roman"/>
          <w:sz w:val="20"/>
          <w:szCs w:val="20"/>
          <w:color w:val="auto"/>
        </w:rPr>
      </w:pPr>
    </w:p>
    <w:p>
      <w:pPr>
        <w:ind w:left="840" w:right="300" w:firstLine="640"/>
        <w:spacing w:after="0" w:line="269" w:lineRule="auto"/>
        <w:tabs>
          <w:tab w:leader="none" w:pos="1928"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HM Revenue &amp; Customs has not given the UK Borrower authority to make payments to that Treaty Lender without a UK Tax Deduction within 60 days of the date of the UK Borrower DTTP Filing,</w:t>
      </w:r>
    </w:p>
    <w:p>
      <w:pPr>
        <w:spacing w:after="0" w:line="159" w:lineRule="exact"/>
        <w:rPr>
          <w:sz w:val="20"/>
          <w:szCs w:val="20"/>
          <w:color w:val="auto"/>
        </w:rPr>
      </w:pPr>
    </w:p>
    <w:p>
      <w:pPr>
        <w:ind w:left="180" w:right="80"/>
        <w:spacing w:after="0" w:line="254" w:lineRule="auto"/>
        <w:rPr>
          <w:sz w:val="20"/>
          <w:szCs w:val="20"/>
          <w:color w:val="auto"/>
        </w:rPr>
      </w:pPr>
      <w:r>
        <w:rPr>
          <w:rFonts w:ascii="Times New Roman" w:cs="Times New Roman" w:eastAsia="Times New Roman" w:hAnsi="Times New Roman"/>
          <w:sz w:val="20"/>
          <w:szCs w:val="20"/>
          <w:color w:val="auto"/>
        </w:rPr>
        <w:t>and in each case, the UK Borrower has notified that Treaty Lender in writing, that Treaty Lender and the UK Borrower shall co-operate in completing any additional procedural formalities necessary for that UK Borrower to obtain authorisation to make that payment without a UK Tax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0120"/>
          </w:cols>
          <w:pgMar w:left="1440" w:top="1413" w:right="339" w:bottom="1440" w:gutter="0" w:footer="0" w:header="0"/>
        </w:sectPr>
      </w:pPr>
    </w:p>
    <w:bookmarkStart w:id="143" w:name="page144"/>
    <w:bookmarkEnd w:id="143"/>
    <w:p>
      <w:pPr>
        <w:ind w:left="320" w:right="60" w:firstLine="903"/>
        <w:spacing w:after="0" w:line="249" w:lineRule="auto"/>
        <w:tabs>
          <w:tab w:leader="none" w:pos="171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not confirmed its scheme reference number and jurisdiction of tax residence in accordance with (A) or (B) in paragraph (i) above, no Loan Party shall make a UK Borrower DTTP Filing or file any other form relating to the HMRC DT Treaty Passport scheme in respect of that Lender’s Commitment(s) or its participation in any Loan unless the Lender otherwise agrees;</w:t>
      </w:r>
    </w:p>
    <w:p>
      <w:pPr>
        <w:spacing w:after="0" w:line="179" w:lineRule="exact"/>
        <w:rPr>
          <w:rFonts w:ascii="Times New Roman" w:cs="Times New Roman" w:eastAsia="Times New Roman" w:hAnsi="Times New Roman"/>
          <w:sz w:val="20"/>
          <w:szCs w:val="20"/>
          <w:color w:val="auto"/>
        </w:rPr>
      </w:pPr>
    </w:p>
    <w:p>
      <w:pPr>
        <w:ind w:left="320" w:right="40" w:firstLine="903"/>
        <w:spacing w:after="0" w:line="269" w:lineRule="auto"/>
        <w:tabs>
          <w:tab w:leader="none" w:pos="165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shall, promptly on making a UK Borrower DTTP Filing, deliver a copy of that UK Borrower DTTP Filing to the Administrative Agent for delivery to the relevant Lender.</w:t>
      </w:r>
    </w:p>
    <w:p>
      <w:pPr>
        <w:spacing w:after="0" w:line="159" w:lineRule="exact"/>
        <w:rPr>
          <w:sz w:val="20"/>
          <w:szCs w:val="20"/>
          <w:color w:val="auto"/>
        </w:rPr>
      </w:pPr>
    </w:p>
    <w:p>
      <w:pPr>
        <w:ind w:left="1280"/>
        <w:spacing w:after="0"/>
        <w:tabs>
          <w:tab w:leader="none" w:pos="1640" w:val="left"/>
        </w:tabs>
        <w:rPr>
          <w:sz w:val="20"/>
          <w:szCs w:val="20"/>
          <w:color w:val="auto"/>
        </w:rPr>
      </w:pPr>
      <w:r>
        <w:rPr>
          <w:rFonts w:ascii="Times New Roman" w:cs="Times New Roman" w:eastAsia="Times New Roman" w:hAnsi="Times New Roman"/>
          <w:sz w:val="20"/>
          <w:szCs w:val="20"/>
          <w:color w:val="auto"/>
        </w:rPr>
        <w:t>(l)</w:t>
      </w:r>
      <w:r>
        <w:rPr>
          <w:sz w:val="20"/>
          <w:szCs w:val="20"/>
          <w:color w:val="auto"/>
        </w:rPr>
        <w:tab/>
      </w:r>
      <w:r>
        <w:rPr>
          <w:rFonts w:ascii="Times New Roman" w:cs="Times New Roman" w:eastAsia="Times New Roman" w:hAnsi="Times New Roman"/>
          <w:sz w:val="19"/>
          <w:szCs w:val="19"/>
          <w:color w:val="auto"/>
        </w:rPr>
        <w:t>A Revolving Lender which is a Qualifying Lender solely by virtue of clause (a)(ii) of the definition of Qualifying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94" w:lineRule="exact"/>
        <w:rPr>
          <w:sz w:val="20"/>
          <w:szCs w:val="20"/>
          <w:color w:val="auto"/>
        </w:rPr>
      </w:pPr>
    </w:p>
    <w:p>
      <w:pPr>
        <w:ind w:left="320" w:right="40" w:firstLine="903"/>
        <w:spacing w:after="0" w:line="246" w:lineRule="auto"/>
        <w:tabs>
          <w:tab w:leader="none" w:pos="161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wishes to lend to a UK Borrower and which is a party to this Agreement on the date on which that UK Borrower becomes a party to this Agreement pursuant to Section 2.20 shall give a Tax Confirmation to the Parent Borrower on or before the date on which the UK Borrower becomes a party to this Agreement or, if later, the date falling 5 Business Days after the Administrative Agent has notified the Lender that the UK Borrower has or will become a party to this Agreement in accordance with Section 2.20;</w:t>
      </w:r>
    </w:p>
    <w:p>
      <w:pPr>
        <w:spacing w:after="0" w:line="184" w:lineRule="exact"/>
        <w:rPr>
          <w:rFonts w:ascii="Times New Roman" w:cs="Times New Roman" w:eastAsia="Times New Roman" w:hAnsi="Times New Roman"/>
          <w:sz w:val="20"/>
          <w:szCs w:val="20"/>
          <w:color w:val="auto"/>
        </w:rPr>
      </w:pPr>
    </w:p>
    <w:p>
      <w:pPr>
        <w:jc w:val="both"/>
        <w:ind w:left="320" w:right="180" w:firstLine="903"/>
        <w:spacing w:after="0" w:line="254" w:lineRule="auto"/>
        <w:tabs>
          <w:tab w:leader="none" w:pos="166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wishes to lend to a UK Borrower and which becomes a party to this Agreement after the date on which that UK Borrower has become a party to this Agreement pursuant to Section 2.20 shall give a Tax Confirmation to the Parent Borrower on or before the date on which it becomes a party to this Agreement; and</w:t>
      </w:r>
    </w:p>
    <w:p>
      <w:pPr>
        <w:spacing w:after="0" w:line="174" w:lineRule="exact"/>
        <w:rPr>
          <w:rFonts w:ascii="Times New Roman" w:cs="Times New Roman" w:eastAsia="Times New Roman" w:hAnsi="Times New Roman"/>
          <w:sz w:val="20"/>
          <w:szCs w:val="20"/>
          <w:color w:val="auto"/>
        </w:rPr>
      </w:pPr>
    </w:p>
    <w:p>
      <w:pPr>
        <w:ind w:left="1720" w:hanging="497"/>
        <w:spacing w:after="0"/>
        <w:tabs>
          <w:tab w:leader="none" w:pos="1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promptly notify the Parent Borrower if there is any change in the position from that set out in its Tax</w:t>
      </w:r>
    </w:p>
    <w:p>
      <w:pPr>
        <w:spacing w:after="0" w:line="21"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w:t>
      </w:r>
    </w:p>
    <w:p>
      <w:pPr>
        <w:spacing w:after="0" w:line="194"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2.18</w:t>
      </w:r>
      <w:r>
        <w:rPr>
          <w:sz w:val="20"/>
          <w:szCs w:val="20"/>
          <w:color w:val="auto"/>
        </w:rPr>
        <w:tab/>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1" w:lineRule="auto"/>
        <w:tabs>
          <w:tab w:leader="none" w:pos="171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(on behalf of itself and the Foreign Subsidiary Borrowers) shall make each payment (other than any payment in respect of the principal or interest on, or the fronting fee with respect to, the Foreign Currency Loans or reimbursement of LC Disbursements made in LC Foreign Currencies) required to be made by it hereunder or under any other Loan Document (whether of principal, interest or fees or reimbursement of LC Disbursements, or of amounts payable under Section 2.15, 2.16 or 2.17, or otherwise), on or before the time expressly required hereunder or under such other Loan Document for such payment (or, if no such time is expressly required, prior to 12:00 noon, New York City time), on the date when due, in immediately available funds, without set-off or counterclaim. The Parent Borrower (on behalf of itself and the Foreign Subsidiary Borrowers) shall make each payment in respect of the principal or interest on, or the fronting fee with respect to, the Foreign Currency Loans or reimbursement of LC Disbursements made in LC Foreign Currencies, in each case, required to be made by it hereunder or under any other Loan Document, on or before the time expressly required hereunder or under such other Loan Document for such payment (or, if no such time is expressly required, prior to the time for payment for the relevant currency set forth on the Administrative Schedule),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(other than payments on account of principal or interest on, or the fronting fee with respect to, Foreign Currency Loans and reimbursements of LC Disbursements made in LC Foreign Currencies) shall be made to the Administrative Agent at its offices at 383 Madison Avenue, New York,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0880"/>
          </w:cols>
          <w:pgMar w:left="660" w:top="1413" w:right="359" w:bottom="1440" w:gutter="0" w:footer="0" w:header="0"/>
        </w:sectPr>
      </w:pPr>
    </w:p>
    <w:bookmarkStart w:id="144" w:name="page145"/>
    <w:bookmarkEnd w:id="144"/>
    <w:p>
      <w:pPr>
        <w:spacing w:after="0" w:line="254" w:lineRule="auto"/>
        <w:rPr>
          <w:sz w:val="20"/>
          <w:szCs w:val="20"/>
          <w:color w:val="auto"/>
        </w:rPr>
      </w:pPr>
      <w:r>
        <w:rPr>
          <w:rFonts w:ascii="Times New Roman" w:cs="Times New Roman" w:eastAsia="Times New Roman" w:hAnsi="Times New Roman"/>
          <w:sz w:val="19"/>
          <w:szCs w:val="19"/>
          <w:color w:val="auto"/>
        </w:rPr>
        <w:t>York (or such other office as notified by the Administrative Agent to the Parent Borrower in writing), except that payments to be made directly to the Issuing Bank or Swingline Lenders as expressly provided herein shall be so made and except that payments pursuant to Sections 2.15, 2.16, 2.17 and 10.03 shall be made directly to the Persons entitled thereto and payments pursuant to other Loan Documents shall be made to the Persons specified therein. All payments on account of principal or interest on, or the fronting fee with respect to, Foreign Currency Loans and reimbursements of LC Disbursements made in LC Foreign Currencies shall be made to the Administrative Agent, for the account of the applicable Foreign Currency Lenders (or, with respect to the fronting fee, the Fronting Lender) at the office set forth on the Administrative Schedule.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Subject to Section 9.01, all payments (including prepayments) to be made by the Parent Borrower (on behalf of itself and the Foreign Subsidiary Borrowers) hereunder and under each other Loan Document, whether on account of principal, interest, fees or otherwise (other than payments in respect of the principal or interest on, or the fronting fee with respect to, the Foreign Currency Loans or reimbursement of LC Disbursements made in LC Foreign Currencies) shall be made in dollars. Subject to Section 9.01 and other than as set forth in Section 2.05 or Section 2.24(d), all payments (including prepayments) to be made by the Parent Borrower (on behalf of itself and the Foreign Subsidiary Borrowers) hereunder or under each other Loan Document on account of principal or interest on, or the fronting fee with respect to, the Foreign Currency Loans and reimbursements of LC Disbursements made in LC Foreign Currencies shall be made in the relevant Foreign Currency. To the extent prohibited by applicable law, as described in the definition of “Excluded Swap Obligation,” no amounts received from, or set off with respect to, any Loan Party shall be applied to any Excluded Swap Obligations of such Loan Party.</w:t>
      </w:r>
    </w:p>
    <w:p>
      <w:pPr>
        <w:spacing w:after="0" w:line="183" w:lineRule="exact"/>
        <w:rPr>
          <w:sz w:val="20"/>
          <w:szCs w:val="20"/>
          <w:color w:val="auto"/>
        </w:rPr>
      </w:pPr>
    </w:p>
    <w:p>
      <w:pPr>
        <w:ind w:right="20" w:firstLine="1288"/>
        <w:spacing w:after="0" w:line="245" w:lineRule="auto"/>
        <w:tabs>
          <w:tab w:leader="none" w:pos="17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4" w:lineRule="exact"/>
        <w:rPr>
          <w:rFonts w:ascii="Times New Roman" w:cs="Times New Roman" w:eastAsia="Times New Roman" w:hAnsi="Times New Roman"/>
          <w:sz w:val="20"/>
          <w:szCs w:val="20"/>
          <w:color w:val="auto"/>
        </w:rPr>
      </w:pPr>
    </w:p>
    <w:p>
      <w:pPr>
        <w:ind w:firstLine="1288"/>
        <w:spacing w:after="0" w:line="242" w:lineRule="auto"/>
        <w:tabs>
          <w:tab w:leader="none" w:pos="171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Parent Borrower or any Foreign Subsidiary Borrower pursuant to and in accordance with the express terms of this Agreement or any payment obtained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900"/>
          </w:cols>
          <w:pgMar w:left="660" w:top="1413" w:right="339" w:bottom="1440" w:gutter="0" w:footer="0" w:header="0"/>
        </w:sectPr>
      </w:pPr>
    </w:p>
    <w:bookmarkStart w:id="145" w:name="page146"/>
    <w:bookmarkEnd w:id="145"/>
    <w:p>
      <w:pPr>
        <w:ind w:right="20"/>
        <w:spacing w:after="0" w:line="244" w:lineRule="auto"/>
        <w:rPr>
          <w:sz w:val="20"/>
          <w:szCs w:val="20"/>
          <w:color w:val="auto"/>
        </w:rPr>
      </w:pPr>
      <w:r>
        <w:rPr>
          <w:rFonts w:ascii="Times New Roman" w:cs="Times New Roman" w:eastAsia="Times New Roman" w:hAnsi="Times New Roman"/>
          <w:sz w:val="20"/>
          <w:szCs w:val="20"/>
          <w:color w:val="auto"/>
        </w:rPr>
        <w:t>Lender as consideration for the assignment of or sale of a participation in any of its Loans or participations in LC Disbursements to any assignee or participant, other than to the Parent Borrower or any Subsidiary or Affiliate thereof (as to which the provisions of this paragraph shall apply). The Parent Borrower and each Foreign Subsidiary Borrower consents to the foregoing and agrees, to the extent it may effectively do so under applicable law, that any Lender acquiring a participation pursuant to the foregoing arrangements may exercise against the Parent Borrower or any Foreign Subsidiary Borrower, as the case may be, rights of set-off and counterclaim with respect to such participation as fully as if such Lender were a direct creditor of the Parent Borrower or such Foreign Subsidiary Borrower in the amount of such participation.</w:t>
      </w:r>
    </w:p>
    <w:p>
      <w:pPr>
        <w:spacing w:after="0" w:line="186" w:lineRule="exact"/>
        <w:rPr>
          <w:sz w:val="20"/>
          <w:szCs w:val="20"/>
          <w:color w:val="auto"/>
        </w:rPr>
      </w:pPr>
    </w:p>
    <w:p>
      <w:pPr>
        <w:ind w:firstLine="1288"/>
        <w:spacing w:after="0" w:line="241" w:lineRule="auto"/>
        <w:tabs>
          <w:tab w:leader="none" w:pos="17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Parent Borrower (on behalf of itself and the Foreign Subsidiary Borrowers) prior to the date on which any payment hereunder is due to (a) the Administrative Agent for the account of the Lenders or the Issuing Bank or (b) the Administrative Agent for the account of the Foreign Currency Lenders, the Fronting Lender or the Issuing Bank that the Parent Borrower or any Foreign Subsidiary Borrower, as the case may be, will not make such payment, the Administrative Agent, as applicable, may assume that the Parent Borrower or such Foreign Subsidiary Borrower, as the case may be, has made such payment on such date in accordance herewith and may, in reliance upon such assumption, distribute to the Lenders, the Foreign Currency Lenders, the Fronting Lender or the Issuing Bank, as the case may be, the amount due. In such event, if the Parent Borrower or such Foreign Subsidiary Borrower, as the case may be, has not in fact made such payment due to (i) the Administrative Agent,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or (ii) the Administrative Agent, then each of the Foreign Currency Lenders, the Fronting Lender or the Issuing Bank, as the case may be, severally agrees to repay to the Administrative Agent forthwith on demand the amount so distributed to such Foreign Currency Lenders, Fronting Lender or Issuing Bank with interest thereon, for each day from and including the date such amount is distributed to it to but excluding the date of payment to the Administrative Agent, at a rate determined by the Administrative Agent in accordance with banking industry rules on interbank compensation.</w:t>
      </w:r>
    </w:p>
    <w:p>
      <w:pPr>
        <w:spacing w:after="0" w:line="191" w:lineRule="exact"/>
        <w:rPr>
          <w:rFonts w:ascii="Times New Roman" w:cs="Times New Roman" w:eastAsia="Times New Roman" w:hAnsi="Times New Roman"/>
          <w:sz w:val="20"/>
          <w:szCs w:val="20"/>
          <w:color w:val="auto"/>
        </w:rPr>
      </w:pPr>
    </w:p>
    <w:p>
      <w:pPr>
        <w:jc w:val="both"/>
        <w:ind w:right="100" w:firstLine="1288"/>
        <w:spacing w:after="0" w:line="249" w:lineRule="auto"/>
        <w:tabs>
          <w:tab w:leader="none" w:pos="171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Section 2.04(d), 2.05(d) or (e), 2.06(b), 2.18(d) or 10.03(d),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0"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2.19</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4" w:lineRule="auto"/>
        <w:tabs>
          <w:tab w:leader="none" w:pos="171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requests compensation under Section 2.15, or if the Parent Borrower or any Foreign Subsidiary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Parent Borrower (on behalf of itself and the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0880"/>
          </w:cols>
          <w:pgMar w:left="660" w:top="1413" w:right="359" w:bottom="1440" w:gutter="0" w:footer="0" w:header="0"/>
        </w:sectPr>
      </w:pPr>
    </w:p>
    <w:bookmarkStart w:id="146" w:name="page147"/>
    <w:bookmarkEnd w:id="146"/>
    <w:p>
      <w:pPr>
        <w:ind w:left="340" w:right="300"/>
        <w:spacing w:after="0" w:line="269" w:lineRule="auto"/>
        <w:rPr>
          <w:sz w:val="20"/>
          <w:szCs w:val="20"/>
          <w:color w:val="auto"/>
        </w:rPr>
      </w:pPr>
      <w:r>
        <w:rPr>
          <w:rFonts w:ascii="Times New Roman" w:cs="Times New Roman" w:eastAsia="Times New Roman" w:hAnsi="Times New Roman"/>
          <w:sz w:val="20"/>
          <w:szCs w:val="20"/>
          <w:color w:val="auto"/>
        </w:rPr>
        <w:t>Borrowers) hereby agrees to pay all reasonable costs and expenses incurred by any Lender in connection with any such designation or assignment.</w:t>
      </w:r>
    </w:p>
    <w:p>
      <w:pPr>
        <w:spacing w:after="0" w:line="159" w:lineRule="exact"/>
        <w:rPr>
          <w:sz w:val="20"/>
          <w:szCs w:val="20"/>
          <w:color w:val="auto"/>
        </w:rPr>
      </w:pPr>
    </w:p>
    <w:p>
      <w:pPr>
        <w:ind w:left="340" w:firstLine="1288"/>
        <w:spacing w:after="0" w:line="241" w:lineRule="auto"/>
        <w:tabs>
          <w:tab w:leader="none" w:pos="206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Section 2.15, or if the Parent Borrower or any Foreign Subsidiary Borrower is required to pay any additional amount to any Lender or any Governmental Authority for the account of any Lender pursuant to Section 2.17, or if any Lender defaults in its obligation to fund Loans hereunder (or, in the case of a Revolving Lender, becomes a Defaulting Lender), then the Parent Borrower (on behalf of itself and the Foreign Subsidiary Borrowers) may, at its sole expense and effort, upon notice to such Lender and the Administrative Agent, require such Lender to assign and delegate, without recourse (in accordance with and subject to the restrictions contained in Section 10.04), all its interests, rights and obligations under this Agreement to an assignee selected by the Parent Borrower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Parent Borrower (on behalf of itself and the Foreign Subsidiary Borrowers) shall have received the prior written consent of the Administrative Agent, the Issuing Bank and Swingline Lenders,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Parent Borrower and the Foreign Subsidiary Borrowers (in the case of all other amounts) and (iii) in the case of any such assignment resulting from a claim for compensation under Section 2.15 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Parent Borrower or any Foreign Subsidiary Borrower to require such assignment and delegation cease to apply.</w:t>
      </w:r>
    </w:p>
    <w:p>
      <w:pPr>
        <w:spacing w:after="0" w:line="192" w:lineRule="exact"/>
        <w:rPr>
          <w:sz w:val="20"/>
          <w:szCs w:val="20"/>
          <w:color w:val="auto"/>
        </w:rPr>
      </w:pPr>
    </w:p>
    <w:p>
      <w:pPr>
        <w:ind w:right="40" w:firstLine="1296"/>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2.20 Designation of Foreign Subsidiary Borrowers</w:t>
      </w:r>
      <w:r>
        <w:rPr>
          <w:rFonts w:ascii="Times New Roman" w:cs="Times New Roman" w:eastAsia="Times New Roman" w:hAnsi="Times New Roman"/>
          <w:sz w:val="20"/>
          <w:szCs w:val="20"/>
          <w:color w:val="auto"/>
        </w:rPr>
        <w:t>. The Parent Borrower may at any time and from time to time, with the prior consent of the Administrative Agent (such consent not to be unreasonably withheld or delayed), designate any Foreign Subsidiary as a Foreign Subsidiary Borrower, by delivery to the Administrative Agent of a Foreign Subsidiary Borrowing Agreement executed by such Foreign Subsidiary and the Parent Borrower, and upon such consent and such delivery (together with the delivery of the applicable Foreign Security Documents and the satisfaction of the Foreign Security Collateral and Guarantee Requirement), such Foreign Subsidiary shall for all purposes of this Agreement and the other Loan Documents be a Foreign Subsidiary Borrower until the Parent Borrower shall terminate such designation pursuant to a termination agreement satisfactory to the Administrative Agent, whereupon such Foreign Subsidiary shall cease to be a Foreign Subsidiary Borrower and a party to this Agreement and any other applicable Loan Documents. Notwithstanding the preceding sentence, but subject to Section 10.04(a), no such termination will become effective as to any Foreign Subsidiary Borrower at a time when any principal of or interest on any Loan to such Foreign Subsidiary Borrower is outstanding. The Administrative Agent shall notify the Revolving Lenders at least five Business Days prior to granting such consent and, if any Revolving Lender notifies the Administrative Agent within five Business Days that it is not permitted by applicable requirements of law or any of its organizational policies to make Revolving Loans to, or participate in Letters of Credit for the account of, the relevant Foreign Subsidiary, shall withhold such consent or shall give such consent only upon effecting changes to the provisions of this Article II as are contemplated by paragraph (b) of this Section 2.20 that will ensure that such Revolving Lender is not required to make Revolving Loans to, or participate in Letters of Credit for the account of, such Foreign Subsidiary. As soon as practicable upon receipt of a Foreign Subsidiary Borrowing Agreement, the Administrative Agent shall send a copy thereof to each Lender.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47" w:name="page148"/>
    <w:bookmarkEnd w:id="147"/>
    <w:p>
      <w:pPr>
        <w:ind w:left="8" w:firstLine="1288"/>
        <w:spacing w:after="0" w:line="257" w:lineRule="auto"/>
        <w:tabs>
          <w:tab w:leader="none" w:pos="1721"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accommodate (i) the designation of a Foreign Subsidiary as a Foreign Subsidiary Borrower or (ii) extensions of credit to a Foreign Subsidiary Borrower, in each case, where one or more Revolving Lenders are able and willing to lend Revolving Loans to, and participate in Letters of Credit issued for the account of, such Foreign Subsidiary, but other Revolving Lenders are not so able and willing, the Administrative Agent shall be permitted, with the consent of the Parent Borrower, to effect such changes to the provisions of this Article II as it reasonably believes are appropriate in order for such provisions to operate in a customary and usual manner for “multiple-currency” syndicated lending agreements to a limited liability company and certain of its foreign subsidiaries, all with the intention of providing procedures for the Revolving Lenders who are so able and willing to extend credit to such Foreign Subsidiaries and for the other Revolving Lenders not to be required to do so. Prior to effecting any such changes, the Administrative Agent shall give all Revolving Lenders at least three Business Days’ notice thereof and an opportunity to comment thereon.</w:t>
      </w:r>
    </w:p>
    <w:p>
      <w:pPr>
        <w:spacing w:after="0" w:line="176" w:lineRule="exact"/>
        <w:rPr>
          <w:sz w:val="20"/>
          <w:szCs w:val="20"/>
          <w:color w:val="auto"/>
        </w:rPr>
      </w:pPr>
    </w:p>
    <w:p>
      <w:pPr>
        <w:ind w:left="968"/>
        <w:spacing w:after="0"/>
        <w:tabs>
          <w:tab w:leader="none" w:pos="2388" w:val="left"/>
        </w:tabs>
        <w:rPr>
          <w:sz w:val="20"/>
          <w:szCs w:val="20"/>
          <w:color w:val="auto"/>
        </w:rPr>
      </w:pPr>
      <w:r>
        <w:rPr>
          <w:rFonts w:ascii="Times New Roman" w:cs="Times New Roman" w:eastAsia="Times New Roman" w:hAnsi="Times New Roman"/>
          <w:sz w:val="20"/>
          <w:szCs w:val="20"/>
          <w:u w:val="single" w:color="auto"/>
          <w:color w:val="auto"/>
        </w:rPr>
        <w:t>SECTION 2.21</w:t>
      </w:r>
      <w:r>
        <w:rPr>
          <w:sz w:val="20"/>
          <w:szCs w:val="20"/>
          <w:color w:val="auto"/>
        </w:rPr>
        <w:tab/>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8" w:right="60" w:firstLine="1288"/>
        <w:spacing w:after="0" w:line="256" w:lineRule="auto"/>
        <w:tabs>
          <w:tab w:leader="none" w:pos="1718"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Parent Borrower may on one or more occasions, by written notice to the Administrative Agent, request, during the Revolving Availability Period, the establishment of Incremental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(and after giving effect to) the establishment of any Incremental Revolving Commitments, the aggregate amount of all Incremental Revolving Commitments established pursuant to this Section 2.21, together with the aggregate amount of all Incremental Equivalent Debt previously (or substantially simultaneously) incurred pursuant to Section 6.01(a)(xx), shall not exceed the sum of (A) $200,000,000 and</w:t>
      </w:r>
    </w:p>
    <w:p>
      <w:pPr>
        <w:spacing w:after="0" w:line="4" w:lineRule="exact"/>
        <w:rPr>
          <w:rFonts w:ascii="Times New Roman" w:cs="Times New Roman" w:eastAsia="Times New Roman" w:hAnsi="Times New Roman"/>
          <w:sz w:val="19"/>
          <w:szCs w:val="19"/>
          <w:color w:val="auto"/>
        </w:rPr>
      </w:pPr>
    </w:p>
    <w:p>
      <w:pPr>
        <w:ind w:left="8" w:right="20" w:hanging="8"/>
        <w:spacing w:after="0" w:line="252" w:lineRule="auto"/>
        <w:tabs>
          <w:tab w:leader="none" w:pos="321"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such that, after giving effect to the making of such Incremental Revolving Commitments (and assuming any such Incremental Revolving Commitments are fully drawn) and the making of any other Indebtedness incurred substantially simultaneously therewith, the Senior Secured Net Leverage Ratio, calculated on a pro forma basis, is no greater than 3.00 to 1.00 (it being understood that (i) the Parent Borrower may incur Incremental Revolving Commitments under clause (B) prior to incurring Incremental Revolving Commitments under clause (A) and (ii) if the Parent Borrower incurs Incremental Revolving Commitments under clause (A) and/or Incremental Equivalent Debt under clause (A)(1) of Section 6.01(a)(xx) on the same date that it incurs Incremental Revolving Commitments under clause (B), then the Senior Secured Net Leverage Ratio for purposes of clause (B) will be calculated without giving regard to any incurrence on such date of Incremental Revolving Commitments under clause (A) or Incremental Equivalent Debt under clause (A)(1) of Section 6.01(a)(xx)). Each such notice shall specify (1) the date on which the Parent Borrower proposes that the Incremental Revolving Commitments shall be effective, which shall be a date not less than 10 Business Days (or such shorter period as may be agreed to by the Administrative Agent) after the date on which such notice is delivered to the Administrative Agent, and (2) the amount of the Incremental Revolving Commitments being requested (it being agreed that (x) any Lender approached to provide any Incremental Revolving Commitment may elect or decline, in its sole discretion, to provide such Incremental Revolving Commitment and</w:t>
      </w:r>
    </w:p>
    <w:p>
      <w:pPr>
        <w:spacing w:after="0" w:line="1" w:lineRule="exact"/>
        <w:rPr>
          <w:rFonts w:ascii="Times New Roman" w:cs="Times New Roman" w:eastAsia="Times New Roman" w:hAnsi="Times New Roman"/>
          <w:sz w:val="19"/>
          <w:szCs w:val="19"/>
          <w:color w:val="auto"/>
        </w:rPr>
      </w:pPr>
    </w:p>
    <w:p>
      <w:pPr>
        <w:ind w:left="8" w:right="7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any Person that the Parent Borrower proposes to become an Incremental Lender, if such Person is not then a Lender, must be reasonably acceptable to the Administrative Agent, the Issuing Bank and the Swingline Lenders).</w:t>
      </w:r>
    </w:p>
    <w:p>
      <w:pPr>
        <w:spacing w:after="0" w:line="181" w:lineRule="exact"/>
        <w:rPr>
          <w:rFonts w:ascii="Times New Roman" w:cs="Times New Roman" w:eastAsia="Times New Roman" w:hAnsi="Times New Roman"/>
          <w:sz w:val="19"/>
          <w:szCs w:val="19"/>
          <w:color w:val="auto"/>
        </w:rPr>
      </w:pPr>
    </w:p>
    <w:p>
      <w:pPr>
        <w:jc w:val="both"/>
        <w:ind w:left="8" w:right="160" w:firstLine="1288"/>
        <w:spacing w:after="0" w:line="254" w:lineRule="auto"/>
        <w:tabs>
          <w:tab w:leader="none" w:pos="1729"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any Incremental Revolving Commitment and Loans and other extensions of credit to be made thereunder shall be identical to those of any then existing Class of Revolving Commitments and Loans and other extensions of credit made thereunder, and shall be treated as a single Class with such Revolving Commitments and Loans.</w:t>
      </w:r>
    </w:p>
    <w:p>
      <w:pPr>
        <w:spacing w:after="0" w:line="174" w:lineRule="exact"/>
        <w:rPr>
          <w:rFonts w:ascii="Times New Roman" w:cs="Times New Roman" w:eastAsia="Times New Roman" w:hAnsi="Times New Roman"/>
          <w:sz w:val="20"/>
          <w:szCs w:val="20"/>
          <w:color w:val="auto"/>
        </w:rPr>
      </w:pPr>
    </w:p>
    <w:p>
      <w:pPr>
        <w:ind w:left="8" w:right="20" w:firstLine="1288"/>
        <w:spacing w:after="0" w:line="269" w:lineRule="auto"/>
        <w:tabs>
          <w:tab w:leader="none" w:pos="171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Commitments shall be effected pursuant to one or more Incremental Facility Agreements executed and delivered by Holdings, the Parent Borrower,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0888"/>
          </w:cols>
          <w:pgMar w:left="652" w:top="1413" w:right="359" w:bottom="1440" w:gutter="0" w:footer="0" w:header="0"/>
        </w:sectPr>
      </w:pPr>
    </w:p>
    <w:bookmarkStart w:id="148" w:name="page149"/>
    <w:bookmarkEnd w:id="148"/>
    <w:p>
      <w:pPr>
        <w:spacing w:after="0" w:line="255" w:lineRule="auto"/>
        <w:rPr>
          <w:sz w:val="20"/>
          <w:szCs w:val="20"/>
          <w:color w:val="auto"/>
        </w:rPr>
      </w:pPr>
      <w:r>
        <w:rPr>
          <w:rFonts w:ascii="Times New Roman" w:cs="Times New Roman" w:eastAsia="Times New Roman" w:hAnsi="Times New Roman"/>
          <w:sz w:val="19"/>
          <w:szCs w:val="19"/>
          <w:color w:val="auto"/>
        </w:rPr>
        <w:t xml:space="preserve">Incremental Lender providing such Incremental Commitments and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in all material respects (and in all respects if any such representation or warranty is already qualified by materiality or “material adverse effect”) on and as of such date, (iii) after giving effect to such Incremental Commitments and the making of Loans and other extensions of credit thereunder to be made on the date of effectiveness thereof (and assuming in the case of any Incremental Revolving Commitments to be made on the date of effectiveness thereof that such Incremental Revolving Commitments are fully drawn), Holdings and the Parent Borrower shall be in pro forma compliance with the financial covenants set forth in Sections 6.12 and 6.13, (iv) the Parent Borrower shall make any payments required to be made pursuant to Section 2.16 in connection with such Incremental Commitments and the related transactions under this Section, and (v) the other conditions, if any, set forth in the applicable Incremental Facility Agreement are satisfied. Each Incremental Facility Agreement may, without the consent of any Lender, effect such amendments to this Agreement and the other Loan Documents as may be necessary or appropriate, in the opinion of the Administrative Agent, to give effect to the provisions of this Section.</w:t>
      </w:r>
    </w:p>
    <w:p>
      <w:pPr>
        <w:spacing w:after="0" w:line="179" w:lineRule="exact"/>
        <w:rPr>
          <w:sz w:val="20"/>
          <w:szCs w:val="20"/>
          <w:color w:val="auto"/>
        </w:rPr>
      </w:pPr>
    </w:p>
    <w:p>
      <w:pPr>
        <w:ind w:right="20" w:firstLine="1288"/>
        <w:spacing w:after="0" w:line="242" w:lineRule="auto"/>
        <w:tabs>
          <w:tab w:leader="none" w:pos="17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an Incremental Commitment of any Incremental Lender, (i) such Incremental Lender shall be deemed to be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a Lender in respect of the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(A) such Incremental Revolving Commitment shall constitute (or, in the event such Incremental Lender already has a Revolving Commitment, shall increase) the Revolving Commitment of such Incremental Lender and (B) the total Revolving Commitments shall be increased by the amount of such Incremental Revolving Commitment, in each case, subject to further increase or reduction from time to time as set forth in the definition of the term “</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spacing w:after="0" w:line="189" w:lineRule="exact"/>
        <w:rPr>
          <w:rFonts w:ascii="Times New Roman" w:cs="Times New Roman" w:eastAsia="Times New Roman" w:hAnsi="Times New Roman"/>
          <w:sz w:val="20"/>
          <w:szCs w:val="20"/>
          <w:color w:val="auto"/>
        </w:rPr>
      </w:pPr>
    </w:p>
    <w:p>
      <w:pPr>
        <w:ind w:right="80" w:firstLine="1288"/>
        <w:spacing w:after="0" w:line="244" w:lineRule="auto"/>
        <w:tabs>
          <w:tab w:leader="none" w:pos="171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effectiveness of any Incremental Revolving Commitments, each Revolving Lender shall assign to each Incremental Revolving Lender holding such Incremental Revolving Commitment, and each such Incremental Revolving Lender shall purchase from each Revolving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ratably in accordance with their Applicable Percentages after giving effect to the effectiveness of such Incremental Revolving Commitment.</w:t>
      </w:r>
    </w:p>
    <w:p>
      <w:pPr>
        <w:spacing w:after="0" w:line="185" w:lineRule="exact"/>
        <w:rPr>
          <w:rFonts w:ascii="Times New Roman" w:cs="Times New Roman" w:eastAsia="Times New Roman" w:hAnsi="Times New Roman"/>
          <w:sz w:val="20"/>
          <w:szCs w:val="20"/>
          <w:color w:val="auto"/>
        </w:rPr>
      </w:pPr>
    </w:p>
    <w:p>
      <w:pPr>
        <w:ind w:left="1680" w:hanging="392"/>
        <w:spacing w:after="0"/>
        <w:tabs>
          <w:tab w:leader="none" w:pos="16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300" w:firstLine="1288"/>
        <w:spacing w:after="0" w:line="254" w:lineRule="auto"/>
        <w:tabs>
          <w:tab w:leader="none" w:pos="172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notify the Lenders promptly upon receipt by the Administrative Agent of any notice from the Parent Borrower referred to in paragraph (a) above and of the effectiveness of any Incremental Commitments, in each case advising the Lenders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0880"/>
          </w:cols>
          <w:pgMar w:left="660" w:top="1413" w:right="359" w:bottom="1440" w:gutter="0" w:footer="0" w:header="0"/>
        </w:sectPr>
      </w:pPr>
    </w:p>
    <w:bookmarkStart w:id="149" w:name="page150"/>
    <w:bookmarkEnd w:id="149"/>
    <w:p>
      <w:pPr>
        <w:ind w:left="340" w:right="640"/>
        <w:spacing w:after="0" w:line="269" w:lineRule="auto"/>
        <w:rPr>
          <w:sz w:val="20"/>
          <w:szCs w:val="20"/>
          <w:color w:val="auto"/>
        </w:rPr>
      </w:pPr>
      <w:r>
        <w:rPr>
          <w:rFonts w:ascii="Times New Roman" w:cs="Times New Roman" w:eastAsia="Times New Roman" w:hAnsi="Times New Roman"/>
          <w:sz w:val="20"/>
          <w:szCs w:val="20"/>
          <w:color w:val="auto"/>
        </w:rPr>
        <w:t>details thereof and, in the case of effectiveness of any Incremental Revolving Commitments, of the Applicable Percentages of the Revolving Lenders after giving effect thereto and of the assignments required to be made pursuant to paragraph (e) above.</w:t>
      </w:r>
    </w:p>
    <w:p>
      <w:pPr>
        <w:spacing w:after="0" w:line="159"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2.22 Defaulting Lenders</w:t>
      </w:r>
      <w:r>
        <w:rPr>
          <w:rFonts w:ascii="Times New Roman" w:cs="Times New Roman" w:eastAsia="Times New Roman" w:hAnsi="Times New Roman"/>
          <w:sz w:val="20"/>
          <w:szCs w:val="20"/>
          <w:color w:val="auto"/>
        </w:rPr>
        <w:t>. Notwithstanding any provision of this Agreement to the contrary, if any Revolving Lender becomes a Defaulting Lender, then the following provisions shall apply for so long as such Lender is a Defaulting Lender:</w:t>
      </w:r>
    </w:p>
    <w:p>
      <w:pPr>
        <w:spacing w:after="0" w:line="159" w:lineRule="exact"/>
        <w:rPr>
          <w:sz w:val="20"/>
          <w:szCs w:val="20"/>
          <w:color w:val="auto"/>
        </w:rPr>
      </w:pPr>
    </w:p>
    <w:p>
      <w:pPr>
        <w:ind w:left="340" w:right="580" w:firstLine="1288"/>
        <w:spacing w:after="0" w:line="269" w:lineRule="auto"/>
        <w:tabs>
          <w:tab w:leader="none" w:pos="205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unfunded portion of the Revolving Commitment of such Defaulting Lender pursuant to Section 2.12(a).</w:t>
      </w:r>
    </w:p>
    <w:p>
      <w:pPr>
        <w:spacing w:after="0" w:line="159" w:lineRule="exact"/>
        <w:rPr>
          <w:rFonts w:ascii="Times New Roman" w:cs="Times New Roman" w:eastAsia="Times New Roman" w:hAnsi="Times New Roman"/>
          <w:sz w:val="20"/>
          <w:szCs w:val="20"/>
          <w:color w:val="auto"/>
        </w:rPr>
      </w:pPr>
    </w:p>
    <w:p>
      <w:pPr>
        <w:ind w:left="340" w:right="240" w:firstLine="1288"/>
        <w:spacing w:after="0" w:line="244" w:lineRule="auto"/>
        <w:tabs>
          <w:tab w:leader="none" w:pos="206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Commitment and Revolving Credit Exposure of such Defaulting Lender shall not be included in determining whether the requisite Lenders have taken or may take any action hereunder or under any other Loan Document (including any consent to any amendment or waiver pursuant to Section 10.02);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Commitment of a Defaulting Lender may be increased or extended without such Defaulting Lender’s consent, (ii) no waiver, amendment or other modification may reduce the amount of principal owing to a Defaulting Lender without such Defaulting Lender’s consent and (iii) any waiver, amendment or other modification requiring the consent of all Lenders or each affected Lender which affects such Defaulting Lender differently than other affected Lenders shall require the consent of such Defaulting Lender.</w:t>
      </w:r>
    </w:p>
    <w:p>
      <w:pPr>
        <w:spacing w:after="0" w:line="185" w:lineRule="exact"/>
        <w:rPr>
          <w:rFonts w:ascii="Times New Roman" w:cs="Times New Roman" w:eastAsia="Times New Roman" w:hAnsi="Times New Roman"/>
          <w:sz w:val="20"/>
          <w:szCs w:val="20"/>
          <w:color w:val="auto"/>
        </w:rPr>
      </w:pPr>
    </w:p>
    <w:p>
      <w:pPr>
        <w:ind w:left="340" w:right="20" w:firstLine="1288"/>
        <w:spacing w:after="0" w:line="242" w:lineRule="auto"/>
        <w:tabs>
          <w:tab w:leader="none" w:pos="205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or any Foreign Currency Loans are outstanding at the time a Revolving Lender becomes a Defaulting Lender then (i) all or any part of such Swingline Exposure, LC Exposure and Foreign Currency Participating Interest of such Defaulting Lender (other than the portion of such Swingline Exposure referred to in clause (b) of the definition of such term) shall be reallocated among the Revolving Lenders that are Non-Defaulting Lenders in accordance with their respective Applicable Percentages but only to the extent (x) the sum of a Non-Defaulting Lenders’ Revolving Exposures plus such Defaulting Lender’s Swingline Exposure, LC Exposure and Foreign Currency Participating Interest does not exceed such Non-Defaulting Lenders’ Revolving Commitments and (y) the conditions set forth in Section 4.02 are satisfied at such time. In the case of any such reallocation, the fees payable to the Revolving Lenders pursuant to Section 2.12(a) and Section 2.12(b)(i) and the Foreign Currency Loan Participants pursuant to Section 2.12(e) shall be adjusted in accordance with such Non-Defaulting Lenders’ Applicable Percentages.</w:t>
      </w:r>
    </w:p>
    <w:p>
      <w:pPr>
        <w:spacing w:after="0" w:line="192" w:lineRule="exact"/>
        <w:rPr>
          <w:rFonts w:ascii="Times New Roman" w:cs="Times New Roman" w:eastAsia="Times New Roman" w:hAnsi="Times New Roman"/>
          <w:sz w:val="20"/>
          <w:szCs w:val="20"/>
          <w:color w:val="auto"/>
        </w:rPr>
      </w:pPr>
    </w:p>
    <w:p>
      <w:pPr>
        <w:ind w:left="340" w:firstLine="1288"/>
        <w:spacing w:after="0" w:line="242" w:lineRule="auto"/>
        <w:tabs>
          <w:tab w:leader="none" w:pos="206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 described in clause (c) above cannot, or can only partially, be effected, the Parent Borrower shall, within one Business Day following notice by the Administrative Agent (x) first, prepay such Swingline Exposure, (y) second, cash collateralize such Defaulting Lender’s LC Exposure (after giving effect to any partial reallocation pursuant to clause (c) above) in accordance with the procedures set forth in Section 2.05(j) for so long as such LC Exposure is outstanding and (z) third, cash collateralize for the benefit of the Fronting Lender, the obligations of the Parent Borrower and any Foreign Subsidiary Borrower corresponding to such Defaulting Lender’s Foreign Currency Participating Interest (after giving effect to any partial reallocation pursuant to clause (c) above) for so long as the circumstances giving rise to such obligation to provide such cash collateral remain relevant (which cash collateralization requirement shall be satisfied by the Parent Borrower depositing such cash collateral into an account opened by the Administrative Agent). In the case of any such cash collateralization, the Parent Borrower shall not be required to pay any fees to such Defaulting Lender pursuant to Section 2.12(b)(i) (with respect to such Defaulting Lender’s LC Exposure) or Section 2.12(e) (with respect to such Defaulting Lender’s Foreign Currency Participating Interest) for so long as such Defaulting Lender’s LC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20"/>
          </w:cols>
          <w:pgMar w:left="320" w:top="1413" w:right="359" w:bottom="1440" w:gutter="0" w:footer="0" w:header="0"/>
        </w:sectPr>
      </w:pPr>
    </w:p>
    <w:bookmarkStart w:id="150" w:name="page151"/>
    <w:bookmarkEnd w:id="150"/>
    <w:p>
      <w:pPr>
        <w:ind w:left="1708" w:hanging="412"/>
        <w:spacing w:after="0"/>
        <w:tabs>
          <w:tab w:leader="none" w:pos="170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Defaulting Lender’s LC Exposure is neither cash collateralized nor reallocated pursuant to paragraph (c) or</w:t>
      </w:r>
    </w:p>
    <w:p>
      <w:pPr>
        <w:spacing w:after="0" w:line="21" w:lineRule="exact"/>
        <w:rPr>
          <w:rFonts w:ascii="Times New Roman" w:cs="Times New Roman" w:eastAsia="Times New Roman" w:hAnsi="Times New Roman"/>
          <w:sz w:val="20"/>
          <w:szCs w:val="20"/>
          <w:color w:val="auto"/>
        </w:rPr>
      </w:pPr>
    </w:p>
    <w:p>
      <w:pPr>
        <w:jc w:val="both"/>
        <w:ind w:left="8" w:right="100" w:hanging="8"/>
        <w:spacing w:after="0" w:line="261" w:lineRule="auto"/>
        <w:tabs>
          <w:tab w:leader="none" w:pos="288"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then, without prejudice to any rights or remedies of the Issuing Bank or any Revolving Lender that is not a Defaulting Lender hereunder, all participation fees payable under Section 2.12(b)(i) with respect to such Defaulting Lender’s LC Exposure shall be payable to the Issuing Bank until such LC Exposure is cash collateralized and/or reallocated pursuant to paragraph (c) and (d) above.</w:t>
      </w:r>
    </w:p>
    <w:p>
      <w:pPr>
        <w:spacing w:after="0" w:line="169" w:lineRule="exact"/>
        <w:rPr>
          <w:rFonts w:ascii="Times New Roman" w:cs="Times New Roman" w:eastAsia="Times New Roman" w:hAnsi="Times New Roman"/>
          <w:sz w:val="19"/>
          <w:szCs w:val="19"/>
          <w:color w:val="auto"/>
        </w:rPr>
      </w:pPr>
    </w:p>
    <w:p>
      <w:pPr>
        <w:ind w:left="8" w:right="240" w:firstLine="1288"/>
        <w:spacing w:after="0" w:line="245" w:lineRule="auto"/>
        <w:tabs>
          <w:tab w:leader="none" w:pos="17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Foreign Currency Participating Interest is neither cash collateralized nor reallocated pursuant to paragraph (c) or (d) above, then, without prejudice to any rights or remedies of the Fronting Lender or any Revolving Lender that is not a Defaulting Lender hereunder, all participation fees payable under Section 2.12(e) with respect to such Defaulting Lender’s Foreign Currency Participating Interest that has not been reallocated or cash collateralized shall be payable to the Fronting Lender until and to the extent such Foreign Currency Participating Interest is cash collateralized and/or reallocated pursuant to paragraph (c) and (d) above.</w:t>
      </w:r>
    </w:p>
    <w:p>
      <w:pPr>
        <w:spacing w:after="0" w:line="184" w:lineRule="exact"/>
        <w:rPr>
          <w:rFonts w:ascii="Times New Roman" w:cs="Times New Roman" w:eastAsia="Times New Roman" w:hAnsi="Times New Roman"/>
          <w:sz w:val="20"/>
          <w:szCs w:val="20"/>
          <w:color w:val="auto"/>
        </w:rPr>
      </w:pPr>
    </w:p>
    <w:p>
      <w:pPr>
        <w:ind w:left="8" w:right="120" w:firstLine="1288"/>
        <w:spacing w:after="0" w:line="245" w:lineRule="auto"/>
        <w:tabs>
          <w:tab w:leader="none" w:pos="173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Lender is a Defaulting Lender, the Swingline Lenders shall not be required to fund any Swingline Loan and the Issuing Bank shall not be required to issue, amend or increase any Letter of Credit, unless it is satisfied that the related exposure will be 100% covered by the Revolving Commitments of the Revolving Lenders that are not Defaulting Lenders and/or cash collateral will be provided by the Parent Borrower in accordance with paragraph (c) above, and participating interests in any such newly issued or increased Letter of Credit or newly made Swingline Loan shall be allocated among Revolving Lenders that are not Defaulting Lenders in a manner consistent with paragraph (c) above (and Defaulting Lenders shall not participate therein).</w:t>
      </w:r>
    </w:p>
    <w:p>
      <w:pPr>
        <w:spacing w:after="0" w:line="184" w:lineRule="exact"/>
        <w:rPr>
          <w:rFonts w:ascii="Times New Roman" w:cs="Times New Roman" w:eastAsia="Times New Roman" w:hAnsi="Times New Roman"/>
          <w:sz w:val="20"/>
          <w:szCs w:val="20"/>
          <w:color w:val="auto"/>
        </w:rPr>
      </w:pPr>
    </w:p>
    <w:p>
      <w:pPr>
        <w:ind w:left="8" w:firstLine="1288"/>
        <w:spacing w:after="0" w:line="249" w:lineRule="auto"/>
        <w:tabs>
          <w:tab w:leader="none" w:pos="173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Lender is a defaulting Lender, the Fronting Lender shall not be required to fund any Fronted Foreign Currency Loan unless it is satisfied that the related exposure and the Defaulting Lender’s Foreign Currency Participating Interest will be 100% covered by the Revolving Commitments of the Revolving Lenders that are not Defaulting Lenders and/or cash collateral will be provided by the Parent Borrower in accordance with paragraph (c) above.</w:t>
      </w:r>
    </w:p>
    <w:p>
      <w:pPr>
        <w:spacing w:after="0" w:line="179" w:lineRule="exact"/>
        <w:rPr>
          <w:rFonts w:ascii="Times New Roman" w:cs="Times New Roman" w:eastAsia="Times New Roman" w:hAnsi="Times New Roman"/>
          <w:sz w:val="20"/>
          <w:szCs w:val="20"/>
          <w:color w:val="auto"/>
        </w:rPr>
      </w:pPr>
    </w:p>
    <w:p>
      <w:pPr>
        <w:ind w:left="8" w:right="60" w:firstLine="1288"/>
        <w:spacing w:after="0" w:line="243" w:lineRule="auto"/>
        <w:tabs>
          <w:tab w:leader="none" w:pos="168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 Lender becomes a Defaulting Lender as a result of the occurrence of any event described in clause (d) of the definition of the term “</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with respect to such Lender’s parent company and for so long as such event shall continue or (ii) the Swingline Lenders, the Issuing Bank or the Fronting Lender has a good faith belief that any Revolving Lender has defaulted in fulfilling its obligations under one or more other agreements in which such Lender commits to extend credit, the Swingline Lenders shall not be required to fund any Swingline Loan, the Issuing Bank shall not be required to issue, amend, renew or extend any Letter of Credit, and the Fronting Lender shall not be required to fund any Fronted Foreign Currency Loan, unless the Swingline Lenders, the Issuing Bank or the Fronting Lender, as the case may be, shall have entered into arrangements with Holdings and the Parent Borrower or such Revolving Lender satisfactory to the Swingline Lenders, the Issuing Bank or the Fronting Lender, as the case may be, to defease any risk to it in respect of such Lender hereunder.</w:t>
      </w:r>
    </w:p>
    <w:p>
      <w:pPr>
        <w:spacing w:after="0" w:line="185" w:lineRule="exact"/>
        <w:rPr>
          <w:rFonts w:ascii="Times New Roman" w:cs="Times New Roman" w:eastAsia="Times New Roman" w:hAnsi="Times New Roman"/>
          <w:sz w:val="20"/>
          <w:szCs w:val="20"/>
          <w:color w:val="auto"/>
        </w:rPr>
      </w:pPr>
    </w:p>
    <w:p>
      <w:pPr>
        <w:ind w:left="8" w:right="120" w:firstLine="1288"/>
        <w:spacing w:after="0" w:line="245" w:lineRule="auto"/>
        <w:tabs>
          <w:tab w:leader="none" w:pos="168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(x) a Bankruptcy Event or a Bail-In Action with respect to a Revolving Lender Parent shall have occurred following the Third Restatement Date and for so long as such Bankruptcy Event or Bail-In Action shall continue or (y) the Swingline Lenders, the Issuing Bank or the Fronting Lender has a good faith belief that any Revolving Lender has defaulted in fulfilling its obligations under one or more other agreements in which such Lender commits to extend credit, the Swingline Lenders shall not be required to fund any Swingline Loan, the Issuing Bank shall not be required to issue, amend, renew or extend any Letter of Credit, and the Fronting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0908"/>
          </w:cols>
          <w:pgMar w:left="652" w:top="1413" w:right="339" w:bottom="1440" w:gutter="0" w:footer="0" w:header="0"/>
        </w:sectPr>
      </w:pPr>
    </w:p>
    <w:bookmarkStart w:id="151" w:name="page152"/>
    <w:bookmarkEnd w:id="151"/>
    <w:p>
      <w:pPr>
        <w:spacing w:after="0" w:line="274" w:lineRule="auto"/>
        <w:rPr>
          <w:sz w:val="20"/>
          <w:szCs w:val="20"/>
          <w:color w:val="auto"/>
        </w:rPr>
      </w:pPr>
      <w:r>
        <w:rPr>
          <w:rFonts w:ascii="Times New Roman" w:cs="Times New Roman" w:eastAsia="Times New Roman" w:hAnsi="Times New Roman"/>
          <w:sz w:val="19"/>
          <w:szCs w:val="19"/>
          <w:color w:val="auto"/>
        </w:rPr>
        <w:t>shall not be required to fund any Fronted Foreign Currency Loan, unless the Swingline Lenders, the Issuing Bank or the Fronting Lender, as the case may be, shall have entered into arrangements with Holdings and the Parent Borrower or such Revolving Lender satisfactory to the Swingline Lenders or the Issuing Bank, as the case may be, to defease any risk to it in respect of such Lender hereunder.</w:t>
      </w:r>
    </w:p>
    <w:p>
      <w:pPr>
        <w:spacing w:after="0" w:line="156" w:lineRule="exact"/>
        <w:rPr>
          <w:sz w:val="20"/>
          <w:szCs w:val="20"/>
          <w:color w:val="auto"/>
        </w:rPr>
      </w:pPr>
    </w:p>
    <w:p>
      <w:pPr>
        <w:ind w:right="200" w:firstLine="1288"/>
        <w:spacing w:after="0" w:line="243" w:lineRule="auto"/>
        <w:tabs>
          <w:tab w:leader="none" w:pos="172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the Parent Borrower, the Issuing Bank, the Fronting Lender and the Swingline Lenders each agree that a Defaulting Lender has adequately remedied all matters that caused such Lender to be a Defaulting Lender, then the Swingline Exposure and LC Exposure of the Revolving Lenders shall be readjusted to reflect the inclusion of such Lender’s Commitment and on such date such Lender shall purchase at par such of (i) the Revolving Loans of the other Revolving Lenders (other than Swingline Loans and (other than in the case of any Defaulting Lender that is a Foreign Currency Lender) Foreign Currency Loans) as the Administrative shall determine may be necessary in order for such Lender to hold such Revolving Loans in accordance with its Applicable Percentage and (ii) the Foreign Currency Participating Interests of the other Revolving Lenders as the Administrative shall determine may be necessary in order for such Lender to hold such in Foreign Currency Participating Interests accordance with its ratable share thereof.</w:t>
      </w:r>
    </w:p>
    <w:p>
      <w:pPr>
        <w:spacing w:after="0" w:line="185" w:lineRule="exact"/>
        <w:rPr>
          <w:rFonts w:ascii="Times New Roman" w:cs="Times New Roman" w:eastAsia="Times New Roman" w:hAnsi="Times New Roman"/>
          <w:sz w:val="20"/>
          <w:szCs w:val="20"/>
          <w:color w:val="auto"/>
        </w:rPr>
      </w:pPr>
    </w:p>
    <w:p>
      <w:pPr>
        <w:jc w:val="both"/>
        <w:ind w:right="140" w:firstLine="1288"/>
        <w:spacing w:after="0" w:line="249" w:lineRule="auto"/>
        <w:tabs>
          <w:tab w:leader="none" w:pos="168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a Defaulting Lender’s Swingline Exposure, LC Exposure or Foreign Currency Participating Interest is reallocated to non-Defaulting Lenders pursuant to this Section 2.22, then the defined terms hereunder (including “Applicable Percentage”) shall, as necessary or advisable (in the reasonable determination of the Administrative Agent) be read as used in this Agreement to give effect to such reallocation.</w:t>
      </w:r>
    </w:p>
    <w:p>
      <w:pPr>
        <w:spacing w:after="0" w:line="180"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2.23</w:t>
      </w:r>
      <w:r>
        <w:rPr>
          <w:sz w:val="20"/>
          <w:szCs w:val="20"/>
          <w:color w:val="auto"/>
        </w:rPr>
        <w:tab/>
      </w:r>
      <w:r>
        <w:rPr>
          <w:rFonts w:ascii="Times New Roman" w:cs="Times New Roman" w:eastAsia="Times New Roman" w:hAnsi="Times New Roman"/>
          <w:sz w:val="19"/>
          <w:szCs w:val="19"/>
          <w:u w:val="single" w:color="auto"/>
          <w:color w:val="auto"/>
        </w:rPr>
        <w:t>Extensions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1" w:lineRule="auto"/>
        <w:tabs>
          <w:tab w:leader="none" w:pos="171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made from time to time by the Parent Borrower to all Lenders with Revolving Commitments with a like maturity date, in each case on a pro rata basis (based on the aggregate outstanding amount of Revolving Commitments with a like maturity date, as the case may be) and on the same terms to each such Lender, the Parent Borrower is hereby permitted to consummate from time to time transactions with individual Lenders that accept the terms contained in such Extension Offers to extend the maturity date of each such Lender’s Revolving Commitments and otherwise modify the terms of such Revolving Commitments pursuant to the terms of the relevant Extension Offer (including, without limitation, by increasing the interest rate or fees payable in respect of such Revolving Commitments (and related outstandings))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and each group of Revolving Commitments as so extended, as well as the original Revolving Commitments (not so extended), being a “</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any Extended Revolving Commitments shall constitute a separate tranche of Revolving Commitments from the tranche of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(which shall be determined by the Parent Borrower and set forth in the relevant Extension Offer), the Revolving Commitment of any Revolving Lender that agrees to an extension with respect to such Revolving Commitment extended pursuant to an Extension (an “</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xml:space="preserve">”), and the related outstandings, shall be a Revolving Commitment (or related outstandings, as the case may be) with the same terms as the original Revolving Commitments (and related outstandings);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subject to the provisions of Sections 2.04(e) and 2.05(k) to the extent dealing with Swingline Loans and Letters of Credit which mature or expire after a maturity date when there exist Extended Revolving Commitments with a longer maturity date, all Swingline Loans and Letters of Credit shall be participated in on a pro rata basis by all Lenders with Revolving Commitments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0880"/>
          </w:cols>
          <w:pgMar w:left="660" w:top="1413" w:right="359" w:bottom="1440" w:gutter="0" w:footer="0" w:header="0"/>
        </w:sectPr>
      </w:pPr>
    </w:p>
    <w:bookmarkStart w:id="152" w:name="page153"/>
    <w:bookmarkEnd w:id="152"/>
    <w:p>
      <w:pPr>
        <w:ind w:right="140"/>
        <w:spacing w:after="0" w:line="241" w:lineRule="auto"/>
        <w:rPr>
          <w:sz w:val="20"/>
          <w:szCs w:val="20"/>
          <w:color w:val="auto"/>
        </w:rPr>
      </w:pPr>
      <w:r>
        <w:rPr>
          <w:rFonts w:ascii="Times New Roman" w:cs="Times New Roman" w:eastAsia="Times New Roman" w:hAnsi="Times New Roman"/>
          <w:sz w:val="20"/>
          <w:szCs w:val="20"/>
          <w:color w:val="auto"/>
        </w:rPr>
        <w:t>accordance with their Applicable Percentage of the Revolving Commitments (and except as provided in Sections 2.04(e) and 2.05(k), without giving effect to changes thereto on an earlier maturity date with respect to Swingline Loans and Letters of Credit theretofore incurred or issued) and all borrowings under Revolving Commitments and repayments thereunder shall be made on a pro rata basis (except for (A) payments of interest and fees at different rates on Extended Revolving Commitments (and related outstandings) and (B) repayments required upon the scheduled maturity date of the non-Extended Revolving Commitments) and (y) at no time shall there be Revolving Commitments hereunder (including Extended Revolving Commitments and any original Revolving Commitments) which have more than three different maturity dates, (iii) if the aggregate amount of Revolving Commitments in respect of which Revolving Lenders shall have accepted the relevant Extension Offer shall exceed the maximum aggregate principal amount of Revolving Commitments offered to be extended by the Parent Borrower pursuant to such Extension Offer, then the Revolving Loans of such Revolving Lenders shall be extended ratably up to such maximum amount based on the respective principal amounts (but not to exceed actual holdings of record) with respect to which such Revolving Lenders have accepted such Extension Offer, (iv) all documentation in respect of such Extension shall be consistent with the foregoing and (v) any applicable Minimum Extension Condition shall be satisfied unless waived by the Parent Borrower.</w:t>
      </w:r>
    </w:p>
    <w:p>
      <w:pPr>
        <w:spacing w:after="0" w:line="197" w:lineRule="exact"/>
        <w:rPr>
          <w:sz w:val="20"/>
          <w:szCs w:val="20"/>
          <w:color w:val="auto"/>
        </w:rPr>
      </w:pPr>
    </w:p>
    <w:p>
      <w:pPr>
        <w:ind w:firstLine="1288"/>
        <w:spacing w:after="0" w:line="242" w:lineRule="auto"/>
        <w:tabs>
          <w:tab w:leader="none" w:pos="172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Extensions consummated by the Parent Borrower pursuant to this Section, (i) such Extensions shall not constitute voluntary or mandatory payments or prepayments for purposes of Section 2.11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to consummating any such Extension that a minimum amount (to be determined and specified in the relevant Extension Offer in the Parent Borrower’s sole discretion and may be waived by the Parent Borrower) of Revolving Commitments of any or all applicable tranches be tendered. The Administrative Agent and the Lenders hereby consent to the transactions contemplated by this Section (including, for the avoidance of doubt, payment of any interest, fees or premium in respect of any Extended Revolving Commitments on the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w:t>
      </w:r>
    </w:p>
    <w:p>
      <w:pPr>
        <w:spacing w:after="0" w:line="192" w:lineRule="exact"/>
        <w:rPr>
          <w:rFonts w:ascii="Times New Roman" w:cs="Times New Roman" w:eastAsia="Times New Roman" w:hAnsi="Times New Roman"/>
          <w:sz w:val="20"/>
          <w:szCs w:val="20"/>
          <w:color w:val="auto"/>
        </w:rPr>
      </w:pPr>
    </w:p>
    <w:p>
      <w:pPr>
        <w:ind w:right="40" w:firstLine="1288"/>
        <w:spacing w:after="0" w:line="241" w:lineRule="auto"/>
        <w:tabs>
          <w:tab w:leader="none" w:pos="171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of any Lender or the Administrative Agent shall be required to effectuate any Extension, other than (A) the consent of each Lender agreeing to such Extension with respect to one or more of its Revolving Commitments (or a portion thereof) and (B) the consent of the Issuing Bank and Swingline Lenders, which consent shall, in each case, not be unreasonably withheld or delayed. All Extended Revolving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Parent Borrower as may be necessary in order to establish new tranches or sub-tranches in respect of Revolving Commitments so extended and such technical amendments as may be necessary or appropriate in the reasonable opinion of the Administrative Agent and the Parent Borrower in connection with the establishment of such new tranches or sub-tranches, in each case on terms consistent with this Section.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0880"/>
          </w:cols>
          <w:pgMar w:left="660" w:top="1413" w:right="359" w:bottom="1440" w:gutter="0" w:footer="0" w:header="0"/>
        </w:sectPr>
      </w:pPr>
    </w:p>
    <w:bookmarkStart w:id="153" w:name="page154"/>
    <w:bookmarkEnd w:id="153"/>
    <w:p>
      <w:pPr>
        <w:ind w:firstLine="1288"/>
        <w:spacing w:after="0" w:line="246" w:lineRule="auto"/>
        <w:tabs>
          <w:tab w:leader="none" w:pos="172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Extension, the Parent Borrower shall provide the Administrative Agent at least five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spacing w:after="0" w:line="185"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2.24</w:t>
      </w:r>
      <w:r>
        <w:rPr>
          <w:sz w:val="20"/>
          <w:szCs w:val="20"/>
          <w:color w:val="auto"/>
        </w:rPr>
        <w:tab/>
      </w:r>
      <w:r>
        <w:rPr>
          <w:rFonts w:ascii="Times New Roman" w:cs="Times New Roman" w:eastAsia="Times New Roman" w:hAnsi="Times New Roman"/>
          <w:sz w:val="19"/>
          <w:szCs w:val="19"/>
          <w:u w:val="single" w:color="auto"/>
          <w:color w:val="auto"/>
        </w:rPr>
        <w:t>Foreign Currency Participations; Conversion of Foreign Currency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88"/>
        <w:spacing w:after="0" w:line="254" w:lineRule="auto"/>
        <w:tabs>
          <w:tab w:leader="none" w:pos="171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Foreign Currency Loan in any Foreign Currency, the Fronting Lender irrevocably agrees to grant and hereby grants to each Lender that is a Foreign Currency Loan Participant with respect to Foreign Currency Loans made in such Foreign Currency, and, to induce the Fronting Lender to make Foreign Currency Loans in any applicable Foreign Currency hereunder, each Lender that is a Foreign Currency Loan Participant with respect to Foreign Currency Loans made in such Foreign Currency irrevocably agrees to accept and purchase and hereby accepts and purchases from the Fronting Lender, on the terms and conditions hereinafter stated, for such Foreign Currency Loan Participant’s own account and risk, with respect to any Fronted Foreign Currency Loan in any Foreign Currency in which such Lender is a Foreign Currency Loan Participant, an undivided interest (a “</w:t>
      </w:r>
      <w:r>
        <w:rPr>
          <w:rFonts w:ascii="Times New Roman" w:cs="Times New Roman" w:eastAsia="Times New Roman" w:hAnsi="Times New Roman"/>
          <w:sz w:val="19"/>
          <w:szCs w:val="19"/>
          <w:u w:val="single" w:color="auto"/>
          <w:color w:val="auto"/>
        </w:rPr>
        <w:t>Foreign 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Participating Interest</w:t>
      </w:r>
      <w:r>
        <w:rPr>
          <w:rFonts w:ascii="Times New Roman" w:cs="Times New Roman" w:eastAsia="Times New Roman" w:hAnsi="Times New Roman"/>
          <w:sz w:val="19"/>
          <w:szCs w:val="19"/>
          <w:color w:val="auto"/>
        </w:rPr>
        <w:t>”), in an amount equal to such Foreign Currency Loan Participant’s Applicable Percentage of the outstanding principal amount of such Foreign Currency Loan (it being understood that such calculation shall be made in respect of the outstanding principal amount of such Foreign Currency Loan, and not the portion thereof constituting a Fronted Foreign Currency Loan), in the Fronting Lender’s obligations and rights under such Fronted Foreign Currency Loan made hereunder. Each Revolving Lender that is a Foreign Currency Loan Participant with respect to any Foreign Currency unconditionally and irrevocably agrees with the Fronting Lender that, solely upon the occurrence of an event set forth in Section 2.24(d)(i) or (ii), such Revolving Lender shall pay to the Fronting Lender upon demand an amount equal to (i) in the case of an event set forth in Section 2.24(d)(i) with respect to a Foreign Currency Loan for which such Revolving Lender is a Foreign Currency Loan Participant, the Dollar Equivalent of such Foreign Currency Loan Participant’s Applicable Percentage of the amount of such payment which is not so paid as required under this Agreement and (ii) in the case of an event set forth in Section 2.24(d)(ii), the Dollar Equivalent of such Revolving Lender’s Applicable Percentage of the Foreign Currency Loans then outstanding in any Foreign Currency in which such Revolving Lender is a Foreign Currency Loan Participant.</w:t>
      </w:r>
    </w:p>
    <w:p>
      <w:pPr>
        <w:spacing w:after="0" w:line="185" w:lineRule="exact"/>
        <w:rPr>
          <w:rFonts w:ascii="Times New Roman" w:cs="Times New Roman" w:eastAsia="Times New Roman" w:hAnsi="Times New Roman"/>
          <w:sz w:val="19"/>
          <w:szCs w:val="19"/>
          <w:color w:val="auto"/>
        </w:rPr>
      </w:pPr>
    </w:p>
    <w:p>
      <w:pPr>
        <w:ind w:right="20" w:firstLine="1288"/>
        <w:spacing w:after="0" w:line="257" w:lineRule="auto"/>
        <w:tabs>
          <w:tab w:leader="none" w:pos="172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amount required to be paid by any Foreign Currency Loan Participant to the Fronting Lender pursuant to Section 2.24(a) or Section 2.24(d) is not made available to the Fronting Lender when due, such Foreign Currency Loan Participant shall pay to the Fronting Lender, on demand, such amount with interest thereon at a rate equal to the greater of the daily average Overnight Rate and a rate determined by the Administrative Agent in accordance with banking industry rules on interbank compensation for the period until such Foreign Currency Loan Participant makes such amount immediately available to the Fronting Lender. If such amount is not made available to the Fronting Lender by such Foreign Currency Loan Participant within three Business Days of such due date, the Fronting Lender shall also be entitled to recover such amount with interest thereon at the rate per annum applicable to Term Benchmark Loans or RFR Loans, as applicable, under the Revolving Facility, on demand. A certificate of the Fronting Lender submitted to any Foreign Currency Loan Participant with respect to amounts owed under this Section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0860"/>
          </w:cols>
          <w:pgMar w:left="660" w:top="1413" w:right="379" w:bottom="1440" w:gutter="0" w:footer="0" w:header="0"/>
        </w:sectPr>
      </w:pPr>
    </w:p>
    <w:bookmarkStart w:id="154" w:name="page155"/>
    <w:bookmarkEnd w:id="154"/>
    <w:p>
      <w:pPr>
        <w:ind w:right="20" w:firstLine="1288"/>
        <w:spacing w:after="0"/>
        <w:tabs>
          <w:tab w:leader="none" w:pos="171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Fronting Lender has received from any Foreign Currency Loan Participant its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share of such payment in accordance with subsection 2.24(a) in respect of any Fronted Foreign Currency Loan, the Fronting Lender receives any payment related to such Foreign Currency Loan (whether directly from a Borrower or otherwise, including proceeds of collateral applied thereto by the Fronting Lender or the Administrative Agent, on behalf of the Fronting Lender), or any payment of interest on account thereof, the Fronting Lender will, within three Business Days after receipt thereof, distribute to such Foreign Currency Loan Participant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(and hereby directs the Administrative Agent to remit such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to such Foreign Currency Loan Participant out of any such payment received by the Administrative Agent for the account of the Fronting Lender (it being understood that any such payment shall be made in dollars and the Fronting Lender or Administrative Agent, as applicable, shall convert any such amounts received by it in a currency other than dollars into the Dollar Equivalent thereof for purposes of such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such payment received by the Fronting Lender shall be required to be returned by the Fronting Lender, such Foreign Currency Loan Participant shall, within three Business Days, return to the Fronting Lender the portion thereof previously distributed by the Fronting Lender to it. If any amount required to be paid under this paragraph is paid within three Business Days after such payment is due, the Foreign Currency Loan Participant or Fronting Lender, as the case may be, which owes such amount shall pay to the Fronting Lender or Foreign Currency Loan Participant, as the case may be, to which such amount is owed, on demand, such amount with interest thereon at a rate equal to the greater of the daily average Overnight Rate and a rate determined by the Administrative Agent in accordance with banking industry rules on interbank compensation for the period until such Foreign Currency Loan Participant or the Fronting Lender, as the case may be, makes such amount immediately available to the Fronting Lender or Foreign Currency Loan Participant, as the case may be. If such amount is not made available to the Fronting Lender or Foreign Currency Loan Participant, as the case may be, by such Foreign Currency Loan Participant or Fronting Lender, as the case may be, within three Business Days of such due date, the Fronting Lender or Foreign Currency Participant, as the case may be, shall also be entitled to recover such amount with interest thereon at the rate per annum applicable to Term Benchmark Loans or RFR Loans, as applicable, under the Revolving Facility, on demand.</w:t>
      </w:r>
    </w:p>
    <w:p>
      <w:pPr>
        <w:spacing w:after="0" w:line="205" w:lineRule="exact"/>
        <w:rPr>
          <w:rFonts w:ascii="Times New Roman" w:cs="Times New Roman" w:eastAsia="Times New Roman" w:hAnsi="Times New Roman"/>
          <w:sz w:val="20"/>
          <w:szCs w:val="20"/>
          <w:color w:val="auto"/>
        </w:rPr>
      </w:pPr>
    </w:p>
    <w:p>
      <w:pPr>
        <w:ind w:firstLine="1288"/>
        <w:spacing w:after="0" w:line="241" w:lineRule="auto"/>
        <w:tabs>
          <w:tab w:leader="none" w:pos="17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Foreign Currency Loan shall be outstanding and (i) the principal of or interest on such Foreign Currency Loan shall not be paid (x) with respect to a payment due on a scheduled payment date, on such Business Day (with respect to principal) and within five Business Days after such date (with respect to interest) and (y) with respect to a payment due on any other date, within five Business Days after the Parent Borrower receives notice of such due date from the Administrative Agent or Required Lenders, and, in either case, the Fronting Lender shall deliver to the Administrative Agent and the Parent Borrower a request that the provisions of this Section 2.24(d) take effect with respect to such Foreign Currency Loan or (ii) the Commitments shall be terminated or the Loans accelerated pursuant to Article VII, then (unless such request is revoked by the Fronting Lender) (x) the obligations of the Parent Borrower and the Foreign Subsidiary Borrowers in respect of the principal of and interest on such Fronted Foreign Currency Loan shall without further action be converted into obligations denominated in dollars based upon the Exchange Rate in effect for the day on which such conversion occurs, as determined by the Administrative Agent in accordance with the terms hereof, (y) such converted obligations will bear interest at the rate applicable to overdue Term Benchmark Loans or RFR Loans, as applicable, under the Revolving Facility and (z) each applicable Foreign Currency Loan Participant shall pay the purchase price for its Foreign Currency Participating Interest in such Foreign Currency Loan by wire transfer of immediately available funds in dollars to the Administrative Agent in the manner provided in Section 2.24(a) and (b) (and the Administrative Agent shall promptly wire the amounts so received to the Fronting Lender). Upon any event specified in clause (ii) above, the commitments of the Foreign Currency Lenders to make Foreign Currency Loans pursuant to Section 2.01(a) shall be permanently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0900"/>
          </w:cols>
          <w:pgMar w:left="660" w:top="1413" w:right="339" w:bottom="1440" w:gutter="0" w:footer="0" w:header="0"/>
        </w:sectPr>
      </w:pPr>
    </w:p>
    <w:bookmarkStart w:id="155" w:name="page156"/>
    <w:bookmarkEnd w:id="155"/>
    <w:p>
      <w:pPr>
        <w:ind w:left="340" w:right="300"/>
        <w:spacing w:after="0" w:line="269" w:lineRule="auto"/>
        <w:rPr>
          <w:sz w:val="20"/>
          <w:szCs w:val="20"/>
          <w:color w:val="auto"/>
        </w:rPr>
      </w:pPr>
      <w:r>
        <w:rPr>
          <w:rFonts w:ascii="Times New Roman" w:cs="Times New Roman" w:eastAsia="Times New Roman" w:hAnsi="Times New Roman"/>
          <w:sz w:val="20"/>
          <w:szCs w:val="20"/>
          <w:color w:val="auto"/>
        </w:rPr>
        <w:t>terminated. The obligations of the Revolving Lenders to acquire and pay for their Foreign Currency Participating Interests pursuant to this Section 2.24(d) shall be absolute and unconditional under any and all circumstances.</w:t>
      </w:r>
    </w:p>
    <w:p>
      <w:pPr>
        <w:spacing w:after="0" w:line="159"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2.25</w:t>
      </w:r>
      <w:r>
        <w:rPr>
          <w:sz w:val="20"/>
          <w:szCs w:val="20"/>
          <w:color w:val="auto"/>
        </w:rPr>
        <w:tab/>
      </w:r>
      <w:r>
        <w:rPr>
          <w:rFonts w:ascii="Times New Roman" w:cs="Times New Roman" w:eastAsia="Times New Roman" w:hAnsi="Times New Roman"/>
          <w:sz w:val="19"/>
          <w:szCs w:val="19"/>
          <w:u w:val="single" w:color="auto"/>
          <w:color w:val="auto"/>
        </w:rPr>
        <w:t>Currency Fluctuations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20" w:firstLine="1288"/>
        <w:spacing w:after="0" w:line="258" w:lineRule="auto"/>
        <w:tabs>
          <w:tab w:leader="none" w:pos="2053"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later than 11:00 A.M. (London time) on each Calculation Date, the Administrative Agent shall determine the Exchange Rate as of such Calculation Date with respect to each applicable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receipt of a Borrowing Request pursuant to Section 2.03, the Administrative Agent shall determine the Exchange Rate with respect to the relevant Foreign Currency on the related Calculation Date (it being acknowledged and agreed that the Administrative Agent shall use such Exchange Rate for the purposes of determining compliance with Section 2.01(a) with respect to such Borrowing Request). The Exchange Rates so determined shall become effective on the relevant Calculation Date (a “</w:t>
      </w:r>
      <w:r>
        <w:rPr>
          <w:rFonts w:ascii="Times New Roman" w:cs="Times New Roman" w:eastAsia="Times New Roman" w:hAnsi="Times New Roman"/>
          <w:sz w:val="19"/>
          <w:szCs w:val="19"/>
          <w:u w:val="single" w:color="auto"/>
          <w:color w:val="auto"/>
        </w:rPr>
        <w:t>Reset Date</w:t>
      </w:r>
      <w:r>
        <w:rPr>
          <w:rFonts w:ascii="Times New Roman" w:cs="Times New Roman" w:eastAsia="Times New Roman" w:hAnsi="Times New Roman"/>
          <w:sz w:val="19"/>
          <w:szCs w:val="19"/>
          <w:color w:val="auto"/>
        </w:rPr>
        <w:t>”), shall remain effective until the next succeeding Reset Date and shall for all purposes of this Agreement (other than Section 10.14 and any other provision expressly requiring the use of a current Exchange Rate) be the Exchange Rates employed in converting any amounts between dollars and any Foreign Currency.</w:t>
      </w:r>
    </w:p>
    <w:p>
      <w:pPr>
        <w:spacing w:after="0" w:line="173" w:lineRule="exact"/>
        <w:rPr>
          <w:rFonts w:ascii="Times New Roman" w:cs="Times New Roman" w:eastAsia="Times New Roman" w:hAnsi="Times New Roman"/>
          <w:sz w:val="19"/>
          <w:szCs w:val="19"/>
          <w:color w:val="auto"/>
        </w:rPr>
      </w:pPr>
    </w:p>
    <w:p>
      <w:pPr>
        <w:ind w:left="340" w:right="40" w:firstLine="1288"/>
        <w:spacing w:after="0" w:line="249" w:lineRule="auto"/>
        <w:tabs>
          <w:tab w:leader="none" w:pos="206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11:00 A.M. (London time) on each Reset Date, the Administrative Agent shall determine the aggregate amount of the Dollar Equivalents of (i) the principal amounts of the Foreign Currency Loans then outstanding (after giving effect to any Foreign Currency Loans to be made or repaid on such date) and (ii) the total LC Exposure in currencies other than dollars at such time.</w:t>
      </w:r>
    </w:p>
    <w:p>
      <w:pPr>
        <w:spacing w:after="0" w:line="179" w:lineRule="exact"/>
        <w:rPr>
          <w:rFonts w:ascii="Times New Roman" w:cs="Times New Roman" w:eastAsia="Times New Roman" w:hAnsi="Times New Roman"/>
          <w:sz w:val="20"/>
          <w:szCs w:val="20"/>
          <w:color w:val="auto"/>
        </w:rPr>
      </w:pPr>
    </w:p>
    <w:p>
      <w:pPr>
        <w:ind w:left="340" w:right="140" w:firstLine="1288"/>
        <w:spacing w:after="0" w:line="269" w:lineRule="auto"/>
        <w:tabs>
          <w:tab w:leader="none" w:pos="205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Parent Borrower, any applicable Foreign Subsidiary Borrower and the Foreign Currency Lenders of each determination of an Exchange Rate hereunder.</w:t>
      </w:r>
    </w:p>
    <w:p>
      <w:pPr>
        <w:spacing w:after="0" w:line="159"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2.26 Illegality</w:t>
      </w:r>
      <w:r>
        <w:rPr>
          <w:rFonts w:ascii="Times New Roman" w:cs="Times New Roman" w:eastAsia="Times New Roman" w:hAnsi="Times New Roman"/>
          <w:sz w:val="20"/>
          <w:szCs w:val="20"/>
          <w:color w:val="auto"/>
        </w:rPr>
        <w:t>. Notwithstanding any other provision herein, if any Change in Law shall make it unlawful for any Lender to issue, make, maintain, fund or charge interest with respect to any extension of credit to any Foreign Subsidiary Borrower or to give effect to its obligations as contemplated by this Agreement with respect to any extensions of credit to any Foreign Subsidiary Borrower, then, upon written notice by such Lender (each such Lender providing such notice, an “</w:t>
      </w:r>
      <w:r>
        <w:rPr>
          <w:rFonts w:ascii="Times New Roman" w:cs="Times New Roman" w:eastAsia="Times New Roman" w:hAnsi="Times New Roman"/>
          <w:sz w:val="20"/>
          <w:szCs w:val="20"/>
          <w:u w:val="single" w:color="auto"/>
          <w:color w:val="auto"/>
        </w:rPr>
        <w:t>Impacted Lender</w:t>
      </w:r>
      <w:r>
        <w:rPr>
          <w:rFonts w:ascii="Times New Roman" w:cs="Times New Roman" w:eastAsia="Times New Roman" w:hAnsi="Times New Roman"/>
          <w:sz w:val="20"/>
          <w:szCs w:val="20"/>
          <w:color w:val="auto"/>
        </w:rPr>
        <w:t>”) to the Parent Borrower and the Administrative Agent:</w:t>
      </w:r>
    </w:p>
    <w:p>
      <w:pPr>
        <w:spacing w:after="0" w:line="185" w:lineRule="exact"/>
        <w:rPr>
          <w:sz w:val="20"/>
          <w:szCs w:val="20"/>
          <w:color w:val="auto"/>
        </w:rPr>
      </w:pPr>
    </w:p>
    <w:p>
      <w:pPr>
        <w:ind w:left="340" w:right="20" w:firstLine="1288"/>
        <w:spacing w:after="0" w:line="249" w:lineRule="auto"/>
        <w:tabs>
          <w:tab w:leader="none" w:pos="205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Lenders hereunder to make extensions of credit to such Foreign Subsidiary Borrower shall forthwith be (x) suspended until each Impacted Lender notifies the Parent Borrower and the Administrative Agent in writing that it is no longer unlawful for such Impacted Lender to issue, make, maintain, fund or charge interest with respect to any extension of credit to such Foreign Subsidiary Borrower or (y) to the extent required by law, cancelled;</w:t>
      </w:r>
    </w:p>
    <w:p>
      <w:pPr>
        <w:spacing w:after="0" w:line="179" w:lineRule="exact"/>
        <w:rPr>
          <w:rFonts w:ascii="Times New Roman" w:cs="Times New Roman" w:eastAsia="Times New Roman" w:hAnsi="Times New Roman"/>
          <w:sz w:val="20"/>
          <w:szCs w:val="20"/>
          <w:color w:val="auto"/>
        </w:rPr>
      </w:pPr>
    </w:p>
    <w:p>
      <w:pPr>
        <w:ind w:left="340" w:right="60" w:firstLine="1288"/>
        <w:spacing w:after="0" w:line="245" w:lineRule="auto"/>
        <w:tabs>
          <w:tab w:leader="none" w:pos="206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shall be unlawful for any Impacted Lender to maintain or charge interest with respect to any outstanding Loan to such Foreign Subsidiary Borrower, such Foreign Subsidiary Borrower shall repay (or at its option and to the extent permitted by law, assign to the Parent Borrower) (x) all outstanding ABR Loans or RFR Loans made to such Foreign Subsidiary Borrower within three Business Days or such earlier period as required by law and (y) all outstanding Term Benchmark Loans made to such Foreign Subsidiary Borrower on the last day of the then current Interest Periods with respect to such Term Benchmark Loans or within such earlier period as required by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56" w:name="page157"/>
    <w:bookmarkEnd w:id="156"/>
    <w:p>
      <w:pPr>
        <w:ind w:left="340" w:right="60" w:firstLine="1288"/>
        <w:spacing w:after="0" w:line="249" w:lineRule="auto"/>
        <w:tabs>
          <w:tab w:leader="none" w:pos="205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shall be unlawful for any Impacted Lender to maintain, charge interest or hold any participation with respect to any Letter of Credit issued on behalf of such Foreign Subsidiary Borrower, such Foreign Subsidiary Borrower shall deposit in a cash collateral account opened by the Administrative Agent an amount equal to the LC Exposure with respect to such Letters of Credit within three Business Days or within such earlier period as required by law.</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u w:val="single" w:color="auto"/>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16"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Each of Holdings, the Parent Borrower and each Foreign Subsidiary Borrower (as to itself only) represents and warrants to the Lenders that:</w:t>
      </w:r>
    </w:p>
    <w:p>
      <w:pPr>
        <w:spacing w:after="0" w:line="159" w:lineRule="exact"/>
        <w:rPr>
          <w:sz w:val="20"/>
          <w:szCs w:val="20"/>
          <w:color w:val="auto"/>
        </w:rPr>
      </w:pPr>
    </w:p>
    <w:p>
      <w:pPr>
        <w:ind w:right="100" w:firstLine="1296"/>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3.01 Organization; Powers</w:t>
      </w:r>
      <w:r>
        <w:rPr>
          <w:rFonts w:ascii="Times New Roman" w:cs="Times New Roman" w:eastAsia="Times New Roman" w:hAnsi="Times New Roman"/>
          <w:sz w:val="20"/>
          <w:szCs w:val="20"/>
          <w:color w:val="auto"/>
        </w:rPr>
        <w:t>. Each of Holdings, the Parent Borrower and its Subsidiaries (including the Receivables Subsidiary)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5"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3.02 Authorization; Enforceability</w:t>
      </w:r>
      <w:r>
        <w:rPr>
          <w:rFonts w:ascii="Times New Roman" w:cs="Times New Roman" w:eastAsia="Times New Roman" w:hAnsi="Times New Roman"/>
          <w:sz w:val="20"/>
          <w:szCs w:val="20"/>
          <w:color w:val="auto"/>
        </w:rPr>
        <w:t>. The Transactions to be entered into by each Loan Party are within such Loan Party’s powers and have been duly authorized by all necessary action. This Agreement has been duly executed and delivered by each of Holdings and the Parent Borrower and constitutes, and each other Loan Document to which any Loan Party is to be a party, when executed and delivered by such Loan Party, will constitute, a legal, valid and binding obligation of Holdings, the Parent Borrower or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3.03</w:t>
      </w:r>
      <w:r>
        <w:rPr>
          <w:sz w:val="20"/>
          <w:szCs w:val="20"/>
          <w:color w:val="auto"/>
        </w:rPr>
        <w:tab/>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Transactions and the other transactions contemplated hereby</w:t>
      </w:r>
    </w:p>
    <w:p>
      <w:pPr>
        <w:spacing w:after="0" w:line="22" w:lineRule="exact"/>
        <w:rPr>
          <w:sz w:val="20"/>
          <w:szCs w:val="20"/>
          <w:color w:val="auto"/>
        </w:rPr>
      </w:pPr>
    </w:p>
    <w:p>
      <w:pPr>
        <w:jc w:val="both"/>
        <w:ind w:right="120" w:firstLine="8"/>
        <w:spacing w:after="0" w:line="252" w:lineRule="auto"/>
        <w:tabs>
          <w:tab w:leader="none" w:pos="269"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not require any consent or approval of, registration or filing with, or any other action by, any Governmental Authority, except (i) such as have been obtained or made and are in full force and effect, (ii) filings necessary to perfect Liens created under the Loan Documents and</w:t>
      </w:r>
    </w:p>
    <w:p>
      <w:pPr>
        <w:ind w:firstLine="8"/>
        <w:spacing w:after="0" w:line="252" w:lineRule="auto"/>
        <w:tabs>
          <w:tab w:leader="none" w:pos="34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approvals, registrations, filings or actions the failure of which to obtain or perform could not reasonably be expected to result in a Material Adverse Effect, (b) will not violate any applicable law or regulation or the charter, by-laws or other organizational documents of Holdings, the Parent Borrower or any of its Subsidiaries (including the Receivables Subsidiary) or any order of any Governmental Authority,</w:t>
      </w:r>
    </w:p>
    <w:p>
      <w:pPr>
        <w:ind w:right="140" w:firstLine="8"/>
        <w:spacing w:after="0"/>
        <w:tabs>
          <w:tab w:leader="none" w:pos="26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violate or result in a default under any indenture, agreement or other instrument binding upon Holdings, the Parent Borrower or any of its Subsidiaries (including the Receivables Subsidiary) or their assets, or give rise to a right thereunder to require any payment to be made by Holdings, the Parent Borrower or any of its Subsidiaries (including the Receivables Subsidiary), except for violations, defaults or the creation of such rights that could not reasonably be expected to result in a Material Adverse Effect, and (d) will not result in the creation or imposition of any Lien on any asset of Holdings, the Parent Borrower or any of its Subsidiaries (including the Receivables Subsidiary), except Liens created under the Loan Documents and Liens permitted by Section 6.02.</w:t>
      </w:r>
    </w:p>
    <w:p>
      <w:pPr>
        <w:spacing w:after="0" w:line="191"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3.04</w:t>
      </w:r>
      <w:r>
        <w:rPr>
          <w:sz w:val="20"/>
          <w:szCs w:val="20"/>
          <w:color w:val="auto"/>
        </w:rPr>
        <w:tab/>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780" w:firstLine="1288"/>
        <w:spacing w:after="0" w:line="269" w:lineRule="auto"/>
        <w:tabs>
          <w:tab w:leader="none" w:pos="205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has heretofore furnished to the Lenders its consolidated balance sheet and statements of income, stockholders equity and cash flows as of and for the fiscal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20"/>
          </w:cols>
          <w:pgMar w:left="320" w:top="1413" w:right="359" w:bottom="1440" w:gutter="0" w:footer="0" w:header="0"/>
        </w:sectPr>
      </w:pPr>
    </w:p>
    <w:bookmarkStart w:id="157" w:name="page158"/>
    <w:bookmarkEnd w:id="157"/>
    <w:p>
      <w:pPr>
        <w:ind w:right="80"/>
        <w:spacing w:after="0" w:line="246" w:lineRule="auto"/>
        <w:rPr>
          <w:sz w:val="20"/>
          <w:szCs w:val="20"/>
          <w:color w:val="auto"/>
        </w:rPr>
      </w:pPr>
      <w:r>
        <w:rPr>
          <w:rFonts w:ascii="Times New Roman" w:cs="Times New Roman" w:eastAsia="Times New Roman" w:hAnsi="Times New Roman"/>
          <w:sz w:val="20"/>
          <w:szCs w:val="20"/>
          <w:color w:val="auto"/>
        </w:rPr>
        <w:t>December 31, 2024, reported on by Deloitte &amp; Touche LLP, independent public accountants, certified by its chief financial officer (it being understood that Holdings has furnished the foregoing to the Lenders by the filing with the Commission Holdings’ annual report on Form 10-K for the fiscal year ended December 31, 2024). Such financial statements present fairly, in all material respects, the financial position and results of operations and cash flows of Holdings and its consolidated Subsidiaries as of such dates and for such periods in accordance with GAAP.</w:t>
      </w:r>
    </w:p>
    <w:p>
      <w:pPr>
        <w:spacing w:after="0" w:line="185" w:lineRule="exact"/>
        <w:rPr>
          <w:sz w:val="20"/>
          <w:szCs w:val="20"/>
          <w:color w:val="auto"/>
        </w:rPr>
      </w:pPr>
    </w:p>
    <w:p>
      <w:pPr>
        <w:ind w:right="140" w:firstLine="1288"/>
        <w:spacing w:after="0" w:line="246" w:lineRule="auto"/>
        <w:tabs>
          <w:tab w:leader="none" w:pos="17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in the financial statements referred to above or the notes thereto or in the Information Memorandum, except for the Disclosed Matters and except for liabilities arising as a result of the Transactions, after giving effect to the Transactions, none of Holdings, the Parent Borrower or the Subsidiaries (including the Receivables Subsidiary) has, as of the Third Restatement Date, any contingent liabilities that would be material to Holdings, the Parent Borrower and the Subsidiaries (including the Receivables Subsidiary), taken as a whole.</w:t>
      </w:r>
    </w:p>
    <w:p>
      <w:pPr>
        <w:spacing w:after="0" w:line="184" w:lineRule="exact"/>
        <w:rPr>
          <w:rFonts w:ascii="Times New Roman" w:cs="Times New Roman" w:eastAsia="Times New Roman" w:hAnsi="Times New Roman"/>
          <w:sz w:val="20"/>
          <w:szCs w:val="20"/>
          <w:color w:val="auto"/>
        </w:rPr>
      </w:pPr>
    </w:p>
    <w:p>
      <w:pPr>
        <w:ind w:right="120" w:firstLine="1288"/>
        <w:spacing w:after="0" w:line="269" w:lineRule="auto"/>
        <w:tabs>
          <w:tab w:leader="none" w:pos="171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2024, there has been no event, change or occurrence that, individually or in the aggregate, has had or could reasonably be expected to result in a Material Adverse Effect.</w:t>
      </w:r>
    </w:p>
    <w:p>
      <w:pPr>
        <w:spacing w:after="0" w:line="159"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3.05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40" w:firstLine="1288"/>
        <w:spacing w:after="0" w:line="254" w:lineRule="auto"/>
        <w:tabs>
          <w:tab w:leader="none" w:pos="171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the Parent Borrower and its Subsidiaries has good title to, or valid leasehold interests in, all its real and personal property material to its business (including its Mortgaged Properties), except for minor defects in title that do not interfere with its ability to conduct its business as currently conducted or to utilize such properties for their intended purposes.</w:t>
      </w:r>
    </w:p>
    <w:p>
      <w:pPr>
        <w:spacing w:after="0" w:line="174" w:lineRule="exact"/>
        <w:rPr>
          <w:rFonts w:ascii="Times New Roman" w:cs="Times New Roman" w:eastAsia="Times New Roman" w:hAnsi="Times New Roman"/>
          <w:sz w:val="20"/>
          <w:szCs w:val="20"/>
          <w:color w:val="auto"/>
        </w:rPr>
      </w:pPr>
    </w:p>
    <w:p>
      <w:pPr>
        <w:ind w:right="100" w:firstLine="1288"/>
        <w:spacing w:after="0" w:line="249" w:lineRule="auto"/>
        <w:tabs>
          <w:tab w:leader="none" w:pos="172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the Parent Borrower and its Subsidiaries owns, or is licensed to use, all trademarks, tradenames, copyrights, patents and other intellectual property material to its business, and the use thereof by Holdings, the Parent Borrower and its Subsidiaries does not infringe upon the rights of any other Person, except for any such infringements that, individually or in the aggregate, could not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ind w:right="80" w:firstLine="1288"/>
        <w:spacing w:after="0" w:line="269" w:lineRule="auto"/>
        <w:tabs>
          <w:tab w:leader="none" w:pos="171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3.05 sets forth the address of each real property that is owned or leased by Holdings, the Parent Borrower or any of its Subsidiaries as of the Third Restatement Date after giving effect to the Transactions.</w:t>
      </w:r>
    </w:p>
    <w:p>
      <w:pPr>
        <w:spacing w:after="0" w:line="159" w:lineRule="exact"/>
        <w:rPr>
          <w:rFonts w:ascii="Times New Roman" w:cs="Times New Roman" w:eastAsia="Times New Roman" w:hAnsi="Times New Roman"/>
          <w:sz w:val="20"/>
          <w:szCs w:val="20"/>
          <w:color w:val="auto"/>
        </w:rPr>
      </w:pPr>
    </w:p>
    <w:p>
      <w:pPr>
        <w:ind w:right="120" w:firstLine="1288"/>
        <w:spacing w:after="0" w:line="249" w:lineRule="auto"/>
        <w:tabs>
          <w:tab w:leader="none" w:pos="171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Third Restatement Date, none of Holdings, the Parent Borrower or any of its Subsidiaries has received written notice of any pending or contemplated condemnation proceeding affecting any Mortgaged Property or any sale or disposition thereof in lieu of condemnation. Neither any Mortgaged Property nor any interest therein is subject to any right of first refusal, option or other contractual right to purchase such Mortgaged Property or interest therein.</w:t>
      </w:r>
    </w:p>
    <w:p>
      <w:pPr>
        <w:spacing w:after="0" w:line="180"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3.06</w:t>
      </w:r>
      <w:r>
        <w:rPr>
          <w:sz w:val="20"/>
          <w:szCs w:val="20"/>
          <w:color w:val="auto"/>
        </w:rPr>
        <w:tab/>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6" w:lineRule="auto"/>
        <w:tabs>
          <w:tab w:leader="none" w:pos="171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Holdings or the Parent Borrower, threatened against or affecting Holdings, the Parent Borrower or any of its Subsidiaries (including the Receivables Subsidiary) (i) as to which there is a reasonable possibility of an adverse determination and that, if adversely determined, could reasonably be expected, individually or in the aggregate, to result in a Material Adverse Effect (other than the Disclosed Matters) or (ii) that involve any of the Loan Documents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0900"/>
          </w:cols>
          <w:pgMar w:left="660" w:top="1413" w:right="339" w:bottom="1440" w:gutter="0" w:footer="0" w:header="0"/>
        </w:sectPr>
      </w:pPr>
    </w:p>
    <w:bookmarkStart w:id="158" w:name="page159"/>
    <w:bookmarkEnd w:id="158"/>
    <w:p>
      <w:pPr>
        <w:ind w:left="340" w:firstLine="1288"/>
        <w:spacing w:after="0" w:line="263" w:lineRule="auto"/>
        <w:tabs>
          <w:tab w:leader="none" w:pos="206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Disclosed Matters and except with respect to any other matters that, individually or in the aggregate, could not reasonably be expected to result in a Material Adverse Effect, none of Holdings, the Parent Borrower or any of its Subsidiaries (including the Receivables Subsidiary)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66" w:lineRule="exact"/>
        <w:rPr>
          <w:rFonts w:ascii="Times New Roman" w:cs="Times New Roman" w:eastAsia="Times New Roman" w:hAnsi="Times New Roman"/>
          <w:sz w:val="19"/>
          <w:szCs w:val="19"/>
          <w:color w:val="auto"/>
        </w:rPr>
      </w:pPr>
    </w:p>
    <w:p>
      <w:pPr>
        <w:ind w:left="340" w:firstLine="1288"/>
        <w:spacing w:after="0" w:line="269" w:lineRule="auto"/>
        <w:tabs>
          <w:tab w:leader="none" w:pos="205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Third Restatement Date, there has been no change in the status of the Disclosed Matters that, individually or in the aggregate, has resulted in, or materially increased the likelihood of, a Material Adverse Effect.</w:t>
      </w:r>
    </w:p>
    <w:p>
      <w:pPr>
        <w:spacing w:after="0" w:line="159" w:lineRule="exact"/>
        <w:rPr>
          <w:sz w:val="20"/>
          <w:szCs w:val="20"/>
          <w:color w:val="auto"/>
        </w:rPr>
      </w:pPr>
    </w:p>
    <w:p>
      <w:pPr>
        <w:ind w:right="60" w:firstLine="1296"/>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3.07 Compliance with Laws and Agreements</w:t>
      </w:r>
      <w:r>
        <w:rPr>
          <w:rFonts w:ascii="Times New Roman" w:cs="Times New Roman" w:eastAsia="Times New Roman" w:hAnsi="Times New Roman"/>
          <w:sz w:val="20"/>
          <w:szCs w:val="20"/>
          <w:color w:val="auto"/>
        </w:rPr>
        <w:t>. Each of Holdings, the Parent Borrower and its Subsidiaries (including the Receivables Subsidiary)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85" w:lineRule="exact"/>
        <w:rPr>
          <w:sz w:val="20"/>
          <w:szCs w:val="20"/>
          <w:color w:val="auto"/>
        </w:rPr>
      </w:pPr>
    </w:p>
    <w:p>
      <w:pPr>
        <w:jc w:val="both"/>
        <w:ind w:right="60" w:firstLine="1296"/>
        <w:spacing w:after="0" w:line="295" w:lineRule="auto"/>
        <w:rPr>
          <w:sz w:val="20"/>
          <w:szCs w:val="20"/>
          <w:color w:val="auto"/>
        </w:rPr>
      </w:pPr>
      <w:r>
        <w:rPr>
          <w:rFonts w:ascii="Times New Roman" w:cs="Times New Roman" w:eastAsia="Times New Roman" w:hAnsi="Times New Roman"/>
          <w:sz w:val="19"/>
          <w:szCs w:val="19"/>
          <w:u w:val="single" w:color="auto"/>
          <w:color w:val="auto"/>
        </w:rPr>
        <w:t>SECTION 3.08 Investment Company Status</w:t>
      </w:r>
      <w:r>
        <w:rPr>
          <w:rFonts w:ascii="Times New Roman" w:cs="Times New Roman" w:eastAsia="Times New Roman" w:hAnsi="Times New Roman"/>
          <w:sz w:val="19"/>
          <w:szCs w:val="19"/>
          <w:color w:val="auto"/>
        </w:rPr>
        <w:t>. None of Holdings, the Parent Borrower or any of its Subsidiaries (including the Receivables Subsidiary) is an “investment company” as defined in, or subject to regulation under, the Investment Company Act of 1940.</w:t>
      </w:r>
    </w:p>
    <w:p>
      <w:pPr>
        <w:spacing w:after="0" w:line="138"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3.09 Taxes</w:t>
      </w:r>
      <w:r>
        <w:rPr>
          <w:rFonts w:ascii="Times New Roman" w:cs="Times New Roman" w:eastAsia="Times New Roman" w:hAnsi="Times New Roman"/>
          <w:sz w:val="20"/>
          <w:szCs w:val="20"/>
          <w:color w:val="auto"/>
        </w:rPr>
        <w:t>. Each of Holdings, the Parent Borrower and its Subsidiaries (including the Receivables Subsidiary) has timely filed or caused to be filed all Tax returns and reports required to have been filed and has paid or caused to be paid all Taxes required to have been paid by it, except (a) any Taxes that are being contested in good faith by appropriate proceedings and for which Holdings, the Parent Borrower or such Subsidiary (including the Receivables Subsidiaries), as applicable, has set aside on its books adequate reserves or (b) to the extent that the failure to do so could not reasonably be expected to result in a Material Adverse Effect.</w:t>
      </w:r>
    </w:p>
    <w:p>
      <w:pPr>
        <w:spacing w:after="0" w:line="185"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3.10 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could reasonably be expected to result in a Material Adverse Effect. As of the Third Restatement Date, the present value of all accumulated benefit obligations of all underfunded Plans (based on the assumptions used for purposes of the Financial Accounting Standards Board Accounting Standards Codification Topic No. 715-30) did not, as of the date of the most recent financial statements reflecting such amounts, exceed by more than $20,000,000 the fair market value of the assets of all such underfunded Plans.</w:t>
      </w:r>
    </w:p>
    <w:p>
      <w:pPr>
        <w:spacing w:after="0" w:line="184"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20"/>
          <w:szCs w:val="20"/>
          <w:u w:val="single" w:color="auto"/>
          <w:color w:val="auto"/>
        </w:rPr>
        <w:t>SECTION 3.11</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firstLine="1288"/>
        <w:spacing w:after="0" w:line="244" w:lineRule="auto"/>
        <w:tabs>
          <w:tab w:leader="none" w:pos="205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Parent Borrower has disclosed to the Lenders all agreements, instruments and corporate or other restrictions to which Holdings, the Parent Borrower or any of its Subsidiaries (including the Receivables Subsidiary) is subject, and all other matters known to any of them, that, individually or in the aggregate, could reasonably be expected to result in a Material Adverse Effect. Neither the Information Memorandum nor any of the other reports, financial statements, certificates or other information furnished by or on behalf of any Loan Party to the Administrative Agent or any Lender in connection with the negotiation of this Agreement or any other Loan Document or delivered hereunder or thereunder (as modified or supplemented by other information so furnished) contains any material misstatement of fact or omits to state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180"/>
          </w:cols>
          <w:pgMar w:left="320" w:top="1413" w:right="399" w:bottom="1440" w:gutter="0" w:footer="0" w:header="0"/>
        </w:sectPr>
      </w:pPr>
    </w:p>
    <w:bookmarkStart w:id="159" w:name="page160"/>
    <w:bookmarkEnd w:id="159"/>
    <w:p>
      <w:pPr>
        <w:ind w:left="340"/>
        <w:spacing w:after="0" w:line="254" w:lineRule="auto"/>
        <w:rPr>
          <w:sz w:val="20"/>
          <w:szCs w:val="20"/>
          <w:color w:val="auto"/>
        </w:rPr>
      </w:pPr>
      <w:r>
        <w:rPr>
          <w:rFonts w:ascii="Times New Roman" w:cs="Times New Roman" w:eastAsia="Times New Roman" w:hAnsi="Times New Roman"/>
          <w:sz w:val="20"/>
          <w:szCs w:val="20"/>
          <w:color w:val="auto"/>
        </w:rPr>
        <w:t xml:space="preserve">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Holdings and the Parent Borrower represent only that such information was prepared in good faith based upon assumptions believed to be reasonable at the time such projections were prepared.</w:t>
      </w:r>
    </w:p>
    <w:p>
      <w:pPr>
        <w:spacing w:after="0" w:line="174" w:lineRule="exact"/>
        <w:rPr>
          <w:sz w:val="20"/>
          <w:szCs w:val="20"/>
          <w:color w:val="auto"/>
        </w:rPr>
      </w:pPr>
    </w:p>
    <w:p>
      <w:pPr>
        <w:ind w:left="1620"/>
        <w:spacing w:after="0"/>
        <w:tabs>
          <w:tab w:leader="none" w:pos="20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ind w:right="22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3.12 Subsidiaries</w:t>
      </w:r>
      <w:r>
        <w:rPr>
          <w:rFonts w:ascii="Times New Roman" w:cs="Times New Roman" w:eastAsia="Times New Roman" w:hAnsi="Times New Roman"/>
          <w:sz w:val="20"/>
          <w:szCs w:val="20"/>
          <w:color w:val="auto"/>
        </w:rPr>
        <w:t>. Holdings does not have any subsidiaries other than the Parent Borrower and the Parent Borrower’s Subsidiaries. Schedule 3.12 sets forth the name of, and the ownership interest of the Parent Borrower in, each Subsidiary of the Parent Borrower and identifies each Subsidiary that is a Subsidiary Loan Party, in each case as of the Third Restatement Date.</w:t>
      </w:r>
    </w:p>
    <w:p>
      <w:pPr>
        <w:spacing w:after="0" w:line="174" w:lineRule="exact"/>
        <w:rPr>
          <w:sz w:val="20"/>
          <w:szCs w:val="20"/>
          <w:color w:val="auto"/>
        </w:rPr>
      </w:pPr>
    </w:p>
    <w:p>
      <w:pPr>
        <w:ind w:right="40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3.13 Insurance</w:t>
      </w:r>
      <w:r>
        <w:rPr>
          <w:rFonts w:ascii="Times New Roman" w:cs="Times New Roman" w:eastAsia="Times New Roman" w:hAnsi="Times New Roman"/>
          <w:sz w:val="20"/>
          <w:szCs w:val="20"/>
          <w:color w:val="auto"/>
        </w:rPr>
        <w:t>. Schedule 3.13 sets forth a description of all material insurance policies maintained by or on behalf of Holdings, the Parent Borrower and the Subsidiaries as of the Third Restatement Date. As of the Third Restatement Date, all premiums due in respect of such insurance have been paid.</w:t>
      </w:r>
    </w:p>
    <w:p>
      <w:pPr>
        <w:spacing w:after="0" w:line="174" w:lineRule="exact"/>
        <w:rPr>
          <w:sz w:val="20"/>
          <w:szCs w:val="20"/>
          <w:color w:val="auto"/>
        </w:rPr>
      </w:pPr>
    </w:p>
    <w:p>
      <w:pPr>
        <w:ind w:right="40"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3.14 Labor Matters</w:t>
      </w:r>
      <w:r>
        <w:rPr>
          <w:rFonts w:ascii="Times New Roman" w:cs="Times New Roman" w:eastAsia="Times New Roman" w:hAnsi="Times New Roman"/>
          <w:sz w:val="20"/>
          <w:szCs w:val="20"/>
          <w:color w:val="auto"/>
        </w:rPr>
        <w:t>. As of the Third Restatement Date, there are no strikes, lockouts or slowdowns against Holdings, the Parent Borrower or any Subsidiary pending or, to the knowledge of Holdings or the Parent Borrower, threatened that could reasonably be expected to have a Material Adverse Effect. All payments due from Holdings, the Parent Borrower or any Subsidiary, or for which any claim may be made against Holdings, the Parent Borrower or any Subsidiary, on account of wages and employee health and welfare insurance and other benefits, have been paid or accrued as a liability on the books of Holdings, the Parent Borrower or such Subsidiary except for those which, individually or in the aggregate, would not reasonably be expected to have a Material Adverse Effect. The consummation of the Transactions will not give rise to any right of termination or right of renegotiation on the part of any union under any collective bargaining agreement to which Holdings, the Parent Borrower or any Subsidiary is bound.</w:t>
      </w:r>
    </w:p>
    <w:p>
      <w:pPr>
        <w:spacing w:after="0" w:line="189"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3.15 Solvency</w:t>
      </w:r>
      <w:r>
        <w:rPr>
          <w:rFonts w:ascii="Times New Roman" w:cs="Times New Roman" w:eastAsia="Times New Roman" w:hAnsi="Times New Roman"/>
          <w:sz w:val="20"/>
          <w:szCs w:val="20"/>
          <w:color w:val="auto"/>
        </w:rPr>
        <w:t>. Immediately after the consummation of the Transactions to occur on the Third Restatement Date and immediately following the making of each Loan made on the Third Restatement Date and after giving effect to the application of the proceeds of such Loans, (a) the fair value of the assets of each Loan Party, at a fair valuation, will exceed its debts and liabilities, subordinated, contingent or otherwise, (b)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(c) each Loan Party will be able to pay its debts and liabilities, subordinated, contingent or otherwise, as such debts and liabilities become absolute and matured and (d) the Loan Parties, on a consolidated basis, will not have unreasonably small capital with which to conduct the business in which it is engaged as such business is now conducted and is proposed to be conducted following the Third Restatement Date.</w:t>
      </w:r>
    </w:p>
    <w:p>
      <w:pPr>
        <w:spacing w:after="0" w:line="186" w:lineRule="exact"/>
        <w:rPr>
          <w:sz w:val="20"/>
          <w:szCs w:val="20"/>
          <w:color w:val="auto"/>
        </w:rPr>
      </w:pPr>
    </w:p>
    <w:p>
      <w:pPr>
        <w:ind w:right="1060" w:firstLine="1296"/>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3.16 Senior Indebtedness</w:t>
      </w:r>
      <w:r>
        <w:rPr>
          <w:rFonts w:ascii="Times New Roman" w:cs="Times New Roman" w:eastAsia="Times New Roman" w:hAnsi="Times New Roman"/>
          <w:sz w:val="20"/>
          <w:szCs w:val="20"/>
          <w:color w:val="auto"/>
        </w:rPr>
        <w:t>. The Obligations constitute “Senior Indebtedness” under the terms of any Indebtedness that is subordinated in right of payment to the Obligations.</w:t>
      </w:r>
    </w:p>
    <w:p>
      <w:pPr>
        <w:spacing w:after="0" w:line="159"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3.17</w:t>
      </w:r>
      <w:r>
        <w:rPr>
          <w:sz w:val="20"/>
          <w:szCs w:val="20"/>
          <w:color w:val="auto"/>
        </w:rPr>
        <w:tab/>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40" w:firstLine="1288"/>
        <w:spacing w:after="0" w:line="254" w:lineRule="auto"/>
        <w:tabs>
          <w:tab w:leader="none" w:pos="205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Agreement is effective to create in favor of the Collateral Agent, for the benefit of the Secured Parties, a legal, valid and enforceable security interest in the Collateral (as defined in the Pledge Agreement) and, when such Collateral is delivered to the Collateral Agent and for so long as the Collateral Agent remains in possession of such Collateral, the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60" w:name="page161"/>
    <w:bookmarkEnd w:id="160"/>
    <w:p>
      <w:pPr>
        <w:ind w:right="400"/>
        <w:spacing w:after="0" w:line="269" w:lineRule="auto"/>
        <w:rPr>
          <w:sz w:val="20"/>
          <w:szCs w:val="20"/>
          <w:color w:val="auto"/>
        </w:rPr>
      </w:pPr>
      <w:r>
        <w:rPr>
          <w:rFonts w:ascii="Times New Roman" w:cs="Times New Roman" w:eastAsia="Times New Roman" w:hAnsi="Times New Roman"/>
          <w:sz w:val="20"/>
          <w:szCs w:val="20"/>
          <w:color w:val="auto"/>
        </w:rPr>
        <w:t>created by the Pledge Agreement shall constitute a perfected first priority security interest in all right, title and interest of the pledgor thereunder in such Collateral, in each case prior and superior in right to any other Person.</w:t>
      </w:r>
    </w:p>
    <w:p>
      <w:pPr>
        <w:spacing w:after="0" w:line="159" w:lineRule="exact"/>
        <w:rPr>
          <w:sz w:val="20"/>
          <w:szCs w:val="20"/>
          <w:color w:val="auto"/>
        </w:rPr>
      </w:pPr>
    </w:p>
    <w:p>
      <w:pPr>
        <w:ind w:right="20" w:firstLine="1288"/>
        <w:spacing w:after="0" w:line="245" w:lineRule="auto"/>
        <w:tabs>
          <w:tab w:leader="none" w:pos="172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Agreement is effective to create in favor of the Collateral Agent, for the benefit of the Secured Parties, a legal, valid and enforceable security interest in the Collateral (as defined in the Security Agreement) and, when financing statements in appropriate form are filed in the offices specified on Schedule 6 to the Perfection Certificate, the security interest created by the Security Agreement shall constitute a perfected security interest in all right, title and interest of the grantors thereunder in such Collateral (other than the Intellectual Property (as defined in the Security Agreement)), in each case prior and superior in right to any other Person, other than with respect to Liens permitted by Section 6.02.</w:t>
      </w:r>
    </w:p>
    <w:p>
      <w:pPr>
        <w:spacing w:after="0" w:line="184" w:lineRule="exact"/>
        <w:rPr>
          <w:rFonts w:ascii="Times New Roman" w:cs="Times New Roman" w:eastAsia="Times New Roman" w:hAnsi="Times New Roman"/>
          <w:sz w:val="20"/>
          <w:szCs w:val="20"/>
          <w:color w:val="auto"/>
        </w:rPr>
      </w:pPr>
    </w:p>
    <w:p>
      <w:pPr>
        <w:ind w:right="40" w:firstLine="1288"/>
        <w:spacing w:after="0" w:line="243" w:lineRule="auto"/>
        <w:tabs>
          <w:tab w:leader="none" w:pos="171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Security Agreement (or a summary thereof) is filed in the United States Patent and Trademark Office and the United States Copyright Office and the financing statements referred to in Section 3.17(b) above are appropriately filed, the security interest created by the Security Agreement shall constitute a perfected security interest in all right, title and interest of the grantors thereunder in the Intellectual Property (as defined in the Security Agreement)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(it being understood that subsequent recordings in the United States Patent and Trademark Office and the United States Copyright Office and subsequent UCC filings may be necessary to perfect a lien on registered trademarks, trademark applications and copyrights acquired by the Loan Parties after the Closing Date), other than with respect to Liens permitted by Section 6.02.</w:t>
      </w:r>
    </w:p>
    <w:p>
      <w:pPr>
        <w:spacing w:after="0" w:line="185" w:lineRule="exact"/>
        <w:rPr>
          <w:rFonts w:ascii="Times New Roman" w:cs="Times New Roman" w:eastAsia="Times New Roman" w:hAnsi="Times New Roman"/>
          <w:sz w:val="20"/>
          <w:szCs w:val="20"/>
          <w:color w:val="auto"/>
        </w:rPr>
      </w:pPr>
    </w:p>
    <w:p>
      <w:pPr>
        <w:ind w:right="20" w:firstLine="1288"/>
        <w:spacing w:after="0" w:line="244" w:lineRule="auto"/>
        <w:tabs>
          <w:tab w:leader="none" w:pos="172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Mortgage, upon execution and delivery thereof by the parties thereto, is effective to create, subject to the exceptions listed in each title insurance policy covering such Mortgage, in favor of the Collateral Agent, for the benefit of the Secured Parties, a legal, valid and enforceable Lien on all of the applicable mortgagor’s right, title and interest in and to the Mortgaged Properties thereunder and the proceeds thereof, and when the Mortgages are filed in the appropriate offices, the Lien created by each Mortgage shall constitute a perfected Lien on all right, title and interest of the applicable mortgagor in such Mortgaged Properties and the proceeds thereof, in each case prior and superior in right to any other Person, other than with respect to the rights of Persons pursuant to Liens permitted by Section 6.02.</w:t>
      </w:r>
    </w:p>
    <w:p>
      <w:pPr>
        <w:spacing w:after="0" w:line="185" w:lineRule="exact"/>
        <w:rPr>
          <w:rFonts w:ascii="Times New Roman" w:cs="Times New Roman" w:eastAsia="Times New Roman" w:hAnsi="Times New Roman"/>
          <w:sz w:val="20"/>
          <w:szCs w:val="20"/>
          <w:color w:val="auto"/>
        </w:rPr>
      </w:pPr>
    </w:p>
    <w:p>
      <w:pPr>
        <w:ind w:firstLine="1288"/>
        <w:spacing w:after="0" w:line="244" w:lineRule="auto"/>
        <w:tabs>
          <w:tab w:leader="none" w:pos="171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execution of any Foreign Security Document pursuant to Section 4.03, each Foreign Security Document shall be effective to create in favor of the Collateral Agent, for the benefit of the Secured Parties, a legal, valid and enforceable security interest in the applicable collateral covered by such Foreign Security Document, and when the actions specified in such Foreign Security Document, if any, are completed, the security interest created by such Foreign Security Document shall constitute a perfected security interest in all right, title and interest of the grantors thereunder in such collateral to the full extent possible under the laws of the applicable foreign jurisdiction, in each case prior and superior in right to any other Person, other than with respect to Liens permitted by Section 6.02.</w:t>
      </w:r>
    </w:p>
    <w:p>
      <w:pPr>
        <w:spacing w:after="0" w:line="186"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3.18</w:t>
      </w:r>
      <w:r>
        <w:rPr>
          <w:sz w:val="20"/>
          <w:szCs w:val="20"/>
          <w:color w:val="auto"/>
        </w:rPr>
        <w:tab/>
      </w:r>
      <w:r>
        <w:rPr>
          <w:rFonts w:ascii="Times New Roman" w:cs="Times New Roman" w:eastAsia="Times New Roman" w:hAnsi="Times New Roman"/>
          <w:sz w:val="19"/>
          <w:szCs w:val="19"/>
          <w:u w:val="single" w:color="auto"/>
          <w:color w:val="auto"/>
        </w:rPr>
        <w:t>Federal Reserve Regulations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1288"/>
        <w:spacing w:after="0" w:line="254" w:lineRule="auto"/>
        <w:tabs>
          <w:tab w:leader="none" w:pos="171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of the Subsidiaries (including the Receivables Subsidiary) is engaged principally, or as one of its important activities, in the business of extending credit for the purpose of buying or carrying 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0900"/>
          </w:cols>
          <w:pgMar w:left="660" w:top="1413" w:right="339" w:bottom="1440" w:gutter="0" w:footer="0" w:header="0"/>
        </w:sectPr>
      </w:pPr>
    </w:p>
    <w:bookmarkStart w:id="161" w:name="page162"/>
    <w:bookmarkEnd w:id="161"/>
    <w:p>
      <w:pPr>
        <w:ind w:left="340" w:firstLine="1288"/>
        <w:spacing w:after="0" w:line="254" w:lineRule="auto"/>
        <w:tabs>
          <w:tab w:leader="none" w:pos="206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or any Letter of Credit will be used, whether directly or indirectly, and whether immediately, incidentally or ultimately, for any purpose that entails a violation of the provisions of the Regulations of the Board, including Regulation U or X.</w:t>
      </w:r>
    </w:p>
    <w:p>
      <w:pPr>
        <w:spacing w:after="0" w:line="174" w:lineRule="exact"/>
        <w:rPr>
          <w:sz w:val="20"/>
          <w:szCs w:val="20"/>
          <w:color w:val="auto"/>
        </w:rPr>
      </w:pPr>
    </w:p>
    <w:p>
      <w:pPr>
        <w:ind w:right="60" w:firstLine="1296"/>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3.19 Anti-Corruption Laws and Sanctions</w:t>
      </w:r>
      <w:r>
        <w:rPr>
          <w:rFonts w:ascii="Times New Roman" w:cs="Times New Roman" w:eastAsia="Times New Roman" w:hAnsi="Times New Roman"/>
          <w:sz w:val="20"/>
          <w:szCs w:val="20"/>
          <w:color w:val="auto"/>
        </w:rPr>
        <w:t>. The Parent Borrower has implemented and maintains in effect policies and procedures designed to ensure compliance by Holdings, the Parent Borrower, its Subsidiaries and their respective directors, officers, employees and agents with Anti-Corruption Laws and applicable Sanctions, and Holdings, the Parent Borrower, its Subsidiaries and their respective officers and directors and, to the knowledge of the Parent Borrower, its employees , and in relation to their activities in any capacity in connection with or benefiting from the credit facility established hereby, agents, are in compliance with Anti-Corruption Laws and applicable Sanctions in all material respects. None of (a) Holdings, the Parent Borrower, any Subsidiary or any of their respective directors, officers or employees, or (b) to the knowledge of the Parent Borrower, any agent of Holdings, the Parent Borrower or any Subsidiary that will act in any capacity in connection with or benefit from the credit facility established hereby, is a Sanctioned Person. No Borrowing or Letter of Credit, use of proceeds or other transaction contemplated by the Credit Agreement will violate Anti-Corruption Laws or applicable Sanctions.</w:t>
      </w:r>
    </w:p>
    <w:p>
      <w:pPr>
        <w:spacing w:after="0" w:line="192"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20"/>
          <w:szCs w:val="20"/>
          <w:u w:val="single" w:color="auto"/>
          <w:color w:val="auto"/>
        </w:rPr>
        <w:t>SECTION 3.20</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3.21 Persons of Significant Control</w:t>
      </w:r>
      <w:r>
        <w:rPr>
          <w:rFonts w:ascii="Times New Roman" w:cs="Times New Roman" w:eastAsia="Times New Roman" w:hAnsi="Times New Roman"/>
          <w:sz w:val="20"/>
          <w:szCs w:val="20"/>
          <w:color w:val="auto"/>
        </w:rPr>
        <w:t>. In respect of any shares of a Person incorporated in England and Wales over which security or Collateral under the Security Documents is created, or purported to be created, pursuant to any Security Documents (the “</w:t>
      </w:r>
      <w:r>
        <w:rPr>
          <w:rFonts w:ascii="Times New Roman" w:cs="Times New Roman" w:eastAsia="Times New Roman" w:hAnsi="Times New Roman"/>
          <w:sz w:val="20"/>
          <w:szCs w:val="20"/>
          <w:u w:val="single" w:color="auto"/>
          <w:color w:val="auto"/>
        </w:rPr>
        <w:t>Secured English Shares</w:t>
      </w:r>
      <w:r>
        <w:rPr>
          <w:rFonts w:ascii="Times New Roman" w:cs="Times New Roman" w:eastAsia="Times New Roman" w:hAnsi="Times New Roman"/>
          <w:sz w:val="20"/>
          <w:szCs w:val="20"/>
          <w:color w:val="auto"/>
        </w:rPr>
        <w:t>”): (a) no “warning notice” as defined in paragraph 1 of Schedule 1B of the Companies Act 2006 (a “</w:t>
      </w:r>
      <w:r>
        <w:rPr>
          <w:rFonts w:ascii="Times New Roman" w:cs="Times New Roman" w:eastAsia="Times New Roman" w:hAnsi="Times New Roman"/>
          <w:sz w:val="20"/>
          <w:szCs w:val="20"/>
          <w:u w:val="single" w:color="auto"/>
          <w:color w:val="auto"/>
        </w:rPr>
        <w:t>Warning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and no “restrictions notice” as defined in paragraph 1 of Schedule 1B of the Companies Act 2006 (a “</w:t>
      </w:r>
      <w:r>
        <w:rPr>
          <w:rFonts w:ascii="Times New Roman" w:cs="Times New Roman" w:eastAsia="Times New Roman" w:hAnsi="Times New Roman"/>
          <w:sz w:val="20"/>
          <w:szCs w:val="20"/>
          <w:u w:val="single" w:color="auto"/>
          <w:color w:val="auto"/>
        </w:rPr>
        <w:t>Restrictions Notice</w:t>
      </w:r>
      <w:r>
        <w:rPr>
          <w:rFonts w:ascii="Times New Roman" w:cs="Times New Roman" w:eastAsia="Times New Roman" w:hAnsi="Times New Roman"/>
          <w:sz w:val="20"/>
          <w:szCs w:val="20"/>
          <w:color w:val="auto"/>
        </w:rPr>
        <w:t>”) pursuant to Part 21A of the Companies Act 2006 has been issued to a Loan Party in respect of any Secured English Shares; and (b) each Loan Party has complied with any Warning Notices or Restrictions Notices pursuant to Part 21A of the Companies Act 2006 issued to it in respect of any Secured English Shares.</w:t>
      </w:r>
    </w:p>
    <w:p>
      <w:pPr>
        <w:spacing w:after="0" w:line="18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3.22 Regulation (EU) 2015/858</w:t>
      </w:r>
      <w:r>
        <w:rPr>
          <w:rFonts w:ascii="Times New Roman" w:cs="Times New Roman" w:eastAsia="Times New Roman" w:hAnsi="Times New Roman"/>
          <w:sz w:val="20"/>
          <w:szCs w:val="20"/>
          <w:color w:val="auto"/>
        </w:rPr>
        <w:t>. For the purposes of Regulation (EU) 2015/848 on insolvency proceedings (recast) (the “</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the Dutch Foreign Subsidiary Borrower has a centre of main interest (as that term is used in Article 3(1) of the Regulation) that is situated in the Netherlands and it has no establishment (as that term is used in Article 2(10) of the Regulation) in any other jurisdiction.</w:t>
      </w:r>
    </w:p>
    <w:p>
      <w:pPr>
        <w:spacing w:after="0" w:line="180"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3.23 Outbound Investment Rules</w:t>
      </w:r>
      <w:r>
        <w:rPr>
          <w:rFonts w:ascii="Times New Roman" w:cs="Times New Roman" w:eastAsia="Times New Roman" w:hAnsi="Times New Roman"/>
          <w:sz w:val="20"/>
          <w:szCs w:val="20"/>
          <w:color w:val="auto"/>
        </w:rPr>
        <w:t>. Neither the Parent Borrower nor any Foreign Subsidiary Borrowers is a ‘covered foreign person’ as that term is used in the Outbound Investment Rules. Neither the Borrower nor any Foreign Subsidiary Borrowers currently engages, or has any present intention to engage in the future, directly or indirectly, in (i) a “covered activity” or a “covered transaction”, as each such term is defined in the Outbound Investment Rules or (ii) any other activity that would cause the Administrative Agent or any Lender to be legally prohibited by the Outbound Investment Rules from performing under this Agreement.</w:t>
      </w:r>
    </w:p>
    <w:p>
      <w:pPr>
        <w:ind w:left="4980"/>
        <w:spacing w:after="0"/>
        <w:rPr>
          <w:sz w:val="20"/>
          <w:szCs w:val="20"/>
          <w:color w:val="auto"/>
        </w:rPr>
      </w:pPr>
      <w:r>
        <w:rPr>
          <w:rFonts w:ascii="Times New Roman" w:cs="Times New Roman" w:eastAsia="Times New Roman" w:hAnsi="Times New Roman"/>
          <w:sz w:val="20"/>
          <w:szCs w:val="20"/>
          <w:color w:val="auto"/>
        </w:rPr>
        <w:t>ARTICLE IV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16" w:lineRule="exact"/>
        <w:rPr>
          <w:sz w:val="20"/>
          <w:szCs w:val="20"/>
          <w:color w:val="auto"/>
        </w:rPr>
      </w:pPr>
    </w:p>
    <w:p>
      <w:pPr>
        <w:jc w:val="both"/>
        <w:ind w:right="46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4.01 Closing Date</w:t>
      </w:r>
      <w:r>
        <w:rPr>
          <w:rFonts w:ascii="Times New Roman" w:cs="Times New Roman" w:eastAsia="Times New Roman" w:hAnsi="Times New Roman"/>
          <w:sz w:val="20"/>
          <w:szCs w:val="20"/>
          <w:color w:val="auto"/>
        </w:rPr>
        <w:t>. Subject to the last sentence of this Section 4.01, the obligations of the Lenders to make Loans and of the Issuing Bank to issue Letters of Credit hereunder on the Closing Date shall not become effective and are subject to the satisfaction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20"/>
          </w:cols>
          <w:pgMar w:left="320" w:top="1413" w:right="359" w:bottom="1440" w:gutter="0" w:footer="0" w:header="0"/>
        </w:sectPr>
      </w:pPr>
    </w:p>
    <w:bookmarkStart w:id="162" w:name="page163"/>
    <w:bookmarkEnd w:id="162"/>
    <w:p>
      <w:pPr>
        <w:ind w:right="40"/>
        <w:spacing w:after="0" w:line="269" w:lineRule="auto"/>
        <w:rPr>
          <w:sz w:val="20"/>
          <w:szCs w:val="20"/>
          <w:color w:val="auto"/>
        </w:rPr>
      </w:pPr>
      <w:r>
        <w:rPr>
          <w:rFonts w:ascii="Times New Roman" w:cs="Times New Roman" w:eastAsia="Times New Roman" w:hAnsi="Times New Roman"/>
          <w:sz w:val="20"/>
          <w:szCs w:val="20"/>
          <w:color w:val="auto"/>
        </w:rPr>
        <w:t>(it being understood and acknowledged that the Closing Date occurred on October 16, 2013 and that capitalized terms and Section references used in this Section 4.01 shall be used with the meanings assigned thereto in the Original Credit Agreement):</w:t>
      </w:r>
    </w:p>
    <w:p>
      <w:pPr>
        <w:spacing w:after="0" w:line="159" w:lineRule="exact"/>
        <w:rPr>
          <w:sz w:val="20"/>
          <w:szCs w:val="20"/>
          <w:color w:val="auto"/>
        </w:rPr>
      </w:pPr>
    </w:p>
    <w:p>
      <w:pPr>
        <w:jc w:val="both"/>
        <w:ind w:left="340" w:right="20" w:firstLine="1288"/>
        <w:spacing w:after="0" w:line="274" w:lineRule="auto"/>
        <w:tabs>
          <w:tab w:leader="none" w:pos="205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156" w:lineRule="exact"/>
        <w:rPr>
          <w:rFonts w:ascii="Times New Roman" w:cs="Times New Roman" w:eastAsia="Times New Roman" w:hAnsi="Times New Roman"/>
          <w:sz w:val="19"/>
          <w:szCs w:val="19"/>
          <w:color w:val="auto"/>
        </w:rPr>
      </w:pPr>
    </w:p>
    <w:p>
      <w:pPr>
        <w:ind w:left="340" w:right="20" w:firstLine="1288"/>
        <w:spacing w:after="0" w:line="249" w:lineRule="auto"/>
        <w:tabs>
          <w:tab w:leader="none" w:pos="206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shall have received a favorable written opinion (addressed to the Administrative Agent and the Lenders and dated the Closing Date) of each of (i) Cahill Gordon &amp; Reindel LLP, (ii) McDonald Hopkins LLC, (iii) Barnes &amp; Thornburg LLP, and (iv) Jones Day in each case in form and substance reasonably satisfactory to the Administrative Agent. Each of Holdings and the Parent Borrower hereby requests such counsel to deliver such opinions.</w:t>
      </w:r>
    </w:p>
    <w:p>
      <w:pPr>
        <w:spacing w:after="0" w:line="179" w:lineRule="exact"/>
        <w:rPr>
          <w:rFonts w:ascii="Times New Roman" w:cs="Times New Roman" w:eastAsia="Times New Roman" w:hAnsi="Times New Roman"/>
          <w:sz w:val="20"/>
          <w:szCs w:val="20"/>
          <w:color w:val="auto"/>
        </w:rPr>
      </w:pPr>
    </w:p>
    <w:p>
      <w:pPr>
        <w:ind w:left="340" w:right="100" w:firstLine="1288"/>
        <w:spacing w:after="0" w:line="249" w:lineRule="auto"/>
        <w:tabs>
          <w:tab w:leader="none" w:pos="205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documents and certificates as the Administrative Agent or its counsel may reasonably request relating to the organization, existence and good standing of each Loan Party, the authorization of the Transactions and any other legal matters relating to the Loan Parties, the Loan Documents or the Transactions, all in form and substance satisfactory to the Administrative Agent and its counsel.</w:t>
      </w:r>
    </w:p>
    <w:p>
      <w:pPr>
        <w:spacing w:after="0" w:line="179" w:lineRule="exact"/>
        <w:rPr>
          <w:rFonts w:ascii="Times New Roman" w:cs="Times New Roman" w:eastAsia="Times New Roman" w:hAnsi="Times New Roman"/>
          <w:sz w:val="20"/>
          <w:szCs w:val="20"/>
          <w:color w:val="auto"/>
        </w:rPr>
      </w:pPr>
    </w:p>
    <w:p>
      <w:pPr>
        <w:ind w:left="340" w:right="220" w:firstLine="1288"/>
        <w:spacing w:after="0" w:line="254" w:lineRule="auto"/>
        <w:tabs>
          <w:tab w:leader="none" w:pos="206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dated the Closing Date and signed by the President, a Vice President or a Financial Officer of Holdings and the Parent Borrower, confirming compliance with the conditions set forth in paragraphs (a) and (b) of Section 4.02.</w:t>
      </w:r>
    </w:p>
    <w:p>
      <w:pPr>
        <w:spacing w:after="0" w:line="174" w:lineRule="exact"/>
        <w:rPr>
          <w:rFonts w:ascii="Times New Roman" w:cs="Times New Roman" w:eastAsia="Times New Roman" w:hAnsi="Times New Roman"/>
          <w:sz w:val="20"/>
          <w:szCs w:val="20"/>
          <w:color w:val="auto"/>
        </w:rPr>
      </w:pPr>
    </w:p>
    <w:p>
      <w:pPr>
        <w:ind w:left="340" w:right="20" w:firstLine="1288"/>
        <w:spacing w:after="0" w:line="254" w:lineRule="auto"/>
        <w:tabs>
          <w:tab w:leader="none" w:pos="205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and other amounts due and payable on or prior to the Closing Date, including, to the extent invoiced, reimbursement or payment of all out-of-pocket expenses (including fees, charges and disbursements of counsel) required to be reimbursed or paid by any Loan Party hereunder or under any Loan Document.</w:t>
      </w:r>
    </w:p>
    <w:p>
      <w:pPr>
        <w:spacing w:after="0" w:line="174" w:lineRule="exact"/>
        <w:rPr>
          <w:rFonts w:ascii="Times New Roman" w:cs="Times New Roman" w:eastAsia="Times New Roman" w:hAnsi="Times New Roman"/>
          <w:sz w:val="20"/>
          <w:szCs w:val="20"/>
          <w:color w:val="auto"/>
        </w:rPr>
      </w:pPr>
    </w:p>
    <w:p>
      <w:pPr>
        <w:ind w:left="340" w:right="100" w:firstLine="1288"/>
        <w:spacing w:after="0" w:line="259" w:lineRule="auto"/>
        <w:tabs>
          <w:tab w:leader="none" w:pos="202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and Guarantee Requirement shall have been satisfied and the Administrative Agent shall have received a completed Perfection Certificate dated the Closing Date and signed by an executive officer or Financial Officer of the Parent Borrower,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by Section 6.02 or have been released or will be released pursuant to UCC-3 financing statements or other release documentation delivered to the Collateral Agent.</w:t>
      </w:r>
    </w:p>
    <w:p>
      <w:pPr>
        <w:spacing w:after="0" w:line="172" w:lineRule="exact"/>
        <w:rPr>
          <w:rFonts w:ascii="Times New Roman" w:cs="Times New Roman" w:eastAsia="Times New Roman" w:hAnsi="Times New Roman"/>
          <w:sz w:val="19"/>
          <w:szCs w:val="19"/>
          <w:color w:val="auto"/>
        </w:rPr>
      </w:pPr>
    </w:p>
    <w:p>
      <w:pPr>
        <w:ind w:left="340" w:firstLine="1288"/>
        <w:spacing w:after="0" w:line="254" w:lineRule="auto"/>
        <w:tabs>
          <w:tab w:leader="none" w:pos="206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that the insurance required by Section 5.07 and the Security Documents is in effect, together with endorsements naming the Collateral Agent, for the benefit of the Secured Parties, as additional insured and loss payee thereunder, to the extent required by Section 5.07.</w:t>
      </w:r>
    </w:p>
    <w:p>
      <w:pPr>
        <w:spacing w:after="0" w:line="174" w:lineRule="exact"/>
        <w:rPr>
          <w:rFonts w:ascii="Times New Roman" w:cs="Times New Roman" w:eastAsia="Times New Roman" w:hAnsi="Times New Roman"/>
          <w:sz w:val="20"/>
          <w:szCs w:val="20"/>
          <w:color w:val="auto"/>
        </w:rPr>
      </w:pPr>
    </w:p>
    <w:p>
      <w:pPr>
        <w:ind w:left="340" w:right="160" w:firstLine="1288"/>
        <w:spacing w:after="0" w:line="254" w:lineRule="auto"/>
        <w:tabs>
          <w:tab w:leader="none" w:pos="206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shall have been consummated or shall be consummated substantially simultaneously with the initial funding of the Tranche A Term Loans on the Closing Date in accordance with applicable law and all other related documentation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20"/>
          </w:cols>
          <w:pgMar w:left="320" w:top="1413" w:right="359" w:bottom="1440" w:gutter="0" w:footer="0" w:header="0"/>
        </w:sectPr>
      </w:pPr>
    </w:p>
    <w:bookmarkStart w:id="163" w:name="page164"/>
    <w:bookmarkEnd w:id="163"/>
    <w:p>
      <w:pPr>
        <w:ind w:left="340" w:right="100"/>
        <w:spacing w:after="0" w:line="243" w:lineRule="auto"/>
        <w:rPr>
          <w:sz w:val="20"/>
          <w:szCs w:val="20"/>
          <w:color w:val="auto"/>
        </w:rPr>
      </w:pPr>
      <w:r>
        <w:rPr>
          <w:rFonts w:ascii="Times New Roman" w:cs="Times New Roman" w:eastAsia="Times New Roman" w:hAnsi="Times New Roman"/>
          <w:sz w:val="20"/>
          <w:szCs w:val="20"/>
          <w:color w:val="auto"/>
        </w:rPr>
        <w:t xml:space="preserve">(without giving effect to any amendments not approved by the Administrative Agent), and after giving effect to the Transactions and the other transactions contemplated hereby, none of Holdings, the Parent Borrower or any of the Subsidiaries shall have outstanding any shares of preferred stock or any Indebtedness to a Person other than the Parent Borrower or any Subsidiary, other than (i) Indebtedness incurred under the Loan Documents and (ii) Indebtedness incurred and outstanding as of the Closing Date in compliance with Section 6.01 of this Agreement. The Liens securing the obligations under the Existing Credit Agreement shall have been released or shall be released substantially simultaneously with the initial funding of the Tranche A Term Loans on the Closing Date. Each Lender party hereto that is also a “Lender” under the Existing Credit Agreement hereby waives the requirement for advance notice of termination of “Commitments” under the Existing Credit Agreement and prepayment of any “Loans” outstanding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notice of termination and prepayment is delivered on the Closing Date of this Agreement.</w:t>
      </w:r>
    </w:p>
    <w:p>
      <w:pPr>
        <w:spacing w:after="0" w:line="186" w:lineRule="exact"/>
        <w:rPr>
          <w:sz w:val="20"/>
          <w:szCs w:val="20"/>
          <w:color w:val="auto"/>
        </w:rPr>
      </w:pPr>
    </w:p>
    <w:p>
      <w:pPr>
        <w:ind w:left="2000" w:hanging="372"/>
        <w:spacing w:after="0"/>
        <w:tabs>
          <w:tab w:leader="none" w:pos="20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shall have received the financial statements referred to in Section 3.04(a).</w:t>
      </w:r>
    </w:p>
    <w:p>
      <w:pPr>
        <w:spacing w:after="0" w:line="215" w:lineRule="exact"/>
        <w:rPr>
          <w:rFonts w:ascii="Times New Roman" w:cs="Times New Roman" w:eastAsia="Times New Roman" w:hAnsi="Times New Roman"/>
          <w:sz w:val="20"/>
          <w:szCs w:val="20"/>
          <w:color w:val="auto"/>
        </w:rPr>
      </w:pPr>
    </w:p>
    <w:p>
      <w:pPr>
        <w:jc w:val="both"/>
        <w:ind w:left="340" w:right="380" w:firstLine="1288"/>
        <w:spacing w:after="0" w:line="254" w:lineRule="auto"/>
        <w:tabs>
          <w:tab w:leader="none" w:pos="201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in form and substance reasonably satisfactory to the Administrative Agent, dated the Closing Date and signed by the chief financial officer of each of Holdings and the Parent Borrower, certifying that Holdings and its Subsidiaries, on a consolidated basis after giving effect to the Transactions, are solvent.</w:t>
      </w:r>
    </w:p>
    <w:p>
      <w:pPr>
        <w:spacing w:after="0" w:line="174" w:lineRule="exact"/>
        <w:rPr>
          <w:rFonts w:ascii="Times New Roman" w:cs="Times New Roman" w:eastAsia="Times New Roman" w:hAnsi="Times New Roman"/>
          <w:sz w:val="20"/>
          <w:szCs w:val="20"/>
          <w:color w:val="auto"/>
        </w:rPr>
      </w:pPr>
    </w:p>
    <w:p>
      <w:pPr>
        <w:ind w:left="340" w:firstLine="1288"/>
        <w:spacing w:after="0" w:line="254" w:lineRule="auto"/>
        <w:tabs>
          <w:tab w:leader="none" w:pos="206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all documentation and other information required by bank regulatory authorities under applicable “know your customer” and anti-money laundering rules and regulations, including the PATRIOT Act.</w:t>
      </w:r>
    </w:p>
    <w:p>
      <w:pPr>
        <w:spacing w:after="0" w:line="1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Administrative Agent shall notify the Parent Borrower and the Lenders of the Closing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10.02) at or prior to 5:00 p.m., New York City time, on October 16, 2013 (and, in the event such conditions are not so satisfied or waived, the Commitments shall terminate at such time).</w:t>
      </w:r>
    </w:p>
    <w:p>
      <w:pPr>
        <w:spacing w:after="0" w:line="185"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4.02 Each Credit Event</w:t>
      </w:r>
      <w:r>
        <w:rPr>
          <w:rFonts w:ascii="Times New Roman" w:cs="Times New Roman" w:eastAsia="Times New Roman" w:hAnsi="Times New Roman"/>
          <w:sz w:val="20"/>
          <w:szCs w:val="20"/>
          <w:color w:val="auto"/>
        </w:rPr>
        <w:t>. The obligation of each Lender to make a Loan on the occasion of any Borrowing (other than (i) any Revolving Loan made pursuant to Section 2.04(d) or Section 2.05(d) and (ii) any continuation or conversion of a Borrowing pursuant to the terms hereof that does not result in the increase of the aggregate principal amount of the Borrowings then outstanding), and of the Issuing Bank to issue, amend, renew or extend any Letter of Credit, is subject to receipt of the request therefor in accordance herewith and to the satisfaction of the following conditions:</w:t>
      </w:r>
    </w:p>
    <w:p>
      <w:pPr>
        <w:spacing w:after="0" w:line="185" w:lineRule="exact"/>
        <w:rPr>
          <w:sz w:val="20"/>
          <w:szCs w:val="20"/>
          <w:color w:val="auto"/>
        </w:rPr>
      </w:pPr>
    </w:p>
    <w:p>
      <w:pPr>
        <w:ind w:left="340" w:right="100" w:firstLine="1288"/>
        <w:spacing w:after="0" w:line="249" w:lineRule="auto"/>
        <w:tabs>
          <w:tab w:leader="none" w:pos="205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each Loan Party set forth in the Loan Documents shall be true and correct in all material respects (and in all respects if any such representation or warranty is already qualified by materiality or “material adverse effect”) on and as of the date of such Borrowing or the date of issuance, amendment, renewal or extension of such Letter of Credit, as applicable.</w:t>
      </w:r>
    </w:p>
    <w:p>
      <w:pPr>
        <w:spacing w:after="0" w:line="179" w:lineRule="exact"/>
        <w:rPr>
          <w:rFonts w:ascii="Times New Roman" w:cs="Times New Roman" w:eastAsia="Times New Roman" w:hAnsi="Times New Roman"/>
          <w:sz w:val="20"/>
          <w:szCs w:val="20"/>
          <w:color w:val="auto"/>
        </w:rPr>
      </w:pPr>
    </w:p>
    <w:p>
      <w:pPr>
        <w:ind w:left="340" w:right="520" w:firstLine="1288"/>
        <w:spacing w:after="0" w:line="269" w:lineRule="auto"/>
        <w:tabs>
          <w:tab w:leader="none" w:pos="205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20"/>
          </w:cols>
          <w:pgMar w:left="320" w:top="1413" w:right="359" w:bottom="1440" w:gutter="0" w:footer="0" w:header="0"/>
        </w:sectPr>
      </w:pPr>
    </w:p>
    <w:bookmarkStart w:id="164" w:name="page165"/>
    <w:bookmarkEnd w:id="164"/>
    <w:p>
      <w:pPr>
        <w:ind w:right="160" w:firstLine="1296"/>
        <w:spacing w:after="0" w:line="254" w:lineRule="auto"/>
        <w:rPr>
          <w:sz w:val="20"/>
          <w:szCs w:val="20"/>
          <w:color w:val="auto"/>
        </w:rPr>
      </w:pPr>
      <w:r>
        <w:rPr>
          <w:rFonts w:ascii="Times New Roman" w:cs="Times New Roman" w:eastAsia="Times New Roman" w:hAnsi="Times New Roman"/>
          <w:sz w:val="20"/>
          <w:szCs w:val="20"/>
          <w:color w:val="auto"/>
        </w:rPr>
        <w:t>Each Borrowing and each issuance, amendment, renewal or extension of a Letter of Credit shall be deemed to constitute a representation and warranty by Holdings and the Parent Borrower on the date thereof as to the matters specified in paragraphs (a) and (b) of this Section.</w:t>
      </w:r>
    </w:p>
    <w:p>
      <w:pPr>
        <w:spacing w:after="0" w:line="174" w:lineRule="exact"/>
        <w:rPr>
          <w:sz w:val="20"/>
          <w:szCs w:val="20"/>
          <w:color w:val="auto"/>
        </w:rPr>
      </w:pPr>
    </w:p>
    <w:p>
      <w:pPr>
        <w:jc w:val="both"/>
        <w:ind w:right="14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4.03 Credit Events Relating to Foreign Subsidiary Borrowers</w:t>
      </w:r>
      <w:r>
        <w:rPr>
          <w:rFonts w:ascii="Times New Roman" w:cs="Times New Roman" w:eastAsia="Times New Roman" w:hAnsi="Times New Roman"/>
          <w:sz w:val="20"/>
          <w:szCs w:val="20"/>
          <w:color w:val="auto"/>
        </w:rPr>
        <w:t>. The obligation of each Lender to make Loans to any Foreign Subsidiary Borrower, and of the Issuing Bank to issue, amend, renew or extend any Letter of Credit to any Foreign Subsidiary Borrower, is subject to the satisfaction of the following conditions:</w:t>
      </w:r>
    </w:p>
    <w:p>
      <w:pPr>
        <w:spacing w:after="0" w:line="174" w:lineRule="exact"/>
        <w:rPr>
          <w:sz w:val="20"/>
          <w:szCs w:val="20"/>
          <w:color w:val="auto"/>
        </w:rPr>
      </w:pPr>
    </w:p>
    <w:p>
      <w:pPr>
        <w:ind w:left="340" w:right="20" w:firstLine="1288"/>
        <w:spacing w:after="0" w:line="269" w:lineRule="auto"/>
        <w:tabs>
          <w:tab w:leader="none" w:pos="205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earlier to occur of the initial Loan made to or the initial Letter of Credit issued for the account of such Foreign Subsidiary Borrower:</w:t>
      </w:r>
    </w:p>
    <w:p>
      <w:pPr>
        <w:spacing w:after="0" w:line="159" w:lineRule="exact"/>
        <w:rPr>
          <w:rFonts w:ascii="Times New Roman" w:cs="Times New Roman" w:eastAsia="Times New Roman" w:hAnsi="Times New Roman"/>
          <w:sz w:val="20"/>
          <w:szCs w:val="20"/>
          <w:color w:val="auto"/>
        </w:rPr>
      </w:pPr>
    </w:p>
    <w:p>
      <w:pPr>
        <w:ind w:left="660" w:right="900" w:firstLine="903"/>
        <w:spacing w:after="0" w:line="269" w:lineRule="auto"/>
        <w:tabs>
          <w:tab w:leader="none" w:pos="195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such Foreign Subsidiary Borrower’s Foreign Subsidiary Borrowing Agreement duly executed and delivered by all parties thereto;</w:t>
      </w:r>
    </w:p>
    <w:p>
      <w:pPr>
        <w:spacing w:after="0" w:line="159" w:lineRule="exact"/>
        <w:rPr>
          <w:rFonts w:ascii="Times New Roman" w:cs="Times New Roman" w:eastAsia="Times New Roman" w:hAnsi="Times New Roman"/>
          <w:sz w:val="20"/>
          <w:szCs w:val="20"/>
          <w:color w:val="auto"/>
        </w:rPr>
      </w:pPr>
    </w:p>
    <w:p>
      <w:pPr>
        <w:ind w:left="660" w:right="20" w:firstLine="903"/>
        <w:spacing w:after="0" w:line="246" w:lineRule="auto"/>
        <w:tabs>
          <w:tab w:leader="none" w:pos="200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documents (including legal opinions) and certificates as the Administrative Agent or its counsel may reasonably request relating to the formation, existence and good standing of such Foreign Subsidiary Borrower, the authorization of the transactions contemplated hereby relating to such Foreign Subsidiary Borrower and any other legal matters relating to such Foreign Subsidiary Borrower or its Foreign Subsidiary Borrowing Agreement, all in form and substance satisfactory to the Administrative Agent and its counsel; and</w:t>
      </w:r>
    </w:p>
    <w:p>
      <w:pPr>
        <w:spacing w:after="0" w:line="184" w:lineRule="exact"/>
        <w:rPr>
          <w:rFonts w:ascii="Times New Roman" w:cs="Times New Roman" w:eastAsia="Times New Roman" w:hAnsi="Times New Roman"/>
          <w:sz w:val="20"/>
          <w:szCs w:val="20"/>
          <w:color w:val="auto"/>
        </w:rPr>
      </w:pPr>
    </w:p>
    <w:p>
      <w:pPr>
        <w:jc w:val="both"/>
        <w:ind w:left="660" w:right="180" w:firstLine="903"/>
        <w:spacing w:after="0" w:line="249" w:lineRule="auto"/>
        <w:tabs>
          <w:tab w:leader="none" w:pos="206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all documentation and other information relating to such Foreign Subsidiary Borrower required by bank regulatory authorities under applicable “know your customer” and anti-money laundering rules and regulations, including the PATRIOT Act and, if applicable, the Beneficial Ownership Regulation, in all cases reasonably satisfactory to the Administrative Agent and the Lenders.</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4.04 Conditions to the Third Restatement Date</w:t>
      </w:r>
      <w:r>
        <w:rPr>
          <w:rFonts w:ascii="Times New Roman" w:cs="Times New Roman" w:eastAsia="Times New Roman" w:hAnsi="Times New Roman"/>
          <w:sz w:val="20"/>
          <w:szCs w:val="20"/>
          <w:color w:val="auto"/>
        </w:rPr>
        <w:t>. The obligations of the Lenders to make Loans and of the Issuing Bank to issue Letters of Credit hereunder on the Third Restatement Date are subject to, and shall not become effective until, the satisfaction of the following conditions:</w:t>
      </w:r>
    </w:p>
    <w:p>
      <w:pPr>
        <w:spacing w:after="0" w:line="174" w:lineRule="exact"/>
        <w:rPr>
          <w:sz w:val="20"/>
          <w:szCs w:val="20"/>
          <w:color w:val="auto"/>
        </w:rPr>
      </w:pPr>
    </w:p>
    <w:p>
      <w:pPr>
        <w:ind w:left="660" w:right="20" w:firstLine="644"/>
        <w:spacing w:after="0" w:line="258" w:lineRule="auto"/>
        <w:tabs>
          <w:tab w:leader="none" w:pos="172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its counsel) shall have received (i) counterparts of (or written evidence satisfactory to the Administrative Agent that such party has signed a counterpart of the Eighth Amendment, executed by the Parent Borrower, each Foreign Subsidiary Borrower (including the New Foreign Subsidiary Borrower (as defined in the Eighth Amendment)), each other Loan Party, the Administrative Agent, the Fronting Lender, each Issuing Bank, each Swingline Lender and Persons with aggregate Revolving Commitments of $250,000,000 and (ii) reasonably satisfactory evidence that all Existing Revolving Commitments and Existing Revolving Loans shall be replaced with Revolving Commitments or Revolving Loans, as applicable, hereunder or otherwise terminated or repaid, as applicable (and in each case all accrued interest on the Existing Revolving Loans and Existing Revolving Commitments and other amounts (including fees) outstanding in respect thereof shall have been paid in full).</w:t>
      </w:r>
    </w:p>
    <w:p>
      <w:pPr>
        <w:spacing w:after="0" w:line="173" w:lineRule="exact"/>
        <w:rPr>
          <w:rFonts w:ascii="Times New Roman" w:cs="Times New Roman" w:eastAsia="Times New Roman" w:hAnsi="Times New Roman"/>
          <w:sz w:val="19"/>
          <w:szCs w:val="19"/>
          <w:color w:val="auto"/>
        </w:rPr>
      </w:pPr>
    </w:p>
    <w:p>
      <w:pPr>
        <w:ind w:left="660" w:right="40" w:firstLine="644"/>
        <w:spacing w:after="0" w:line="254" w:lineRule="auto"/>
        <w:tabs>
          <w:tab w:leader="none" w:pos="173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favorable written opinion (addressed to the Administrative Agent and the Lenders and dated the Third Restatement Date) of each of (i) Jones Day, (ii) Lewis Brisbois Bisgaard &amp; Smith LLP, (iii) Simpson Thacher &amp; Bartlett and (iv) Loyens &amp; Loeff in each case in form and substance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65" w:name="page166"/>
    <w:bookmarkEnd w:id="165"/>
    <w:p>
      <w:pPr>
        <w:ind w:left="320"/>
        <w:spacing w:after="0"/>
        <w:rPr>
          <w:sz w:val="20"/>
          <w:szCs w:val="20"/>
          <w:color w:val="auto"/>
        </w:rPr>
      </w:pPr>
      <w:r>
        <w:rPr>
          <w:rFonts w:ascii="Times New Roman" w:cs="Times New Roman" w:eastAsia="Times New Roman" w:hAnsi="Times New Roman"/>
          <w:sz w:val="20"/>
          <w:szCs w:val="20"/>
          <w:color w:val="auto"/>
        </w:rPr>
        <w:t>Administrative Agent. Each of Holdings and the Parent Borrower hereby requests such counsel to deliver such opinions.</w:t>
      </w:r>
    </w:p>
    <w:p>
      <w:pPr>
        <w:spacing w:after="0" w:line="216" w:lineRule="exact"/>
        <w:rPr>
          <w:sz w:val="20"/>
          <w:szCs w:val="20"/>
          <w:color w:val="auto"/>
        </w:rPr>
      </w:pPr>
    </w:p>
    <w:p>
      <w:pPr>
        <w:ind w:left="320" w:right="60" w:firstLine="644"/>
        <w:spacing w:after="0" w:line="249" w:lineRule="auto"/>
        <w:tabs>
          <w:tab w:leader="none" w:pos="138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documents and certificates as the Administrative Agent or its counsel may reasonably request relating to the organization, existence and good standing of the Loan Parties, the authorization of the Transactions and any other legal matters relating to the Parent Borrower, the Foreign Subsidiary Borrowers, the Loan Documents or the Transactions, all in form and substance satisfactory to the Administrative Agent and its counsel.</w:t>
      </w:r>
    </w:p>
    <w:p>
      <w:pPr>
        <w:spacing w:after="0" w:line="179" w:lineRule="exact"/>
        <w:rPr>
          <w:rFonts w:ascii="Times New Roman" w:cs="Times New Roman" w:eastAsia="Times New Roman" w:hAnsi="Times New Roman"/>
          <w:sz w:val="20"/>
          <w:szCs w:val="20"/>
          <w:color w:val="auto"/>
        </w:rPr>
      </w:pPr>
    </w:p>
    <w:p>
      <w:pPr>
        <w:ind w:left="320" w:right="240" w:firstLine="644"/>
        <w:spacing w:after="0" w:line="254" w:lineRule="auto"/>
        <w:tabs>
          <w:tab w:leader="none" w:pos="139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dated the Third Restatement Date and signed by the President, a Vice President or a Financial Officer of Holdings and the Parent Borrower, confirming compliance with the conditions set forth in paragraphs (a) and (b) of Section 4.02.</w:t>
      </w:r>
    </w:p>
    <w:p>
      <w:pPr>
        <w:spacing w:after="0" w:line="174" w:lineRule="exact"/>
        <w:rPr>
          <w:rFonts w:ascii="Times New Roman" w:cs="Times New Roman" w:eastAsia="Times New Roman" w:hAnsi="Times New Roman"/>
          <w:sz w:val="20"/>
          <w:szCs w:val="20"/>
          <w:color w:val="auto"/>
        </w:rPr>
      </w:pPr>
    </w:p>
    <w:p>
      <w:pPr>
        <w:ind w:left="320" w:right="20" w:firstLine="644"/>
        <w:spacing w:after="0" w:line="266" w:lineRule="auto"/>
        <w:tabs>
          <w:tab w:leader="none" w:pos="138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all fees and other amounts due and payable on or prior to the Third Restatement Date, including, to the extent invoiced, reimbursement or payment of all out-of-pocket expenses (including fees, charges and disbursements of counsel) required to be reimbursed or paid by any Loan Party hereunder or under any Loan Document (and for the avoidance of doubt, including all interest, fees, expenses and other amounts due under the Existing Credit Agreement).</w:t>
      </w:r>
    </w:p>
    <w:p>
      <w:pPr>
        <w:spacing w:after="0" w:line="165" w:lineRule="exact"/>
        <w:rPr>
          <w:rFonts w:ascii="Times New Roman" w:cs="Times New Roman" w:eastAsia="Times New Roman" w:hAnsi="Times New Roman"/>
          <w:sz w:val="19"/>
          <w:szCs w:val="19"/>
          <w:color w:val="auto"/>
        </w:rPr>
      </w:pPr>
    </w:p>
    <w:p>
      <w:pPr>
        <w:ind w:left="320" w:right="200" w:firstLine="644"/>
        <w:spacing w:after="0" w:line="274" w:lineRule="auto"/>
        <w:tabs>
          <w:tab w:leader="none" w:pos="1364"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Collateral and Guarantee Requirement and Foreign Security Collateral and Guarantee Requirement shall have been satisfied as of the Third Restatement Date and (ii) the Administrative shall have received the applicable Foreign Security Documents related to the New Foreign Subsidiary Borrower (as defined in the Eighth Amendment) by the Third Restatement Date.</w:t>
      </w:r>
    </w:p>
    <w:p>
      <w:pPr>
        <w:spacing w:after="0" w:line="156" w:lineRule="exact"/>
        <w:rPr>
          <w:rFonts w:ascii="Times New Roman" w:cs="Times New Roman" w:eastAsia="Times New Roman" w:hAnsi="Times New Roman"/>
          <w:sz w:val="19"/>
          <w:szCs w:val="19"/>
          <w:color w:val="auto"/>
        </w:rPr>
      </w:pPr>
    </w:p>
    <w:p>
      <w:pPr>
        <w:ind w:left="1380" w:hanging="416"/>
        <w:spacing w:after="0"/>
        <w:tabs>
          <w:tab w:leader="none" w:pos="138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shall have received the financial statements referred to in Section 3.04(a).</w:t>
      </w:r>
    </w:p>
    <w:p>
      <w:pPr>
        <w:spacing w:after="0" w:line="215" w:lineRule="exact"/>
        <w:rPr>
          <w:rFonts w:ascii="Times New Roman" w:cs="Times New Roman" w:eastAsia="Times New Roman" w:hAnsi="Times New Roman"/>
          <w:sz w:val="20"/>
          <w:szCs w:val="20"/>
          <w:color w:val="auto"/>
        </w:rPr>
      </w:pPr>
    </w:p>
    <w:p>
      <w:pPr>
        <w:ind w:left="320" w:firstLine="644"/>
        <w:spacing w:after="0" w:line="243" w:lineRule="auto"/>
        <w:tabs>
          <w:tab w:leader="none" w:pos="139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at least five days prior to the Third Restatement Date, all documentation and other information regarding the Borrowers that is required under applicable “know your customer” and anti-money laundering rules and regulations, including the PATRIOT Act, to the extent requested in writing of the Parent Borrower at least 10 days prior to the Third Restatement Date and (ii) to the extent the Parent Borrower qualifies as a “legal entity customer” under the Beneficial Ownership Regulation, at least five days prior to the Third Restatement Date, any Lender that has requested, in a written notice to the Parent Borrower at least 10 days prior to the Third Restatement Date, a Beneficial Ownership Certification in relation to the Parent Borrower shall have received such Beneficial Ownership Certification (provided that, upon the execution and delivery by such Lender of its signature page to this Agreement, the condition set forth in this clause (h) shall be deemed to be satisfied).</w:t>
      </w:r>
    </w:p>
    <w:p>
      <w:pPr>
        <w:spacing w:after="0" w:line="185" w:lineRule="exact"/>
        <w:rPr>
          <w:rFonts w:ascii="Times New Roman" w:cs="Times New Roman" w:eastAsia="Times New Roman" w:hAnsi="Times New Roman"/>
          <w:sz w:val="20"/>
          <w:szCs w:val="20"/>
          <w:color w:val="auto"/>
        </w:rPr>
      </w:pPr>
    </w:p>
    <w:p>
      <w:pPr>
        <w:ind w:right="240" w:firstLine="1288"/>
        <w:spacing w:after="0" w:line="249" w:lineRule="auto"/>
        <w:tabs>
          <w:tab w:leader="none" w:pos="1677"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in form and substance reasonably satisfactory to the Administrative Agent, dated the Third Restatement Date and signed by the chief financial officer or other Financial Officer of each of Holdings and the Parent Borrower, certifying that Holdings and its Subsidiaries, on a consolidated basis after giving effect to the Third Amendment, are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0900"/>
          </w:cols>
          <w:pgMar w:left="660" w:top="1413" w:right="339" w:bottom="1440" w:gutter="0" w:footer="0" w:header="0"/>
        </w:sectPr>
      </w:pPr>
    </w:p>
    <w:bookmarkStart w:id="166" w:name="page167"/>
    <w:bookmarkEnd w:id="166"/>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the Parent Borrower and the Lenders of the Third Restatement Date, and such notice shall be conclusive and binding.</w:t>
      </w: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u w:val="single" w:color="auto"/>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16" w:lineRule="exact"/>
        <w:rPr>
          <w:sz w:val="20"/>
          <w:szCs w:val="20"/>
          <w:color w:val="auto"/>
        </w:rPr>
      </w:pPr>
    </w:p>
    <w:p>
      <w:pPr>
        <w:ind w:right="180" w:firstLine="1296"/>
        <w:spacing w:after="0" w:line="249"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each of Holdings, the Parent Borrower and each Foreign Subsidiary Borrower (as to itself only) covenants and agrees with the Lenders that:</w:t>
      </w:r>
    </w:p>
    <w:p>
      <w:pPr>
        <w:spacing w:after="0" w:line="180"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5.01</w:t>
      </w:r>
      <w:r>
        <w:rPr>
          <w:sz w:val="20"/>
          <w:szCs w:val="20"/>
          <w:color w:val="auto"/>
        </w:rPr>
        <w:tab/>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Holdings or the Parent Borrower will furnish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each Lender:</w:t>
      </w:r>
    </w:p>
    <w:p>
      <w:pPr>
        <w:spacing w:after="0" w:line="194" w:lineRule="exact"/>
        <w:rPr>
          <w:sz w:val="20"/>
          <w:szCs w:val="20"/>
          <w:color w:val="auto"/>
        </w:rPr>
      </w:pPr>
    </w:p>
    <w:p>
      <w:pPr>
        <w:ind w:left="340" w:right="40" w:firstLine="1288"/>
        <w:spacing w:after="0" w:line="242" w:lineRule="auto"/>
        <w:tabs>
          <w:tab w:leader="none" w:pos="205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w:t>
      </w:r>
      <w:r>
        <w:rPr>
          <w:rFonts w:ascii="Times New Roman" w:cs="Times New Roman" w:eastAsia="Times New Roman" w:hAnsi="Times New Roman"/>
          <w:sz w:val="20"/>
          <w:szCs w:val="20"/>
          <w:u w:val="single" w:color="auto"/>
          <w:color w:val="auto"/>
        </w:rPr>
        <w:t>going concern</w:t>
      </w:r>
      <w:r>
        <w:rPr>
          <w:rFonts w:ascii="Times New Roman" w:cs="Times New Roman" w:eastAsia="Times New Roman" w:hAnsi="Times New Roman"/>
          <w:sz w:val="20"/>
          <w:szCs w:val="20"/>
          <w:color w:val="auto"/>
        </w:rPr>
        <w:t>” or like qualification or exception (except for any such qualification or exception resulting from any current maturity of Loans hereunder)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(it being understood that the obligation to furnish the foregoing to the Administrative Agent and the Lenders shall be deemed to be satisfied in respect of any fiscal year of Holdings by the filing of Holdings’ annual report on Form 10-K for such fiscal year with the Commission to the extent the foregoing are included therein);</w:t>
      </w:r>
    </w:p>
    <w:p>
      <w:pPr>
        <w:spacing w:after="0" w:line="192" w:lineRule="exact"/>
        <w:rPr>
          <w:rFonts w:ascii="Times New Roman" w:cs="Times New Roman" w:eastAsia="Times New Roman" w:hAnsi="Times New Roman"/>
          <w:sz w:val="20"/>
          <w:szCs w:val="20"/>
          <w:color w:val="auto"/>
        </w:rPr>
      </w:pPr>
    </w:p>
    <w:p>
      <w:pPr>
        <w:ind w:left="340" w:firstLine="1288"/>
        <w:spacing w:after="0" w:line="243" w:lineRule="auto"/>
        <w:tabs>
          <w:tab w:leader="none" w:pos="206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(it being understood that the obligation to furnish the foregoing to the Administrative Agent and the Lenders shall be deemed to be satisfied in respect of any fiscal quarter of Holdings by the filing of Holdings’ quarterly report on Form 10-Q for such fiscal quarter with the Commission to the extent the foregoing are included therein);</w:t>
      </w:r>
    </w:p>
    <w:p>
      <w:pPr>
        <w:spacing w:after="0" w:line="185" w:lineRule="exact"/>
        <w:rPr>
          <w:rFonts w:ascii="Times New Roman" w:cs="Times New Roman" w:eastAsia="Times New Roman" w:hAnsi="Times New Roman"/>
          <w:sz w:val="20"/>
          <w:szCs w:val="20"/>
          <w:color w:val="auto"/>
        </w:rPr>
      </w:pPr>
    </w:p>
    <w:p>
      <w:pPr>
        <w:ind w:left="340" w:right="40" w:firstLine="1288"/>
        <w:spacing w:after="0" w:line="260" w:lineRule="auto"/>
        <w:tabs>
          <w:tab w:leader="none" w:pos="2053"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90 days after the end of each fiscal year of Holdings (but in any event no later than two Business Days after any delivery of financial statements under clause (a) above), or within 45 days after the end of each of the first three fiscal quarters of each fiscal year of Holdings (but in any event no later than two Business Days after any delivery of financial statements under clause (b) above), a certificate of a Financial Officer of Holdings or the Parent Borrower (i) certifying as to whether a Default has occurred and, if a Default has occurred, specifying the details thereof and any action taken or proposed to be taken with respect thereto, (ii) setting forth reasonably detailed calculations (x) demonstrating compliance with Sections 6.12 and 6.13 and (y) of Consolidated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67" w:name="page168"/>
    <w:bookmarkEnd w:id="167"/>
    <w:p>
      <w:pPr>
        <w:ind w:left="340" w:right="120"/>
        <w:spacing w:after="0" w:line="245" w:lineRule="auto"/>
        <w:rPr>
          <w:sz w:val="20"/>
          <w:szCs w:val="20"/>
          <w:color w:val="auto"/>
        </w:rPr>
      </w:pPr>
      <w:r>
        <w:rPr>
          <w:rFonts w:ascii="Times New Roman" w:cs="Times New Roman" w:eastAsia="Times New Roman" w:hAnsi="Times New Roman"/>
          <w:sz w:val="20"/>
          <w:szCs w:val="20"/>
          <w:color w:val="auto"/>
        </w:rPr>
        <w:t>Income and Consolidated EBITDA on a quarterly basis for any fiscal quarter ending after the Third Restatement Date, (iii) stating whether any change in GAAP or in the application thereof has occurred since the date of Holdings’ audited financial statements referred to in Section 3.04 and, if any such change has occurred, specifying the effect of such change on the financial statements accompanying such certificate and (iv) identifying all Subsidiaries existing on the date of such certificate and indicating, for each such Subsidiary, whether such Subsidiary is a Domestic Subsidiary (and if so, whether such Subsidiary is a Subsidiary Loan Party) or a Foreign Subsidiary and whether such Subsidiary was formed or acquired since the end of the previous fiscal quarter;</w:t>
      </w:r>
    </w:p>
    <w:p>
      <w:pPr>
        <w:spacing w:after="0" w:line="184" w:lineRule="exact"/>
        <w:rPr>
          <w:sz w:val="20"/>
          <w:szCs w:val="20"/>
          <w:color w:val="auto"/>
        </w:rPr>
      </w:pPr>
    </w:p>
    <w:p>
      <w:pPr>
        <w:ind w:left="340" w:right="80" w:firstLine="1288"/>
        <w:spacing w:after="0" w:line="257" w:lineRule="auto"/>
        <w:tabs>
          <w:tab w:leader="none" w:pos="206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90 days after the end of each fiscal year of Holdings, (i)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 and (ii) a certificate of a Financial Officer of Holdings or the Parent Borrower (A) identifying any parcels of real property or improvements thereto with a value exceeding $5,000,000 that have been acquired by any Loan Party since the end of the previous fiscal year, (B) identifying any changes of the type described in Section 5.03(a) that have not been previously reported by the Parent Borrower, (C) identifying any Permitted Acquisitions that have been consummated since the end of the previous fiscal year, including the date on which each such Permitted Acquisition was consummated and the consideration therefor, and (D) identifying any Intellectual Property (as defined in the Security Agreement) with respect to which a notice is required to be delivered under the Security Agreement and has not been previously delivered;</w:t>
      </w:r>
    </w:p>
    <w:p>
      <w:pPr>
        <w:spacing w:after="0" w:line="175" w:lineRule="exact"/>
        <w:rPr>
          <w:rFonts w:ascii="Times New Roman" w:cs="Times New Roman" w:eastAsia="Times New Roman" w:hAnsi="Times New Roman"/>
          <w:sz w:val="19"/>
          <w:szCs w:val="19"/>
          <w:color w:val="auto"/>
        </w:rPr>
      </w:pPr>
    </w:p>
    <w:p>
      <w:pPr>
        <w:ind w:left="340" w:right="260" w:firstLine="1288"/>
        <w:spacing w:after="0" w:line="246" w:lineRule="auto"/>
        <w:tabs>
          <w:tab w:leader="none" w:pos="205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February 15 of each fiscal year of Holdings (commencing with the fiscal year ending December 31, 2013), a detailed consolidated budget for such fiscal year (including a projected consolidated balance sheet and related statements of projected operations and cash flow as of the end of and for such fiscal year and setting forth the assumptions used for purposes of preparing such budget) and, promptly when available, any material revisions of such budget that have been approved by senior management of Holdings;</w:t>
      </w:r>
    </w:p>
    <w:p>
      <w:pPr>
        <w:spacing w:after="0" w:line="184" w:lineRule="exact"/>
        <w:rPr>
          <w:rFonts w:ascii="Times New Roman" w:cs="Times New Roman" w:eastAsia="Times New Roman" w:hAnsi="Times New Roman"/>
          <w:sz w:val="20"/>
          <w:szCs w:val="20"/>
          <w:color w:val="auto"/>
        </w:rPr>
      </w:pPr>
    </w:p>
    <w:p>
      <w:pPr>
        <w:ind w:left="340" w:right="120" w:firstLine="1288"/>
        <w:spacing w:after="0" w:line="249" w:lineRule="auto"/>
        <w:tabs>
          <w:tab w:leader="none" w:pos="203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Holdings, the Parent Borrower or any Subsidiary with the Commission or with any national securities exchange, as the case may be (it being understood that the obligation to furnish the foregoing to the Administrative Agent and the Lenders shall be deemed to be satisfied to the extent the foregoing are filed with the Commission);</w:t>
      </w:r>
    </w:p>
    <w:p>
      <w:pPr>
        <w:spacing w:after="0" w:line="179" w:lineRule="exact"/>
        <w:rPr>
          <w:rFonts w:ascii="Times New Roman" w:cs="Times New Roman" w:eastAsia="Times New Roman" w:hAnsi="Times New Roman"/>
          <w:sz w:val="20"/>
          <w:szCs w:val="20"/>
          <w:color w:val="auto"/>
        </w:rPr>
      </w:pPr>
    </w:p>
    <w:p>
      <w:pPr>
        <w:ind w:left="340" w:right="240" w:firstLine="1288"/>
        <w:spacing w:after="0" w:line="254" w:lineRule="auto"/>
        <w:tabs>
          <w:tab w:leader="none" w:pos="206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prior to any proposed utilization of the Available Amount, a certificate of a Financial Officer of Holdings or the Parent Borrower setting forth a reasonably detailed calculations of the Available Amount as of the date of the proposed utilization (prior to giving effect thereto); and</w:t>
      </w:r>
    </w:p>
    <w:p>
      <w:pPr>
        <w:spacing w:after="0" w:line="174" w:lineRule="exact"/>
        <w:rPr>
          <w:rFonts w:ascii="Times New Roman" w:cs="Times New Roman" w:eastAsia="Times New Roman" w:hAnsi="Times New Roman"/>
          <w:sz w:val="20"/>
          <w:szCs w:val="20"/>
          <w:color w:val="auto"/>
        </w:rPr>
      </w:pPr>
    </w:p>
    <w:p>
      <w:pPr>
        <w:ind w:left="340" w:right="200" w:firstLine="1288"/>
        <w:spacing w:after="0" w:line="246" w:lineRule="auto"/>
        <w:tabs>
          <w:tab w:leader="none" w:pos="206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Holdings, the Parent Borrower or any Subsidiary, or compliance with the terms of any Loan Document, as the Administrative Agent or any Lender may reasonably request and (y) information and documentation reasonably requested by the Administrative Agent or any Lender that is required to comply with “know your customer” and anti-money laundering rules and regulations, including the Patriot Act and the Beneficial Ownership Regulation, in each case, to the extent applicable.</w:t>
      </w:r>
    </w:p>
    <w:p>
      <w:pPr>
        <w:spacing w:after="0" w:line="18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5.02 Notices of Material Events</w:t>
      </w:r>
      <w:r>
        <w:rPr>
          <w:rFonts w:ascii="Times New Roman" w:cs="Times New Roman" w:eastAsia="Times New Roman" w:hAnsi="Times New Roman"/>
          <w:sz w:val="20"/>
          <w:szCs w:val="20"/>
          <w:color w:val="auto"/>
        </w:rPr>
        <w:t>. Holdings and the Parent Borrower will furnish to the Administrative Agent and each Lender prompt written notice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68" w:name="page169"/>
    <w:bookmarkEnd w:id="168"/>
    <w:p>
      <w:pPr>
        <w:ind w:left="2040" w:hanging="412"/>
        <w:spacing w:after="0"/>
        <w:tabs>
          <w:tab w:leader="none" w:pos="204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20"/>
          <w:szCs w:val="20"/>
          <w:color w:val="auto"/>
        </w:rPr>
      </w:pPr>
    </w:p>
    <w:p>
      <w:pPr>
        <w:ind w:left="340" w:right="20" w:firstLine="1288"/>
        <w:spacing w:after="0" w:line="254" w:lineRule="auto"/>
        <w:tabs>
          <w:tab w:leader="none" w:pos="206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Holdings, the Parent Borrower or any Subsidiary thereof that, if adversely determined, could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left="340" w:right="100" w:firstLine="1288"/>
        <w:spacing w:after="0" w:line="254" w:lineRule="auto"/>
        <w:tabs>
          <w:tab w:leader="none" w:pos="205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liability of Holdings, the Parent Borrower and its Subsidiaries in an aggregate amount exceeding $15,000,000;</w:t>
      </w:r>
    </w:p>
    <w:p>
      <w:pPr>
        <w:spacing w:after="0" w:line="174"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215" w:lineRule="exact"/>
        <w:rPr>
          <w:rFonts w:ascii="Times New Roman" w:cs="Times New Roman" w:eastAsia="Times New Roman" w:hAnsi="Times New Roman"/>
          <w:sz w:val="20"/>
          <w:szCs w:val="20"/>
          <w:color w:val="auto"/>
        </w:rPr>
      </w:pPr>
    </w:p>
    <w:p>
      <w:pPr>
        <w:ind w:left="340" w:right="240" w:firstLine="1288"/>
        <w:spacing w:after="0" w:line="269" w:lineRule="auto"/>
        <w:tabs>
          <w:tab w:leader="none" w:pos="205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any change in the information provided in the Beneficial Ownership Certification delivered to such Lender that would result in a change to the list of beneficial owners identified in such certification.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Financial Officer or other executive officer of the Parent Borrower setting forth the details of the event or development requiring such notice and any action taken or proposed to be taken with respect thereto.</w:t>
      </w:r>
    </w:p>
    <w:p>
      <w:pPr>
        <w:spacing w:after="0" w:line="174"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5.03</w:t>
      </w:r>
      <w:r>
        <w:rPr>
          <w:sz w:val="20"/>
          <w:szCs w:val="20"/>
          <w:color w:val="auto"/>
        </w:rPr>
        <w:tab/>
      </w:r>
      <w:r>
        <w:rPr>
          <w:rFonts w:ascii="Times New Roman" w:cs="Times New Roman" w:eastAsia="Times New Roman" w:hAnsi="Times New Roman"/>
          <w:sz w:val="19"/>
          <w:szCs w:val="19"/>
          <w:u w:val="single" w:color="auto"/>
          <w:color w:val="auto"/>
        </w:rPr>
        <w:t>Information Regarding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firstLine="1288"/>
        <w:spacing w:after="0" w:line="242" w:lineRule="auto"/>
        <w:tabs>
          <w:tab w:leader="none" w:pos="205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will furnish to the Administrative Agent prompt written notice of any change (i) in any Loan Party’s legal name or in any trade name used to identify it in the conduct of its business or in the ownership of its properties, (ii) in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in any Loan Party’s identity or structure, (iv) in any Loan Party’s jurisdiction of organization or (v) in any Loan Party’s Federal Taxpayer Identification Number. The Parent Borrower agrees not to effect or permit any change referred to in the preceding sentence unless written notice has been delivered to the Collateral Agent, together with all applicable information to enable the Administrative Agent to make all filings under the Uniform Commercial Code or otherwise that are required in order for the Collateral Agent (on behalf of the Secured Parties) to continue at all times following such change to have a valid, legal and perfected security interest in all the Collateral.</w:t>
      </w:r>
    </w:p>
    <w:p>
      <w:pPr>
        <w:spacing w:after="0" w:line="192" w:lineRule="exact"/>
        <w:rPr>
          <w:rFonts w:ascii="Times New Roman" w:cs="Times New Roman" w:eastAsia="Times New Roman" w:hAnsi="Times New Roman"/>
          <w:sz w:val="20"/>
          <w:szCs w:val="20"/>
          <w:color w:val="auto"/>
        </w:rPr>
      </w:pPr>
    </w:p>
    <w:p>
      <w:pPr>
        <w:ind w:left="340" w:right="180" w:firstLine="1288"/>
        <w:spacing w:after="0" w:line="257" w:lineRule="auto"/>
        <w:tabs>
          <w:tab w:leader="none" w:pos="2065"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year, within 90 days after the end of each fiscal year of Holdings, Holdings (on behalf of itself and the other Loan Parties) shall deliver to the Administrative Agent a certificate of a Financial Officer of Holdings (i) setting forth the information required pursuant to the Perfection Certificate or confirming that there has been no change in such information since the date of the Perfection Certificate delivered on the Closing Date or the date of the most recent certificate delivered pursuant to this Section and (ii) certifying that all Uniform Commercial Code financing statements (including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identified pursuant to clause (i) above to the extent necessary to protect and perfect the security interests under the Security Documents for a period of not less than 18 months after the date of such certificate (except as noted therein with respect to any continuation statements to be filed within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20"/>
          </w:cols>
          <w:pgMar w:left="320" w:top="1413" w:right="359" w:bottom="1440" w:gutter="0" w:footer="0" w:header="0"/>
        </w:sectPr>
      </w:pPr>
    </w:p>
    <w:bookmarkStart w:id="169" w:name="page170"/>
    <w:bookmarkEnd w:id="169"/>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5.04</w:t>
      </w:r>
      <w:r>
        <w:rPr>
          <w:sz w:val="20"/>
          <w:szCs w:val="20"/>
          <w:color w:val="auto"/>
        </w:rPr>
        <w:tab/>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80" w:firstLine="1288"/>
        <w:spacing w:after="0" w:line="246" w:lineRule="auto"/>
        <w:tabs>
          <w:tab w:leader="none" w:pos="205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Holdings, the Parent Borrower and the Foreign Subsidiary Borrowers will, and will cause each of the Subsidiaries to, do or cause to be done all things necessary to preserve, renew and keep in full force and effect its legal existence and the rights, licenses, permits, privileges, franchises, patents, copyrights, trademarks and trade names the loss of which would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liquidation or dissolution permitted under Section 6.03 or disposition permitted under Section 6.05.</w:t>
      </w:r>
    </w:p>
    <w:p>
      <w:pPr>
        <w:spacing w:after="0" w:line="184" w:lineRule="exact"/>
        <w:rPr>
          <w:rFonts w:ascii="Times New Roman" w:cs="Times New Roman" w:eastAsia="Times New Roman" w:hAnsi="Times New Roman"/>
          <w:sz w:val="20"/>
          <w:szCs w:val="20"/>
          <w:color w:val="auto"/>
        </w:rPr>
      </w:pPr>
    </w:p>
    <w:p>
      <w:pPr>
        <w:ind w:left="340" w:right="380" w:firstLine="1288"/>
        <w:spacing w:after="0" w:line="269" w:lineRule="auto"/>
        <w:tabs>
          <w:tab w:leader="none" w:pos="206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Parent Borrower will cause all the Equity Interests of the Foreign Subsidiary Borrowers to be owned, directly or indirectly, by the Parent Borrower or any Subsidiary.</w:t>
      </w:r>
    </w:p>
    <w:p>
      <w:pPr>
        <w:spacing w:after="0" w:line="159" w:lineRule="exact"/>
        <w:rPr>
          <w:sz w:val="20"/>
          <w:szCs w:val="20"/>
          <w:color w:val="auto"/>
        </w:rPr>
      </w:pPr>
    </w:p>
    <w:p>
      <w:pPr>
        <w:ind w:right="140"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5.05 Payment of Obligations</w:t>
      </w:r>
      <w:r>
        <w:rPr>
          <w:rFonts w:ascii="Times New Roman" w:cs="Times New Roman" w:eastAsia="Times New Roman" w:hAnsi="Times New Roman"/>
          <w:sz w:val="20"/>
          <w:szCs w:val="20"/>
          <w:color w:val="auto"/>
        </w:rPr>
        <w:t xml:space="preserve">. Each of Holdings, the Parent Borrower and the Foreign Subsidiary Borrowers will, and will cause each of the Subsidiaries (including the Receivables Subsidiary) to, pay its Indebtedness and other obligations, including Tax liabilities, before the same shall become delinquent or in default, except (a) those being contested in good faith by appropriate proceedings and for which Holdings, the Parent Borrower, or a Foreign Subsidiary Borrower or such Subsidiary, as applicable, has set aside on its books adequate reserves with respect thereto in accordance with GAAP, or (b) to the extent the failure to make payment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amounts received from any Loan Party shall be applied to Excluded Swap Obligations of such Loan Party.</w:t>
      </w:r>
    </w:p>
    <w:p>
      <w:pPr>
        <w:spacing w:after="0" w:line="186" w:lineRule="exact"/>
        <w:rPr>
          <w:sz w:val="20"/>
          <w:szCs w:val="20"/>
          <w:color w:val="auto"/>
        </w:rPr>
      </w:pPr>
    </w:p>
    <w:p>
      <w:pPr>
        <w:jc w:val="both"/>
        <w:ind w:right="6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5.06 Maintenance of Properties</w:t>
      </w:r>
      <w:r>
        <w:rPr>
          <w:rFonts w:ascii="Times New Roman" w:cs="Times New Roman" w:eastAsia="Times New Roman" w:hAnsi="Times New Roman"/>
          <w:sz w:val="20"/>
          <w:szCs w:val="20"/>
          <w:color w:val="auto"/>
        </w:rPr>
        <w:t xml:space="preserve">. Each of Holdings, the Parent Borrower and the Foreign Subsidiary Borrowers will, and will cause each of the Subsidiaries to, keep and maintain all property material to the conduct of their business, taken as a whole, in good working order and condition, ordinary wear and tear excepted;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liquidation or dissolution permitted under Section 6.03 or disposition permitted under Section 6.05.</w:t>
      </w:r>
    </w:p>
    <w:p>
      <w:pPr>
        <w:spacing w:after="0" w:line="180"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5.07 Insurance</w:t>
      </w:r>
      <w:r>
        <w:rPr>
          <w:rFonts w:ascii="Times New Roman" w:cs="Times New Roman" w:eastAsia="Times New Roman" w:hAnsi="Times New Roman"/>
          <w:sz w:val="20"/>
          <w:szCs w:val="20"/>
          <w:color w:val="auto"/>
        </w:rPr>
        <w:t xml:space="preserve">. Each of Holdings, the Parent Borrower and the Foreign Subsidiary Borrowers will, and will cause each of the Subsidiaries to, maintain insurance in such amounts (with no greater risk retention) and against such risks as are customarily maintained by companies of established repute engaged in the same or similar businesses operating in the same or similar locations, except where the failure to do so could not reasonably be expected to result in a Material Adverse Effect. Such insurance shall be maintained with financially sound and reputable insurance companies,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adequate reserves therefor, in accordance with GAAP, are maintained. In addition, each of Holdings, the Parent Borrower and the Foreign Subsidiary Borrowers will, and will cause each of its Subsidiaries to, maintain all insurance required to be maintained pursuant to the Security Documents. With respect to each Mortgaged Property that is located in an area determined by the Federal Emergency Management Agency to have special flood hazards, the applicable Loan Party will maintain, with financially sound and reputable insurance companies, such flood insurance as is required under applicable law, including the Flood Laws. The Parent Borrower will furnish to the Lenders, upon request of the Administrative Agent, information in reasonable detail as to the insurance so maintained. All insurance policies or certificates (or certified copies thereof) with respect to such insurance shall be endorsed to the Collateral Agent’s reasonable satisfaction for the benefit of the Lenders (including, without limitation, by naming the Collateral Agent as loss payee or additional insured, as appropriate).</w:t>
      </w:r>
    </w:p>
    <w:p>
      <w:pPr>
        <w:spacing w:after="0" w:line="194" w:lineRule="exact"/>
        <w:rPr>
          <w:sz w:val="20"/>
          <w:szCs w:val="20"/>
          <w:color w:val="auto"/>
        </w:rPr>
      </w:pPr>
    </w:p>
    <w:p>
      <w:pPr>
        <w:ind w:right="620" w:firstLine="1296"/>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5.08 Casualty and Condemnation</w:t>
      </w:r>
      <w:r>
        <w:rPr>
          <w:rFonts w:ascii="Times New Roman" w:cs="Times New Roman" w:eastAsia="Times New Roman" w:hAnsi="Times New Roman"/>
          <w:sz w:val="20"/>
          <w:szCs w:val="20"/>
          <w:color w:val="auto"/>
        </w:rPr>
        <w:t>. The Parent Borrower will furnish to the Administrative Agent and the Lenders prompt written notice of casualty or other insured damage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20"/>
          </w:cols>
          <w:pgMar w:left="320" w:top="1413" w:right="359" w:bottom="1440" w:gutter="0" w:footer="0" w:header="0"/>
        </w:sectPr>
      </w:pPr>
    </w:p>
    <w:bookmarkStart w:id="170" w:name="page171"/>
    <w:bookmarkEnd w:id="170"/>
    <w:p>
      <w:pPr>
        <w:jc w:val="both"/>
        <w:ind w:right="400"/>
        <w:spacing w:after="0" w:line="254" w:lineRule="auto"/>
        <w:rPr>
          <w:sz w:val="20"/>
          <w:szCs w:val="20"/>
          <w:color w:val="auto"/>
        </w:rPr>
      </w:pPr>
      <w:r>
        <w:rPr>
          <w:rFonts w:ascii="Times New Roman" w:cs="Times New Roman" w:eastAsia="Times New Roman" w:hAnsi="Times New Roman"/>
          <w:sz w:val="20"/>
          <w:szCs w:val="20"/>
          <w:color w:val="auto"/>
        </w:rPr>
        <w:t>material portion of any Collateral having a book value or fair market value of $1,000,000 or more or the commencement of any action or proceeding for the taking of any Collateral having a book value or fair market value of $1,000,000 or more or any part thereof or interest therein under power of eminent domain or by condemnation or similar proceeding.</w:t>
      </w:r>
    </w:p>
    <w:p>
      <w:pPr>
        <w:spacing w:after="0" w:line="174"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5.09 Books and Records; Inspection and Audit Rights</w:t>
      </w:r>
      <w:r>
        <w:rPr>
          <w:rFonts w:ascii="Times New Roman" w:cs="Times New Roman" w:eastAsia="Times New Roman" w:hAnsi="Times New Roman"/>
          <w:sz w:val="20"/>
          <w:szCs w:val="20"/>
          <w:color w:val="auto"/>
        </w:rPr>
        <w:t>. Each of Holdings, the Parent Borrower, the and the Foreign Subsidiary Borrowers will, and will cause each of the Subsidiaries to, keep proper books of record and account in which full, true and correct entries are made of all dealings and transactions in relation to its business and activities. Each of Holdings, the Parent Borrower and the Foreign Subsidiary Borrowers will, and will cause each of the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86"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5.10 Compliance with Laws</w:t>
      </w:r>
      <w:r>
        <w:rPr>
          <w:rFonts w:ascii="Times New Roman" w:cs="Times New Roman" w:eastAsia="Times New Roman" w:hAnsi="Times New Roman"/>
          <w:sz w:val="20"/>
          <w:szCs w:val="20"/>
          <w:color w:val="auto"/>
        </w:rPr>
        <w:t>. Each of Holdings, the Parent Borrower and the Foreign Subsidiary Borrowers will, and will cause each of the Subsidiaries to, comply with all laws, rules, regulations and orders of any Governmental Authority applicable to it or its property, except where the failure to do so, individually or in the aggregate, could not reasonably be expected to result in a Material Adverse Effect. The Parent Borrower will maintain in effect and enforce policies and procedures designed to ensure compliance by Holdings, the Parent Borrower, its Subsidiaries and their respective directors, officers, employees and agents with Anti-Corruption Laws and applicable Sanctions. Each Loan Party shall (and Holdings will ensure that each Subsidiary shall) (a) comply with any notice served on it pursuant to Part 21A of the Companies Act 2006 with respect to any Secured English Shares within the timeframe specified in the notice, and promptly provide the Collateral Agent with a copy of any such notice, and (b) procure that neither it nor any of its subsidiaries shall issue a Warning Notice or Restrictions Notice with respect to Secured English Shares unless it is required by law to do so.</w:t>
      </w:r>
    </w:p>
    <w:p>
      <w:pPr>
        <w:spacing w:after="0" w:line="186"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9"/>
          <w:szCs w:val="19"/>
          <w:u w:val="single" w:color="auto"/>
          <w:color w:val="auto"/>
        </w:rPr>
        <w:t>SECTION 5.11 Use of Proceeds and Letters of Credit</w:t>
      </w:r>
      <w:r>
        <w:rPr>
          <w:rFonts w:ascii="Times New Roman" w:cs="Times New Roman" w:eastAsia="Times New Roman" w:hAnsi="Times New Roman"/>
          <w:sz w:val="19"/>
          <w:szCs w:val="19"/>
          <w:color w:val="auto"/>
        </w:rPr>
        <w:t>. The proceeds of the Revolving Loans and Swingline Loans will be used only for general corporate purposes, including acquisitions, investments and other uses, in each case, not prohibited by this Agreement. Letters of Credit will be available only for general corporate purposes. No part of the proceeds of any Loan will be used, whether directly or indirectly, for any purpose that entails a violation of any of the Regulations of the Board, including Regulations T, U and X.</w:t>
      </w:r>
    </w:p>
    <w:p>
      <w:pPr>
        <w:spacing w:after="0" w:line="165"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5.12 Additional Subsidiaries</w:t>
      </w:r>
      <w:r>
        <w:rPr>
          <w:rFonts w:ascii="Times New Roman" w:cs="Times New Roman" w:eastAsia="Times New Roman" w:hAnsi="Times New Roman"/>
          <w:sz w:val="20"/>
          <w:szCs w:val="20"/>
          <w:color w:val="auto"/>
        </w:rPr>
        <w:t>. If any additional (i) Domestic Subsidiary or (ii) Subsidiary of a Foreign Subsidiary Borrower that is organized under the same jurisdiction of a Foreign Subsidiary Borrower is formed or acquired after the Third Restatement Date, the Parent Borrower will, within five Business Days after such Subsidiary is formed or acquired, notify the Administrative Agent and the Lenders thereof and, within 30 days (or such longer period as may be agreed to by the Administrative Agent) after such Subsidiary is formed or acquired, cause the Collateral and Guarantee Requirement and the Foreign Security Collateral and Guarantee Requirement to be satisfied with respect to such Subsidiary, including with respect to any Equity Interest in or Indebtedness of such Subsidiary owned by or on behalf of any Loan Party.</w:t>
      </w:r>
    </w:p>
    <w:p>
      <w:pPr>
        <w:spacing w:after="0" w:line="18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5.13</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60" w:firstLine="1288"/>
        <w:spacing w:after="0" w:line="254" w:lineRule="auto"/>
        <w:tabs>
          <w:tab w:leader="none" w:pos="205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the Parent Borrower and the Foreign Subsidiary Borrowers will, and will cause each Subsidiary Loan Party to, execute any and all further documents, financing statements, agreements and instruments, and take all such further actions (including the filing and recording of financing statements, fixture filings, mortgages, deeds of trust,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71" w:name="page172"/>
    <w:bookmarkEnd w:id="171"/>
    <w:p>
      <w:pPr>
        <w:ind w:left="340" w:right="60"/>
        <w:spacing w:after="0" w:line="263" w:lineRule="auto"/>
        <w:rPr>
          <w:sz w:val="20"/>
          <w:szCs w:val="20"/>
          <w:color w:val="auto"/>
        </w:rPr>
      </w:pPr>
      <w:r>
        <w:rPr>
          <w:rFonts w:ascii="Times New Roman" w:cs="Times New Roman" w:eastAsia="Times New Roman" w:hAnsi="Times New Roman"/>
          <w:sz w:val="19"/>
          <w:szCs w:val="19"/>
          <w:color w:val="auto"/>
        </w:rPr>
        <w:t>waivers and other documents), which may be required under any applicable law, or which the Administrative Agent or the Required Lenders may reasonably request, to cause the Collateral and Guarantee Requirement and the Foreign Security Collateral and Guarantee Requirement to be and remain satisfied, all at the expense of the Loan Parties. Holdings, the Parent Borrower and the Foreign Subsidiary Borrowers also agree to provide to the Administrative Agent, from time to time upon request, evidence reasonably satisfactory to the Administrative Agent as to the perfection and priority of the Liens created or intended to be created by the Security Documents.</w:t>
      </w:r>
    </w:p>
    <w:p>
      <w:pPr>
        <w:spacing w:after="0" w:line="166" w:lineRule="exact"/>
        <w:rPr>
          <w:sz w:val="20"/>
          <w:szCs w:val="20"/>
          <w:color w:val="auto"/>
        </w:rPr>
      </w:pPr>
    </w:p>
    <w:p>
      <w:pPr>
        <w:ind w:left="340" w:firstLine="1288"/>
        <w:spacing w:after="0" w:line="254" w:lineRule="auto"/>
        <w:tabs>
          <w:tab w:leader="none" w:pos="2065"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assets (including any real property or improvements thereto or any interest therein) having a book value or fair market value of $10,000,000 or more in the aggregate are acquired by the Parent Borrower or any Subsidiary Loan Party after the Third Restatement Date or through the acquisition of a Subsidiary Loan Party under Section 5.12 (other than, in each case, assets constituting Collateral under the Security Agreement or the Pledge Agreement that become subject to the Lien of the Security Agreement or the Pledge Agreement upon acquisition thereof), the Parent Borrower or, if applicable, the relevant Subsidiary Loan Party will notify the Administrative Agent and the Lenders thereof, and, if reasonably requested by the Administrative Agent or the Required Lenders, the Parent Borrower will cause such assets to be subjected to a Lien securing the Obligations and will take, and cause the Subsidiary Loan Parties to take, such actions as shall be necessary or reasonably requested by the Administrative Agent to grant and perfect such Liens, including actions described in paragraph (a) of this Section, all at the expense of the Loan Parties. Notwithstanding the foregoing, the Administrative Agent shall not enter into any Mortgage in respect of any real property acquired by the Parent Borrower or any other Loan Party after the Third Restatement Date until the date that is 45 days after the Administrative Agent has delivered to the Lenders (which may be delivered electronically) the following documents in respect of such real property: (i) completed “Life of Loan” Federal Emergency Management Agency standard flood hazard determination(s) with respect to the Mortgaged Property and related documents with respect to the Mortgaged Property reasonably requested by any Lender; (ii) if such real property is located in a “special flood hazard area”, a notification to each Parent Borrower (and applicable Loan Party) of that fact and notification to each Borrower (and applicable Loan Party) stating whether flood insurance coverage is available, and evidence that each Borrower (or other Loan Party) to which a notice was sent, has signed and returned the notice; and (iii) if such notice is required to be provided to the Parent Borrower (or applicable Loan Party) and flood insurance is available in the community in which such real property is located, a copy of the policy, or declaration evidencing such required flood insurance in an amount and with terms required by the Flood Laws.</w:t>
      </w:r>
    </w:p>
    <w:p>
      <w:pPr>
        <w:spacing w:after="0" w:line="1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u w:val="single" w:color="auto"/>
          <w:color w:val="auto"/>
        </w:rPr>
        <w:t>ARTICLE VI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16" w:lineRule="exact"/>
        <w:rPr>
          <w:sz w:val="20"/>
          <w:szCs w:val="20"/>
          <w:color w:val="auto"/>
        </w:rPr>
      </w:pPr>
    </w:p>
    <w:p>
      <w:pPr>
        <w:ind w:right="140" w:firstLine="1296"/>
        <w:spacing w:after="0" w:line="274"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interest on each Loan and all fees payable hereunder have been paid in full and all Letters of Credit have expired or terminated and all LC Disbursements shall have been reimbursed, each of Holdings, the Parent Borrower and each Foreign Subsidiary Borrower (as to itself only) covenants and agrees with the Lenders that:</w:t>
      </w:r>
    </w:p>
    <w:p>
      <w:pPr>
        <w:spacing w:after="0" w:line="15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6.01</w:t>
      </w:r>
      <w:r>
        <w:rPr>
          <w:sz w:val="20"/>
          <w:szCs w:val="20"/>
          <w:color w:val="auto"/>
        </w:rPr>
        <w:tab/>
      </w:r>
      <w:r>
        <w:rPr>
          <w:rFonts w:ascii="Times New Roman" w:cs="Times New Roman" w:eastAsia="Times New Roman" w:hAnsi="Times New Roman"/>
          <w:sz w:val="19"/>
          <w:szCs w:val="19"/>
          <w:u w:val="single" w:color="auto"/>
          <w:color w:val="auto"/>
        </w:rPr>
        <w:t>Indebtedness; Certain Equity Securities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340" w:right="760" w:firstLine="1288"/>
        <w:spacing w:after="0" w:line="246" w:lineRule="auto"/>
        <w:tabs>
          <w:tab w:leader="none" w:pos="2053"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Subsidiary to, create, incur, assume or permit to exist any Indebtedness, except:</w:t>
      </w:r>
    </w:p>
    <w:p>
      <w:pPr>
        <w:spacing w:after="0" w:line="18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20"/>
          </w:cols>
          <w:pgMar w:left="320" w:top="1413" w:right="359" w:bottom="1440" w:gutter="0" w:footer="0" w:header="0"/>
        </w:sectPr>
      </w:pPr>
    </w:p>
    <w:bookmarkStart w:id="172" w:name="page173"/>
    <w:bookmarkEnd w:id="172"/>
    <w:p>
      <w:pPr>
        <w:ind w:left="-460" w:right="440" w:firstLine="903"/>
        <w:spacing w:after="0" w:line="269" w:lineRule="auto"/>
        <w:tabs>
          <w:tab w:leader="none" w:pos="88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Permitted Receivables Financing, (B) financings in respect of sales of accounts receivable by a Foreign Subsidiary permitted by Section 6.05(c)(ii) and (C) the Specified Vendor Receivables Financing;</w:t>
      </w:r>
    </w:p>
    <w:p>
      <w:pPr>
        <w:spacing w:after="0" w:line="159" w:lineRule="exact"/>
        <w:rPr>
          <w:rFonts w:ascii="Times New Roman" w:cs="Times New Roman" w:eastAsia="Times New Roman" w:hAnsi="Times New Roman"/>
          <w:sz w:val="20"/>
          <w:szCs w:val="20"/>
          <w:color w:val="auto"/>
        </w:rPr>
      </w:pPr>
    </w:p>
    <w:p>
      <w:pPr>
        <w:ind w:left="-460" w:firstLine="903"/>
        <w:spacing w:after="0" w:line="249" w:lineRule="auto"/>
        <w:tabs>
          <w:tab w:leader="none" w:pos="94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existing on the Third Restatement Date and set forth in Schedule 6.01 and extensions, renewals and replacements of any such Indebtedness that do not increase the outstanding principal amount as specified on such Schedule 6.01, plus any additional Indebtedness incurred to pay premiums (including tender premiums), accrued and unpaid interest, expenses, defeasance costs and fees in connection therewith, or result in an earlier maturity date or decreased weighted average life thereof;</w:t>
      </w:r>
    </w:p>
    <w:p>
      <w:pPr>
        <w:spacing w:after="0" w:line="179" w:lineRule="exact"/>
        <w:rPr>
          <w:rFonts w:ascii="Times New Roman" w:cs="Times New Roman" w:eastAsia="Times New Roman" w:hAnsi="Times New Roman"/>
          <w:sz w:val="20"/>
          <w:szCs w:val="20"/>
          <w:color w:val="auto"/>
        </w:rPr>
      </w:pPr>
    </w:p>
    <w:p>
      <w:pPr>
        <w:ind w:left="-460" w:right="20" w:firstLine="903"/>
        <w:spacing w:after="0" w:line="245" w:lineRule="auto"/>
        <w:tabs>
          <w:tab w:leader="none" w:pos="93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Unsecured Debt of the Parent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on a pro forma basis after giving effect to the incurrence of such Permitted Unsecured Debt and recomputed as of the last day of the most recently ended fiscal quarter of Holdings for which financial statements are available, as if such incurrence (and any related repayment of Indebtedness) had occurred on the first day of the relevant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incurrence of Permitted Unsecured Debt that occurs prior to the first testing period under Section 6.13 shall be deemed to have occurred during such first testing period), is at least 0.25 less than is otherwise required pursuant to Section 6.13 at the time of such event;</w:t>
      </w:r>
    </w:p>
    <w:p>
      <w:pPr>
        <w:spacing w:after="0" w:line="184" w:lineRule="exact"/>
        <w:rPr>
          <w:rFonts w:ascii="Times New Roman" w:cs="Times New Roman" w:eastAsia="Times New Roman" w:hAnsi="Times New Roman"/>
          <w:sz w:val="20"/>
          <w:szCs w:val="20"/>
          <w:color w:val="auto"/>
        </w:rPr>
      </w:pPr>
    </w:p>
    <w:p>
      <w:pPr>
        <w:ind w:left="-460" w:right="60" w:firstLine="903"/>
        <w:spacing w:after="0" w:line="254" w:lineRule="auto"/>
        <w:tabs>
          <w:tab w:leader="none" w:pos="87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Parent Borrower to any Subsidiary and of any Subsidiary to the Parent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of any Subsidiary that is not a Domestic Loan Party to the Parent Borrower or any Subsidiary Loan Party shall be subject to Section 6.04;</w:t>
      </w:r>
    </w:p>
    <w:p>
      <w:pPr>
        <w:spacing w:after="0" w:line="174" w:lineRule="exact"/>
        <w:rPr>
          <w:rFonts w:ascii="Times New Roman" w:cs="Times New Roman" w:eastAsia="Times New Roman" w:hAnsi="Times New Roman"/>
          <w:sz w:val="20"/>
          <w:szCs w:val="20"/>
          <w:color w:val="auto"/>
        </w:rPr>
      </w:pPr>
    </w:p>
    <w:p>
      <w:pPr>
        <w:ind w:left="-460" w:right="40" w:firstLine="903"/>
        <w:spacing w:after="0" w:line="254" w:lineRule="auto"/>
        <w:tabs>
          <w:tab w:leader="none" w:pos="93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Parent Borrower of Indebtedness of any Subsidiary and by any Subsidiary of Indebtedness of the Parent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Guarantees by the Parent Borrower or any Subsidiary Loan Party of Indebtedness of any Subsidiary that is not a Domestic Loan Party shall be subject to Section 6.04;</w:t>
      </w:r>
    </w:p>
    <w:p>
      <w:pPr>
        <w:spacing w:after="0" w:line="174" w:lineRule="exact"/>
        <w:rPr>
          <w:rFonts w:ascii="Times New Roman" w:cs="Times New Roman" w:eastAsia="Times New Roman" w:hAnsi="Times New Roman"/>
          <w:sz w:val="20"/>
          <w:szCs w:val="20"/>
          <w:color w:val="auto"/>
        </w:rPr>
      </w:pPr>
    </w:p>
    <w:p>
      <w:pPr>
        <w:ind w:left="-460" w:right="460" w:firstLine="903"/>
        <w:spacing w:after="0" w:line="249" w:lineRule="auto"/>
        <w:tabs>
          <w:tab w:leader="none" w:pos="9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Holdings, the Parent Borrower or any Subsidiary, as the case may be, in respect of (A) any Incremental Equivalent Debt or (B) any Permitted Unsecured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Holdings, the Parent Borrower or any Subsidiary, as the case may be, shall Guarantee such Indebtedness unless it also has Guaranteed the Obligations pursuant to the Guarantee Agreement;</w:t>
      </w:r>
    </w:p>
    <w:p>
      <w:pPr>
        <w:spacing w:after="0" w:line="179" w:lineRule="exact"/>
        <w:rPr>
          <w:rFonts w:ascii="Times New Roman" w:cs="Times New Roman" w:eastAsia="Times New Roman" w:hAnsi="Times New Roman"/>
          <w:sz w:val="20"/>
          <w:szCs w:val="20"/>
          <w:color w:val="auto"/>
        </w:rPr>
      </w:pPr>
    </w:p>
    <w:p>
      <w:pPr>
        <w:ind w:left="-460" w:right="20" w:firstLine="903"/>
        <w:spacing w:after="0" w:line="243" w:lineRule="auto"/>
        <w:tabs>
          <w:tab w:leader="none" w:pos="104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Parent Borrower or any Subsidiary incurred to finance the acquisition, construction or improvement of any fixed or capital assets, including Financing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or result in an earlier maturity date or decreased weighted average life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is incurred prior to or within 270 days after such acquisition or the completion of such construction or improvement and (B) the aggregate principal amount of Indebtedness permitted by this clause (viii) shall not exceed the greater of $75,000,000 and 6.0% of Consolidated Total Assets of Holdings (as of the date of incurrence of such Indebtedness) at any time outstanding;</w:t>
      </w:r>
    </w:p>
    <w:p>
      <w:pPr>
        <w:spacing w:after="0" w:line="189" w:lineRule="exact"/>
        <w:rPr>
          <w:rFonts w:ascii="Times New Roman" w:cs="Times New Roman" w:eastAsia="Times New Roman" w:hAnsi="Times New Roman"/>
          <w:sz w:val="20"/>
          <w:szCs w:val="20"/>
          <w:color w:val="auto"/>
        </w:rPr>
      </w:pPr>
    </w:p>
    <w:p>
      <w:pPr>
        <w:ind w:left="-460" w:right="520" w:firstLine="903"/>
        <w:spacing w:after="0" w:line="269" w:lineRule="auto"/>
        <w:tabs>
          <w:tab w:leader="none" w:pos="93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as a result of an Acquisition Lease Financing or any other sale and leaseback transaction permitted under Section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0120"/>
          </w:cols>
          <w:pgMar w:left="1440" w:top="1413" w:right="339" w:bottom="1440" w:gutter="0" w:footer="0" w:header="0"/>
        </w:sectPr>
      </w:pPr>
    </w:p>
    <w:bookmarkStart w:id="173" w:name="page174"/>
    <w:bookmarkEnd w:id="173"/>
    <w:p>
      <w:pPr>
        <w:ind w:left="-460" w:right="80" w:firstLine="903"/>
        <w:spacing w:after="0" w:line="246" w:lineRule="auto"/>
        <w:tabs>
          <w:tab w:leader="none" w:pos="87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Subsidiary after the Third Restatement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exists at the time such Person becomes a Subsidiary and is not created in contemplation of or in connection with such Person becoming a Subsidiary and (B) the aggregate principal amount of Indebtedness permitted by this clause (x) shall not exceed the greater of 5.0% of Consolidated Total Assets of Holdings (as of the date of incurrence of such Indebtedness) and $60,000,000, at any time outstanding, less the liquidation value of any outstanding Assumed Preferred Stock;</w:t>
      </w:r>
    </w:p>
    <w:p>
      <w:pPr>
        <w:spacing w:after="0" w:line="184" w:lineRule="exact"/>
        <w:rPr>
          <w:rFonts w:ascii="Times New Roman" w:cs="Times New Roman" w:eastAsia="Times New Roman" w:hAnsi="Times New Roman"/>
          <w:sz w:val="20"/>
          <w:szCs w:val="20"/>
          <w:color w:val="auto"/>
        </w:rPr>
      </w:pPr>
    </w:p>
    <w:p>
      <w:pPr>
        <w:jc w:val="both"/>
        <w:ind w:left="-460" w:right="20" w:firstLine="903"/>
        <w:spacing w:after="0" w:line="249" w:lineRule="auto"/>
        <w:tabs>
          <w:tab w:leader="none" w:pos="93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Holdings, the Parent Borrower or any Subsidiary in respect of workers’ compensation claims, self-insurance obligations, performance bonds, surety appeal or similar bonds, completion guarantees and similar obligations provided by Holdings, the Parent Borrower and the Subsidiaries in the ordinary course of their business or consistent with past practice or industry practice;</w:t>
      </w:r>
    </w:p>
    <w:p>
      <w:pPr>
        <w:spacing w:after="0" w:line="179" w:lineRule="exact"/>
        <w:rPr>
          <w:rFonts w:ascii="Times New Roman" w:cs="Times New Roman" w:eastAsia="Times New Roman" w:hAnsi="Times New Roman"/>
          <w:sz w:val="20"/>
          <w:szCs w:val="20"/>
          <w:color w:val="auto"/>
        </w:rPr>
      </w:pPr>
    </w:p>
    <w:p>
      <w:pPr>
        <w:ind w:left="-460" w:right="340" w:firstLine="903"/>
        <w:spacing w:after="0" w:line="249" w:lineRule="auto"/>
        <w:tabs>
          <w:tab w:leader="none" w:pos="9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Holdings, the Parent Borrower or any Subsidiary in an aggregate principal amount not exceeding the greater of $50,000,000 and 4.0% of Consolidated Total Assets of Holdings (as of the date of incurrence of such Indebtedness) at any time outstanding, less the liquidation value of any applicable Qualified Holdings Preferred Stock issued and outstanding pursuant to clause (b) of the definition of Qualified Holdings Preferred Stock;</w:t>
      </w:r>
    </w:p>
    <w:p>
      <w:pPr>
        <w:spacing w:after="0" w:line="179" w:lineRule="exact"/>
        <w:rPr>
          <w:rFonts w:ascii="Times New Roman" w:cs="Times New Roman" w:eastAsia="Times New Roman" w:hAnsi="Times New Roman"/>
          <w:sz w:val="20"/>
          <w:szCs w:val="20"/>
          <w:color w:val="auto"/>
        </w:rPr>
      </w:pPr>
    </w:p>
    <w:p>
      <w:pPr>
        <w:ind w:left="-460" w:right="40" w:firstLine="903"/>
        <w:spacing w:after="0" w:line="254" w:lineRule="auto"/>
        <w:tabs>
          <w:tab w:leader="none" w:pos="104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secured) of Foreign Subsidiaries in an aggregate amount not exceeding the greater of 12.5% of Consolidated Total Assets of Holdings (as of the date of incurrence of such Indebtedness) and $150,000,000, at any time outstanding;</w:t>
      </w:r>
    </w:p>
    <w:p>
      <w:pPr>
        <w:spacing w:after="0" w:line="174" w:lineRule="exact"/>
        <w:rPr>
          <w:rFonts w:ascii="Times New Roman" w:cs="Times New Roman" w:eastAsia="Times New Roman" w:hAnsi="Times New Roman"/>
          <w:sz w:val="20"/>
          <w:szCs w:val="20"/>
          <w:color w:val="auto"/>
        </w:rPr>
      </w:pPr>
    </w:p>
    <w:p>
      <w:pPr>
        <w:jc w:val="both"/>
        <w:ind w:left="-460" w:right="740" w:firstLine="903"/>
        <w:spacing w:after="0" w:line="254" w:lineRule="auto"/>
        <w:tabs>
          <w:tab w:leader="none" w:pos="102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Indebtedness is extinguished within ten Business Days of incurrence;</w:t>
      </w:r>
    </w:p>
    <w:p>
      <w:pPr>
        <w:spacing w:after="0" w:line="174" w:lineRule="exact"/>
        <w:rPr>
          <w:rFonts w:ascii="Times New Roman" w:cs="Times New Roman" w:eastAsia="Times New Roman" w:hAnsi="Times New Roman"/>
          <w:sz w:val="20"/>
          <w:szCs w:val="20"/>
          <w:color w:val="auto"/>
        </w:rPr>
      </w:pPr>
    </w:p>
    <w:p>
      <w:pPr>
        <w:ind w:left="980" w:hanging="537"/>
        <w:spacing w:after="0"/>
        <w:tabs>
          <w:tab w:leader="none" w:pos="98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arising in connection with endorsement of instruments for deposit in the ordinary course of business;</w:t>
      </w:r>
    </w:p>
    <w:p>
      <w:pPr>
        <w:spacing w:after="0" w:line="227" w:lineRule="exact"/>
        <w:rPr>
          <w:rFonts w:ascii="Times New Roman" w:cs="Times New Roman" w:eastAsia="Times New Roman" w:hAnsi="Times New Roman"/>
          <w:sz w:val="19"/>
          <w:szCs w:val="19"/>
          <w:color w:val="auto"/>
        </w:rPr>
      </w:pPr>
    </w:p>
    <w:p>
      <w:pPr>
        <w:ind w:left="-460" w:right="200" w:firstLine="903"/>
        <w:spacing w:after="0" w:line="269" w:lineRule="auto"/>
        <w:tabs>
          <w:tab w:leader="none" w:pos="102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(1) the financing of insurance premiums or (2) take-or-pay obligations contained in supply arrangements, in each case, in the ordinary course of business;</w:t>
      </w:r>
    </w:p>
    <w:p>
      <w:pPr>
        <w:spacing w:after="0" w:line="159" w:lineRule="exact"/>
        <w:rPr>
          <w:rFonts w:ascii="Times New Roman" w:cs="Times New Roman" w:eastAsia="Times New Roman" w:hAnsi="Times New Roman"/>
          <w:sz w:val="20"/>
          <w:szCs w:val="20"/>
          <w:color w:val="auto"/>
        </w:rPr>
      </w:pPr>
    </w:p>
    <w:p>
      <w:pPr>
        <w:ind w:left="-460" w:firstLine="903"/>
        <w:spacing w:after="0" w:line="260" w:lineRule="auto"/>
        <w:tabs>
          <w:tab w:leader="none" w:pos="108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contingent obligations to financial institutions, in each case to the extent in the ordinary course of business and on terms and conditions which are within the general parameters customary in the banking industry (as determined in good faith by the Parent Borrower), entered into to obtain cash management services or deposit account overdraft protection services (in an amount similar to those offered for comparable services in the financial industry) or other services in connection with the management or opening of deposit accounts or incurred as a result of endorsement of negotiable instruments for deposit or collection purposes and other customary, contingent obligations of the Parent Borrower and its Subsidiaries incurred in the ordinary course of business;</w:t>
      </w:r>
    </w:p>
    <w:p>
      <w:pPr>
        <w:spacing w:after="0" w:line="172" w:lineRule="exact"/>
        <w:rPr>
          <w:rFonts w:ascii="Times New Roman" w:cs="Times New Roman" w:eastAsia="Times New Roman" w:hAnsi="Times New Roman"/>
          <w:sz w:val="19"/>
          <w:szCs w:val="19"/>
          <w:color w:val="auto"/>
        </w:rPr>
      </w:pPr>
    </w:p>
    <w:p>
      <w:pPr>
        <w:ind w:left="1140" w:hanging="697"/>
        <w:spacing w:after="0"/>
        <w:tabs>
          <w:tab w:leader="none" w:pos="11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guarantees by the Parent Borrower or any Subsidiary Loan Party of facility leases of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0100"/>
          </w:cols>
          <w:pgMar w:left="1440" w:top="1413" w:right="359" w:bottom="1440" w:gutter="0" w:footer="0" w:header="0"/>
        </w:sectPr>
      </w:pPr>
    </w:p>
    <w:bookmarkStart w:id="174" w:name="page175"/>
    <w:bookmarkEnd w:id="174"/>
    <w:p>
      <w:pPr>
        <w:ind w:left="320" w:right="20" w:firstLine="903"/>
        <w:spacing w:after="0" w:line="263" w:lineRule="auto"/>
        <w:tabs>
          <w:tab w:leader="none" w:pos="1809"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Parent Borrower or any Subsidiary Loan Party under Hedging Agreements with respect to interest rates, foreign currency exchange rates or commodity prices, in each case not entered into for speculative purposes;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Hedging Agreements relate to interest rates, (A) such Hedging Agreements relate to payment obligations on Indebtedness otherwise permitted to be incurred by the Loan Documents and (B) the notional principal amount of such Hedging Agreements at the time incurred does not exceed the principal amount of the Indebtedness to which such Hedging Agreements relate;</w:t>
      </w:r>
    </w:p>
    <w:p>
      <w:pPr>
        <w:spacing w:after="0" w:line="166" w:lineRule="exact"/>
        <w:rPr>
          <w:rFonts w:ascii="Times New Roman" w:cs="Times New Roman" w:eastAsia="Times New Roman" w:hAnsi="Times New Roman"/>
          <w:sz w:val="19"/>
          <w:szCs w:val="19"/>
          <w:color w:val="auto"/>
        </w:rPr>
      </w:pPr>
    </w:p>
    <w:p>
      <w:pPr>
        <w:ind w:left="320" w:right="20" w:firstLine="903"/>
        <w:spacing w:after="0" w:line="241" w:lineRule="auto"/>
        <w:tabs>
          <w:tab w:leader="none" w:pos="1755"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or unsecured notes (such notes,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at the time of (and after giving effect to) the incurrence of any Incremental Equivalent Debt, the aggregate amount of all Incremental Equivalent Debt, together with the aggregate amount of all Incremental Revolving Commitments incurred after the Third Restatement Date (and prior to (or substantially simultaneously with) the incurrence of such Incremental Equivalent Debt), shall not exceed the sum of (1) $200,000,000 and (2) an amount such that, after giving effect to the incurrence of such Incremental Equivalent Debt and the making of any other Indebtedness incurred substantially simultaneously therewith (and assuming in the case of any Incremental Revolving Commitments established substantially simultaneously therewith that such Incremental Revolving Commitments are fully drawn), the Senior Secured Net Leverage Ratio, calculated on a pro forma basis, is no greater than 3.00 to 1.00 (it being understood that (i) indebtedness may be incurred under clause (2) prior to indebtedness being incurred under clause (1) and (ii) if indebtedness is incurred under clause (1) and/or Incremental Revolving Commitments are incurred under clause (A) of Section 2.21(a) on the same date that indebtedness is incurred under clause (2), then the Senior Secured Net Leverage Ratio for purposes of clause (2) will be calculated without giving regard to any incurrence on such date of indebtedness under clause (1) or any incurrence of Incremental Revolving Commitments under clause (A) of Section 2.21(a)), (B) the incurrence of such Indebtedness shall be subject to clauses (i) through (iii) of Section 2.21(c) as if such Incremental Equivalent Debt were an Incremental Revolving Commitment, (C) such Indebtedness shall mature no earlier than 91 days after the Latest Maturity Date then in effect, (D) such Incremental Equivalent Debt shall not have a definition of “Change of Control” or “Change in Control” (or any other defined term having a similar purpose) that is materially more restrictive than the definition of Change of Control set forth herein and (E) such Incremental Equivalent Debt shall not be subject to a financial maintenance covenant more favorable to the holders thereof than those contained in the Loan Documents (other than for periods after the Latest Maturity Date then in effect);</w:t>
      </w:r>
    </w:p>
    <w:p>
      <w:pPr>
        <w:spacing w:after="0" w:line="188" w:lineRule="exact"/>
        <w:rPr>
          <w:rFonts w:ascii="Times New Roman" w:cs="Times New Roman" w:eastAsia="Times New Roman" w:hAnsi="Times New Roman"/>
          <w:sz w:val="20"/>
          <w:szCs w:val="20"/>
          <w:color w:val="auto"/>
        </w:rPr>
      </w:pPr>
    </w:p>
    <w:p>
      <w:pPr>
        <w:ind w:left="320" w:right="100" w:firstLine="903"/>
        <w:spacing w:after="0" w:line="264" w:lineRule="auto"/>
        <w:tabs>
          <w:tab w:leader="none" w:pos="1809"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Indebtedness in an aggregate outstanding amount not to exceed the Net Proceeds received by Holdings after the Third Restatement Date from (A) cash contributions (other than from the Parent Borrower or a Subsidiary) to Holdings or</w:t>
      </w:r>
    </w:p>
    <w:p>
      <w:pPr>
        <w:ind w:left="320" w:right="100" w:hanging="4"/>
        <w:spacing w:after="0" w:line="246" w:lineRule="auto"/>
        <w:tabs>
          <w:tab w:leader="none" w:pos="63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and sale of its Equity Interests (other than Disqualified Equity Interests and other than a sale to the Parent Borrower or a Subsidiary);</w:t>
      </w:r>
    </w:p>
    <w:p>
      <w:pPr>
        <w:spacing w:after="0" w:line="181" w:lineRule="exact"/>
        <w:rPr>
          <w:rFonts w:ascii="Times New Roman" w:cs="Times New Roman" w:eastAsia="Times New Roman" w:hAnsi="Times New Roman"/>
          <w:sz w:val="20"/>
          <w:szCs w:val="20"/>
          <w:color w:val="auto"/>
        </w:rPr>
      </w:pPr>
    </w:p>
    <w:p>
      <w:pPr>
        <w:ind w:left="320" w:firstLine="903"/>
        <w:spacing w:after="0" w:line="249" w:lineRule="auto"/>
        <w:tabs>
          <w:tab w:leader="none" w:pos="186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obligations of the Parent Borrower or any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any money or any Hedging Agreements.</w:t>
      </w:r>
    </w:p>
    <w:p>
      <w:pPr>
        <w:spacing w:after="0" w:line="179" w:lineRule="exact"/>
        <w:rPr>
          <w:rFonts w:ascii="Times New Roman" w:cs="Times New Roman" w:eastAsia="Times New Roman" w:hAnsi="Times New Roman"/>
          <w:sz w:val="20"/>
          <w:szCs w:val="20"/>
          <w:color w:val="auto"/>
        </w:rPr>
      </w:pPr>
    </w:p>
    <w:p>
      <w:pPr>
        <w:ind w:right="780" w:firstLine="1288"/>
        <w:spacing w:after="0" w:line="269" w:lineRule="auto"/>
        <w:tabs>
          <w:tab w:leader="none" w:pos="1725"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Subsidiary to, issue any preferred stock or other preferred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0900"/>
          </w:cols>
          <w:pgMar w:left="660" w:top="1413" w:right="339" w:bottom="1440" w:gutter="0" w:footer="0" w:header="0"/>
        </w:sectPr>
      </w:pPr>
    </w:p>
    <w:bookmarkStart w:id="175" w:name="page176"/>
    <w:bookmarkEnd w:id="175"/>
    <w:p>
      <w:pPr>
        <w:ind w:left="340" w:right="600"/>
        <w:spacing w:after="0" w:line="269" w:lineRule="auto"/>
        <w:rPr>
          <w:sz w:val="20"/>
          <w:szCs w:val="20"/>
          <w:color w:val="auto"/>
        </w:rPr>
      </w:pPr>
      <w:r>
        <w:rPr>
          <w:rFonts w:ascii="Times New Roman" w:cs="Times New Roman" w:eastAsia="Times New Roman" w:hAnsi="Times New Roman"/>
          <w:sz w:val="20"/>
          <w:szCs w:val="20"/>
          <w:color w:val="auto"/>
        </w:rPr>
        <w:t>Interests, except (i) Qualified Holdings Preferred Stock, (ii) Assumed Preferred Stock and (iii) preferred stock or preferred Equity Interests held by Holdings, the Parent Borrower or any Subsidiary.</w:t>
      </w:r>
    </w:p>
    <w:p>
      <w:pPr>
        <w:spacing w:after="0" w:line="159"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6.02 Liens</w:t>
      </w:r>
      <w:r>
        <w:rPr>
          <w:rFonts w:ascii="Times New Roman" w:cs="Times New Roman" w:eastAsia="Times New Roman" w:hAnsi="Times New Roman"/>
          <w:sz w:val="20"/>
          <w:szCs w:val="20"/>
          <w:color w:val="auto"/>
        </w:rPr>
        <w:t>. None of Holdings, the Parent Borrower or any Foreign Subsidiary Borrower will, nor will they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2040" w:hanging="412"/>
        <w:spacing w:after="0"/>
        <w:tabs>
          <w:tab w:leader="none" w:pos="204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the Loan Documents;</w:t>
      </w:r>
    </w:p>
    <w:p>
      <w:pPr>
        <w:spacing w:after="0" w:line="215"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ind w:left="2040" w:hanging="412"/>
        <w:spacing w:after="0"/>
        <w:tabs>
          <w:tab w:leader="none" w:pos="204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the Permitted Receivables Financing and the Specified Vendor Receivables Financing;</w:t>
      </w:r>
    </w:p>
    <w:p>
      <w:pPr>
        <w:spacing w:after="0" w:line="215" w:lineRule="exact"/>
        <w:rPr>
          <w:rFonts w:ascii="Times New Roman" w:cs="Times New Roman" w:eastAsia="Times New Roman" w:hAnsi="Times New Roman"/>
          <w:sz w:val="20"/>
          <w:szCs w:val="20"/>
          <w:color w:val="auto"/>
        </w:rPr>
      </w:pPr>
    </w:p>
    <w:p>
      <w:pPr>
        <w:ind w:left="340" w:right="240" w:firstLine="1288"/>
        <w:spacing w:after="0" w:line="249" w:lineRule="auto"/>
        <w:tabs>
          <w:tab w:leader="none" w:pos="206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Holdings, the Parent Borrower or any Subsidiary existing on the Third Restatement Date and set forth in Schedule 6.02;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Holdings, the Parent Borrower or any Subsidiary and (ii) such Lien shall secure only those obligations which it secures on the Third Restatement Date and extensions, renewals and replacements thereof that do not increase the outstanding principal amount thereof;</w:t>
      </w:r>
    </w:p>
    <w:p>
      <w:pPr>
        <w:spacing w:after="0" w:line="179" w:lineRule="exact"/>
        <w:rPr>
          <w:rFonts w:ascii="Times New Roman" w:cs="Times New Roman" w:eastAsia="Times New Roman" w:hAnsi="Times New Roman"/>
          <w:sz w:val="20"/>
          <w:szCs w:val="20"/>
          <w:color w:val="auto"/>
        </w:rPr>
      </w:pPr>
    </w:p>
    <w:p>
      <w:pPr>
        <w:ind w:left="340" w:right="40" w:firstLine="1288"/>
        <w:spacing w:after="0" w:line="245" w:lineRule="auto"/>
        <w:tabs>
          <w:tab w:leader="none" w:pos="205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prior to the acquisition thereof by the Parent Borrower or any Subsidiary or existing on any property or asset of any Person that becomes a Subsidiary after the Third Restatement Date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as the case may be, (ii) such Lien shall not apply to any other property or assets of the Parent Borrower or any Subsidiary and (iii) such Lien shall secure only those obligations which it secures on the date of such acquisition or the date such Person becomes a Subsidiary, as the case may be;</w:t>
      </w:r>
    </w:p>
    <w:p>
      <w:pPr>
        <w:spacing w:after="0" w:line="184" w:lineRule="exact"/>
        <w:rPr>
          <w:rFonts w:ascii="Times New Roman" w:cs="Times New Roman" w:eastAsia="Times New Roman" w:hAnsi="Times New Roman"/>
          <w:sz w:val="20"/>
          <w:szCs w:val="20"/>
          <w:color w:val="auto"/>
        </w:rPr>
      </w:pPr>
    </w:p>
    <w:p>
      <w:pPr>
        <w:ind w:left="340" w:firstLine="1288"/>
        <w:spacing w:after="0" w:line="264" w:lineRule="auto"/>
        <w:tabs>
          <w:tab w:leader="none" w:pos="2032"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fixed or capital assets acquired, constructed or improved by, or in respect of Financing Lease Obligations of, the Parent Borrower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security interests secure Indebtedness permitted by Section 6.01(a)(viii),</w:t>
      </w:r>
    </w:p>
    <w:p>
      <w:pPr>
        <w:ind w:left="340" w:right="20" w:hanging="8"/>
        <w:spacing w:after="0" w:line="241" w:lineRule="auto"/>
        <w:tabs>
          <w:tab w:leader="none" w:pos="63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security interests and the Indebtedness secured thereby are incurred prior to or within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Parent Borrower or any Subsidiary;</w:t>
      </w:r>
    </w:p>
    <w:p>
      <w:pPr>
        <w:spacing w:after="0" w:line="188" w:lineRule="exact"/>
        <w:rPr>
          <w:rFonts w:ascii="Times New Roman" w:cs="Times New Roman" w:eastAsia="Times New Roman" w:hAnsi="Times New Roman"/>
          <w:sz w:val="20"/>
          <w:szCs w:val="20"/>
          <w:color w:val="auto"/>
        </w:rPr>
      </w:pPr>
    </w:p>
    <w:p>
      <w:pPr>
        <w:ind w:left="340" w:right="380" w:firstLine="1288"/>
        <w:spacing w:after="0" w:line="269" w:lineRule="auto"/>
        <w:tabs>
          <w:tab w:leader="none" w:pos="2065"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any Mortgaged Property, described in the applicable schedule of the title policy covering such Mortgaged Property;</w:t>
      </w:r>
    </w:p>
    <w:p>
      <w:pPr>
        <w:spacing w:after="0" w:line="159"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sales of accounts receivable by Foreign Subsidiaries permitted by Section 6.05(c)(ii);</w:t>
      </w:r>
    </w:p>
    <w:p>
      <w:pPr>
        <w:spacing w:after="0" w:line="215" w:lineRule="exact"/>
        <w:rPr>
          <w:rFonts w:ascii="Times New Roman" w:cs="Times New Roman" w:eastAsia="Times New Roman" w:hAnsi="Times New Roman"/>
          <w:sz w:val="20"/>
          <w:szCs w:val="20"/>
          <w:color w:val="auto"/>
        </w:rPr>
      </w:pPr>
    </w:p>
    <w:p>
      <w:pPr>
        <w:ind w:left="2020" w:hanging="392"/>
        <w:spacing w:after="0"/>
        <w:tabs>
          <w:tab w:leader="none" w:pos="202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liabilities permitted hereunder in an aggregate amount not exceeding the greater of</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$50,000,000 and 4.0% of Consolidated Total Assets of Holdings (as of the date of incurrence of such Liens),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20"/>
          </w:cols>
          <w:pgMar w:left="320" w:top="1413" w:right="359" w:bottom="1440" w:gutter="0" w:footer="0" w:header="0"/>
        </w:sectPr>
      </w:pPr>
    </w:p>
    <w:bookmarkStart w:id="176" w:name="page177"/>
    <w:bookmarkEnd w:id="176"/>
    <w:p>
      <w:pPr>
        <w:ind w:firstLine="1288"/>
        <w:spacing w:after="0" w:line="269" w:lineRule="auto"/>
        <w:tabs>
          <w:tab w:leader="none" w:pos="168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respect of Indebtedness permitted by Section 6.01(a)(xiii);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assets subject to such Liens are not located in the United States;</w:t>
      </w:r>
    </w:p>
    <w:p>
      <w:pPr>
        <w:spacing w:after="0" w:line="159" w:lineRule="exact"/>
        <w:rPr>
          <w:rFonts w:ascii="Times New Roman" w:cs="Times New Roman" w:eastAsia="Times New Roman" w:hAnsi="Times New Roman"/>
          <w:sz w:val="20"/>
          <w:szCs w:val="20"/>
          <w:color w:val="auto"/>
        </w:rPr>
      </w:pPr>
    </w:p>
    <w:p>
      <w:pPr>
        <w:ind w:right="240" w:firstLine="1288"/>
        <w:spacing w:after="0" w:line="245"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rights of setoff and other similar Liens existing solely with respect to cash and Permitted Investments on deposit in one or more accounts maintained by any Lender, in each case granted in the ordinary course of business in favor of such Lender with which such accounts are maintained, securing amounts owing to such Lender with respect to cash management and operating account arrangements, including those involving pooled accounts and netting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such Liens are non-consensual and arise by operation of law, in no case shall any such Liens secure (either directly or indirectly) the repayment of any Indebtedness for borrowed money;</w:t>
      </w:r>
    </w:p>
    <w:p>
      <w:pPr>
        <w:spacing w:after="0" w:line="184" w:lineRule="exact"/>
        <w:rPr>
          <w:rFonts w:ascii="Times New Roman" w:cs="Times New Roman" w:eastAsia="Times New Roman" w:hAnsi="Times New Roman"/>
          <w:sz w:val="20"/>
          <w:szCs w:val="20"/>
          <w:color w:val="auto"/>
        </w:rPr>
      </w:pPr>
    </w:p>
    <w:p>
      <w:pPr>
        <w:ind w:right="180" w:firstLine="1288"/>
        <w:spacing w:after="0" w:line="269" w:lineRule="auto"/>
        <w:tabs>
          <w:tab w:leader="none" w:pos="168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or sublicenses of Intellectual Property (as defined in the Security Agreement) granted by any Company in the ordinary course of business and not interfering in any material respect with the ordinary conduct of business of the Company;</w:t>
      </w:r>
    </w:p>
    <w:p>
      <w:pPr>
        <w:spacing w:after="0" w:line="159" w:lineRule="exact"/>
        <w:rPr>
          <w:rFonts w:ascii="Times New Roman" w:cs="Times New Roman" w:eastAsia="Times New Roman" w:hAnsi="Times New Roman"/>
          <w:sz w:val="20"/>
          <w:szCs w:val="20"/>
          <w:color w:val="auto"/>
        </w:rPr>
      </w:pPr>
    </w:p>
    <w:p>
      <w:pPr>
        <w:ind w:right="280" w:firstLine="1288"/>
        <w:spacing w:after="0" w:line="269" w:lineRule="auto"/>
        <w:tabs>
          <w:tab w:leader="none" w:pos="17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solely as a precautionary measure in connection with operating leases or consignment of goods;</w:t>
      </w:r>
    </w:p>
    <w:p>
      <w:pPr>
        <w:spacing w:after="0" w:line="159" w:lineRule="exact"/>
        <w:rPr>
          <w:rFonts w:ascii="Times New Roman" w:cs="Times New Roman" w:eastAsia="Times New Roman" w:hAnsi="Times New Roman"/>
          <w:sz w:val="20"/>
          <w:szCs w:val="20"/>
          <w:color w:val="auto"/>
        </w:rPr>
      </w:pPr>
    </w:p>
    <w:p>
      <w:pPr>
        <w:ind w:firstLine="1288"/>
        <w:spacing w:after="0" w:line="269"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the benefit of a seller deemed to attach solely to cash earnest money deposits in connection with a letter of intent or acquisition agreement with respect to a Permitted Acquisition;</w:t>
      </w:r>
    </w:p>
    <w:p>
      <w:pPr>
        <w:spacing w:after="0" w:line="159" w:lineRule="exact"/>
        <w:rPr>
          <w:rFonts w:ascii="Times New Roman" w:cs="Times New Roman" w:eastAsia="Times New Roman" w:hAnsi="Times New Roman"/>
          <w:sz w:val="20"/>
          <w:szCs w:val="20"/>
          <w:color w:val="auto"/>
        </w:rPr>
      </w:pPr>
    </w:p>
    <w:p>
      <w:pPr>
        <w:ind w:right="520" w:firstLine="1288"/>
        <w:spacing w:after="0" w:line="269"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exist in connection with investments permitted under Section 6.04 that constitute repurchase obligations and in connection with related set-off rights;</w:t>
      </w:r>
    </w:p>
    <w:p>
      <w:pPr>
        <w:spacing w:after="0" w:line="159" w:lineRule="exact"/>
        <w:rPr>
          <w:rFonts w:ascii="Times New Roman" w:cs="Times New Roman" w:eastAsia="Times New Roman" w:hAnsi="Times New Roman"/>
          <w:sz w:val="20"/>
          <w:szCs w:val="20"/>
          <w:color w:val="auto"/>
        </w:rPr>
      </w:pPr>
    </w:p>
    <w:p>
      <w:pPr>
        <w:ind w:right="20" w:firstLine="1288"/>
        <w:spacing w:after="0" w:line="269"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in the ordinary course of business under Section 4-210 of the UCC in effect in the relevant jurisdiction covering only the items being collected upon;</w:t>
      </w:r>
    </w:p>
    <w:p>
      <w:pPr>
        <w:spacing w:after="0" w:line="159" w:lineRule="exact"/>
        <w:rPr>
          <w:rFonts w:ascii="Times New Roman" w:cs="Times New Roman" w:eastAsia="Times New Roman" w:hAnsi="Times New Roman"/>
          <w:sz w:val="20"/>
          <w:szCs w:val="20"/>
          <w:color w:val="auto"/>
        </w:rPr>
      </w:pPr>
    </w:p>
    <w:p>
      <w:pPr>
        <w:ind w:right="120" w:firstLine="1288"/>
        <w:spacing w:after="0" w:line="254"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sellers of goods to the Parent Borrower or any of its Subsidiaries arising under Article 2 of the UCC in effect in the relevant jurisdiction in the ordinary course of business, covering only the goods sold and covering only the unpaid purchase price for such goods and related expenses;</w:t>
      </w:r>
    </w:p>
    <w:p>
      <w:pPr>
        <w:spacing w:after="0" w:line="174" w:lineRule="exact"/>
        <w:rPr>
          <w:rFonts w:ascii="Times New Roman" w:cs="Times New Roman" w:eastAsia="Times New Roman" w:hAnsi="Times New Roman"/>
          <w:sz w:val="20"/>
          <w:szCs w:val="20"/>
          <w:color w:val="auto"/>
        </w:rPr>
      </w:pPr>
    </w:p>
    <w:p>
      <w:pPr>
        <w:ind w:right="180" w:firstLine="1288"/>
        <w:spacing w:after="0" w:line="249" w:lineRule="auto"/>
        <w:tabs>
          <w:tab w:leader="none" w:pos="169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with respect to property or assets of the Parent Borrower or any Subsidiary securing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Incremental Equivalent Debt shall be secured only by a Lien on the Collateral and on a pari passu or subordinated basis with the Obligations and shall be subject to a customary intercreditor agreement in form and substance reasonably satisfactory to the Administrative Agent;</w:t>
      </w:r>
    </w:p>
    <w:p>
      <w:pPr>
        <w:spacing w:after="0" w:line="179" w:lineRule="exact"/>
        <w:rPr>
          <w:rFonts w:ascii="Times New Roman" w:cs="Times New Roman" w:eastAsia="Times New Roman" w:hAnsi="Times New Roman"/>
          <w:sz w:val="20"/>
          <w:szCs w:val="20"/>
          <w:color w:val="auto"/>
        </w:rPr>
      </w:pPr>
    </w:p>
    <w:p>
      <w:pPr>
        <w:ind w:right="240" w:firstLine="1288"/>
        <w:spacing w:after="0" w:line="254" w:lineRule="auto"/>
        <w:tabs>
          <w:tab w:leader="none" w:pos="170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goods;</w:t>
      </w:r>
    </w:p>
    <w:p>
      <w:pPr>
        <w:spacing w:after="0" w:line="174" w:lineRule="exact"/>
        <w:rPr>
          <w:rFonts w:ascii="Times New Roman" w:cs="Times New Roman" w:eastAsia="Times New Roman" w:hAnsi="Times New Roman"/>
          <w:sz w:val="20"/>
          <w:szCs w:val="20"/>
          <w:color w:val="auto"/>
        </w:rPr>
      </w:pPr>
    </w:p>
    <w:p>
      <w:pPr>
        <w:ind w:left="1680" w:hanging="392"/>
        <w:spacing w:after="0"/>
        <w:tabs>
          <w:tab w:leader="none" w:pos="16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and other Liens made in the ordinary course of business to secure liability to insurance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w:t>
      </w:r>
    </w:p>
    <w:p>
      <w:pPr>
        <w:spacing w:after="0" w:line="193" w:lineRule="exact"/>
        <w:rPr>
          <w:rFonts w:ascii="Times New Roman" w:cs="Times New Roman" w:eastAsia="Times New Roman" w:hAnsi="Times New Roman"/>
          <w:sz w:val="20"/>
          <w:szCs w:val="20"/>
          <w:color w:val="auto"/>
        </w:rPr>
      </w:pPr>
    </w:p>
    <w:p>
      <w:pPr>
        <w:ind w:right="520" w:firstLine="1288"/>
        <w:spacing w:after="0" w:line="269" w:lineRule="auto"/>
        <w:tabs>
          <w:tab w:leader="none" w:pos="172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and non-exclusive licenses or sublicenses (including with respect to intellectual property) granted to others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0900"/>
          </w:cols>
          <w:pgMar w:left="660" w:top="1413" w:right="339" w:bottom="1440" w:gutter="0" w:footer="0" w:header="0"/>
        </w:sectPr>
      </w:pPr>
    </w:p>
    <w:bookmarkStart w:id="177" w:name="page178"/>
    <w:bookmarkEnd w:id="177"/>
    <w:p>
      <w:pPr>
        <w:ind w:right="220" w:firstLine="1288"/>
        <w:spacing w:after="0" w:line="269" w:lineRule="auto"/>
        <w:tabs>
          <w:tab w:leader="none" w:pos="172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(including put and call arrangements) with respect to Equity Interests of any joint venture or similar arrangement securing obligations of such joint venture or pursuant to any joint venture or similar agreement;</w:t>
      </w:r>
    </w:p>
    <w:p>
      <w:pPr>
        <w:spacing w:after="0" w:line="159" w:lineRule="exact"/>
        <w:rPr>
          <w:rFonts w:ascii="Times New Roman" w:cs="Times New Roman" w:eastAsia="Times New Roman" w:hAnsi="Times New Roman"/>
          <w:sz w:val="20"/>
          <w:szCs w:val="20"/>
          <w:color w:val="auto"/>
        </w:rPr>
      </w:pPr>
    </w:p>
    <w:p>
      <w:pPr>
        <w:ind w:right="560" w:firstLine="1288"/>
        <w:spacing w:after="0" w:line="269" w:lineRule="auto"/>
        <w:tabs>
          <w:tab w:leader="none" w:pos="176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and other agreements entered into with customers, suppliers or service providers of the Parent Borrower or any Subsidiary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288"/>
        <w:spacing w:after="0" w:line="254" w:lineRule="auto"/>
        <w:tabs>
          <w:tab w:leader="none" w:pos="172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Parent Borrower or any Subsidiary in any accounts receivable or other proceeds, in each case arising from inventory consigned by the Parent Borrower or any such Subsidiary pursuant to an agreement entered into in the ordinary course of business; and</w:t>
      </w:r>
    </w:p>
    <w:p>
      <w:pPr>
        <w:spacing w:after="0" w:line="174" w:lineRule="exact"/>
        <w:rPr>
          <w:rFonts w:ascii="Times New Roman" w:cs="Times New Roman" w:eastAsia="Times New Roman" w:hAnsi="Times New Roman"/>
          <w:sz w:val="20"/>
          <w:szCs w:val="20"/>
          <w:color w:val="auto"/>
        </w:rPr>
      </w:pPr>
    </w:p>
    <w:p>
      <w:pPr>
        <w:ind w:right="200" w:firstLine="1288"/>
        <w:spacing w:after="0" w:line="269" w:lineRule="auto"/>
        <w:tabs>
          <w:tab w:leader="none" w:pos="172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insurance premium financing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limited to the applicable unearned insurance premiums.</w:t>
      </w:r>
    </w:p>
    <w:p>
      <w:pPr>
        <w:spacing w:after="0" w:line="159"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20"/>
          <w:szCs w:val="20"/>
          <w:u w:val="single" w:color="auto"/>
          <w:color w:val="auto"/>
        </w:rPr>
        <w:t>SECTION 6.03</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2" w:lineRule="auto"/>
        <w:tabs>
          <w:tab w:leader="none" w:pos="171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other Person to merge into or consolidate with any of them, or liquidate or dissolve, except that, if at the time thereof and immediately after giving effect thereto no Default shall have occurred and be continuing (i) any Subsidiary may merge into the Parent Borrower in a transaction in which the Parent Borrower is the surviving corporation, (ii) any Subsidiary may merge into any Subsidiary in a transaction in which the surviving entity is a Subsidiary and (if any party to such merger is a Subsidiary Loan Party) is a Subsidiary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merger involving the Foreign Subsidiary Borrowers, the surviving entity of such merger shall be a Foreign Subsidiary Borrower, as the case may be) and (iii) any Subsidiary (other than a Subsidiary Loan Party) may liquidate or dissolve if the Parent Borrower determines in good faith that such liquidation or dissolution is in the best interests of the Parent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Section 6.04. Notwithstanding the foregoing, this Section 6.03 shall not prohibit any Permitted Acquisition.</w:t>
      </w:r>
    </w:p>
    <w:p>
      <w:pPr>
        <w:spacing w:after="0" w:line="189" w:lineRule="exact"/>
        <w:rPr>
          <w:rFonts w:ascii="Times New Roman" w:cs="Times New Roman" w:eastAsia="Times New Roman" w:hAnsi="Times New Roman"/>
          <w:sz w:val="20"/>
          <w:szCs w:val="20"/>
          <w:color w:val="auto"/>
        </w:rPr>
      </w:pPr>
    </w:p>
    <w:p>
      <w:pPr>
        <w:ind w:right="260" w:firstLine="1288"/>
        <w:spacing w:after="0" w:line="254" w:lineRule="auto"/>
        <w:tabs>
          <w:tab w:leader="none" w:pos="172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will not, and will not permit any of its Subsidiaries to, engage to any material extent in any business other than businesses of the type conducted by the Parent Borrower and its Subsidiaries on the Third Restatement Date and businesses reasonably related thereto.</w:t>
      </w:r>
    </w:p>
    <w:p>
      <w:pPr>
        <w:spacing w:after="0" w:line="174" w:lineRule="exact"/>
        <w:rPr>
          <w:rFonts w:ascii="Times New Roman" w:cs="Times New Roman" w:eastAsia="Times New Roman" w:hAnsi="Times New Roman"/>
          <w:sz w:val="20"/>
          <w:szCs w:val="20"/>
          <w:color w:val="auto"/>
        </w:rPr>
      </w:pPr>
    </w:p>
    <w:p>
      <w:pPr>
        <w:ind w:right="120" w:firstLine="1288"/>
        <w:spacing w:after="0" w:line="243" w:lineRule="auto"/>
        <w:tabs>
          <w:tab w:leader="none" w:pos="171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engage in any business or activity other than (i) the ownership of all the outstanding shares of capital stock of the Parent Borrower, (ii) performing its obligations (A) under the Loan Documents, and (B) under the Permitted Receivables Financing, (iii) activities incidental thereto and to Holdings’ existence, (iv) activities related to the performance of all its obligations in respect of the Transactions, (v) performing its obligations under guarantees in respect of sale and leaseback transactions permitted by Section 6.06 and (vi) other activities (including the incurrence of Indebtedness and the issuance of its Equity Interests) that are permitted by this Agreement. Holdings will not own or acquire any assets (other than shares of capital stock of the Parent Borrower and the Permitted Investments or incur any liabilities (other than liabilities imposed by law, including tax liabilities, liabilities related to its existence and permitted business and activities specified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0880"/>
          </w:cols>
          <w:pgMar w:left="660" w:top="1413" w:right="359" w:bottom="1440" w:gutter="0" w:footer="0" w:header="0"/>
        </w:sectPr>
      </w:pPr>
    </w:p>
    <w:bookmarkStart w:id="178" w:name="page179"/>
    <w:bookmarkEnd w:id="178"/>
    <w:p>
      <w:pPr>
        <w:ind w:left="340" w:firstLine="1288"/>
        <w:spacing w:after="0" w:line="246" w:lineRule="auto"/>
        <w:tabs>
          <w:tab w:leader="none" w:pos="206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Receivables Subsidiary will not engage in any business or business activity other than the activities related to the Permitted Receivables Financing and its existence. The Receivables Subsidiary will not own or acquire any assets (other than the receivables subject to the Permitted Receivables Financing) or incur any liabilities (other than the liabilities imposed by law including tax liabilities, and other liabilities related to its existence and permitted business and activities specified in the immediately preceding sentence, including liabilities arising under the Permitted Receivables Financing).</w:t>
      </w:r>
    </w:p>
    <w:p>
      <w:pPr>
        <w:spacing w:after="0" w:line="185" w:lineRule="exact"/>
        <w:rPr>
          <w:sz w:val="20"/>
          <w:szCs w:val="20"/>
          <w:color w:val="auto"/>
        </w:rPr>
      </w:pPr>
    </w:p>
    <w:p>
      <w:pPr>
        <w:ind w:right="80" w:firstLine="1296"/>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6.04 Investments, Loans, Advances, Guarantees and Acquisitions</w:t>
      </w:r>
      <w:r>
        <w:rPr>
          <w:rFonts w:ascii="Times New Roman" w:cs="Times New Roman" w:eastAsia="Times New Roman" w:hAnsi="Times New Roman"/>
          <w:sz w:val="20"/>
          <w:szCs w:val="20"/>
          <w:color w:val="auto"/>
        </w:rPr>
        <w:t>. None of the Parent Borrower or any Foreign Subsidiary Borrower will, nor will they permit any Subsidiary to, purchase, hold or acquire (including pursuant to any merger with any Person that was not a wholly owned Subsidiary prior to such merger) any Equity Interests in or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84" w:lineRule="exact"/>
        <w:rPr>
          <w:sz w:val="20"/>
          <w:szCs w:val="20"/>
          <w:color w:val="auto"/>
        </w:rPr>
      </w:pPr>
    </w:p>
    <w:p>
      <w:pPr>
        <w:ind w:left="2040" w:hanging="412"/>
        <w:spacing w:after="0"/>
        <w:tabs>
          <w:tab w:leader="none" w:pos="20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215" w:lineRule="exact"/>
        <w:rPr>
          <w:rFonts w:ascii="Times New Roman" w:cs="Times New Roman" w:eastAsia="Times New Roman" w:hAnsi="Times New Roman"/>
          <w:sz w:val="20"/>
          <w:szCs w:val="20"/>
          <w:color w:val="auto"/>
        </w:rPr>
      </w:pPr>
    </w:p>
    <w:p>
      <w:pPr>
        <w:ind w:left="340" w:right="60" w:firstLine="1288"/>
        <w:spacing w:after="0" w:line="269" w:lineRule="auto"/>
        <w:tabs>
          <w:tab w:leader="none" w:pos="206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existing pursuant to agreements existing on or made pursuant to, binding commitments existing on, on the Third Restatement Date and set forth on Schedule 6.04;</w:t>
      </w:r>
    </w:p>
    <w:p>
      <w:pPr>
        <w:spacing w:after="0" w:line="159" w:lineRule="exact"/>
        <w:rPr>
          <w:rFonts w:ascii="Times New Roman" w:cs="Times New Roman" w:eastAsia="Times New Roman" w:hAnsi="Times New Roman"/>
          <w:sz w:val="20"/>
          <w:szCs w:val="20"/>
          <w:color w:val="auto"/>
        </w:rPr>
      </w:pPr>
    </w:p>
    <w:p>
      <w:pPr>
        <w:ind w:left="2040" w:hanging="412"/>
        <w:spacing w:after="0"/>
        <w:tabs>
          <w:tab w:leader="none" w:pos="20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left="340" w:right="100" w:firstLine="1288"/>
        <w:spacing w:after="0" w:line="242" w:lineRule="auto"/>
        <w:tabs>
          <w:tab w:leader="none" w:pos="206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the Parent Borrower and the Subsidiaries in their respective Subsidiaries that exist immediately prior to any applicable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Equity Interests held by a Loan Party shall be pledged pursuant to the Pledge Agreement or any applicable Foreign Security Documents, as the case may be, to the extent required by this Agreement and (ii) the aggregate amount of investments (excluding any such investments, loans, advances and Guarantees to such Subsidiaries that are assumed and exist on the date any Permitted Acquisition is consummated and that are not made, incurred or created in contemplation of or in connection with such Permitted Acquisition) by Loan Parties in, and loans and advances by Loan Parties to, and Guarantees by Loan Parties of Indebtedness of, Subsidiaries that are not Domestic Loan Parties (or if Domestic Loan Parties, in respect of which the Administrative Agent has not received the documents required by clause (a) of the definition of Collateral and Guarantee Requirement) made after the Third Restatement Date shall not at any time exceed the greater of $100,000,000 and 10.0% of Consolidated Total Assets of Holdings (as of the date of the making of such investment);</w:t>
      </w:r>
    </w:p>
    <w:p>
      <w:pPr>
        <w:spacing w:after="0" w:line="192" w:lineRule="exact"/>
        <w:rPr>
          <w:rFonts w:ascii="Times New Roman" w:cs="Times New Roman" w:eastAsia="Times New Roman" w:hAnsi="Times New Roman"/>
          <w:sz w:val="20"/>
          <w:szCs w:val="20"/>
          <w:color w:val="auto"/>
        </w:rPr>
      </w:pPr>
    </w:p>
    <w:p>
      <w:pPr>
        <w:ind w:left="340" w:right="200" w:firstLine="1288"/>
        <w:spacing w:after="0" w:line="246" w:lineRule="auto"/>
        <w:tabs>
          <w:tab w:leader="none" w:pos="205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by the Parent Borrower to any Subsidiary and made by any Subsidiary to the Parent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loans and advances made by a Loan Party shall be evidenced by a promissory note pledged pursuant to the Pledge Agreement or any applicable Foreign Security Documents, as the case may be, and (ii) the amount of such loans and advances made by Loan Parties to Subsidiaries that are not Loan Parties shall be subject to the limitation set forth in clause (d) above;</w:t>
      </w:r>
    </w:p>
    <w:p>
      <w:pPr>
        <w:spacing w:after="0" w:line="184" w:lineRule="exact"/>
        <w:rPr>
          <w:rFonts w:ascii="Times New Roman" w:cs="Times New Roman" w:eastAsia="Times New Roman" w:hAnsi="Times New Roman"/>
          <w:sz w:val="20"/>
          <w:szCs w:val="20"/>
          <w:color w:val="auto"/>
        </w:rPr>
      </w:pPr>
    </w:p>
    <w:p>
      <w:pPr>
        <w:ind w:left="2020" w:hanging="392"/>
        <w:spacing w:after="0"/>
        <w:tabs>
          <w:tab w:leader="none" w:pos="20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permitted by Section 6.01(a)(vii);</w:t>
      </w:r>
    </w:p>
    <w:p>
      <w:pPr>
        <w:spacing w:after="0" w:line="215"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arising as a result of any Permitted Receivables Financing or Specified Vendor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20"/>
          </w:cols>
          <w:pgMar w:left="320" w:top="1413" w:right="359" w:bottom="1440" w:gutter="0" w:footer="0" w:header="0"/>
        </w:sectPr>
      </w:pPr>
    </w:p>
    <w:bookmarkStart w:id="179" w:name="page180"/>
    <w:bookmarkEnd w:id="179"/>
    <w:p>
      <w:pPr>
        <w:ind w:right="180" w:firstLine="1288"/>
        <w:spacing w:after="0" w:line="269" w:lineRule="auto"/>
        <w:tabs>
          <w:tab w:leader="none" w:pos="172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59" w:lineRule="exact"/>
        <w:rPr>
          <w:rFonts w:ascii="Times New Roman" w:cs="Times New Roman" w:eastAsia="Times New Roman" w:hAnsi="Times New Roman"/>
          <w:sz w:val="20"/>
          <w:szCs w:val="20"/>
          <w:color w:val="auto"/>
        </w:rPr>
      </w:pPr>
    </w:p>
    <w:p>
      <w:pPr>
        <w:ind w:right="340" w:firstLine="1288"/>
        <w:spacing w:after="0" w:line="269" w:lineRule="auto"/>
        <w:tabs>
          <w:tab w:leader="none" w:pos="168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in or loans to any other Person received as noncash consideration for sales, transfers, leases and other dispositions permitted by Section 6.05;</w:t>
      </w:r>
    </w:p>
    <w:p>
      <w:pPr>
        <w:spacing w:after="0" w:line="159" w:lineRule="exact"/>
        <w:rPr>
          <w:rFonts w:ascii="Times New Roman" w:cs="Times New Roman" w:eastAsia="Times New Roman" w:hAnsi="Times New Roman"/>
          <w:sz w:val="20"/>
          <w:szCs w:val="20"/>
          <w:color w:val="auto"/>
        </w:rPr>
      </w:pPr>
    </w:p>
    <w:p>
      <w:pPr>
        <w:ind w:right="40" w:firstLine="1288"/>
        <w:spacing w:after="0" w:line="254" w:lineRule="auto"/>
        <w:tabs>
          <w:tab w:leader="none" w:pos="168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Holdings, the Parent Borrower and the Subsidiaries of leases entered into by any Subsidiary as lessee;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Guarantees made by Loan Parties to Subsidiaries that are not Loan Parties shall be subject to the limitation set forth in clause (d) above;</w:t>
      </w:r>
    </w:p>
    <w:p>
      <w:pPr>
        <w:spacing w:after="0" w:line="174" w:lineRule="exact"/>
        <w:rPr>
          <w:rFonts w:ascii="Times New Roman" w:cs="Times New Roman" w:eastAsia="Times New Roman" w:hAnsi="Times New Roman"/>
          <w:sz w:val="20"/>
          <w:szCs w:val="20"/>
          <w:color w:val="auto"/>
        </w:rPr>
      </w:pPr>
    </w:p>
    <w:p>
      <w:pPr>
        <w:ind w:left="1720" w:hanging="432"/>
        <w:spacing w:after="0"/>
        <w:tabs>
          <w:tab w:leader="none" w:pos="172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credit in the nature of accounts receivable or notes receivable in the ordinary course of business;</w:t>
      </w:r>
    </w:p>
    <w:p>
      <w:pPr>
        <w:spacing w:after="0" w:line="215" w:lineRule="exact"/>
        <w:rPr>
          <w:rFonts w:ascii="Times New Roman" w:cs="Times New Roman" w:eastAsia="Times New Roman" w:hAnsi="Times New Roman"/>
          <w:sz w:val="20"/>
          <w:szCs w:val="20"/>
          <w:color w:val="auto"/>
        </w:rPr>
      </w:pPr>
    </w:p>
    <w:p>
      <w:pPr>
        <w:ind w:firstLine="1288"/>
        <w:spacing w:after="0" w:line="245" w:lineRule="auto"/>
        <w:tabs>
          <w:tab w:leader="none" w:pos="168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employees made (i) in the ordinary course of business consistent with prudent business practice and not exceeding $5,000,000 in the aggregate outstanding at any one time, (ii) in respect of payroll payments and expenses in the ordinary course of business and (iii) in connection with such Person’s purchase of Equity Interests of Holdings or any direct or indirect parent of Holdings solely to the extent that the amount of such loans and advances shall be contributed to Holdings in cash as common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the amount of such cash contribution, to the extent of any such outstanding loan or advance, shall not be considered a cash contribution for any other purpose of this Agreement;</w:t>
      </w:r>
    </w:p>
    <w:p>
      <w:pPr>
        <w:spacing w:after="0" w:line="184" w:lineRule="exact"/>
        <w:rPr>
          <w:rFonts w:ascii="Times New Roman" w:cs="Times New Roman" w:eastAsia="Times New Roman" w:hAnsi="Times New Roman"/>
          <w:sz w:val="20"/>
          <w:szCs w:val="20"/>
          <w:color w:val="auto"/>
        </w:rPr>
      </w:pPr>
    </w:p>
    <w:p>
      <w:pPr>
        <w:ind w:left="1780" w:hanging="492"/>
        <w:spacing w:after="0"/>
        <w:tabs>
          <w:tab w:leader="none" w:pos="17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Hedging Agreements permitted under Section 6.07;</w:t>
      </w:r>
    </w:p>
    <w:p>
      <w:pPr>
        <w:spacing w:after="0" w:line="215" w:lineRule="exact"/>
        <w:rPr>
          <w:rFonts w:ascii="Times New Roman" w:cs="Times New Roman" w:eastAsia="Times New Roman" w:hAnsi="Times New Roman"/>
          <w:sz w:val="20"/>
          <w:szCs w:val="20"/>
          <w:color w:val="auto"/>
        </w:rPr>
      </w:pPr>
    </w:p>
    <w:p>
      <w:pPr>
        <w:ind w:right="240" w:firstLine="1288"/>
        <w:spacing w:after="0" w:line="295" w:lineRule="auto"/>
        <w:tabs>
          <w:tab w:leader="none" w:pos="172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Parent Borrower or any Subsidiary in (i) the capital stock of a Receivables Subsidiary and (ii) other interests in a Receivables Subsidiary, in each case to the extent required by the terms of the Permitted Receivables Financing;</w:t>
      </w:r>
    </w:p>
    <w:p>
      <w:pPr>
        <w:spacing w:after="0" w:line="137" w:lineRule="exact"/>
        <w:rPr>
          <w:rFonts w:ascii="Times New Roman" w:cs="Times New Roman" w:eastAsia="Times New Roman" w:hAnsi="Times New Roman"/>
          <w:sz w:val="19"/>
          <w:szCs w:val="19"/>
          <w:color w:val="auto"/>
        </w:rPr>
      </w:pPr>
    </w:p>
    <w:p>
      <w:pPr>
        <w:ind w:right="80" w:firstLine="1288"/>
        <w:spacing w:after="0" w:line="269" w:lineRule="auto"/>
        <w:tabs>
          <w:tab w:leader="none" w:pos="172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travel and similar advances to cover matters that are expected at the time of such advances ultimately to be treated as expenses for accounting purposes and that are made in the ordinary course of business;</w:t>
      </w:r>
    </w:p>
    <w:p>
      <w:pPr>
        <w:spacing w:after="0" w:line="159" w:lineRule="exact"/>
        <w:rPr>
          <w:rFonts w:ascii="Times New Roman" w:cs="Times New Roman" w:eastAsia="Times New Roman" w:hAnsi="Times New Roman"/>
          <w:sz w:val="20"/>
          <w:szCs w:val="20"/>
          <w:color w:val="auto"/>
        </w:rPr>
      </w:pPr>
    </w:p>
    <w:p>
      <w:pPr>
        <w:ind w:left="1720" w:hanging="432"/>
        <w:spacing w:after="0"/>
        <w:tabs>
          <w:tab w:leader="none" w:pos="172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Joint Venture and Foreign Subsidiary Investments;</w:t>
      </w:r>
    </w:p>
    <w:p>
      <w:pPr>
        <w:spacing w:after="0" w:line="215" w:lineRule="exact"/>
        <w:rPr>
          <w:rFonts w:ascii="Times New Roman" w:cs="Times New Roman" w:eastAsia="Times New Roman" w:hAnsi="Times New Roman"/>
          <w:sz w:val="20"/>
          <w:szCs w:val="20"/>
          <w:color w:val="auto"/>
        </w:rPr>
      </w:pPr>
    </w:p>
    <w:p>
      <w:pPr>
        <w:ind w:right="100" w:firstLine="1288"/>
        <w:spacing w:after="0" w:line="254" w:lineRule="auto"/>
        <w:tabs>
          <w:tab w:leader="none" w:pos="172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loans or advances in addition to those permitted by clauses (a) through (p) above not exceeding in the aggregate the greater of $100,000,000 and 10.0% of Consolidated Total Assets of Holdings (as of the date of the making of such investment, loan or advance) at any time outstanding;</w:t>
      </w:r>
    </w:p>
    <w:p>
      <w:pPr>
        <w:spacing w:after="0" w:line="174" w:lineRule="exact"/>
        <w:rPr>
          <w:rFonts w:ascii="Times New Roman" w:cs="Times New Roman" w:eastAsia="Times New Roman" w:hAnsi="Times New Roman"/>
          <w:sz w:val="20"/>
          <w:szCs w:val="20"/>
          <w:color w:val="auto"/>
        </w:rPr>
      </w:pPr>
    </w:p>
    <w:p>
      <w:pPr>
        <w:jc w:val="both"/>
        <w:ind w:right="20" w:firstLine="1288"/>
        <w:spacing w:after="0" w:line="254" w:lineRule="auto"/>
        <w:tabs>
          <w:tab w:leader="none" w:pos="169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 in an amount not to exceed the Net Proceeds Not Otherwise Applied of any issuance of Equity Interests (other than Disqualified Equity Interests and other than any issuance to the Parent Borrower or a Subsidiary) in Holdings issued on or after the Third Restatement Date or (ii) with Equity Interests in Holdings;</w:t>
      </w:r>
    </w:p>
    <w:p>
      <w:pPr>
        <w:spacing w:after="0" w:line="174" w:lineRule="exact"/>
        <w:rPr>
          <w:rFonts w:ascii="Times New Roman" w:cs="Times New Roman" w:eastAsia="Times New Roman" w:hAnsi="Times New Roman"/>
          <w:sz w:val="20"/>
          <w:szCs w:val="20"/>
          <w:color w:val="auto"/>
        </w:rPr>
      </w:pPr>
    </w:p>
    <w:p>
      <w:pPr>
        <w:ind w:left="1700" w:hanging="412"/>
        <w:spacing w:after="0"/>
        <w:tabs>
          <w:tab w:leader="none" w:pos="170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Parent Borrower or any Subsidiary in an aggregate amount not to exceed the Available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0900"/>
          </w:cols>
          <w:pgMar w:left="660" w:top="1413" w:right="339" w:bottom="1440" w:gutter="0" w:footer="0" w:header="0"/>
        </w:sectPr>
      </w:pPr>
    </w:p>
    <w:bookmarkStart w:id="180" w:name="page181"/>
    <w:bookmarkEnd w:id="180"/>
    <w:p>
      <w:pPr>
        <w:ind w:left="2020" w:hanging="392"/>
        <w:spacing w:after="0"/>
        <w:tabs>
          <w:tab w:leader="none" w:pos="202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compromise or resolution of litigation, arbitration or other disputes;</w:t>
      </w:r>
    </w:p>
    <w:p>
      <w:pPr>
        <w:spacing w:after="0" w:line="215" w:lineRule="exact"/>
        <w:rPr>
          <w:rFonts w:ascii="Times New Roman" w:cs="Times New Roman" w:eastAsia="Times New Roman" w:hAnsi="Times New Roman"/>
          <w:sz w:val="20"/>
          <w:szCs w:val="20"/>
          <w:color w:val="auto"/>
        </w:rPr>
      </w:pPr>
    </w:p>
    <w:p>
      <w:pPr>
        <w:ind w:left="340" w:right="100" w:firstLine="1288"/>
        <w:spacing w:after="0" w:line="295" w:lineRule="auto"/>
        <w:tabs>
          <w:tab w:leader="none" w:pos="206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provided that after giving effect to any such investment (and any Indebtedness incurred in connection therewith), the Total Net Leverage Ratio at the time of the making of such investment would be less than or equal to 3.00 to 1.00; </w:t>
      </w:r>
      <w:r>
        <w:rPr>
          <w:rFonts w:ascii="Times New Roman" w:cs="Times New Roman" w:eastAsia="Times New Roman" w:hAnsi="Times New Roman"/>
          <w:sz w:val="19"/>
          <w:szCs w:val="19"/>
          <w:color w:val="FF0000"/>
          <w:strike w:val="1"/>
        </w:rPr>
        <w:t>and</w:t>
      </w:r>
    </w:p>
    <w:p>
      <w:pPr>
        <w:spacing w:after="0" w:line="137" w:lineRule="exact"/>
        <w:rPr>
          <w:rFonts w:ascii="Times New Roman" w:cs="Times New Roman" w:eastAsia="Times New Roman" w:hAnsi="Times New Roman"/>
          <w:sz w:val="19"/>
          <w:szCs w:val="19"/>
          <w:color w:val="auto"/>
        </w:rPr>
      </w:pPr>
    </w:p>
    <w:p>
      <w:pPr>
        <w:ind w:left="340" w:right="60" w:firstLine="1288"/>
        <w:spacing w:after="0" w:line="263" w:lineRule="auto"/>
        <w:tabs>
          <w:tab w:leader="none" w:pos="206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investments; provided that the aggregate amount of investments made pursuant to this clause (v), together with the aggregate amount of Restricted Payments made pursuant to Section 6.08(a)(xiv) and the aggregate amount of payments of Indebtedness made pursuant to Section 6.08(b)(ix), during the period from the date 12 months prior to the date of the making of such investment (the “</w:t>
      </w:r>
      <w:r>
        <w:rPr>
          <w:rFonts w:ascii="Times New Roman" w:cs="Times New Roman" w:eastAsia="Times New Roman" w:hAnsi="Times New Roman"/>
          <w:sz w:val="19"/>
          <w:szCs w:val="19"/>
          <w:u w:val="single" w:color="auto"/>
          <w:color w:val="auto"/>
        </w:rPr>
        <w:t>Investment Date</w:t>
      </w:r>
      <w:r>
        <w:rPr>
          <w:rFonts w:ascii="Times New Roman" w:cs="Times New Roman" w:eastAsia="Times New Roman" w:hAnsi="Times New Roman"/>
          <w:sz w:val="19"/>
          <w:szCs w:val="19"/>
          <w:color w:val="auto"/>
        </w:rPr>
        <w:t>”) through (and including) the Investment Date shall not exceed the greater of $25,000,000 and 2.00% of Consolidated Total Assets of Holdings (as of the date of the making of such investment, loan or advance)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rPr>
        <w:t>; and</w:t>
      </w:r>
    </w:p>
    <w:p>
      <w:pPr>
        <w:spacing w:after="0" w:line="166" w:lineRule="exact"/>
        <w:rPr>
          <w:rFonts w:ascii="Times New Roman" w:cs="Times New Roman" w:eastAsia="Times New Roman" w:hAnsi="Times New Roman"/>
          <w:sz w:val="19"/>
          <w:szCs w:val="19"/>
          <w:color w:val="auto"/>
        </w:rPr>
      </w:pPr>
    </w:p>
    <w:p>
      <w:pPr>
        <w:ind w:left="340" w:right="180" w:firstLine="1288"/>
        <w:spacing w:after="0" w:line="254" w:lineRule="auto"/>
        <w:tabs>
          <w:tab w:leader="none" w:pos="2108" w:val="left"/>
        </w:tabs>
        <w:numPr>
          <w:ilvl w:val="0"/>
          <w:numId w:val="18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additional investments; provided that, at the time of such investment and after giving effect thereto, (i) no Revolving Loans are outstanding and (ii) the Freely Transferable unrestricted cash and unrestricted Permitted Investments of the Parent Borrower and its Subsidiaries are not less than $400,000,000.</w:t>
      </w:r>
    </w:p>
    <w:p>
      <w:pPr>
        <w:spacing w:after="0" w:line="17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6.05 Asset Sales</w:t>
      </w:r>
      <w:r>
        <w:rPr>
          <w:rFonts w:ascii="Times New Roman" w:cs="Times New Roman" w:eastAsia="Times New Roman" w:hAnsi="Times New Roman"/>
          <w:sz w:val="20"/>
          <w:szCs w:val="20"/>
          <w:color w:val="auto"/>
        </w:rPr>
        <w:t>. None of Holdings, the Parent Borrower or any Foreign Subsidiary Borrower will, nor will they permit any Subsidiary to, sell, transfer, lease or otherwise dispose of any asset, including any Equity Interest owned by it, nor will they permit any Subsidiary to issue any additional Equity Interest in such Subsidiary, except:</w:t>
      </w:r>
    </w:p>
    <w:p>
      <w:pPr>
        <w:spacing w:after="0" w:line="174" w:lineRule="exact"/>
        <w:rPr>
          <w:sz w:val="20"/>
          <w:szCs w:val="20"/>
          <w:color w:val="auto"/>
        </w:rPr>
      </w:pPr>
    </w:p>
    <w:p>
      <w:pPr>
        <w:jc w:val="both"/>
        <w:ind w:left="660" w:right="240" w:firstLine="644"/>
        <w:spacing w:after="0" w:line="295" w:lineRule="auto"/>
        <w:tabs>
          <w:tab w:leader="none" w:pos="1725"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transfers, leases and other dispositions of inventory, used or surplus equipment, obsolete, damaged or worn-out equipment or other assets, Permitted Investments and investments referred to in Section 6.04(h) in the ordinary course of business;</w:t>
      </w:r>
    </w:p>
    <w:p>
      <w:pPr>
        <w:spacing w:after="0" w:line="137" w:lineRule="exact"/>
        <w:rPr>
          <w:rFonts w:ascii="Times New Roman" w:cs="Times New Roman" w:eastAsia="Times New Roman" w:hAnsi="Times New Roman"/>
          <w:sz w:val="19"/>
          <w:szCs w:val="19"/>
          <w:color w:val="auto"/>
        </w:rPr>
      </w:pPr>
    </w:p>
    <w:p>
      <w:pPr>
        <w:ind w:left="660" w:right="580" w:firstLine="644"/>
        <w:spacing w:after="0" w:line="269" w:lineRule="auto"/>
        <w:tabs>
          <w:tab w:leader="none" w:pos="1737"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to the Parent Borrower or a Subsidiary; provided that any such sales, transfers or dispositions involving a Subsidiary that is not a Domestic Loan Party shall be made in compliance with Section 6.09;</w:t>
      </w:r>
    </w:p>
    <w:p>
      <w:pPr>
        <w:spacing w:after="0" w:line="159" w:lineRule="exact"/>
        <w:rPr>
          <w:rFonts w:ascii="Times New Roman" w:cs="Times New Roman" w:eastAsia="Times New Roman" w:hAnsi="Times New Roman"/>
          <w:sz w:val="20"/>
          <w:szCs w:val="20"/>
          <w:color w:val="auto"/>
        </w:rPr>
      </w:pPr>
    </w:p>
    <w:p>
      <w:pPr>
        <w:ind w:left="660" w:right="380" w:firstLine="644"/>
        <w:spacing w:after="0" w:line="246" w:lineRule="auto"/>
        <w:tabs>
          <w:tab w:leader="none" w:pos="172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sales of accounts receivable and related assets pursuant to the Receivables Purchase Agreement, (ii) sales of accounts receivable and related assets by a Foreign Subsidiary pursuant to customary terms whereby recourse and exposure in respect thereof to any Foreign Subsidiary does not exceed at any time the greater of $75,000,000 and 6.0% of Consolidated Total Assets of Holdings (as of the date of such disposition), and (iii) sales of accounts receivables and related assets pursuant to the Specified Vendor Receivables Financing.</w:t>
      </w:r>
    </w:p>
    <w:p>
      <w:pPr>
        <w:spacing w:after="0" w:line="18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Liens permitted by Section 6.02 and dispositions as a result thereof;</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transfers that are permitted sale and leaseback transactions pursuant to Section 6.06;</w:t>
      </w:r>
    </w:p>
    <w:p>
      <w:pPr>
        <w:spacing w:after="0" w:line="21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transfers that constitute part of an Acquisition Lease Financing;</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permitted by Section 6.08;</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and dispositions constituting investments permitted under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81" w:name="page182"/>
    <w:bookmarkEnd w:id="181"/>
    <w:p>
      <w:pPr>
        <w:ind w:left="1680" w:hanging="376"/>
        <w:spacing w:after="0"/>
        <w:tabs>
          <w:tab w:leader="none" w:pos="168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other dispositions of property identified on Schedule 6.05;</w:t>
      </w:r>
    </w:p>
    <w:p>
      <w:pPr>
        <w:spacing w:after="0" w:line="215" w:lineRule="exact"/>
        <w:rPr>
          <w:rFonts w:ascii="Times New Roman" w:cs="Times New Roman" w:eastAsia="Times New Roman" w:hAnsi="Times New Roman"/>
          <w:sz w:val="20"/>
          <w:szCs w:val="20"/>
          <w:color w:val="auto"/>
        </w:rPr>
      </w:pPr>
    </w:p>
    <w:p>
      <w:pPr>
        <w:ind w:left="660" w:right="120" w:firstLine="644"/>
        <w:spacing w:after="0" w:line="246" w:lineRule="auto"/>
        <w:tabs>
          <w:tab w:leader="none" w:pos="16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other dispositions of assets (other than Equity Interests in a Borrower) that are not permitted by any other clause of this Section; provided that the aggregate fair market value of all assets sold, transferred or otherwise disposed of in reliance upon this clause (j) shall not exceed 35% of the aggregate fair market value of all assets of the Parent Borrower as of the Third Restatement Date, including any Equity Interests owned by it, during the term of this Agreement subsequent to the Third Restatement Date;</w:t>
      </w:r>
    </w:p>
    <w:p>
      <w:pPr>
        <w:spacing w:after="0" w:line="184" w:lineRule="exact"/>
        <w:rPr>
          <w:rFonts w:ascii="Times New Roman" w:cs="Times New Roman" w:eastAsia="Times New Roman" w:hAnsi="Times New Roman"/>
          <w:sz w:val="20"/>
          <w:szCs w:val="20"/>
          <w:color w:val="auto"/>
        </w:rPr>
      </w:pPr>
    </w:p>
    <w:p>
      <w:pPr>
        <w:ind w:left="660" w:right="60" w:firstLine="644"/>
        <w:spacing w:after="0" w:line="254" w:lineRule="auto"/>
        <w:tabs>
          <w:tab w:leader="none" w:pos="173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of assets (including a combination of assets and Permitted Investments) for assets related to a Similar Business of comparable or greater market value or usefulness to the business of the Parent Borrower and its Subsidiaries, as a whole, as determined in good faith by the Parent Borrower;</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6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foreclosure, condemnation, taking by eminent domain or any similar action with respect to any property or other asset of the Parent Borrower or any of its Subsidiaries;</w:t>
      </w:r>
    </w:p>
    <w:p>
      <w:pPr>
        <w:spacing w:after="0" w:line="159"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in the ordinary course of business;</w:t>
      </w:r>
    </w:p>
    <w:p>
      <w:pPr>
        <w:spacing w:after="0" w:line="215" w:lineRule="exact"/>
        <w:rPr>
          <w:rFonts w:ascii="Times New Roman" w:cs="Times New Roman" w:eastAsia="Times New Roman" w:hAnsi="Times New Roman"/>
          <w:sz w:val="20"/>
          <w:szCs w:val="20"/>
          <w:color w:val="auto"/>
        </w:rPr>
      </w:pPr>
    </w:p>
    <w:p>
      <w:pPr>
        <w:ind w:left="660" w:right="880" w:firstLine="644"/>
        <w:spacing w:after="0" w:line="269" w:lineRule="auto"/>
        <w:tabs>
          <w:tab w:leader="none" w:pos="173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grant in the ordinary course of any non-exclusive license, of patents, trademarks, know-how or any other intellectual property;</w:t>
      </w:r>
    </w:p>
    <w:p>
      <w:pPr>
        <w:spacing w:after="0" w:line="159" w:lineRule="exact"/>
        <w:rPr>
          <w:rFonts w:ascii="Times New Roman" w:cs="Times New Roman" w:eastAsia="Times New Roman" w:hAnsi="Times New Roman"/>
          <w:sz w:val="20"/>
          <w:szCs w:val="20"/>
          <w:color w:val="auto"/>
        </w:rPr>
      </w:pPr>
    </w:p>
    <w:p>
      <w:pPr>
        <w:ind w:left="660" w:right="180" w:firstLine="644"/>
        <w:spacing w:after="0" w:line="269" w:lineRule="auto"/>
        <w:tabs>
          <w:tab w:leader="none" w:pos="178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159" w:lineRule="exact"/>
        <w:rPr>
          <w:rFonts w:ascii="Times New Roman" w:cs="Times New Roman" w:eastAsia="Times New Roman" w:hAnsi="Times New Roman"/>
          <w:sz w:val="20"/>
          <w:szCs w:val="20"/>
          <w:color w:val="auto"/>
        </w:rPr>
      </w:pPr>
    </w:p>
    <w:p>
      <w:pPr>
        <w:ind w:left="660" w:right="320" w:firstLine="644"/>
        <w:spacing w:after="0" w:line="269" w:lineRule="auto"/>
        <w:tabs>
          <w:tab w:leader="none" w:pos="173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expiration or waiver of contract rights or the settlement, release, recovery on or surrender of contract, tort or other claims of any kind; and</w:t>
      </w:r>
    </w:p>
    <w:p>
      <w:pPr>
        <w:spacing w:after="0" w:line="159" w:lineRule="exact"/>
        <w:rPr>
          <w:rFonts w:ascii="Times New Roman" w:cs="Times New Roman" w:eastAsia="Times New Roman" w:hAnsi="Times New Roman"/>
          <w:sz w:val="20"/>
          <w:szCs w:val="20"/>
          <w:color w:val="auto"/>
        </w:rPr>
      </w:pPr>
    </w:p>
    <w:p>
      <w:pPr>
        <w:ind w:left="660" w:right="140" w:firstLine="644"/>
        <w:spacing w:after="0" w:line="269" w:lineRule="auto"/>
        <w:tabs>
          <w:tab w:leader="none" w:pos="178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a lease of real or personal property that is not necessary to the conduct of the business of the Parent Borrower and its Subsidiaries as a whole;</w:t>
      </w:r>
    </w:p>
    <w:p>
      <w:pPr>
        <w:spacing w:after="0" w:line="15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all sales, transfers, leases and other dispositions permitted hereby (other than those permitted by clauses (b), (o) and (q) above) shall be made for fair value and (y) all sales, transfers, leases and other dispositions permitted by clauses (i) and (j) above shall be for at least 75% cash consideration;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(i) any secured liabilities (as shown on the Parent Borrower’s or a Subsidiary’s most recent balance sheet or in the notes thereto) of the Parent Borrower or a Subsidiary that are assumed by the transferee of any such assets or that are otherwise cancelled or terminated in connection with the transaction with such transferee, (ii) any notes or other obligations or other securities or assets received by the Parent Borrower or such Subsidiary from such transferee that are converted by the Parent Borrower or such Subsidiary into cash within 180 days of the receipt thereof (to the extent of the cash received), and (iii) any Designated Non-Cash Consideration received by the Parent Borrower or any Subsidiary in such sale, transfer, lease and other disposition having an aggregate fair market value (as determined in good faith by the Parent Borrower), taken together with all other Designated Non-Cash Consideration received pursuant to this clause (v) that is at that time outstanding, not to exceed the greater of $25,000,000 and 2.5% of Consolidated Total Assets of Holdings (as of the date of such disposition) (with the fair market value of each item of Designated Non-Cash Consideration being measured at the time received and without giving effect to subsequent changes in value), shall be deemed to be cash for the purposes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82" w:name="page183"/>
    <w:bookmarkEnd w:id="182"/>
    <w:p>
      <w:pPr>
        <w:ind w:right="120" w:firstLine="1296"/>
        <w:spacing w:after="0" w:line="258" w:lineRule="auto"/>
        <w:rPr>
          <w:sz w:val="20"/>
          <w:szCs w:val="20"/>
          <w:color w:val="auto"/>
        </w:rPr>
      </w:pPr>
      <w:r>
        <w:rPr>
          <w:rFonts w:ascii="Times New Roman" w:cs="Times New Roman" w:eastAsia="Times New Roman" w:hAnsi="Times New Roman"/>
          <w:sz w:val="19"/>
          <w:szCs w:val="19"/>
          <w:u w:val="single" w:color="auto"/>
          <w:color w:val="auto"/>
        </w:rPr>
        <w:t>SECTION 6.06 Sale and Leaseback Transactions</w:t>
      </w:r>
      <w:r>
        <w:rPr>
          <w:rFonts w:ascii="Times New Roman" w:cs="Times New Roman" w:eastAsia="Times New Roman" w:hAnsi="Times New Roman"/>
          <w:sz w:val="19"/>
          <w:szCs w:val="19"/>
          <w:color w:val="auto"/>
        </w:rPr>
        <w:t>. None of Holdings, the Parent Borrower or any Foreign Subsidiary Borrower will, nor will they permit any Subsidiary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except for</w:t>
      </w:r>
    </w:p>
    <w:p>
      <w:pPr>
        <w:spacing w:after="0" w:line="1" w:lineRule="exact"/>
        <w:rPr>
          <w:sz w:val="20"/>
          <w:szCs w:val="20"/>
          <w:color w:val="auto"/>
        </w:rPr>
      </w:pPr>
    </w:p>
    <w:p>
      <w:pPr>
        <w:ind w:firstLine="8"/>
        <w:spacing w:after="0"/>
        <w:tabs>
          <w:tab w:leader="none" w:pos="26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sale of any fixed or capital assets (other than any such transaction to which (b) or (c) below is applicable) that is made for cash consideration in an amount not less than the cost of such fixed or capital asset in an aggregate amount less than or equal to the greater of $20,000,000 and 1.50% of Consolidated Total Assets of Holdings (as of the date of such sale or transfer), so long as the Financing Lease Obligations associated therewith are permitted by Section 6.01(a)(viii), (b) in the case of property owned as of or after the Third Restatement Date, any such sale of any fixed or capital assets that is made for cash consideration in an aggregate amount not less than the fair market value of such fixed or capital assets not to exceed the greater of $35,000,000 and 2.75% of Consolidated Total Assets of Holdings (as of the date of such sale or transfer) in the aggregate, in each case, so long as the Financing Lease Obligations (if any) associated therewith are permitted by Section 6.01(a)(viii) and (c) any Acquisition Lease Financing.</w:t>
      </w:r>
    </w:p>
    <w:p>
      <w:pPr>
        <w:spacing w:after="0" w:line="190" w:lineRule="exact"/>
        <w:rPr>
          <w:sz w:val="20"/>
          <w:szCs w:val="20"/>
          <w:color w:val="auto"/>
        </w:rPr>
      </w:pPr>
    </w:p>
    <w:p>
      <w:pPr>
        <w:ind w:right="100" w:firstLine="1296"/>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6.07 Hedging Agreements</w:t>
      </w:r>
      <w:r>
        <w:rPr>
          <w:rFonts w:ascii="Times New Roman" w:cs="Times New Roman" w:eastAsia="Times New Roman" w:hAnsi="Times New Roman"/>
          <w:sz w:val="20"/>
          <w:szCs w:val="20"/>
          <w:color w:val="auto"/>
        </w:rPr>
        <w:t>. None of Holdings, the Parent Borrower or any Foreign Subsidiary Borrower will, nor will they permit any Subsidiary to, enter into any Hedging Agreement, other than Hedging Agreements entered into in the ordinary course of business and which are not speculative in nature to hedge or mitigate risks to which the Parent Borrower, any Foreign Subsidiary Borrower or any other Subsidiary is exposed in the conduct of its business or the management of its assets or liabilities (including Hedging Agreements that effectively cap, collar or exchange interest rates (from fixed to floating rates, from one floating rate to another floating rate or otherwise)).</w:t>
      </w:r>
    </w:p>
    <w:p>
      <w:pPr>
        <w:spacing w:after="0" w:line="184"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SECTION 6.08</w:t>
      </w:r>
      <w:r>
        <w:rPr>
          <w:sz w:val="20"/>
          <w:szCs w:val="20"/>
          <w:color w:val="auto"/>
        </w:rPr>
        <w:tab/>
      </w:r>
      <w:r>
        <w:rPr>
          <w:rFonts w:ascii="Times New Roman" w:cs="Times New Roman" w:eastAsia="Times New Roman" w:hAnsi="Times New Roman"/>
          <w:sz w:val="19"/>
          <w:szCs w:val="19"/>
          <w:u w:val="single" w:color="auto"/>
          <w:color w:val="auto"/>
        </w:rPr>
        <w:t>Restricted Payments; Certain Payments of Indebtedness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720" w:firstLine="1288"/>
        <w:spacing w:after="0" w:line="254" w:lineRule="auto"/>
        <w:tabs>
          <w:tab w:leader="none" w:pos="205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Subsidiary to, declare or make, or agree to pay or make, directly or indirectly, any Restricted Payment, or incur any obligation (contingent or otherwise) to do so, except:</w:t>
      </w:r>
    </w:p>
    <w:p>
      <w:pPr>
        <w:spacing w:after="0" w:line="174" w:lineRule="exact"/>
        <w:rPr>
          <w:rFonts w:ascii="Times New Roman" w:cs="Times New Roman" w:eastAsia="Times New Roman" w:hAnsi="Times New Roman"/>
          <w:sz w:val="20"/>
          <w:szCs w:val="20"/>
          <w:color w:val="auto"/>
        </w:rPr>
      </w:pPr>
    </w:p>
    <w:p>
      <w:pPr>
        <w:ind w:left="660" w:right="460" w:firstLine="903"/>
        <w:spacing w:after="0" w:line="269" w:lineRule="auto"/>
        <w:tabs>
          <w:tab w:leader="none" w:pos="195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declare and pay dividends with respect to its Equity Interests payable solely in additional Equity Interests in Holdings;</w:t>
      </w:r>
    </w:p>
    <w:p>
      <w:pPr>
        <w:spacing w:after="0" w:line="159" w:lineRule="exact"/>
        <w:rPr>
          <w:rFonts w:ascii="Times New Roman" w:cs="Times New Roman" w:eastAsia="Times New Roman" w:hAnsi="Times New Roman"/>
          <w:sz w:val="20"/>
          <w:szCs w:val="20"/>
          <w:color w:val="auto"/>
        </w:rPr>
      </w:pPr>
    </w:p>
    <w:p>
      <w:pPr>
        <w:ind w:left="2000" w:hanging="437"/>
        <w:spacing w:after="0"/>
        <w:tabs>
          <w:tab w:leader="none" w:pos="20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 may declare and pay dividends ratably with respect to their capital stock;</w:t>
      </w:r>
    </w:p>
    <w:p>
      <w:pPr>
        <w:spacing w:after="0" w:line="215" w:lineRule="exact"/>
        <w:rPr>
          <w:rFonts w:ascii="Times New Roman" w:cs="Times New Roman" w:eastAsia="Times New Roman" w:hAnsi="Times New Roman"/>
          <w:sz w:val="20"/>
          <w:szCs w:val="20"/>
          <w:color w:val="auto"/>
        </w:rPr>
      </w:pPr>
    </w:p>
    <w:p>
      <w:pPr>
        <w:ind w:left="660" w:right="100" w:firstLine="903"/>
        <w:spacing w:after="0" w:line="244" w:lineRule="auto"/>
        <w:tabs>
          <w:tab w:leader="none" w:pos="206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make payments to Holdings to permit it to make, and Holdings may make, Restricted Payments pursuant to and in accordance with stock option plans, equity purchase programs or agreements or other benefit plans, in each case for any future, present or former employee, director, officer or consultant of the Parent Borrower and the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Restricted Payments made under this clause (iii) do not exceed $5,000,000 in any calendar year, with unused amounts in any calendar year being permitted to be carried over to the next succeeding calendar year (but not to any subsequent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amount in any calendar year may be increased by an amount not to exceed:</w:t>
      </w:r>
    </w:p>
    <w:p>
      <w:pPr>
        <w:spacing w:after="0" w:line="185" w:lineRule="exact"/>
        <w:rPr>
          <w:rFonts w:ascii="Times New Roman" w:cs="Times New Roman" w:eastAsia="Times New Roman" w:hAnsi="Times New Roman"/>
          <w:sz w:val="20"/>
          <w:szCs w:val="20"/>
          <w:color w:val="auto"/>
        </w:rPr>
      </w:pPr>
    </w:p>
    <w:p>
      <w:pPr>
        <w:ind w:left="1300" w:right="40" w:firstLine="652"/>
        <w:spacing w:after="0" w:line="254" w:lineRule="auto"/>
        <w:tabs>
          <w:tab w:leader="none" w:pos="2365"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Not Otherwise Applied received by Holdings from the sale of Equity Interests of Holdings or any direct or indirect parent of Holdings (to the extent contributed to Holdings) to employees, directors, officers or consultants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180"/>
          </w:cols>
          <w:pgMar w:left="320" w:top="1413" w:right="399" w:bottom="1440" w:gutter="0" w:footer="0" w:header="0"/>
        </w:sectPr>
      </w:pPr>
    </w:p>
    <w:bookmarkStart w:id="183" w:name="page184"/>
    <w:bookmarkEnd w:id="183"/>
    <w:p>
      <w:pPr>
        <w:ind w:left="640"/>
        <w:spacing w:after="0"/>
        <w:rPr>
          <w:sz w:val="20"/>
          <w:szCs w:val="20"/>
          <w:color w:val="auto"/>
        </w:rPr>
      </w:pPr>
      <w:r>
        <w:rPr>
          <w:rFonts w:ascii="Times New Roman" w:cs="Times New Roman" w:eastAsia="Times New Roman" w:hAnsi="Times New Roman"/>
          <w:sz w:val="20"/>
          <w:szCs w:val="20"/>
          <w:color w:val="auto"/>
        </w:rPr>
        <w:t xml:space="preserve">Holdings, the Parent Borrower or the Subsidiaries that occurs after the Third Restatement Date,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ind w:left="640" w:right="140" w:firstLine="652"/>
        <w:spacing w:after="0" w:line="254" w:lineRule="auto"/>
        <w:tabs>
          <w:tab w:leader="none" w:pos="171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proceeds of key man life insurance policies received by the Parent Borrower or any direct or indirect parent of the Parent Borrower (to the extent contributed to the Parent Borrower) or the Subsidiaries after the Third Restatement Date;</w:t>
      </w:r>
    </w:p>
    <w:p>
      <w:pPr>
        <w:spacing w:after="0" w:line="17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Borrower may elect to apply all or any portion of the aggregate increase contemplated by clauses (a) and (b) above in any calendar year;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cancellation of Indebtedness owing to the Parent Borrower or any Subsidiary from any present or former employees, directors, officers or consultants of the Parent Borrower, any Subsidiary or any direct or indirect parent of the Parent Borrower in connection with a repurchase of Equity Interests of the Parent Borrower or any of its direct or indirect parents will not be deemed to constitute a Restricted Payment for purposes of this covenant or any other provision of this Agreement;</w:t>
      </w:r>
    </w:p>
    <w:p>
      <w:pPr>
        <w:spacing w:after="0" w:line="184" w:lineRule="exact"/>
        <w:rPr>
          <w:sz w:val="20"/>
          <w:szCs w:val="20"/>
          <w:color w:val="auto"/>
        </w:rPr>
      </w:pPr>
    </w:p>
    <w:p>
      <w:pPr>
        <w:ind w:right="520" w:firstLine="903"/>
        <w:spacing w:after="0" w:line="269" w:lineRule="auto"/>
        <w:tabs>
          <w:tab w:leader="none" w:pos="139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may make Permitted Tax Distributions to Holdings or any other direct or indirect equity owners of the Parent Borrower;</w:t>
      </w:r>
    </w:p>
    <w:p>
      <w:pPr>
        <w:spacing w:after="0" w:line="159" w:lineRule="exact"/>
        <w:rPr>
          <w:rFonts w:ascii="Times New Roman" w:cs="Times New Roman" w:eastAsia="Times New Roman" w:hAnsi="Times New Roman"/>
          <w:sz w:val="20"/>
          <w:szCs w:val="20"/>
          <w:color w:val="auto"/>
        </w:rPr>
      </w:pPr>
    </w:p>
    <w:p>
      <w:pPr>
        <w:ind w:right="140" w:firstLine="903"/>
        <w:spacing w:after="0" w:line="244" w:lineRule="auto"/>
        <w:tabs>
          <w:tab w:leader="none" w:pos="133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pay dividends to Holdings at such times and in such amounts as shall be necessary to permit Holdings to discharge and satisfy its obligations that are permitted hereunder (including (A) state and local taxes and other governmental charges, and administrative and routine expenses required to be paid by Holdings in the ordinary course of business and (B) cash dividends payable by Holdings in respect of Qualified Holdings Preferred Stock issued pursuant to clauses (b) and (c) of the definition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dividends payable by the Parent Borrower to Holdings pursuant to this clause (v) in order to satisfy cash dividends payable by Holdings in respect of Qualified Holdings Preferred Stock issued pursuant to clause (c) of the definition thereof shall be in an amount not to exceed the Available Amount;</w:t>
      </w:r>
    </w:p>
    <w:p>
      <w:pPr>
        <w:spacing w:after="0" w:line="185" w:lineRule="exact"/>
        <w:rPr>
          <w:rFonts w:ascii="Times New Roman" w:cs="Times New Roman" w:eastAsia="Times New Roman" w:hAnsi="Times New Roman"/>
          <w:sz w:val="20"/>
          <w:szCs w:val="20"/>
          <w:color w:val="auto"/>
        </w:rPr>
      </w:pPr>
    </w:p>
    <w:p>
      <w:pPr>
        <w:ind w:right="20" w:firstLine="903"/>
        <w:spacing w:after="0" w:line="246" w:lineRule="auto"/>
        <w:tabs>
          <w:tab w:leader="none" w:pos="139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make payments to Holdings to permit it to make, and Holdings may make payments permitted by Section 6.09(d);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payment and after giving effect thereto, no Default or Event of Default shall have occurred and be continuing and Holdings and the Parent Borrower are in compliance with Section 6.12;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payments that are prohibited because of the immediately preceding proviso shall accrue and may be made as so accrued upon the curing or waiver of such Default, Event of Default or noncompliance;</w:t>
      </w:r>
    </w:p>
    <w:p>
      <w:pPr>
        <w:spacing w:after="0" w:line="184" w:lineRule="exact"/>
        <w:rPr>
          <w:rFonts w:ascii="Times New Roman" w:cs="Times New Roman" w:eastAsia="Times New Roman" w:hAnsi="Times New Roman"/>
          <w:sz w:val="20"/>
          <w:szCs w:val="20"/>
          <w:color w:val="auto"/>
        </w:rPr>
      </w:pPr>
    </w:p>
    <w:p>
      <w:pPr>
        <w:ind w:right="20" w:firstLine="903"/>
        <w:spacing w:after="0" w:line="246" w:lineRule="auto"/>
        <w:tabs>
          <w:tab w:leader="none" w:pos="14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make payments to Holdings to permit it to make, and Holdings may make, Restricted Payments in an amount equal to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Restricted Payment and after giving effect thereto, (i) no Default or Event of Default shall have occurred and be continuing and (ii) at the time of such Restricted Payment and after giving effect thereto and to the incurrence of any Indebtedness in connection therewith, Holdings and the Parent Borrower shall be in pro forma compliance with the financial covenants set forth in Sections 6.12 and 6.13;</w:t>
      </w:r>
    </w:p>
    <w:p>
      <w:pPr>
        <w:spacing w:after="0" w:line="184" w:lineRule="exact"/>
        <w:rPr>
          <w:rFonts w:ascii="Times New Roman" w:cs="Times New Roman" w:eastAsia="Times New Roman" w:hAnsi="Times New Roman"/>
          <w:sz w:val="20"/>
          <w:szCs w:val="20"/>
          <w:color w:val="auto"/>
        </w:rPr>
      </w:pPr>
    </w:p>
    <w:p>
      <w:pPr>
        <w:ind w:right="120" w:firstLine="903"/>
        <w:spacing w:after="0" w:line="246" w:lineRule="auto"/>
        <w:tabs>
          <w:tab w:leader="none" w:pos="150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make payments to Holdings to permit it to make, and Holdings may make, Restricted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after giving effect to such Restricted Payments (and any Indebtedness incurred in connection therewith), the Total Net Leverage Ratio at the time of the making of such payments (the date of the making of such payments, the “</w:t>
      </w:r>
      <w:r>
        <w:rPr>
          <w:rFonts w:ascii="Times New Roman" w:cs="Times New Roman" w:eastAsia="Times New Roman" w:hAnsi="Times New Roman"/>
          <w:sz w:val="20"/>
          <w:szCs w:val="20"/>
          <w:u w:val="single" w:color="auto"/>
          <w:color w:val="auto"/>
        </w:rPr>
        <w:t>RP Date</w:t>
      </w:r>
      <w:r>
        <w:rPr>
          <w:rFonts w:ascii="Times New Roman" w:cs="Times New Roman" w:eastAsia="Times New Roman" w:hAnsi="Times New Roman"/>
          <w:sz w:val="20"/>
          <w:szCs w:val="20"/>
          <w:color w:val="auto"/>
        </w:rPr>
        <w:t>”) would be (1) less than or equal to 2.25 to 1.00, there shall be no limit on the amount of Restricted Payments made pursuant to this clause (viii), (2) less than or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0520"/>
          </w:cols>
          <w:pgMar w:left="980" w:top="1413" w:right="3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9"/>
          <w:szCs w:val="19"/>
          <w:color w:val="auto"/>
        </w:rPr>
        <w:t>2.75 to 1.00, but greater than 2.25 to 1.00, the aggregate amount of Restricted Payments made pursuant to this clause (viii), together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aggregate amount of payments of Indebtedness made pursuant to Section 6.08(b)(viii), during the period from the date 12</w:t>
      </w:r>
    </w:p>
    <w:p>
      <w:pPr>
        <w:spacing w:after="0"/>
        <w:rPr>
          <w:sz w:val="20"/>
          <w:szCs w:val="20"/>
          <w:color w:val="auto"/>
        </w:rPr>
      </w:pPr>
      <w:r>
        <w:rPr>
          <w:rFonts w:ascii="Times New Roman" w:cs="Times New Roman" w:eastAsia="Times New Roman" w:hAnsi="Times New Roman"/>
          <w:sz w:val="20"/>
          <w:szCs w:val="20"/>
          <w:color w:val="auto"/>
        </w:rPr>
        <w:t>months prior to the RP Date through (and including) the RP Date (such period, the “</w:t>
      </w:r>
      <w:r>
        <w:rPr>
          <w:rFonts w:ascii="Times New Roman" w:cs="Times New Roman" w:eastAsia="Times New Roman" w:hAnsi="Times New Roman"/>
          <w:sz w:val="20"/>
          <w:szCs w:val="20"/>
          <w:u w:val="single" w:color="auto"/>
          <w:color w:val="auto"/>
        </w:rPr>
        <w:t>RP Period</w:t>
      </w:r>
      <w:r>
        <w:rPr>
          <w:rFonts w:ascii="Times New Roman" w:cs="Times New Roman" w:eastAsia="Times New Roman" w:hAnsi="Times New Roman"/>
          <w:sz w:val="20"/>
          <w:szCs w:val="20"/>
          <w:color w:val="auto"/>
        </w:rPr>
        <w:t>”) shall not exceed the greater of</w:t>
      </w:r>
    </w:p>
    <w:p>
      <w:pPr>
        <w:spacing w:after="0"/>
        <w:rPr>
          <w:sz w:val="20"/>
          <w:szCs w:val="20"/>
          <w:color w:val="auto"/>
        </w:rPr>
      </w:pPr>
      <w:r>
        <w:rPr>
          <w:rFonts w:ascii="Times New Roman" w:cs="Times New Roman" w:eastAsia="Times New Roman" w:hAnsi="Times New Roman"/>
          <w:sz w:val="19"/>
          <w:szCs w:val="19"/>
          <w:color w:val="auto"/>
        </w:rPr>
        <w:t>$100,000,000 and 7.50% of Consolidated Total Assets of Holdings (as of the date of such Restricted Payment), (3) less than or equal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3.25 to 1.00 but greater than 2.75 to 1.00, the aggregate amount of Restricted Payments made pursuant to this clause (viii),</w:t>
      </w:r>
    </w:p>
    <w:p>
      <w:pPr>
        <w:spacing w:after="0"/>
        <w:rPr>
          <w:sz w:val="20"/>
          <w:szCs w:val="20"/>
          <w:color w:val="auto"/>
        </w:rPr>
      </w:pPr>
      <w:r>
        <w:rPr>
          <w:rFonts w:ascii="Times New Roman" w:cs="Times New Roman" w:eastAsia="Times New Roman" w:hAnsi="Times New Roman"/>
          <w:sz w:val="20"/>
          <w:szCs w:val="20"/>
          <w:color w:val="auto"/>
        </w:rPr>
        <w:t>together with the aggregate amount of payments of Indebtedness made pursuant to Section 6.08(b)(viii), during the RP Period shall</w:t>
      </w:r>
    </w:p>
    <w:p>
      <w:pPr>
        <w:spacing w:after="0"/>
        <w:rPr>
          <w:sz w:val="20"/>
          <w:szCs w:val="20"/>
          <w:color w:val="auto"/>
        </w:rPr>
      </w:pPr>
      <w:r>
        <w:rPr>
          <w:rFonts w:ascii="Times New Roman" w:cs="Times New Roman" w:eastAsia="Times New Roman" w:hAnsi="Times New Roman"/>
          <w:sz w:val="20"/>
          <w:szCs w:val="20"/>
          <w:color w:val="auto"/>
        </w:rPr>
        <w:t>not exceed the greater of $50,000,000 and 3.75% of Consolidated Total Assets of Holdings (as of the date of such Restricted</w:t>
      </w:r>
    </w:p>
    <w:p>
      <w:pPr>
        <w:spacing w:after="0"/>
        <w:rPr>
          <w:sz w:val="20"/>
          <w:szCs w:val="20"/>
          <w:color w:val="auto"/>
        </w:rPr>
      </w:pPr>
      <w:r>
        <w:rPr>
          <w:rFonts w:ascii="Times New Roman" w:cs="Times New Roman" w:eastAsia="Times New Roman" w:hAnsi="Times New Roman"/>
          <w:sz w:val="20"/>
          <w:szCs w:val="20"/>
          <w:color w:val="auto"/>
        </w:rPr>
        <w:t xml:space="preserve">Payment) and (4) greater than 3.25 to 1.00, no Restricted Payments may be made pursuant to this clause (viii);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w:t>
      </w:r>
    </w:p>
    <w:p>
      <w:pPr>
        <w:spacing w:after="0"/>
        <w:rPr>
          <w:sz w:val="20"/>
          <w:szCs w:val="20"/>
          <w:color w:val="auto"/>
        </w:rPr>
      </w:pPr>
      <w:r>
        <w:rPr>
          <w:rFonts w:ascii="Times New Roman" w:cs="Times New Roman" w:eastAsia="Times New Roman" w:hAnsi="Times New Roman"/>
          <w:sz w:val="20"/>
          <w:szCs w:val="20"/>
          <w:color w:val="auto"/>
        </w:rPr>
        <w:t>at the time of any payment pursuant to this clause (viii), no Default or Event of Default shall have occurred and be continuing;</w:t>
      </w:r>
    </w:p>
    <w:p>
      <w:pPr>
        <w:spacing w:after="0" w:line="194" w:lineRule="exact"/>
        <w:rPr>
          <w:sz w:val="20"/>
          <w:szCs w:val="20"/>
          <w:color w:val="auto"/>
        </w:rPr>
      </w:pPr>
    </w:p>
    <w:p>
      <w:pPr>
        <w:ind w:right="40" w:firstLine="903"/>
        <w:spacing w:after="0" w:line="249" w:lineRule="auto"/>
        <w:tabs>
          <w:tab w:leader="none" w:pos="139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may make payments to Holdings to permit it to make Restricted Payments in an amount not to exceed the Net Proceeds Not Otherwise Applied of any issuance of Equity Interests in Holdings issued on or after the Third Restatement Date (other than an issuance to the Parent Borrower or a Subsidiary and other than an issuance of Disqualified Equity Interests);</w:t>
      </w:r>
    </w:p>
    <w:p>
      <w:pPr>
        <w:spacing w:after="0" w:line="179" w:lineRule="exact"/>
        <w:rPr>
          <w:rFonts w:ascii="Times New Roman" w:cs="Times New Roman" w:eastAsia="Times New Roman" w:hAnsi="Times New Roman"/>
          <w:sz w:val="20"/>
          <w:szCs w:val="20"/>
          <w:color w:val="auto"/>
        </w:rPr>
      </w:pPr>
    </w:p>
    <w:p>
      <w:pPr>
        <w:ind w:right="40" w:firstLine="903"/>
        <w:spacing w:after="0" w:line="269" w:lineRule="auto"/>
        <w:tabs>
          <w:tab w:leader="none" w:pos="133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any Restricted Payment shall be permitted within 60 days after the date of declaration thereof if at the date of declaration such Restricted Payment would have complied with the provisions of this Agreement;</w:t>
      </w:r>
    </w:p>
    <w:p>
      <w:pPr>
        <w:spacing w:after="0" w:line="159" w:lineRule="exact"/>
        <w:rPr>
          <w:rFonts w:ascii="Times New Roman" w:cs="Times New Roman" w:eastAsia="Times New Roman" w:hAnsi="Times New Roman"/>
          <w:sz w:val="20"/>
          <w:szCs w:val="20"/>
          <w:color w:val="auto"/>
        </w:rPr>
      </w:pPr>
    </w:p>
    <w:p>
      <w:pPr>
        <w:ind w:right="340" w:firstLine="903"/>
        <w:spacing w:after="0" w:line="249" w:lineRule="auto"/>
        <w:tabs>
          <w:tab w:leader="none" w:pos="139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Parent Borrower may make payments to Holdings to permit it to purchase, redeem, defease, or otherwise acquire or retire for value its common stock in an amount not to exceed $100,000,000 and (ii) the Parent Borrower may make payments to Holdings to permit it to pay dividends on its common stock in an amount not to exceed, per annum, the greater of $20,000,000 and 2.0% of Market Capitalization;</w:t>
      </w:r>
    </w:p>
    <w:p>
      <w:pPr>
        <w:spacing w:after="0" w:line="179" w:lineRule="exact"/>
        <w:rPr>
          <w:rFonts w:ascii="Times New Roman" w:cs="Times New Roman" w:eastAsia="Times New Roman" w:hAnsi="Times New Roman"/>
          <w:sz w:val="20"/>
          <w:szCs w:val="20"/>
          <w:color w:val="auto"/>
        </w:rPr>
      </w:pPr>
    </w:p>
    <w:p>
      <w:pPr>
        <w:ind w:left="1440" w:hanging="537"/>
        <w:spacing w:after="0"/>
        <w:tabs>
          <w:tab w:leader="none" w:pos="144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and any Subsidiaries may pay or distribute Receivables Fees;</w:t>
      </w:r>
    </w:p>
    <w:p>
      <w:pPr>
        <w:spacing w:after="0" w:line="215" w:lineRule="exact"/>
        <w:rPr>
          <w:rFonts w:ascii="Times New Roman" w:cs="Times New Roman" w:eastAsia="Times New Roman" w:hAnsi="Times New Roman"/>
          <w:sz w:val="20"/>
          <w:szCs w:val="20"/>
          <w:color w:val="auto"/>
        </w:rPr>
      </w:pPr>
    </w:p>
    <w:p>
      <w:pPr>
        <w:ind w:firstLine="903"/>
        <w:spacing w:after="0" w:line="254" w:lineRule="auto"/>
        <w:tabs>
          <w:tab w:leader="none" w:pos="150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the Parent Borrower and any Subsidiary may make Restricted Payments to allow the payment of cash in lieu of the issuance of fractional shares upon the exercise of options or warrants or upon the conversion or exchange of Equity Interests of any such Person; </w:t>
      </w:r>
      <w:r>
        <w:rPr>
          <w:rFonts w:ascii="Times New Roman" w:cs="Times New Roman" w:eastAsia="Times New Roman" w:hAnsi="Times New Roman"/>
          <w:sz w:val="20"/>
          <w:szCs w:val="20"/>
          <w:color w:val="FF0000"/>
        </w:rPr>
        <w:t>and</w:t>
      </w:r>
    </w:p>
    <w:p>
      <w:pPr>
        <w:spacing w:after="0" w:line="174" w:lineRule="exact"/>
        <w:rPr>
          <w:rFonts w:ascii="Times New Roman" w:cs="Times New Roman" w:eastAsia="Times New Roman" w:hAnsi="Times New Roman"/>
          <w:sz w:val="20"/>
          <w:szCs w:val="20"/>
          <w:color w:val="auto"/>
        </w:rPr>
      </w:pPr>
    </w:p>
    <w:p>
      <w:pPr>
        <w:ind w:right="60" w:firstLine="903"/>
        <w:spacing w:after="0" w:line="245" w:lineRule="auto"/>
        <w:tabs>
          <w:tab w:leader="none" w:pos="14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may make payments to Holdings to permit it to make, and Holdings may make, Restricted Payments; provided that the aggregate amount of such Restricted Payments, together with the aggregate amount of payments of Indebtedness made pursuant to Section 6.08(b)(ix) and the aggregate amount of investments made pursuant to Section 6.04(v), during the RP Period shall not exceed the greater of $25,000,000 and 2.00% of Consolidated Total Assets of Holdings (as of the date of such Restricted Payment);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at the time of any payment pursuant to this clause (xiv), no Default or Event of Default shall have occurred and be continuing</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184" w:lineRule="exact"/>
        <w:rPr>
          <w:rFonts w:ascii="Times New Roman" w:cs="Times New Roman" w:eastAsia="Times New Roman" w:hAnsi="Times New Roman"/>
          <w:sz w:val="20"/>
          <w:szCs w:val="20"/>
          <w:color w:val="auto"/>
        </w:rPr>
      </w:pPr>
    </w:p>
    <w:p>
      <w:pPr>
        <w:ind w:right="340" w:firstLine="903"/>
        <w:spacing w:after="0" w:line="254" w:lineRule="auto"/>
        <w:tabs>
          <w:tab w:leader="none" w:pos="1434" w:val="left"/>
        </w:tabs>
        <w:numPr>
          <w:ilvl w:val="0"/>
          <w:numId w:val="19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Parent Borrower may make payments to Holdings to permit it to make, and Holdings may make, Restricted Payments; provided that, at the time of such Restricted Payment and after giving effect thereto, (i) no Revolving Loans are outstanding and (ii) the Freely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-1674495</wp:posOffset>
            </wp:positionV>
            <wp:extent cx="212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0560"/>
          </w:cols>
          <w:pgMar w:left="980" w:top="1413" w:right="359" w:bottom="1440" w:gutter="0" w:footer="0" w:header="0"/>
        </w:sectPr>
      </w:pPr>
    </w:p>
    <w:bookmarkStart w:id="185" w:name="page186"/>
    <w:bookmarkEnd w:id="185"/>
    <w:p>
      <w:pPr>
        <w:ind w:left="320" w:right="240"/>
        <w:spacing w:after="0" w:line="269" w:lineRule="auto"/>
        <w:rPr>
          <w:sz w:val="20"/>
          <w:szCs w:val="20"/>
          <w:color w:val="auto"/>
        </w:rPr>
      </w:pPr>
      <w:r>
        <w:rPr>
          <w:rFonts w:ascii="Times New Roman" w:cs="Times New Roman" w:eastAsia="Times New Roman" w:hAnsi="Times New Roman"/>
          <w:sz w:val="20"/>
          <w:szCs w:val="20"/>
          <w:u w:val="single" w:color="auto"/>
          <w:color w:val="0000FF"/>
        </w:rPr>
        <w:t>Transferable unrestricted cash and unrestricted Permitted Investments of the Parent Borrower and its Subsidiaries are not less than $400,000,000.</w:t>
      </w:r>
    </w:p>
    <w:p>
      <w:pPr>
        <w:spacing w:after="0" w:line="159" w:lineRule="exact"/>
        <w:rPr>
          <w:sz w:val="20"/>
          <w:szCs w:val="20"/>
          <w:color w:val="auto"/>
        </w:rPr>
      </w:pPr>
    </w:p>
    <w:p>
      <w:pPr>
        <w:ind w:right="40" w:firstLine="1288"/>
        <w:spacing w:after="0" w:line="246" w:lineRule="auto"/>
        <w:tabs>
          <w:tab w:leader="none" w:pos="172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84" w:lineRule="exact"/>
        <w:rPr>
          <w:rFonts w:ascii="Times New Roman" w:cs="Times New Roman" w:eastAsia="Times New Roman" w:hAnsi="Times New Roman"/>
          <w:sz w:val="20"/>
          <w:szCs w:val="20"/>
          <w:color w:val="auto"/>
        </w:rPr>
      </w:pPr>
    </w:p>
    <w:p>
      <w:pPr>
        <w:ind w:left="1600" w:hanging="377"/>
        <w:spacing w:after="0"/>
        <w:tabs>
          <w:tab w:leader="none" w:pos="16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Indebtedness created under the Loan Documents;</w:t>
      </w:r>
    </w:p>
    <w:p>
      <w:pPr>
        <w:spacing w:after="0" w:line="215" w:lineRule="exact"/>
        <w:rPr>
          <w:rFonts w:ascii="Times New Roman" w:cs="Times New Roman" w:eastAsia="Times New Roman" w:hAnsi="Times New Roman"/>
          <w:sz w:val="20"/>
          <w:szCs w:val="20"/>
          <w:color w:val="auto"/>
        </w:rPr>
      </w:pPr>
    </w:p>
    <w:p>
      <w:pPr>
        <w:ind w:left="320" w:right="320" w:firstLine="903"/>
        <w:spacing w:after="0" w:line="269" w:lineRule="auto"/>
        <w:tabs>
          <w:tab w:leader="none" w:pos="166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regularly scheduled interest and principal payments as and when due in respect of any Indebtedness, other than payments in respect of subordinated Indebtedness prohibited by the subordination provisions thereof;</w:t>
      </w:r>
    </w:p>
    <w:p>
      <w:pPr>
        <w:spacing w:after="0" w:line="159" w:lineRule="exact"/>
        <w:rPr>
          <w:rFonts w:ascii="Times New Roman" w:cs="Times New Roman" w:eastAsia="Times New Roman" w:hAnsi="Times New Roman"/>
          <w:sz w:val="20"/>
          <w:szCs w:val="20"/>
          <w:color w:val="auto"/>
        </w:rPr>
      </w:pPr>
    </w:p>
    <w:p>
      <w:pPr>
        <w:ind w:left="1720" w:hanging="497"/>
        <w:spacing w:after="0"/>
        <w:tabs>
          <w:tab w:leader="none" w:pos="17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Indebtedness to the extent permitted by Section 6.01;</w:t>
      </w:r>
    </w:p>
    <w:p>
      <w:pPr>
        <w:spacing w:after="0" w:line="215" w:lineRule="exact"/>
        <w:rPr>
          <w:rFonts w:ascii="Times New Roman" w:cs="Times New Roman" w:eastAsia="Times New Roman" w:hAnsi="Times New Roman"/>
          <w:sz w:val="20"/>
          <w:szCs w:val="20"/>
          <w:color w:val="auto"/>
        </w:rPr>
      </w:pPr>
    </w:p>
    <w:p>
      <w:pPr>
        <w:ind w:left="1700" w:hanging="477"/>
        <w:spacing w:after="0"/>
        <w:tabs>
          <w:tab w:leader="none" w:pos="17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secured Indebtedness;</w:t>
      </w:r>
    </w:p>
    <w:p>
      <w:pPr>
        <w:spacing w:after="0" w:line="215" w:lineRule="exact"/>
        <w:rPr>
          <w:rFonts w:ascii="Times New Roman" w:cs="Times New Roman" w:eastAsia="Times New Roman" w:hAnsi="Times New Roman"/>
          <w:sz w:val="20"/>
          <w:szCs w:val="20"/>
          <w:color w:val="auto"/>
        </w:rPr>
      </w:pPr>
    </w:p>
    <w:p>
      <w:pPr>
        <w:ind w:left="320" w:right="20" w:firstLine="903"/>
        <w:spacing w:after="0" w:line="269" w:lineRule="auto"/>
        <w:tabs>
          <w:tab w:leader="none" w:pos="16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any payment within 60 days of the giving of irrevocable notice in respect thereof shall be permitted if at the time of the giving of such irrevocable notice, such payment would have complied with the provisions of this Agreement;</w:t>
      </w:r>
    </w:p>
    <w:p>
      <w:pPr>
        <w:spacing w:after="0" w:line="159" w:lineRule="exact"/>
        <w:rPr>
          <w:rFonts w:ascii="Times New Roman" w:cs="Times New Roman" w:eastAsia="Times New Roman" w:hAnsi="Times New Roman"/>
          <w:sz w:val="20"/>
          <w:szCs w:val="20"/>
          <w:color w:val="auto"/>
        </w:rPr>
      </w:pPr>
    </w:p>
    <w:p>
      <w:pPr>
        <w:ind w:left="320" w:right="20" w:firstLine="903"/>
        <w:spacing w:after="0" w:line="254" w:lineRule="auto"/>
        <w:tabs>
          <w:tab w:leader="none" w:pos="171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Indebtedness with the Net Proceeds Not Otherwise Applied of an issuance of Equity Interests in Holdings issued on or after the Third Restatement Date (other than an issuance to the Parent Borrower or a Subsidiary and other than an issuance of Disqualified Equity Interests);</w:t>
      </w:r>
    </w:p>
    <w:p>
      <w:pPr>
        <w:spacing w:after="0" w:line="174" w:lineRule="exact"/>
        <w:rPr>
          <w:rFonts w:ascii="Times New Roman" w:cs="Times New Roman" w:eastAsia="Times New Roman" w:hAnsi="Times New Roman"/>
          <w:sz w:val="20"/>
          <w:szCs w:val="20"/>
          <w:color w:val="auto"/>
        </w:rPr>
      </w:pPr>
    </w:p>
    <w:p>
      <w:pPr>
        <w:ind w:left="320" w:right="100" w:firstLine="903"/>
        <w:spacing w:after="0" w:line="249" w:lineRule="auto"/>
        <w:tabs>
          <w:tab w:leader="none" w:pos="176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of Indebtedness in an amount equal to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payment and after giving effect thereto, (i) no Default or Event of Default shall have occurred and be continuing and (ii) at the time of such payment and after giving effect thereto and to the incurrence of any Indebtedness in connection therewith, the Total Net Leverage Ratio is not greater than 3.50 to 1.00;</w:t>
      </w:r>
    </w:p>
    <w:p>
      <w:pPr>
        <w:spacing w:after="0" w:line="179" w:lineRule="exact"/>
        <w:rPr>
          <w:rFonts w:ascii="Times New Roman" w:cs="Times New Roman" w:eastAsia="Times New Roman" w:hAnsi="Times New Roman"/>
          <w:sz w:val="20"/>
          <w:szCs w:val="20"/>
          <w:color w:val="auto"/>
        </w:rPr>
      </w:pPr>
    </w:p>
    <w:p>
      <w:pPr>
        <w:ind w:left="320" w:firstLine="903"/>
        <w:spacing w:after="0" w:line="256" w:lineRule="auto"/>
        <w:tabs>
          <w:tab w:leader="none" w:pos="1821"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payments of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after giving effect to such payments (and any Indebtedness incurred in connection therewith), the Total Net Leverage Ratio at the time of the making of such payments (the date of the making of such payments, the “</w:t>
      </w:r>
      <w:r>
        <w:rPr>
          <w:rFonts w:ascii="Times New Roman" w:cs="Times New Roman" w:eastAsia="Times New Roman" w:hAnsi="Times New Roman"/>
          <w:sz w:val="19"/>
          <w:szCs w:val="19"/>
          <w:u w:val="single" w:color="auto"/>
          <w:color w:val="auto"/>
        </w:rPr>
        <w:t>Debt Repayment Date</w:t>
      </w:r>
      <w:r>
        <w:rPr>
          <w:rFonts w:ascii="Times New Roman" w:cs="Times New Roman" w:eastAsia="Times New Roman" w:hAnsi="Times New Roman"/>
          <w:sz w:val="19"/>
          <w:szCs w:val="19"/>
          <w:color w:val="auto"/>
        </w:rPr>
        <w:t>”) would be (1) less than or equal to 2.25 to 1.00, there shall be no limit on the amount of payments made pursuant to this clause (viii), (2) less than or equal to 2.75 to 1.00, but greater than 2.25 to 1.00, the aggregate amount of payments made pursuant to this clause (viii), together with the aggregate amount of Restricted Payments made pursuant to Section 6.08(a)(viii), during the period from the date 12 months prior to the Debt Repayment Date through (and including) the Debt Repayment Date (such period, the “</w:t>
      </w:r>
      <w:r>
        <w:rPr>
          <w:rFonts w:ascii="Times New Roman" w:cs="Times New Roman" w:eastAsia="Times New Roman" w:hAnsi="Times New Roman"/>
          <w:sz w:val="19"/>
          <w:szCs w:val="19"/>
          <w:u w:val="single" w:color="auto"/>
          <w:color w:val="auto"/>
        </w:rPr>
        <w:t>Debt Repayment Period</w:t>
      </w:r>
      <w:r>
        <w:rPr>
          <w:rFonts w:ascii="Times New Roman" w:cs="Times New Roman" w:eastAsia="Times New Roman" w:hAnsi="Times New Roman"/>
          <w:sz w:val="19"/>
          <w:szCs w:val="19"/>
          <w:color w:val="auto"/>
        </w:rPr>
        <w:t>”) shall not exceed the greater of $100,000,000 and 7.50% of Consolidated Total Assets of Holdings (as of the date of such Restricted Payment), (3) less than or equal to 3.25 to 1.00 but greater than 2.75 to 1.00, the aggregate amount of payments of Indebtedness made pursuant to this clause (viii), together with the aggregate amount of Restricted Debt Payments made pursuant to Section 6.08(a)(viii), during the Debt Repayment Period shall not exceed the greater of $50,000,000 and 3.75% of Consolidated Total Assets of Holdings (as of the date of such Restricted Payment)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0860"/>
          </w:cols>
          <w:pgMar w:left="660" w:top="1413" w:right="379" w:bottom="1440" w:gutter="0" w:footer="0" w:header="0"/>
        </w:sectPr>
      </w:pPr>
    </w:p>
    <w:bookmarkStart w:id="186" w:name="page187"/>
    <w:bookmarkEnd w:id="186"/>
    <w:p>
      <w:pPr>
        <w:ind w:left="660" w:right="340" w:hanging="4"/>
        <w:spacing w:after="0" w:line="295" w:lineRule="auto"/>
        <w:tabs>
          <w:tab w:leader="none" w:pos="94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greater than 3.25 to 1.00, no payments of Indebtedness may be made pursuant to this clause (viii);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at the time of any payment pursuant to this clause (viii), no Default or Event of Default shall have occurred and be continuing; and</w:t>
      </w:r>
    </w:p>
    <w:p>
      <w:pPr>
        <w:spacing w:after="0" w:line="137" w:lineRule="exact"/>
        <w:rPr>
          <w:rFonts w:ascii="Times New Roman" w:cs="Times New Roman" w:eastAsia="Times New Roman" w:hAnsi="Times New Roman"/>
          <w:sz w:val="19"/>
          <w:szCs w:val="19"/>
          <w:color w:val="auto"/>
        </w:rPr>
      </w:pPr>
    </w:p>
    <w:p>
      <w:pPr>
        <w:ind w:left="660" w:right="300" w:firstLine="903"/>
        <w:spacing w:after="0" w:line="246" w:lineRule="auto"/>
        <w:tabs>
          <w:tab w:leader="none" w:pos="2051"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of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such payments, together with the aggregate amount of Restricted Payments made pursuant to Section 6.08(a)(xiv) and the aggregate amount of investments made pursuant to Section 6.04(v), during the Debt Repayment Period shall not exceed the greater of $25,000,000 and 2.00% of Consolidated Total Assets of Holdings (as of the date of such Restricted Payment);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at the time of any payment pursuant to this clause (ix), no Default or Event of Default shall have occurred and be continuing.</w:t>
      </w:r>
    </w:p>
    <w:p>
      <w:pPr>
        <w:spacing w:after="0" w:line="185" w:lineRule="exact"/>
        <w:rPr>
          <w:sz w:val="20"/>
          <w:szCs w:val="20"/>
          <w:color w:val="auto"/>
        </w:rPr>
      </w:pPr>
    </w:p>
    <w:p>
      <w:pPr>
        <w:ind w:left="340" w:right="200" w:firstLine="1288"/>
        <w:spacing w:after="0" w:line="244" w:lineRule="auto"/>
        <w:tabs>
          <w:tab w:leader="none" w:pos="205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Parent Borrower or any Foreign Subsidiary Borrower will, nor will they permit any Subsidiary to, enter into or be party to, or make any payment under, any Synthetic Purchase Agreement unless (i) in the case of any Synthetic Purchase Agreement related to any Equity Interest of Holdings, the payments required to be made by Holdings are limited to amounts permitted to be paid under Section 6.08(a), (ii) in the case of any Synthetic Purchase Agreement related to any Restricted Indebtedness, the payments required to be made by Holdings, the Parent Borrower or the Subsidiaries thereunder are limited to the amount permitted under Section 6.08(b) and (iii) in the case of any Synthetic Purchase Agreement, the obligations of Holdings, the Parent Borrower and the Subsidiaries thereunder are subordinated to the Obligations on terms satisfactory to the Required Lenders.</w:t>
      </w:r>
    </w:p>
    <w:p>
      <w:pPr>
        <w:spacing w:after="0" w:line="186" w:lineRule="exact"/>
        <w:rPr>
          <w:sz w:val="20"/>
          <w:szCs w:val="20"/>
          <w:color w:val="auto"/>
        </w:rPr>
      </w:pPr>
    </w:p>
    <w:p>
      <w:pPr>
        <w:jc w:val="both"/>
        <w:ind w:right="6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6.09 Transactions with Affiliates</w:t>
      </w:r>
      <w:r>
        <w:rPr>
          <w:rFonts w:ascii="Times New Roman" w:cs="Times New Roman" w:eastAsia="Times New Roman" w:hAnsi="Times New Roman"/>
          <w:sz w:val="20"/>
          <w:szCs w:val="20"/>
          <w:color w:val="auto"/>
        </w:rPr>
        <w:t>. None of Holdings, the Parent Borrower or any Foreign Subsidiary Borrower will, nor will they permit any Subsidiary to, sell, lease or otherwise transfer any property or assets to, or purchase, lease or otherwise acquire any property or assets from, or otherwise engage in any other transactions with, any of its Affiliates, except:</w:t>
      </w:r>
    </w:p>
    <w:p>
      <w:pPr>
        <w:spacing w:after="0" w:line="174" w:lineRule="exact"/>
        <w:rPr>
          <w:sz w:val="20"/>
          <w:szCs w:val="20"/>
          <w:color w:val="auto"/>
        </w:rPr>
      </w:pPr>
    </w:p>
    <w:p>
      <w:pPr>
        <w:ind w:left="660" w:right="80" w:firstLine="644"/>
        <w:spacing w:after="0" w:line="269" w:lineRule="auto"/>
        <w:tabs>
          <w:tab w:leader="none" w:pos="172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at prices and on terms and conditions not less favorable to the Parent Borrower or such Subsidiary than could be obtained on an arm’s-length basis from unrelated third parties;</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Parent Borrower and the Subsidiaries not involving any other Affiliate (to the extent not otherwise prohibited by other provisions of this Agreement);</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permitted by Section 6.08;</w:t>
      </w:r>
    </w:p>
    <w:p>
      <w:pPr>
        <w:spacing w:after="0" w:line="215" w:lineRule="exact"/>
        <w:rPr>
          <w:rFonts w:ascii="Times New Roman" w:cs="Times New Roman" w:eastAsia="Times New Roman" w:hAnsi="Times New Roman"/>
          <w:sz w:val="20"/>
          <w:szCs w:val="20"/>
          <w:color w:val="auto"/>
        </w:rPr>
      </w:pPr>
    </w:p>
    <w:p>
      <w:pPr>
        <w:ind w:left="660" w:right="60" w:firstLine="644"/>
        <w:spacing w:after="0" w:line="254" w:lineRule="auto"/>
        <w:tabs>
          <w:tab w:leader="none" w:pos="173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pursuant to agreements in effect on the Third Restatement Date and listed on Schedule 6.09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(d) shall not apply to any extension, or renewal of, or any amendment or modification of such agreements that is less favorable to the Parent Borrower or the applicable Subsidiaries, as the case may be);</w:t>
      </w:r>
    </w:p>
    <w:p>
      <w:pPr>
        <w:spacing w:after="0" w:line="174" w:lineRule="exact"/>
        <w:rPr>
          <w:rFonts w:ascii="Times New Roman" w:cs="Times New Roman" w:eastAsia="Times New Roman" w:hAnsi="Times New Roman"/>
          <w:sz w:val="20"/>
          <w:szCs w:val="20"/>
          <w:color w:val="auto"/>
        </w:rPr>
      </w:pPr>
    </w:p>
    <w:p>
      <w:pPr>
        <w:ind w:left="660" w:right="200" w:firstLine="644"/>
        <w:spacing w:after="0" w:line="269" w:lineRule="auto"/>
        <w:tabs>
          <w:tab w:leader="none" w:pos="172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loans (or cancellations of loans) to officers, directors, employees or consultants which are approved by a majority of the board of directors of Holdings in good faith;</w:t>
      </w:r>
    </w:p>
    <w:p>
      <w:pPr>
        <w:spacing w:after="0" w:line="15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(other than Disqualified Equity Interests) of Holdings to any Person;</w:t>
      </w:r>
    </w:p>
    <w:p>
      <w:pPr>
        <w:spacing w:after="0" w:line="215" w:lineRule="exact"/>
        <w:rPr>
          <w:rFonts w:ascii="Times New Roman" w:cs="Times New Roman" w:eastAsia="Times New Roman" w:hAnsi="Times New Roman"/>
          <w:sz w:val="20"/>
          <w:szCs w:val="20"/>
          <w:color w:val="auto"/>
        </w:rPr>
      </w:pPr>
    </w:p>
    <w:p>
      <w:pPr>
        <w:ind w:left="660" w:right="100" w:firstLine="644"/>
        <w:spacing w:after="0" w:line="269" w:lineRule="auto"/>
        <w:tabs>
          <w:tab w:leader="none" w:pos="173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issuances of securities or other payments, awards or grants in cash, securities or otherwise pursuant to, the funding of, or the making of payments pursuant to,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00"/>
          </w:cols>
          <w:pgMar w:left="320" w:top="1413" w:right="379" w:bottom="1440" w:gutter="0" w:footer="0" w:header="0"/>
        </w:sectPr>
      </w:pPr>
    </w:p>
    <w:bookmarkStart w:id="187" w:name="page188"/>
    <w:bookmarkEnd w:id="187"/>
    <w:p>
      <w:pPr>
        <w:ind w:left="660" w:right="120"/>
        <w:spacing w:after="0" w:line="254" w:lineRule="auto"/>
        <w:rPr>
          <w:sz w:val="20"/>
          <w:szCs w:val="20"/>
          <w:color w:val="auto"/>
        </w:rPr>
      </w:pPr>
      <w:r>
        <w:rPr>
          <w:rFonts w:ascii="Times New Roman" w:cs="Times New Roman" w:eastAsia="Times New Roman" w:hAnsi="Times New Roman"/>
          <w:sz w:val="20"/>
          <w:szCs w:val="20"/>
          <w:color w:val="auto"/>
        </w:rPr>
        <w:t>consulting and service agreements and arrangements, stock option and stock ownership plans, long-term incentive plans or similar employee or director benefit plans approved by the board of directors of Holdings or any direct or indirect parent of Holdings or the board of directors of the Parent Borrower or a Subsidiary, as appropriate, in good faith;</w:t>
      </w:r>
    </w:p>
    <w:p>
      <w:pPr>
        <w:spacing w:after="0" w:line="174" w:lineRule="exact"/>
        <w:rPr>
          <w:sz w:val="20"/>
          <w:szCs w:val="20"/>
          <w:color w:val="auto"/>
        </w:rPr>
      </w:pPr>
    </w:p>
    <w:p>
      <w:pPr>
        <w:ind w:left="1740" w:hanging="436"/>
        <w:spacing w:after="0"/>
        <w:tabs>
          <w:tab w:leader="none" w:pos="174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contribution to the capital of Holdings;</w:t>
      </w:r>
    </w:p>
    <w:p>
      <w:pPr>
        <w:spacing w:after="0" w:line="215" w:lineRule="exact"/>
        <w:rPr>
          <w:rFonts w:ascii="Times New Roman" w:cs="Times New Roman" w:eastAsia="Times New Roman" w:hAnsi="Times New Roman"/>
          <w:sz w:val="20"/>
          <w:szCs w:val="20"/>
          <w:color w:val="auto"/>
        </w:rPr>
      </w:pPr>
    </w:p>
    <w:p>
      <w:pPr>
        <w:ind w:left="660" w:right="260" w:firstLine="644"/>
        <w:spacing w:after="0" w:line="249" w:lineRule="auto"/>
        <w:tabs>
          <w:tab w:leader="none" w:pos="169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Holdings, the Parent Borrower or any Subsidiary, on the one hand, and any Person, on the other hand, a director of which is also a director of Holdings or any direct or indirect parent of Holdings; provided that such director abstains from voting as a director of Holdings or such direct or indirect parent, as the case may be, on any matter involving such other Person; and</w:t>
      </w:r>
    </w:p>
    <w:p>
      <w:pPr>
        <w:spacing w:after="0" w:line="179" w:lineRule="exact"/>
        <w:rPr>
          <w:rFonts w:ascii="Times New Roman" w:cs="Times New Roman" w:eastAsia="Times New Roman" w:hAnsi="Times New Roman"/>
          <w:sz w:val="20"/>
          <w:szCs w:val="20"/>
          <w:color w:val="auto"/>
        </w:rPr>
      </w:pPr>
    </w:p>
    <w:p>
      <w:pPr>
        <w:ind w:left="660" w:right="100" w:firstLine="644"/>
        <w:spacing w:after="0" w:line="269" w:lineRule="auto"/>
        <w:tabs>
          <w:tab w:leader="none" w:pos="169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agreements or any similar or related agreements entered into by Holdings, the Parent Borrower or any Subsidiary, in each case in the ordinary course of business.</w:t>
      </w:r>
    </w:p>
    <w:p>
      <w:pPr>
        <w:spacing w:after="0" w:line="15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9"/>
          <w:szCs w:val="19"/>
          <w:u w:val="single" w:color="auto"/>
          <w:color w:val="auto"/>
        </w:rPr>
        <w:t>SECTION 6.10 Restrictive Agreements</w:t>
      </w:r>
      <w:r>
        <w:rPr>
          <w:rFonts w:ascii="Times New Roman" w:cs="Times New Roman" w:eastAsia="Times New Roman" w:hAnsi="Times New Roman"/>
          <w:sz w:val="19"/>
          <w:szCs w:val="19"/>
          <w:color w:val="auto"/>
        </w:rPr>
        <w:t xml:space="preserve">. None of Holdings, the Parent Borrower or any Foreign Subsidiary Borrower will, nor will they permit any Subsidiary to, directly or indirectly, enter into, incur or permit to exist any agreement or other arrangement that prohibits, restricts or imposes any condition upon (a) the ability of Holdings, the Parent Borrower or any Subsidiary to create, incur or permit to exist any Lien upon any of its property or assets, or (b) the ability of any Subsidiary to pay dividends or other distributions with respect to any shares of its capital stock or to make or repay loans or advances to the Parent Borrower or any other Subsidiary or to Guarantee Indebtedness of the Parent Borrower or any other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shall not apply to restrictions and conditions imposed by law, rule, regulation or order or by any Loan Document, Permitted Receivables Document or any Specified Vendor Receivables Financing Document that are customary, in the reasonable judgment of the board of directors thereof, for the market in which such Indebtedness is issued so long as such restrictions do not prevent, impede or impair (x) the creation of Liens and Guarantees in favor of the Lenders under the Loan Documents or (y) the satisfaction of the obligations of the Loan Parties under the Loan Documents, (ii) the foregoing shall not apply to restrictions and conditions existing on the Third Restatement Date identified on Schedule 6.10, (iii) the foregoing shall not apply to customary restrictions and conditions contained in agreements relating to the sale of a Subsidiary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such restrictions and conditions apply only to the Subsidiary that is to be sold and such sale is permitted hereunder, (iv) clause</w:t>
      </w:r>
    </w:p>
    <w:p>
      <w:pPr>
        <w:spacing w:after="0" w:line="11" w:lineRule="exact"/>
        <w:rPr>
          <w:sz w:val="20"/>
          <w:szCs w:val="20"/>
          <w:color w:val="auto"/>
        </w:rPr>
      </w:pPr>
    </w:p>
    <w:p>
      <w:pPr>
        <w:ind w:right="80" w:firstLine="8"/>
        <w:spacing w:after="0" w:line="253" w:lineRule="auto"/>
        <w:tabs>
          <w:tab w:leader="none" w:pos="269"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the foregoing shall not apply to (A) restrictions or conditions imposed by any agreement relating to secured Indebtedness permitted by this Agreement if such restrictions or conditions apply only to the property or assets securing such Indebtedness and (B) customary provisions in leases and other agreements restricting the assignment thereof, (v) the foregoing shall not apply to any agreement or other instrument of a Person acquired by the Parent Borrower or any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 (vi) the foregoing shall not apply to customary restrictions on cash or other deposits or net worth required by customers under contracts entered into in the ordinary course of business, (vii) the foregoing shall not apply to customary provisions in joint venture agreements, partnership agreements, limited liability company agreements and similar agreements required in connection with the entering into of such transaction and (viii) any prohibition or restrictions of the type referred to in clauses (a) or (b) above imposed by amendments, modifications, restatements, renewals, increases, supplements, refundings, replacements or refinancings of the contracts, instruments or obligations referred to in clauses (i) through (vii) above shall be permitted;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amendments, modifications, restatements, renewals, increases, supplements, refundings, replacements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20"/>
          </w:cols>
          <w:pgMar w:left="320" w:top="1413" w:right="359" w:bottom="1440" w:gutter="0" w:footer="0" w:header="0"/>
        </w:sectPr>
      </w:pPr>
    </w:p>
    <w:bookmarkStart w:id="188" w:name="page189"/>
    <w:bookmarkEnd w:id="188"/>
    <w:p>
      <w:pPr>
        <w:ind w:right="680"/>
        <w:spacing w:after="0" w:line="269" w:lineRule="auto"/>
        <w:rPr>
          <w:sz w:val="20"/>
          <w:szCs w:val="20"/>
          <w:color w:val="auto"/>
        </w:rPr>
      </w:pPr>
      <w:r>
        <w:rPr>
          <w:rFonts w:ascii="Times New Roman" w:cs="Times New Roman" w:eastAsia="Times New Roman" w:hAnsi="Times New Roman"/>
          <w:sz w:val="20"/>
          <w:szCs w:val="20"/>
          <w:color w:val="auto"/>
        </w:rPr>
        <w:t>refinancings do not expand the scope of any such prohibition or restriction from that originally set forth in the contract, instrument or obligation referred to in clauses (i) through (vii) above.</w:t>
      </w:r>
    </w:p>
    <w:p>
      <w:pPr>
        <w:spacing w:after="0" w:line="159"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6.11 Amendment of Material Documents</w:t>
      </w:r>
      <w:r>
        <w:rPr>
          <w:rFonts w:ascii="Times New Roman" w:cs="Times New Roman" w:eastAsia="Times New Roman" w:hAnsi="Times New Roman"/>
          <w:sz w:val="20"/>
          <w:szCs w:val="20"/>
          <w:color w:val="auto"/>
        </w:rPr>
        <w:t>. None of Holdings, the Parent Borrower or any Foreign Subsidiary Borrower will, nor will they permit any Subsidiary (including the Receivables Subsidiary) to, amend, restate, modify or waive any of its rights under (a) its certificate of incorporation, by-laws or other organizational documents, and (b) any Material Agreement or other agreements (including joint venture agreements), in each case to the extent such amendment, restatement, modification or waiver is adverse to the Lenders in any material respect (it being agreed that the addition or removal of Loan Parties from participation in a Permitted Receivables Financing or Specified Vendor Receivables Financing shall not constitute an amendment, modification or waiver of the Receivables Purchase Agreement, Receivables Transfer Agreement or any Specified Vendor Receivables Financing Document that is adverse to the Lenders).</w:t>
      </w:r>
    </w:p>
    <w:p>
      <w:pPr>
        <w:spacing w:after="0" w:line="189" w:lineRule="exact"/>
        <w:rPr>
          <w:sz w:val="20"/>
          <w:szCs w:val="20"/>
          <w:color w:val="auto"/>
        </w:rPr>
      </w:pPr>
    </w:p>
    <w:p>
      <w:pPr>
        <w:ind w:right="36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6.12 Interest Expense Coverage Ratio</w:t>
      </w:r>
      <w:r>
        <w:rPr>
          <w:rFonts w:ascii="Times New Roman" w:cs="Times New Roman" w:eastAsia="Times New Roman" w:hAnsi="Times New Roman"/>
          <w:sz w:val="20"/>
          <w:szCs w:val="20"/>
          <w:color w:val="auto"/>
        </w:rPr>
        <w:t>. Neither Holdings nor the Parent Borrower will permit the Interest Expense Coverage Ratio, in each case as of the last day of any period of four consecutive fiscal quarters ending on or after December 31, 2024, to be less than 3.00 to 1.00.</w:t>
      </w:r>
    </w:p>
    <w:p>
      <w:pPr>
        <w:spacing w:after="0" w:line="174" w:lineRule="exact"/>
        <w:rPr>
          <w:sz w:val="20"/>
          <w:szCs w:val="20"/>
          <w:color w:val="auto"/>
        </w:rPr>
      </w:pPr>
    </w:p>
    <w:p>
      <w:pPr>
        <w:jc w:val="both"/>
        <w:ind w:right="26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6.13 Total Net Leverage Ratio</w:t>
      </w:r>
      <w:r>
        <w:rPr>
          <w:rFonts w:ascii="Times New Roman" w:cs="Times New Roman" w:eastAsia="Times New Roman" w:hAnsi="Times New Roman"/>
          <w:sz w:val="20"/>
          <w:szCs w:val="20"/>
          <w:color w:val="auto"/>
        </w:rPr>
        <w:t xml:space="preserve">. Neither Holdings nor the Parent Borrower will permit the Total Net Leverage Ratio as of the last day of any fiscal quarter ending on or after December 31, 2024 to exceed 4.00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a Covenant Holiday Period, neither Holdings nor the Parent Borrower will permit the Total Net Leverage Ratio as of the last day of any fiscal quarter ending during such Covenant Holiday Period to exceed 4.50 to 1.00.</w:t>
      </w:r>
    </w:p>
    <w:p>
      <w:pPr>
        <w:spacing w:after="0" w:line="180"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19"/>
          <w:szCs w:val="19"/>
          <w:u w:val="single" w:color="auto"/>
          <w:color w:val="auto"/>
        </w:rPr>
        <w:t>SECTION 6.14 Use of Proceeds</w:t>
      </w:r>
      <w:r>
        <w:rPr>
          <w:rFonts w:ascii="Times New Roman" w:cs="Times New Roman" w:eastAsia="Times New Roman" w:hAnsi="Times New Roman"/>
          <w:sz w:val="19"/>
          <w:szCs w:val="19"/>
          <w:color w:val="auto"/>
        </w:rPr>
        <w:t>. No Parent Borrower or Foreign Subsidiary Borrower will request any Borrowing or Letter of Credit, and no Parent Borrower or Foreign Subsidiary Borrower shall use, and shall procure that their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for a Person required to comply with Sanctions or (C) in any manner that would result in the violation of any Sanctions applicable to any party hereto.</w:t>
      </w:r>
    </w:p>
    <w:p>
      <w:pPr>
        <w:spacing w:after="0" w:line="172" w:lineRule="exact"/>
        <w:rPr>
          <w:sz w:val="20"/>
          <w:szCs w:val="20"/>
          <w:color w:val="auto"/>
        </w:rPr>
      </w:pPr>
    </w:p>
    <w:p>
      <w:pPr>
        <w:ind w:right="40" w:firstLine="1296"/>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6.15 Outbound Investment Rules</w:t>
      </w:r>
      <w:r>
        <w:rPr>
          <w:rFonts w:ascii="Times New Roman" w:cs="Times New Roman" w:eastAsia="Times New Roman" w:hAnsi="Times New Roman"/>
          <w:sz w:val="20"/>
          <w:szCs w:val="20"/>
          <w:color w:val="auto"/>
        </w:rPr>
        <w:t>. Parent Borrower shall not (a) be or become a “covered foreign person”, as that term is defined in the Outbound Investment Rules or (b) engage, directly or indirectly, in (i) any transaction that would constitute a “covered transaction”, as such term is defined in the Outbound Investment Rules, if the Parent Borrower were a U.S. Person, or (ii) any other activity that would cause the Administrative Agent or any Lender to be in violation of the Outbound Investment Rules, due to its participation in this Agreement or cause the Administrative Agent or any Lender to be legally prohibited by the Outbound Investment Rules from performing under this Agreement.</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u w:val="single" w:color="auto"/>
          <w:color w:val="auto"/>
        </w:rPr>
        <w:t>ARTICLE VII</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20"/>
          </w:cols>
          <w:pgMar w:left="320" w:top="1413" w:right="359" w:bottom="1440" w:gutter="0" w:footer="0" w:header="0"/>
        </w:sectPr>
      </w:pPr>
    </w:p>
    <w:bookmarkStart w:id="189" w:name="page190"/>
    <w:bookmarkEnd w:id="189"/>
    <w:p>
      <w:pPr>
        <w:ind w:left="-460" w:right="220" w:firstLine="644"/>
        <w:spacing w:after="0" w:line="249" w:lineRule="auto"/>
        <w:tabs>
          <w:tab w:leader="none" w:pos="60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or any Foreign Subsidiary Borrower shall fail to (i) pay any principal of any Loan or any reimbursement obligation in respect of any LC Disbursement when and as the same shall become due and payable, whether at the due date thereof or at a date fixed for prepayment thereof or otherwise or (ii) provide cash collateral when and as the same shall be required by Section 2.05(k);</w:t>
      </w:r>
    </w:p>
    <w:p>
      <w:pPr>
        <w:spacing w:after="0" w:line="179" w:lineRule="exact"/>
        <w:rPr>
          <w:rFonts w:ascii="Times New Roman" w:cs="Times New Roman" w:eastAsia="Times New Roman" w:hAnsi="Times New Roman"/>
          <w:sz w:val="20"/>
          <w:szCs w:val="20"/>
          <w:color w:val="auto"/>
        </w:rPr>
      </w:pPr>
    </w:p>
    <w:p>
      <w:pPr>
        <w:ind w:left="-460" w:right="300" w:firstLine="644"/>
        <w:spacing w:after="0" w:line="249" w:lineRule="auto"/>
        <w:tabs>
          <w:tab w:leader="none" w:pos="61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or any Foreign Subsidiary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79" w:lineRule="exact"/>
        <w:rPr>
          <w:rFonts w:ascii="Times New Roman" w:cs="Times New Roman" w:eastAsia="Times New Roman" w:hAnsi="Times New Roman"/>
          <w:sz w:val="20"/>
          <w:szCs w:val="20"/>
          <w:color w:val="auto"/>
        </w:rPr>
      </w:pPr>
    </w:p>
    <w:p>
      <w:pPr>
        <w:ind w:left="-460" w:right="20" w:firstLine="644"/>
        <w:spacing w:after="0" w:line="246" w:lineRule="auto"/>
        <w:tabs>
          <w:tab w:leader="none" w:pos="60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Holdings, the Parent Borrower, any Foreign Subsidiary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84" w:lineRule="exact"/>
        <w:rPr>
          <w:rFonts w:ascii="Times New Roman" w:cs="Times New Roman" w:eastAsia="Times New Roman" w:hAnsi="Times New Roman"/>
          <w:sz w:val="20"/>
          <w:szCs w:val="20"/>
          <w:color w:val="auto"/>
        </w:rPr>
      </w:pPr>
    </w:p>
    <w:p>
      <w:pPr>
        <w:ind w:left="-460" w:right="400" w:firstLine="644"/>
        <w:spacing w:after="0" w:line="274" w:lineRule="auto"/>
        <w:tabs>
          <w:tab w:leader="none" w:pos="617"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the Parent Borrower or any Foreign Subsidiary Borrower shall fail to observe or perform any covenant, condition or agreement contained in Section 5.02, 5.04(a) (with respect to the existence of Holdings, the Parent Borrower or any Foreign Subsidiary Borrower and ownership of the Foreign Subsidiary Borrowers), 5.04(b) or 5.11 or in Article VI;</w:t>
      </w:r>
    </w:p>
    <w:p>
      <w:pPr>
        <w:spacing w:after="0" w:line="156" w:lineRule="exact"/>
        <w:rPr>
          <w:rFonts w:ascii="Times New Roman" w:cs="Times New Roman" w:eastAsia="Times New Roman" w:hAnsi="Times New Roman"/>
          <w:sz w:val="19"/>
          <w:szCs w:val="19"/>
          <w:color w:val="auto"/>
        </w:rPr>
      </w:pPr>
    </w:p>
    <w:p>
      <w:pPr>
        <w:ind w:left="-460" w:right="40" w:firstLine="644"/>
        <w:spacing w:after="0" w:line="246" w:lineRule="auto"/>
        <w:tabs>
          <w:tab w:leader="none" w:pos="60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condition or agreement contained in any Loan Document (other than those specified in clause (a), (b) or (d) of this Article), and such failure shall continue unremedied for a period of 30 days after the earlier of (x) notice thereof from the Administrative Agent to the Parent Borrower (which notice will be given at the request of any Lender) and (y) the date on which the President, a Vice President or a Financial Officer of the Parent Borrower becomes aware of such failure;</w:t>
      </w:r>
    </w:p>
    <w:p>
      <w:pPr>
        <w:spacing w:after="0" w:line="184" w:lineRule="exact"/>
        <w:rPr>
          <w:rFonts w:ascii="Times New Roman" w:cs="Times New Roman" w:eastAsia="Times New Roman" w:hAnsi="Times New Roman"/>
          <w:sz w:val="20"/>
          <w:szCs w:val="20"/>
          <w:color w:val="auto"/>
        </w:rPr>
      </w:pPr>
    </w:p>
    <w:p>
      <w:pPr>
        <w:ind w:left="-460" w:right="20" w:firstLine="644"/>
        <w:spacing w:after="0" w:line="254" w:lineRule="auto"/>
        <w:tabs>
          <w:tab w:leader="none" w:pos="5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Parent Borrower or any Subsidiary shall fail to make any payment (whether of principal, interest or other payment obligations) in respect of any Material Indebtedness, when and as the same shall become due and payable after giving effect to any applicable grace period with respect thereto;</w:t>
      </w:r>
    </w:p>
    <w:p>
      <w:pPr>
        <w:spacing w:after="0" w:line="174" w:lineRule="exact"/>
        <w:rPr>
          <w:rFonts w:ascii="Times New Roman" w:cs="Times New Roman" w:eastAsia="Times New Roman" w:hAnsi="Times New Roman"/>
          <w:sz w:val="20"/>
          <w:szCs w:val="20"/>
          <w:color w:val="auto"/>
        </w:rPr>
      </w:pPr>
    </w:p>
    <w:p>
      <w:pPr>
        <w:ind w:left="-460" w:firstLine="644"/>
        <w:spacing w:after="0" w:line="246" w:lineRule="auto"/>
        <w:tabs>
          <w:tab w:leader="none" w:pos="61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w:t>
      </w:r>
    </w:p>
    <w:p>
      <w:pPr>
        <w:spacing w:after="0" w:line="184" w:lineRule="exact"/>
        <w:rPr>
          <w:rFonts w:ascii="Times New Roman" w:cs="Times New Roman" w:eastAsia="Times New Roman" w:hAnsi="Times New Roman"/>
          <w:sz w:val="20"/>
          <w:szCs w:val="20"/>
          <w:color w:val="auto"/>
        </w:rPr>
      </w:pPr>
    </w:p>
    <w:p>
      <w:pPr>
        <w:ind w:left="-460" w:firstLine="644"/>
        <w:spacing w:after="0" w:line="246" w:lineRule="auto"/>
        <w:tabs>
          <w:tab w:leader="none" w:pos="61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Holdings, the Parent Borrower, any Foreign Subsidiary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Holdings, the Parent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0100"/>
          </w:cols>
          <w:pgMar w:left="1440" w:top="1413" w:right="359" w:bottom="1440" w:gutter="0" w:footer="0" w:header="0"/>
        </w:sectPr>
      </w:pPr>
    </w:p>
    <w:bookmarkStart w:id="190" w:name="page191"/>
    <w:bookmarkEnd w:id="190"/>
    <w:p>
      <w:pPr>
        <w:ind w:left="4" w:right="120"/>
        <w:spacing w:after="0" w:line="269" w:lineRule="auto"/>
        <w:rPr>
          <w:sz w:val="20"/>
          <w:szCs w:val="20"/>
          <w:color w:val="auto"/>
        </w:rPr>
      </w:pPr>
      <w:r>
        <w:rPr>
          <w:rFonts w:ascii="Times New Roman" w:cs="Times New Roman" w:eastAsia="Times New Roman" w:hAnsi="Times New Roman"/>
          <w:sz w:val="20"/>
          <w:szCs w:val="20"/>
          <w:color w:val="auto"/>
        </w:rPr>
        <w:t>or for a substantial part of its assets, and, in any such case, such proceeding or petition shall continue undismissed for 60 days or an order or decree approving or ordering any of the foregoing shall be entered;</w:t>
      </w:r>
    </w:p>
    <w:p>
      <w:pPr>
        <w:spacing w:after="0" w:line="159" w:lineRule="exact"/>
        <w:rPr>
          <w:sz w:val="20"/>
          <w:szCs w:val="20"/>
          <w:color w:val="auto"/>
        </w:rPr>
      </w:pPr>
    </w:p>
    <w:p>
      <w:pPr>
        <w:ind w:left="4" w:right="20" w:firstLine="644"/>
        <w:spacing w:after="0" w:line="256" w:lineRule="auto"/>
        <w:tabs>
          <w:tab w:leader="none" w:pos="1037"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the Parent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Holdings, the Parent Borrower or any Subsidiary or for a substantial part of its assets,</w:t>
      </w:r>
    </w:p>
    <w:p>
      <w:pPr>
        <w:spacing w:after="0" w:line="4" w:lineRule="exact"/>
        <w:rPr>
          <w:rFonts w:ascii="Times New Roman" w:cs="Times New Roman" w:eastAsia="Times New Roman" w:hAnsi="Times New Roman"/>
          <w:sz w:val="19"/>
          <w:szCs w:val="19"/>
          <w:color w:val="auto"/>
        </w:rPr>
      </w:pPr>
    </w:p>
    <w:p>
      <w:pPr>
        <w:ind w:left="4" w:right="740" w:hanging="4"/>
        <w:spacing w:after="0" w:line="246" w:lineRule="auto"/>
        <w:tabs>
          <w:tab w:leader="none" w:pos="33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82" w:lineRule="exact"/>
        <w:rPr>
          <w:sz w:val="20"/>
          <w:szCs w:val="20"/>
          <w:color w:val="auto"/>
        </w:rPr>
      </w:pPr>
    </w:p>
    <w:p>
      <w:pPr>
        <w:ind w:left="4" w:right="620" w:firstLine="644"/>
        <w:spacing w:after="0" w:line="269" w:lineRule="auto"/>
        <w:tabs>
          <w:tab w:leader="none" w:pos="103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Parent Borrower or any Subsidiary shall become unable, admit in writing in a court proceeding its inability or fail generally to pay its debts as they become due;</w:t>
      </w:r>
    </w:p>
    <w:p>
      <w:pPr>
        <w:spacing w:after="0" w:line="159" w:lineRule="exact"/>
        <w:rPr>
          <w:rFonts w:ascii="Times New Roman" w:cs="Times New Roman" w:eastAsia="Times New Roman" w:hAnsi="Times New Roman"/>
          <w:sz w:val="20"/>
          <w:szCs w:val="20"/>
          <w:color w:val="auto"/>
        </w:rPr>
      </w:pPr>
    </w:p>
    <w:p>
      <w:pPr>
        <w:ind w:left="4" w:right="180" w:firstLine="644"/>
        <w:spacing w:after="0" w:line="246" w:lineRule="auto"/>
        <w:tabs>
          <w:tab w:leader="none" w:pos="108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$50,000,000 shall be rendered against Holdings, the Parent Borrower, any Subsidiary or any combination thereof and the same shall remain undischarged for a period of 30 consecutive days during which execution shall not be effectively stayed, or any action shall be legally taken by a judgment creditor to attach or levy upon any assets of Holdings, the Parent Borrower or any Subsidiary to enforce any such judgment;</w:t>
      </w:r>
    </w:p>
    <w:p>
      <w:pPr>
        <w:spacing w:after="0" w:line="184" w:lineRule="exact"/>
        <w:rPr>
          <w:rFonts w:ascii="Times New Roman" w:cs="Times New Roman" w:eastAsia="Times New Roman" w:hAnsi="Times New Roman"/>
          <w:sz w:val="20"/>
          <w:szCs w:val="20"/>
          <w:color w:val="auto"/>
        </w:rPr>
      </w:pPr>
    </w:p>
    <w:p>
      <w:pPr>
        <w:ind w:left="4" w:right="260" w:firstLine="644"/>
        <w:spacing w:after="0" w:line="269" w:lineRule="auto"/>
        <w:tabs>
          <w:tab w:leader="none" w:pos="103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ind w:left="4" w:right="100" w:firstLine="644"/>
        <w:spacing w:after="0" w:line="246" w:lineRule="auto"/>
        <w:tabs>
          <w:tab w:leader="none" w:pos="113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covering property having a book value or fair market value of $10,000,000 or more purported to be created under any Security Document shall cease to be, or shall be asserted by any Loan Party not to be, a valid and perfected Lien on any Collateral, except (i) as a result of the sale or other disposition of the applicable Collateral in a transaction permitted under the Loan Documents or (ii) as a result of the Administrative Agent no longer maintaining possession of any stock certificates, promissory notes or other instruments delivered to it under the Pledge Agreement;</w:t>
      </w:r>
    </w:p>
    <w:p>
      <w:pPr>
        <w:spacing w:after="0" w:line="184" w:lineRule="exact"/>
        <w:rPr>
          <w:rFonts w:ascii="Times New Roman" w:cs="Times New Roman" w:eastAsia="Times New Roman" w:hAnsi="Times New Roman"/>
          <w:sz w:val="20"/>
          <w:szCs w:val="20"/>
          <w:color w:val="auto"/>
        </w:rPr>
      </w:pPr>
    </w:p>
    <w:p>
      <w:pPr>
        <w:ind w:left="4" w:right="360" w:firstLine="644"/>
        <w:spacing w:after="0" w:line="269" w:lineRule="auto"/>
        <w:tabs>
          <w:tab w:leader="none" w:pos="108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Agreement or any other Loan Document (other than a Security Document) shall cease to be, or shall have been asserted in writing by any Loan Party not to be, in full force and effect in accordance with its terms;</w:t>
      </w:r>
    </w:p>
    <w:p>
      <w:pPr>
        <w:spacing w:after="0" w:line="159" w:lineRule="exact"/>
        <w:rPr>
          <w:rFonts w:ascii="Times New Roman" w:cs="Times New Roman" w:eastAsia="Times New Roman" w:hAnsi="Times New Roman"/>
          <w:sz w:val="20"/>
          <w:szCs w:val="20"/>
          <w:color w:val="auto"/>
        </w:rPr>
      </w:pPr>
    </w:p>
    <w:p>
      <w:pPr>
        <w:ind w:left="4" w:firstLine="644"/>
        <w:spacing w:after="0" w:line="244" w:lineRule="auto"/>
        <w:tabs>
          <w:tab w:leader="none" w:pos="108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Holdings or any Subsidiary shall challenge the subordination provisions of the Subordinated Debt or assert that such provisions are invalid or unenforceable or that the Obligations of the Parent Borrower or any Foreign Subsidiary Borrower, or the Obligations of Holdings or any Subsidiary under the Guarantee Agreement, are not senior Indebtedness under the subordination provisions of the Subordinated Debt, or any court, tribunal or government authority of competent jurisdiction shall judge the subordination provisions of the Subordinated Debt to be invalid or unenforceable or such Obligations to be not senior Indebtedness under such subordination provisions or otherwise cease to be, or shall be asserted not to be, legal, valid and binding obligations of the parties thereto, enforceable in accordance with their terms;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0524"/>
          </w:cols>
          <w:pgMar w:left="976" w:top="1413" w:right="399" w:bottom="1440" w:gutter="0" w:footer="0" w:header="0"/>
        </w:sectPr>
      </w:pPr>
    </w:p>
    <w:bookmarkStart w:id="191" w:name="page192"/>
    <w:bookmarkEnd w:id="191"/>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(p)</w:t>
      </w:r>
      <w:r>
        <w:rPr>
          <w:sz w:val="20"/>
          <w:szCs w:val="20"/>
          <w:color w:val="auto"/>
        </w:rPr>
        <w:tab/>
      </w:r>
      <w:r>
        <w:rPr>
          <w:rFonts w:ascii="Times New Roman" w:cs="Times New Roman" w:eastAsia="Times New Roman" w:hAnsi="Times New Roman"/>
          <w:sz w:val="19"/>
          <w:szCs w:val="19"/>
          <w:color w:val="auto"/>
        </w:rPr>
        <w:t>a Change in Control shall occur;</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then, and in every such event (other than an event with respect to the Parent Borrower or any Foreign Subsidiary Borrower described in clause (h) or (i) of this Article), and at any time thereafter during the continuance of such event, the Administrative Agent may, and at the request of the Required Lenders shall, by notice to the Parent Borrower (on behalf of itself and the Foreign Subsidiary Borrowers),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Parent Borrower or any Foreign Subsidiary Borrower accrued hereunder, shall become due and payable immediately, without presentment, demand, protest or other notice of any kind, all of which are hereby waived by the Parent Borrower and the Foreign Subsidiary Borrowers; and in case of any event with respect to the Parent Borrower or any Foreign Subsidiary Borrower described in clause (h) or (i) of this Article, the Commitments shall automatically terminate and the principal of the Loans then outstanding, together with accrued interest thereon and all fees and other obligations of the Parent Borrower or any Foreign Subsidiary Borrower accrued hereunder, shall automatically become due and payable, without presentment, demand, protest or other notice of any kind, all of which are hereby waived by the Parent Borrower and the Foreign Subsidiary Borrowers.</w:t>
      </w:r>
    </w:p>
    <w:p>
      <w:pPr>
        <w:spacing w:after="0" w:line="18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Agents</w:t>
      </w:r>
    </w:p>
    <w:p>
      <w:pPr>
        <w:spacing w:after="0" w:line="21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9"/>
          <w:szCs w:val="19"/>
          <w:u w:val="single" w:color="auto"/>
          <w:color w:val="auto"/>
        </w:rPr>
        <w:t>SECTION 8.01 Administrative Agent</w:t>
      </w:r>
      <w:r>
        <w:rPr>
          <w:rFonts w:ascii="Times New Roman" w:cs="Times New Roman" w:eastAsia="Times New Roman" w:hAnsi="Times New Roman"/>
          <w:sz w:val="19"/>
          <w:szCs w:val="19"/>
          <w:color w:val="auto"/>
        </w:rPr>
        <w:t>. Each of the Lenders and the Issuing Bank hereby irrevocably appoints the Administrative Agent (it being understood that reference in this Article VIII to the Administrative Agent shall be deemed to include the Collateral Agent) and authorizes the Administrative Agent to take such actions on its behalf and to exercise such powers as are delegated to the Administrative Agent by the terms of the Loan Documents, together with such actions and powers as are reasonably incidental thereto.</w:t>
      </w:r>
    </w:p>
    <w:p>
      <w:pPr>
        <w:spacing w:after="0" w:line="165" w:lineRule="exact"/>
        <w:rPr>
          <w:sz w:val="20"/>
          <w:szCs w:val="20"/>
          <w:color w:val="auto"/>
        </w:rPr>
      </w:pPr>
    </w:p>
    <w:p>
      <w:pPr>
        <w:ind w:right="80" w:firstLine="1296"/>
        <w:spacing w:after="0" w:line="249" w:lineRule="auto"/>
        <w:rPr>
          <w:sz w:val="20"/>
          <w:szCs w:val="20"/>
          <w:color w:val="auto"/>
        </w:rPr>
      </w:pPr>
      <w:r>
        <w:rPr>
          <w:rFonts w:ascii="Times New Roman" w:cs="Times New Roman" w:eastAsia="Times New Roman" w:hAnsi="Times New Roman"/>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Holdings, the Parent Borrower or any Subsidiary or other Affiliate thereof as if it were not the Administrative Agent hereunder.</w:t>
      </w:r>
    </w:p>
    <w:p>
      <w:pPr>
        <w:spacing w:after="0" w:line="180"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by the Required Lenders (or such other number or percentage of the Lenders as shall be necessary under the circumstances as provided in Section 10.02), and (c) except as expressly set forth in the Loan Documents, the Administrative Agent shall not have any duty to disclose, and shall not be liable for the failure to disclose, any information relating to Holdings, the Parent Borrower or any of its Subsidiaries that is communicated to or obtained by the banks serving as Administrative Agent or any of its Affiliates in any capacity. The Administrative Agent shall not be liable for any action taken or not taken by it with the consent or at the request of the Required Lenders (or such other number or percentage of the Lenders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192" w:name="page193"/>
    <w:bookmarkEnd w:id="192"/>
    <w:p>
      <w:pPr>
        <w:spacing w:after="0" w:line="242" w:lineRule="auto"/>
        <w:rPr>
          <w:sz w:val="20"/>
          <w:szCs w:val="20"/>
          <w:color w:val="auto"/>
        </w:rPr>
      </w:pPr>
      <w:r>
        <w:rPr>
          <w:rFonts w:ascii="Times New Roman" w:cs="Times New Roman" w:eastAsia="Times New Roman" w:hAnsi="Times New Roman"/>
          <w:sz w:val="20"/>
          <w:szCs w:val="20"/>
          <w:color w:val="auto"/>
        </w:rPr>
        <w:t>shall be necessary under the circumstances as provided in Section 10.02) and the Administrative Agent shall not be liable for any action taken or not taken by it in the absence of its own gross negligence or willful misconduct. The Administrative Agent shall be deemed not to have knowledge of any Default unless and until written notice thereof is given to the Administrative Agent by Holdings, the Parent Borrower, a Foreign Subsidiary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Event of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192"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Parent Borrower or any Foreign Subsidiary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ind w:right="120" w:firstLine="1296"/>
        <w:spacing w:after="0" w:line="245" w:lineRule="auto"/>
        <w:rPr>
          <w:sz w:val="20"/>
          <w:szCs w:val="20"/>
          <w:color w:val="auto"/>
        </w:rPr>
      </w:pPr>
      <w:r>
        <w:rPr>
          <w:rFonts w:ascii="Times New Roman" w:cs="Times New Roman" w:eastAsia="Times New Roman" w:hAnsi="Times New Roman"/>
          <w:sz w:val="20"/>
          <w:szCs w:val="20"/>
          <w:color w:val="auto"/>
        </w:rPr>
        <w:t>The Administrative Agent may perform any and all its duties and exercise its rights and powers by or through any one or more sub-agents appointed by the Administrative Agent. Each of the Administrative Agent and any such sub-agent may perform any and all its duties and exercise its rights and powers through their respective Related Parties. The exculpatory provisions of the preceding paragraphs shall apply to any such sub-agent and to the Related Parties of each Administrative Agent and any such sub-agent, and shall apply to their respective activities in connection with the syndication of the credit facilities provided for herein as well as activities as Administrative Agent.</w:t>
      </w:r>
    </w:p>
    <w:p>
      <w:pPr>
        <w:spacing w:after="0" w:line="184" w:lineRule="exact"/>
        <w:rPr>
          <w:sz w:val="20"/>
          <w:szCs w:val="20"/>
          <w:color w:val="auto"/>
        </w:rPr>
      </w:pPr>
    </w:p>
    <w:p>
      <w:pPr>
        <w:ind w:right="100" w:firstLine="1296"/>
        <w:spacing w:after="0" w:line="241" w:lineRule="auto"/>
        <w:rPr>
          <w:sz w:val="20"/>
          <w:szCs w:val="20"/>
          <w:color w:val="auto"/>
        </w:rPr>
      </w:pPr>
      <w:r>
        <w:rPr>
          <w:rFonts w:ascii="Times New Roman" w:cs="Times New Roman" w:eastAsia="Times New Roman" w:hAnsi="Times New Roman"/>
          <w:sz w:val="20"/>
          <w:szCs w:val="20"/>
          <w:color w:val="auto"/>
        </w:rPr>
        <w:t>Subject to the appointment and acceptance of a successor Administrative Agent as provided in this paragraph, the Administrative Agent may resign at any time by notifying the Lenders, the Issuing Bank and the Parent Borrower (on behalf of itself and the Foreign Subsidiary Borrowers). Upon any such resignation, the Required Lenders shall have the right, in consultation with the Parent Borrower and, if applicable, the relevant Foreign Subsidiary Borrower, to appoint a successor from among the Lenders.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(on behalf of itself and the Foreign Subsidiary Borrowers) to a successor Administrative Agent shall be the same as those payable to its predecessor unless otherwise agreed between the Parent Borrower (on behalf of itself and the Foreign Subsidiary Borrowers) and such successor. After the Administrative Agent’s resignation hereunder, the provisions of this Article and Section 10.03 shall continue in effect for the benefit of such retiring Administrative Agent, its sub-agents and its and their respective Related Parties in respect of any actions taken or omitted to be taken by any of them while it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193" w:name="page194"/>
    <w:bookmarkEnd w:id="193"/>
    <w:p>
      <w:pPr>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Subject to the appointment and acceptance of a successor Administrative Agent as provided in this paragraph, the Administrative Agent may resign at any time by notifying the Lenders, the Administrative Agent and the Parent Borrower (on behalf of itself and the Foreign Subsidiary Borrowers). Upon any such resignation, the Required Lenders shall have the right, in consultation with the Parent Borrower and, if applicable, the relevant Foreign Subsidiary Borrower, to appoint a successor from among the Lenders. If no successor shall have been so appointed by the Required Lenders and shall have accepted such appointment within 10 days after the retiring Administrative Agent gives notice of its resignation, then the retiring Administrative Agent may, on behalf of the Lenders and the Administrative Agent,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(on behalf of itself and the Foreign Subsidiary Borrowers) to a successor Administrative Agent shall be the same as those payable to its predecessor unless otherwise agreed between the Parent Borrower (on behalf of itself and the Foreign Subsidiary Borrowers) and such successor. After the Administrative Agent’s resignation hereunder, the provisions of this Article and Section 10.03 shall continue in effect for the benefit of such retiring Administrative Agent, its sub-agents and its and their respective Related Parties in respect of any actions taken or omitted to be taken by any of them while it was acting as Administrative Agent. For the avoidance of doubt, the provisions of this Article and Section 10.03 shall continue in effect for the benefit of the Administrative Agent (as defined immediately prior to giving effect to the Second </w:t>
      </w:r>
      <w:r>
        <w:rPr>
          <w:rFonts w:ascii="Times New Roman" w:cs="Times New Roman" w:eastAsia="Times New Roman" w:hAnsi="Times New Roman"/>
          <w:sz w:val="20"/>
          <w:szCs w:val="20"/>
          <w:color w:val="FF0000"/>
          <w:strike w:val="1"/>
        </w:rPr>
        <w:t>Amendment Effective</w:t>
      </w:r>
      <w:r>
        <w:rPr>
          <w:rFonts w:ascii="Times New Roman" w:cs="Times New Roman" w:eastAsia="Times New Roman" w:hAnsi="Times New Roman"/>
          <w:sz w:val="20"/>
          <w:szCs w:val="20"/>
          <w:u w:val="single" w:color="auto"/>
          <w:color w:val="0000FF"/>
        </w:rPr>
        <w:t>Restatement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its sub-agents and its and their respective Related Parties in respect of any actions taken or omitted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be taken by any of them while it was acting as Administrative Agent.</w:t>
      </w:r>
    </w:p>
    <w:p>
      <w:pPr>
        <w:spacing w:after="0" w:line="192"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Each Lender acknowledges that it has, independently and without reliance upon the Administrative Agent,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the Administrative Agent or any other Lender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84" w:lineRule="exact"/>
        <w:rPr>
          <w:sz w:val="20"/>
          <w:szCs w:val="20"/>
          <w:color w:val="auto"/>
        </w:rPr>
      </w:pPr>
    </w:p>
    <w:p>
      <w:pPr>
        <w:ind w:right="660" w:firstLine="1296"/>
        <w:spacing w:after="0" w:line="269" w:lineRule="auto"/>
        <w:rPr>
          <w:sz w:val="20"/>
          <w:szCs w:val="20"/>
          <w:color w:val="auto"/>
        </w:rPr>
      </w:pPr>
      <w:r>
        <w:rPr>
          <w:rFonts w:ascii="Times New Roman" w:cs="Times New Roman" w:eastAsia="Times New Roman" w:hAnsi="Times New Roman"/>
          <w:sz w:val="20"/>
          <w:szCs w:val="20"/>
          <w:color w:val="auto"/>
        </w:rPr>
        <w:t>None of the Syndication Agents or Documentation Agents shall have any duties or responsibilities hereunder in their respective capacities as such.</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of the Lenders hereby exempts the Administrative Agent from the restrictions pursuant to section 181 Civil Code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 applicable to the Administrative Agent pursuant to any other applicable law, in each case</w:t>
      </w:r>
    </w:p>
    <w:p>
      <w:pPr>
        <w:spacing w:after="0"/>
        <w:rPr>
          <w:sz w:val="20"/>
          <w:szCs w:val="20"/>
          <w:color w:val="auto"/>
        </w:rPr>
      </w:pPr>
      <w:r>
        <w:rPr>
          <w:rFonts w:ascii="Times New Roman" w:cs="Times New Roman" w:eastAsia="Times New Roman" w:hAnsi="Times New Roman"/>
          <w:sz w:val="20"/>
          <w:szCs w:val="20"/>
          <w:color w:val="auto"/>
        </w:rPr>
        <w:t>to the extent legally possible to such Secured Party. A Secured Party which cannot grant such exemption shall notify the Administrative</w:t>
      </w:r>
    </w:p>
    <w:p>
      <w:pPr>
        <w:spacing w:after="0"/>
        <w:rPr>
          <w:sz w:val="20"/>
          <w:szCs w:val="20"/>
          <w:color w:val="auto"/>
        </w:rPr>
      </w:pPr>
      <w:r>
        <w:rPr>
          <w:rFonts w:ascii="Times New Roman" w:cs="Times New Roman" w:eastAsia="Times New Roman" w:hAnsi="Times New Roman"/>
          <w:sz w:val="19"/>
          <w:szCs w:val="19"/>
          <w:color w:val="auto"/>
        </w:rPr>
        <w:t>Agent accordingly and, upon request of the Administrative Agent, either act in accordance with the terms of this Agreement and/or any 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as required pursuant to this Agreement and/or such other Loan Document or grant a special power of attorney to a party</w:t>
      </w:r>
    </w:p>
    <w:p>
      <w:pPr>
        <w:spacing w:after="0"/>
        <w:rPr>
          <w:sz w:val="20"/>
          <w:szCs w:val="20"/>
          <w:color w:val="auto"/>
        </w:rPr>
      </w:pPr>
      <w:r>
        <w:rPr>
          <w:rFonts w:ascii="Times New Roman" w:cs="Times New Roman" w:eastAsia="Times New Roman" w:hAnsi="Times New Roman"/>
          <w:sz w:val="20"/>
          <w:szCs w:val="20"/>
          <w:color w:val="auto"/>
        </w:rPr>
        <w:t>acting on its behalf, in a manner that is not prohibited pursuant to section 181 of the German Civil Code (Bürgerliches Gesetzbuch) and/or</w:t>
      </w:r>
    </w:p>
    <w:p>
      <w:pPr>
        <w:spacing w:after="0"/>
        <w:rPr>
          <w:sz w:val="20"/>
          <w:szCs w:val="20"/>
          <w:color w:val="auto"/>
        </w:rPr>
      </w:pPr>
      <w:r>
        <w:rPr>
          <w:rFonts w:ascii="Times New Roman" w:cs="Times New Roman" w:eastAsia="Times New Roman" w:hAnsi="Times New Roman"/>
          <w:sz w:val="20"/>
          <w:szCs w:val="20"/>
          <w:color w:val="auto"/>
        </w:rPr>
        <w:t>any other applicable laws.”</w:t>
      </w:r>
    </w:p>
    <w:p>
      <w:pPr>
        <w:spacing w:after="0" w:line="194"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8.02 Certain ERISA Matters</w:t>
      </w:r>
      <w:r>
        <w:rPr>
          <w:rFonts w:ascii="Times New Roman" w:cs="Times New Roman" w:eastAsia="Times New Roman" w:hAnsi="Times New Roman"/>
          <w:sz w:val="20"/>
          <w:szCs w:val="20"/>
          <w:color w:val="auto"/>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Parent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20"/>
          </w:cols>
          <w:pgMar w:left="320" w:top="1413" w:right="359" w:bottom="1440" w:gutter="0" w:footer="0" w:header="0"/>
        </w:sectPr>
      </w:pPr>
    </w:p>
    <w:bookmarkStart w:id="194" w:name="page195"/>
    <w:bookmarkEnd w:id="194"/>
    <w:p>
      <w:pPr>
        <w:ind w:left="328" w:right="120" w:firstLine="644"/>
        <w:spacing w:after="0" w:line="269" w:lineRule="auto"/>
        <w:tabs>
          <w:tab w:leader="none" w:pos="1361"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59" w:lineRule="exact"/>
        <w:rPr>
          <w:rFonts w:ascii="Times New Roman" w:cs="Times New Roman" w:eastAsia="Times New Roman" w:hAnsi="Times New Roman"/>
          <w:sz w:val="20"/>
          <w:szCs w:val="20"/>
          <w:color w:val="auto"/>
        </w:rPr>
      </w:pPr>
    </w:p>
    <w:p>
      <w:pPr>
        <w:ind w:left="328" w:right="40" w:firstLine="644"/>
        <w:spacing w:after="0" w:line="244" w:lineRule="auto"/>
        <w:tabs>
          <w:tab w:leader="none" w:pos="1465"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ind w:left="328" w:right="100" w:firstLine="644"/>
        <w:spacing w:after="0" w:line="244" w:lineRule="auto"/>
        <w:tabs>
          <w:tab w:leader="none" w:pos="152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5" w:lineRule="exact"/>
        <w:rPr>
          <w:rFonts w:ascii="Times New Roman" w:cs="Times New Roman" w:eastAsia="Times New Roman" w:hAnsi="Times New Roman"/>
          <w:sz w:val="20"/>
          <w:szCs w:val="20"/>
          <w:color w:val="auto"/>
        </w:rPr>
      </w:pPr>
    </w:p>
    <w:p>
      <w:pPr>
        <w:ind w:left="328" w:right="20" w:firstLine="644"/>
        <w:spacing w:after="0" w:line="269" w:lineRule="auto"/>
        <w:tabs>
          <w:tab w:leader="none" w:pos="1509"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ind w:left="8" w:right="20" w:firstLine="1288"/>
        <w:spacing w:after="0" w:line="258" w:lineRule="auto"/>
        <w:tabs>
          <w:tab w:leader="none" w:pos="1733" w:val="left"/>
        </w:tabs>
        <w:numPr>
          <w:ilvl w:val="2"/>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Parent Borrower or any other Loan Party, that none of the Administrative Agent, any Syndication Agent, any 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73" w:lineRule="exact"/>
        <w:rPr>
          <w:rFonts w:ascii="Times New Roman" w:cs="Times New Roman" w:eastAsia="Times New Roman" w:hAnsi="Times New Roman"/>
          <w:sz w:val="19"/>
          <w:szCs w:val="19"/>
          <w:color w:val="auto"/>
        </w:rPr>
      </w:pPr>
    </w:p>
    <w:p>
      <w:pPr>
        <w:ind w:left="8" w:firstLine="1288"/>
        <w:spacing w:after="0" w:line="256" w:lineRule="auto"/>
        <w:tabs>
          <w:tab w:leader="none" w:pos="1718" w:val="left"/>
        </w:tabs>
        <w:numPr>
          <w:ilvl w:val="2"/>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w:t>
      </w:r>
    </w:p>
    <w:p>
      <w:pPr>
        <w:ind w:left="8" w:right="300" w:hanging="8"/>
        <w:spacing w:after="0" w:line="242" w:lineRule="auto"/>
        <w:tabs>
          <w:tab w:leader="none" w:pos="35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0908"/>
          </w:cols>
          <w:pgMar w:left="652" w:top="1413" w:right="339" w:bottom="1440" w:gutter="0" w:footer="0" w:header="0"/>
        </w:sectPr>
      </w:pPr>
    </w:p>
    <w:bookmarkStart w:id="195" w:name="page196"/>
    <w:bookmarkEnd w:id="195"/>
    <w:p>
      <w:pPr>
        <w:ind w:left="340" w:right="180"/>
        <w:spacing w:after="0" w:line="295" w:lineRule="auto"/>
        <w:rPr>
          <w:sz w:val="20"/>
          <w:szCs w:val="20"/>
          <w:color w:val="auto"/>
        </w:rPr>
      </w:pPr>
      <w:r>
        <w:rPr>
          <w:rFonts w:ascii="Times New Roman" w:cs="Times New Roman" w:eastAsia="Times New Roman" w:hAnsi="Times New Roman"/>
          <w:sz w:val="19"/>
          <w:szCs w:val="19"/>
          <w:color w:val="auto"/>
        </w:rPr>
        <w:t>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38"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9"/>
          <w:szCs w:val="19"/>
          <w:u w:val="single" w:color="auto"/>
          <w:color w:val="auto"/>
        </w:rPr>
        <w:t>SECTION 8.03 Payment and Payment Notice; Additional Acknowledgements</w:t>
      </w:r>
      <w:r>
        <w:rPr>
          <w:rFonts w:ascii="Times New Roman" w:cs="Times New Roman" w:eastAsia="Times New Roman" w:hAnsi="Times New Roman"/>
          <w:sz w:val="19"/>
          <w:szCs w:val="19"/>
          <w:color w:val="auto"/>
        </w:rPr>
        <w:t>. Each Lender and Issuing Bank hereby agrees that (x)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Section 8.03 shall be conclusive, absent manifest error.</w:t>
      </w:r>
    </w:p>
    <w:p>
      <w:pPr>
        <w:spacing w:after="0" w:line="179" w:lineRule="exact"/>
        <w:rPr>
          <w:sz w:val="20"/>
          <w:szCs w:val="20"/>
          <w:color w:val="auto"/>
        </w:rPr>
      </w:pPr>
    </w:p>
    <w:p>
      <w:pPr>
        <w:ind w:left="340" w:right="120" w:firstLine="1288"/>
        <w:spacing w:after="0" w:line="256" w:lineRule="auto"/>
        <w:tabs>
          <w:tab w:leader="none" w:pos="2065"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or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7" w:lineRule="exact"/>
        <w:rPr>
          <w:rFonts w:ascii="Times New Roman" w:cs="Times New Roman" w:eastAsia="Times New Roman" w:hAnsi="Times New Roman"/>
          <w:sz w:val="19"/>
          <w:szCs w:val="19"/>
          <w:color w:val="auto"/>
        </w:rPr>
      </w:pPr>
    </w:p>
    <w:p>
      <w:pPr>
        <w:ind w:left="340" w:right="60" w:firstLine="1288"/>
        <w:spacing w:after="0" w:line="246" w:lineRule="auto"/>
        <w:tabs>
          <w:tab w:leader="none" w:pos="205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Loan Party hereby agrees that (x)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any Borrower or any other Loan Party.</w:t>
      </w:r>
    </w:p>
    <w:p>
      <w:pPr>
        <w:spacing w:after="0" w:line="184" w:lineRule="exact"/>
        <w:rPr>
          <w:rFonts w:ascii="Times New Roman" w:cs="Times New Roman" w:eastAsia="Times New Roman" w:hAnsi="Times New Roman"/>
          <w:sz w:val="20"/>
          <w:szCs w:val="20"/>
          <w:color w:val="auto"/>
        </w:rPr>
      </w:pPr>
    </w:p>
    <w:p>
      <w:pPr>
        <w:ind w:left="340" w:right="20" w:firstLine="1288"/>
        <w:spacing w:after="0" w:line="254" w:lineRule="auto"/>
        <w:tabs>
          <w:tab w:leader="none" w:pos="206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8.03 shall survive the resignation or replacement of the Administrative Agent or any transfer of rights or obligations by, or the replacement of, a Lender or Issuing Bank,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00"/>
          </w:cols>
          <w:pgMar w:left="320" w:top="1413" w:right="379" w:bottom="1440" w:gutter="0" w:footer="0" w:header="0"/>
        </w:sectPr>
      </w:pPr>
    </w:p>
    <w:bookmarkStart w:id="196" w:name="page197"/>
    <w:bookmarkEnd w:id="196"/>
    <w:p>
      <w:pPr>
        <w:ind w:left="340" w:firstLine="1288"/>
        <w:spacing w:after="0" w:line="241" w:lineRule="auto"/>
        <w:tabs>
          <w:tab w:leader="none" w:pos="205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93"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8.04 Borrower Communications</w:t>
      </w:r>
      <w:r>
        <w:rPr>
          <w:rFonts w:ascii="Times New Roman" w:cs="Times New Roman" w:eastAsia="Times New Roman" w:hAnsi="Times New Roman"/>
          <w:sz w:val="20"/>
          <w:szCs w:val="20"/>
          <w:color w:val="auto"/>
        </w:rPr>
        <w:t>(a) . (a) The Administrative Agent, the Lenders and the Issuing Banks agree that the Parent Borrower and any Foreign Subsidiary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340" w:right="80" w:firstLine="1288"/>
        <w:spacing w:after="0" w:line="258" w:lineRule="auto"/>
        <w:tabs>
          <w:tab w:leader="none" w:pos="2054"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Although the Approved Borrower Portal and its primary web portal are secured with generally-applicable security procedures and policies implemented or modified by the Administrative Agent from time to time (including, as of the Third Restatement Date, a user ID/password authorization system) each of the Lenders, each Issuing Bank, the Parent Borrower and each Foreign Subsidiary Borrower acknowledges and agrees that the distribution of material through an electronic medium is not necessarily secure, that the Administrative Agent is not responsible for approving or vetting the representatives or contacts of the Parent Borrower and each Foreign Subsidiary Borrower that are added to the Approved Borrower Portal, and that there may be confidentiality and other risks associated with such distribution. Each of the Lenders, each Issuing Bank and the Borrower hereby approves distribution of Borrower Communications through the Approved Borrower Portal and understands and assumes the risks of such distribution.</w:t>
      </w:r>
    </w:p>
    <w:p>
      <w:pPr>
        <w:spacing w:after="0" w:line="173" w:lineRule="exact"/>
        <w:rPr>
          <w:rFonts w:ascii="Times New Roman" w:cs="Times New Roman" w:eastAsia="Times New Roman" w:hAnsi="Times New Roman"/>
          <w:sz w:val="19"/>
          <w:szCs w:val="19"/>
          <w:color w:val="auto"/>
        </w:rPr>
      </w:pPr>
    </w:p>
    <w:p>
      <w:pPr>
        <w:ind w:left="340" w:right="40" w:firstLine="1288"/>
        <w:spacing w:after="0" w:line="258" w:lineRule="auto"/>
        <w:tabs>
          <w:tab w:leader="none" w:pos="205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BORROWER COMMUNICATIONS OR THE APPROVED BORROWER PORTAL. IN NO EVENT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13" w:right="339" w:bottom="1440" w:gutter="0" w:footer="0" w:header="0"/>
        </w:sectPr>
      </w:pPr>
    </w:p>
    <w:bookmarkStart w:id="197" w:name="page198"/>
    <w:bookmarkEnd w:id="197"/>
    <w:p>
      <w:pPr>
        <w:ind w:left="340"/>
        <w:spacing w:after="0" w:line="243" w:lineRule="auto"/>
        <w:rPr>
          <w:sz w:val="20"/>
          <w:szCs w:val="20"/>
          <w:color w:val="auto"/>
        </w:rPr>
      </w:pPr>
      <w:r>
        <w:rPr>
          <w:rFonts w:ascii="Times New Roman" w:cs="Times New Roman" w:eastAsia="Times New Roman" w:hAnsi="Times New Roman"/>
          <w:sz w:val="20"/>
          <w:szCs w:val="20"/>
          <w:color w:val="auto"/>
        </w:rPr>
        <w:t>THE ADMINISTRATIVE AGENT, ANY ARRANGER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SUCH DAMAGES, LOSSES OR EXPENSES ARE DETERMINED BY A COURT OF COMPETENT JURISDICTION BY A FINAL AND NONAPPEALABLE JUDGMENT TO HAVE RESULTED FROM THE GROSS NEGLIGENCE, WILLFUL MISCONDUCT OR BAD FAITH OF SUCH APPLICABLE PARTY OR ANY OF ITS AFFILIATES.</w:t>
      </w:r>
    </w:p>
    <w:p>
      <w:pPr>
        <w:spacing w:after="0" w:line="186" w:lineRule="exact"/>
        <w:rPr>
          <w:sz w:val="20"/>
          <w:szCs w:val="20"/>
          <w:color w:val="auto"/>
        </w:rPr>
      </w:pPr>
    </w:p>
    <w:p>
      <w:pPr>
        <w:jc w:val="both"/>
        <w:ind w:left="340" w:right="600" w:firstLine="1288"/>
        <w:spacing w:after="0" w:line="254" w:lineRule="auto"/>
        <w:tabs>
          <w:tab w:leader="none" w:pos="206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Bank agrees that notice to it (as provided in the next sentence) specifying that Borrower Communications have been posted to the Approved Borrower Portal shall constitute effective delivery of the Borrower Communications to such Lender or Issuing Bank for purposes of the Loan Documents.</w:t>
      </w:r>
    </w:p>
    <w:p>
      <w:pPr>
        <w:spacing w:after="0" w:line="174" w:lineRule="exact"/>
        <w:rPr>
          <w:rFonts w:ascii="Times New Roman" w:cs="Times New Roman" w:eastAsia="Times New Roman" w:hAnsi="Times New Roman"/>
          <w:sz w:val="20"/>
          <w:szCs w:val="20"/>
          <w:color w:val="auto"/>
        </w:rPr>
      </w:pPr>
    </w:p>
    <w:p>
      <w:pPr>
        <w:ind w:left="340" w:right="20" w:firstLine="1288"/>
        <w:spacing w:after="0" w:line="249" w:lineRule="auto"/>
        <w:tabs>
          <w:tab w:leader="none" w:pos="2053"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each Issuing Bank, the Parent Borrower and each Foreign Subsidiary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9" w:lineRule="exact"/>
        <w:rPr>
          <w:rFonts w:ascii="Times New Roman" w:cs="Times New Roman" w:eastAsia="Times New Roman" w:hAnsi="Times New Roman"/>
          <w:sz w:val="20"/>
          <w:szCs w:val="20"/>
          <w:color w:val="auto"/>
        </w:rPr>
      </w:pPr>
    </w:p>
    <w:p>
      <w:pPr>
        <w:ind w:left="340" w:right="360" w:firstLine="1288"/>
        <w:spacing w:after="0" w:line="269" w:lineRule="auto"/>
        <w:tabs>
          <w:tab w:leader="none" w:pos="2032"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Parent Borrower or any Foreign Subsidiary Borrower to give any notice or other communication pursuant to any Loan Document in any other manner specified in such Loan Document.</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u w:val="single" w:color="auto"/>
          <w:color w:val="auto"/>
        </w:rPr>
        <w:t>ARTICLE X</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ind w:right="24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10.01 Notices</w:t>
      </w:r>
      <w:r>
        <w:rPr>
          <w:rFonts w:ascii="Times New Roman" w:cs="Times New Roman" w:eastAsia="Times New Roman" w:hAnsi="Times New Roman"/>
          <w:sz w:val="20"/>
          <w:szCs w:val="20"/>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74" w:lineRule="exact"/>
        <w:rPr>
          <w:sz w:val="20"/>
          <w:szCs w:val="20"/>
          <w:color w:val="auto"/>
        </w:rPr>
      </w:pPr>
    </w:p>
    <w:p>
      <w:pPr>
        <w:ind w:left="660" w:right="320" w:firstLine="644"/>
        <w:spacing w:after="0" w:line="254" w:lineRule="auto"/>
        <w:tabs>
          <w:tab w:leader="none" w:pos="172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Holdings, the Parent Borrower or any Foreign Subsidiary Borrower, to the Parent Borrower (on behalf of itself, Holdings and any Foreign Subsidiary Borrower) at 38505 Woodward Avenue, Suite 200, Bloomfield Hills, Michigan 48304, Attention of Jodi Robin, General Counsel (Telephone No. (248) 631-5475, Telecopy No. (888) 318-8873),</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Rachel L. Rawson, Esq.</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Jones Day</w:t>
      </w:r>
    </w:p>
    <w:p>
      <w:pPr>
        <w:ind w:left="1300"/>
        <w:spacing w:after="0"/>
        <w:rPr>
          <w:sz w:val="20"/>
          <w:szCs w:val="20"/>
          <w:color w:val="auto"/>
        </w:rPr>
      </w:pPr>
      <w:r>
        <w:rPr>
          <w:rFonts w:ascii="Times New Roman" w:cs="Times New Roman" w:eastAsia="Times New Roman" w:hAnsi="Times New Roman"/>
          <w:sz w:val="20"/>
          <w:szCs w:val="20"/>
          <w:color w:val="auto"/>
        </w:rPr>
        <w:t>100 High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20"/>
          </w:cols>
          <w:pgMar w:left="320" w:top="1413" w:right="359" w:bottom="1440" w:gutter="0" w:footer="0" w:header="0"/>
        </w:sectPr>
      </w:pPr>
    </w:p>
    <w:bookmarkStart w:id="198" w:name="page199"/>
    <w:bookmarkEnd w:id="198"/>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Boston, Massachusetts 02110</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(Telecopy No. 617);</w:t>
      </w:r>
    </w:p>
    <w:p>
      <w:pPr>
        <w:spacing w:after="0" w:line="194" w:lineRule="exact"/>
        <w:rPr>
          <w:sz w:val="20"/>
          <w:szCs w:val="20"/>
          <w:color w:val="auto"/>
        </w:rPr>
      </w:pPr>
    </w:p>
    <w:p>
      <w:pPr>
        <w:ind w:left="1740" w:hanging="436"/>
        <w:spacing w:after="0"/>
        <w:tabs>
          <w:tab w:leader="none" w:pos="17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from the Borrower, to the address or addresses separately provided to the Borrower;</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from the Lenders, to the address or addresses separately provided to the Lenders;</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JPMCB, as an Issuing Bank, to it at the address separately provided to the Borrower, and;</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JPMCB, as a Swingline Lender, to it at the address separately provided to the Borrower; and</w:t>
      </w:r>
    </w:p>
    <w:p>
      <w:pPr>
        <w:spacing w:after="0" w:line="215" w:lineRule="exact"/>
        <w:rPr>
          <w:rFonts w:ascii="Times New Roman" w:cs="Times New Roman" w:eastAsia="Times New Roman" w:hAnsi="Times New Roman"/>
          <w:sz w:val="20"/>
          <w:szCs w:val="20"/>
          <w:color w:val="auto"/>
        </w:rPr>
      </w:pPr>
    </w:p>
    <w:p>
      <w:pPr>
        <w:ind w:left="660" w:right="640" w:firstLine="644"/>
        <w:spacing w:after="0" w:line="269" w:lineRule="auto"/>
        <w:tabs>
          <w:tab w:leader="none" w:pos="170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Swingline Lender or Issuing Bank, to it at its address (or telecopy number) set forth in its Administrative Questionnaire.</w:t>
      </w:r>
    </w:p>
    <w:p>
      <w:pPr>
        <w:spacing w:after="0" w:line="159"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4"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0"/>
          <w:szCs w:val="20"/>
          <w:u w:val="single" w:color="auto"/>
          <w:color w:val="auto"/>
        </w:rPr>
        <w:t>SECTION 10.02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40" w:firstLine="1288"/>
        <w:spacing w:after="0" w:line="242" w:lineRule="auto"/>
        <w:tabs>
          <w:tab w:leader="none" w:pos="205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92" w:lineRule="exact"/>
        <w:rPr>
          <w:rFonts w:ascii="Times New Roman" w:cs="Times New Roman" w:eastAsia="Times New Roman" w:hAnsi="Times New Roman"/>
          <w:sz w:val="20"/>
          <w:szCs w:val="20"/>
          <w:color w:val="auto"/>
        </w:rPr>
      </w:pPr>
    </w:p>
    <w:p>
      <w:pPr>
        <w:ind w:left="340" w:firstLine="1288"/>
        <w:spacing w:after="0" w:line="243" w:lineRule="auto"/>
        <w:tabs>
          <w:tab w:leader="none" w:pos="206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Section 2.14, Section 2.20 and Section 2.21, neither this Agreement nor any other Loan Document nor any provision hereof or thereof may be waived, amended or modified except, in the case of this Agreement, pursuant to an agreement or agreements in writing entered into by Holdings, the Parent Borrower, each Foreign Subsidiary Borrower (but only to the extent such waiver, amendment or modification relates to such Foreign Subsidiary Borrower) and the Required Lenders or, in the case of any other Loan Document, pursuant to an agreement or agreements in writing entered into by the Administrative Agent and the Loan Party or Loan Parties that are parties thereto, in each case with the written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(ii) reduce the principal amount of any Loan or LC Disbursement or reduce the rate of interest thereon, or reduce any fees or other amounts payable hereunder, without the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20"/>
          </w:cols>
          <w:pgMar w:left="320" w:top="1440"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color w:val="auto"/>
        </w:rPr>
        <w:t>of each Lender directly affected thereby (except that (x) neither (1) any amendment or modification of the financial covenants in this Agreement (or defined terms used in the financial covenants in this Agreement) nor (2) periodic adjustments of interest rates and fees resulting from a change in the Applicable Rate as provided for in the Agreement shall constitute a reduction in the rate of interest or fees for purposes of this clause (ii) and (y) only the consent of the Required Lenders shall be necessary to reduce or waive any obligation of the Parent Borrower or any Foreign Subsidiary Borrower to pay interest or any other amount as the applicable default rate set forth in Section 2.13(c) or to amend Section 2.13(c)), (iii) postpone the maturity of any Loan, or the required date of reimbursement of any LC Disbursement, or any date for the payment of any interest, fees or other amounts payable hereunder, or reduce or forgive the amount of, waive or excuse any such payment, or postpone the scheduled date of expiration of any Commitment or postpone the scheduled date of expiration of any Letter of Credit beyond the Revolving Maturity Date, without the written consent of each Lender affected thereby, (iv) change Section 2.18(a), (b) or (c) in a manner that would alter the pro rata sharing of payments required thereby, without the written consent of each Lender, (v) change the definition of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or any other provision of any Loan Document (including this Section)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Holdings from its Guarantee or all or substantially all of the value of the Guarantees provided by the other Subsidiary Loan Parties (except as expressly provided in the Guarantee Agreement), or limit its liability in respect of such Guarantee, without the written consent of each Lender, (vii) release all or substantially all of the Collateral from the Liens of the Security Documents, (viii) except as expressly set forth in the Loan Documents as of the Third Restatement Date or as provided in any debtor-in-possession (or equivalent financing), subordinate (or have the effect of subordinating) the Liens of the Security Documents or the Obligations under the Loan Documents to other Indebtedness, in each case, without the written consent of each Lender, (ix) change the order of priority of payments set forth in Section 5.02 of the Security Agreement or Section 7 of the Pledge Agreement, in each case without the written consent of each Lender, (x) change any provision of any Loan Document in a manner that by its terms adversely affects the rights in respect of payments due to Lenders holding Loans of any Class differently than those holdings Loans of any other Class, without the written consent of Lenders holding a majority in interest of the outstanding Loans and unused Commitments of each affected Class or (xi) require any Lender to make any extension of credit hereunder in a currency other than dollars or another currency agreed by such Lender as a currency in which such Lender will make extensions of credit available hereunder, without the written consent of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 no such agreement shall amend, modify or otherwise affect the rights or duties of the Administrative Agent, the Fronting Lender, the Issuing Bank or the Swingline Lenders without the prior written consent of the Administrative Agent, the Fronting Lender, the Issuing Bank or the Swingline Lenders, as the case may be and (B) any waiver, amendment or modification of this Agreement that by its terms affects the rights or duties under this Agreement of the Lenders of a particular Class (but not the Lenders of any other Class) may be effected by an agreement or agreements in writing entered into by Holdings, the Parent Borrower, each Foreign Subsidiary Borrower (but only to the extent such waiver, amendment or modification relates to such Foreign Subsidiary Borrower) and requisite percentage in interest of the affected Class of Lenders that would be required to consent thereto under this Section if such Class of Lenders were the only Class of Lenders hereunder at the time. Notwithstanding the foregoing, any provision of this Agreement may be amended by an agreement in writing entered into by Holdings, the Parent Borrower, each Foreign Subsidiary Borrower (but only to the extent such waiver, amendment or modification relates to such Foreign Subsidiary Borrower), the Required Lenders and the Administrative Agent (and, if their rights or obligations are affected thereby, the Issuing Bank, the Fronting Lender and the Swingline Lenders) if (i) by the terms of such agreement the Commitment of each Lender not consenting to the amendment provided for therein shall terminate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0900"/>
          </w:cols>
          <w:pgMar w:left="660" w:top="1413" w:right="339" w:bottom="1440" w:gutter="0" w:footer="0" w:header="0"/>
        </w:sectPr>
      </w:pPr>
    </w:p>
    <w:bookmarkStart w:id="200" w:name="page201"/>
    <w:bookmarkEnd w:id="200"/>
    <w:p>
      <w:pPr>
        <w:ind w:right="320"/>
        <w:spacing w:after="0" w:line="254" w:lineRule="auto"/>
        <w:rPr>
          <w:sz w:val="20"/>
          <w:szCs w:val="20"/>
          <w:color w:val="auto"/>
        </w:rPr>
      </w:pPr>
      <w:r>
        <w:rPr>
          <w:rFonts w:ascii="Times New Roman" w:cs="Times New Roman" w:eastAsia="Times New Roman" w:hAnsi="Times New Roman"/>
          <w:sz w:val="20"/>
          <w:szCs w:val="20"/>
          <w:color w:val="auto"/>
        </w:rPr>
        <w:t>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spacing w:after="0" w:line="174" w:lineRule="exact"/>
        <w:rPr>
          <w:sz w:val="20"/>
          <w:szCs w:val="20"/>
          <w:color w:val="auto"/>
        </w:rPr>
      </w:pPr>
    </w:p>
    <w:p>
      <w:pPr>
        <w:ind w:firstLine="1288"/>
        <w:spacing w:after="0" w:line="241" w:lineRule="auto"/>
        <w:tabs>
          <w:tab w:leader="none" w:pos="171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proposed amendment, modification, waiver or termination (a “</w:t>
      </w:r>
      <w:r>
        <w:rPr>
          <w:rFonts w:ascii="Times New Roman" w:cs="Times New Roman" w:eastAsia="Times New Roman" w:hAnsi="Times New Roman"/>
          <w:sz w:val="20"/>
          <w:szCs w:val="20"/>
          <w:u w:val="single" w:color="auto"/>
          <w:color w:val="auto"/>
        </w:rPr>
        <w:t>Proposed Change</w:t>
      </w:r>
      <w:r>
        <w:rPr>
          <w:rFonts w:ascii="Times New Roman" w:cs="Times New Roman" w:eastAsia="Times New Roman" w:hAnsi="Times New Roman"/>
          <w:sz w:val="20"/>
          <w:szCs w:val="20"/>
          <w:color w:val="auto"/>
        </w:rPr>
        <w:t>”) requiring the consent of all Lenders or all affected Lenders, if the consent of the Required Lenders (and, to the extent any Proposed Change requires the consent of Lenders holding Loans of any Class pursuant to clause (v) or (ix) of paragraph (b) of this Section, the consent of at least 50%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then, so long as the Lender that is acting as Administrative Agent is not a Non-Consenting Lender, the Parent Borrower may, at its sole expense and effort, upon notice to such Non-Consenting Lender and the Administrative Agent, require such Non-Consenting Lender to assign and delegate, without recourse (in accordance with and subject to the restrictions contained in Section 10.04), all its interests, rights and obligations under this Agreement to an assignee that shall assume such obligations (which assignee may be another Lender, if a Lender accepts such assignment), provided that (a) the Parent Borrower shall have received the prior written consent of the Administrative Agent, the Fronting Lender, the Issuing Bank and the Swingline Lenders, which consent shall not be unreasonably withheld, (b) such Non-Consenting Lender shall have received payment of an amount equal to the outstanding principal of its Loans and participations in LC Disbursements, Swingline Loans and Foreign Currency Loans, accrued interest thereon, accrued fees and all other amounts payable to it hereunder from the assignee (to the extent of such outstanding principal and accrued interest and fees) or the Parent Borrower (in the case of all other amounts), (c) the Parent Borrower or such assignee shall have paid to the Administrative Agent the processing and recordation fee specified in Section 10.04(b), (d) such assignee shall consent to such Proposed Change and (e) if such Non-Consenting Lender is acting as the Administrative Agent, it will not be required to assign and delegate its interests, rights and obligations as Administrative Agent under this Agreement.</w:t>
      </w:r>
    </w:p>
    <w:p>
      <w:pPr>
        <w:spacing w:after="0" w:line="188" w:lineRule="exact"/>
        <w:rPr>
          <w:rFonts w:ascii="Times New Roman" w:cs="Times New Roman" w:eastAsia="Times New Roman" w:hAnsi="Times New Roman"/>
          <w:sz w:val="20"/>
          <w:szCs w:val="20"/>
          <w:color w:val="auto"/>
        </w:rPr>
      </w:pPr>
    </w:p>
    <w:p>
      <w:pPr>
        <w:ind w:right="80" w:firstLine="1288"/>
        <w:spacing w:after="0" w:line="241" w:lineRule="auto"/>
        <w:tabs>
          <w:tab w:leader="none" w:pos="172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 the Administrative Agent and the Parent Borrower may amend, modify or supplement any Loan Document without the consent of any Lender or the Required Lenders in order to correct, amend or cure any ambiguity, inconsistency or defect or correct any typographical error or other manifest error in any Loan Document, (ii) this Agreement may be amended with the written consent of the Administrative Agent, the Parent Borrower and the Lenders providing the relevant Replacement Revolving Facility (as defined below) to permit the refinancing, replacement or modification of all or any portion of the Revolving Commitments and Revolving Loans (a “</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with a replacement revolving facility hereunder (a “</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amount of such Replacement Revolving Facility shall not exceed the aggregate amount of such Replaced 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unpaid accrued interest and premium thereon at such time plus reasonable fees and expenses incurred in connection with such replacement), (b) the terms of the Replacement Revolving Facility (1) (excluding pricing, fees and rate floors and optional prepayment or redemption terms and subject to clause (2) below) reflect, in the Parent Borrower’s reasonable judgment, then-existing market terms and conditions and (2) (excluding pricing, fees and rate floors) are no more favorable (when taken as a whole) to the lenders providing the Replacement Revolving Facility than those applicable to the Replaced Revolving Facility (in each case, including with respect to mandatory and optional prepayments);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covenants or other provisions applicable only to periods after the Latest Maturity Date in effect immediately prior to the establishment of such Replacement Revolving Facility;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Replacement Revolving Facility shall not contain covenants and events of default that are more favorable to the lenders providing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0900"/>
          </w:cols>
          <w:pgMar w:left="660" w:top="1413" w:right="339" w:bottom="1440" w:gutter="0" w:footer="0" w:header="0"/>
        </w:sectPr>
      </w:pPr>
    </w:p>
    <w:bookmarkStart w:id="201" w:name="page202"/>
    <w:bookmarkEnd w:id="201"/>
    <w:p>
      <w:pPr>
        <w:ind w:right="20"/>
        <w:spacing w:after="0" w:line="241" w:lineRule="auto"/>
        <w:rPr>
          <w:sz w:val="20"/>
          <w:szCs w:val="20"/>
          <w:color w:val="auto"/>
        </w:rPr>
      </w:pPr>
      <w:r>
        <w:rPr>
          <w:rFonts w:ascii="Times New Roman" w:cs="Times New Roman" w:eastAsia="Times New Roman" w:hAnsi="Times New Roman"/>
          <w:sz w:val="20"/>
          <w:szCs w:val="20"/>
          <w:color w:val="auto"/>
        </w:rPr>
        <w:t>Replacement Revolving Facility than the covenants and events of default applicable to the Replaced Revolving Facility unless such covenants or events of defaults apply only to periods after the Latest Maturity Date in effect immediately prior to the establishment of such Replacement Revolving Facility or the Lenders receive the benefits of such additional covenants, events of default or more restrictive covenants, (c) the maturity date with respect to any Replacement Revolving Facility shall be no earlier than the maturity date with respect to the Replaced Revolving Facility, (d) no Subsidiary that is not originally obligated with respect to repayment of the Replaced Revolving Facility is obligated with respect to the Replacement Revolving Facility, unless such Subsidiary becomes obligated on a pari passu basis in respect of any other then outstanding Loans and Commitments, and (e) any Person that the Parent Borrower proposes to become a lender in respect of the Replacement Revolving Facility, if such Person is not then a Lender, must be reasonably acceptable to the Administrative Agent, the Fronting Lender, the Issuing Banks and the Swingline Lenders. Notwithstanding the foregoing, in no event shall there be more than three maturity dates in respect of the Revolving Commitments (including any Extended Revolving Commitments or Replacement Revolving Facilities) and (iii) the Administrative Agent, the Parent Borrower and any financial institution may, without the consent of any other Lender or the Required Lenders, agree to designate such financial institution as an additional Swingline Lender and, upon such designation in writing, such additional financial institutions shall become a Swingline Lender under this Agreement and be subject to all rights, duties and obligations of a Swingline Lender.</w:t>
      </w:r>
    </w:p>
    <w:p>
      <w:pPr>
        <w:spacing w:after="0" w:line="196" w:lineRule="exact"/>
        <w:rPr>
          <w:sz w:val="20"/>
          <w:szCs w:val="20"/>
          <w:color w:val="auto"/>
        </w:rPr>
      </w:pPr>
    </w:p>
    <w:p>
      <w:pPr>
        <w:ind w:left="960"/>
        <w:spacing w:after="0"/>
        <w:tabs>
          <w:tab w:leader="none" w:pos="2480" w:val="left"/>
        </w:tabs>
        <w:rPr>
          <w:sz w:val="20"/>
          <w:szCs w:val="20"/>
          <w:color w:val="auto"/>
        </w:rPr>
      </w:pPr>
      <w:r>
        <w:rPr>
          <w:rFonts w:ascii="Times New Roman" w:cs="Times New Roman" w:eastAsia="Times New Roman" w:hAnsi="Times New Roman"/>
          <w:sz w:val="20"/>
          <w:szCs w:val="20"/>
          <w:u w:val="single" w:color="auto"/>
          <w:color w:val="auto"/>
        </w:rPr>
        <w:t>SECTION 10.03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88"/>
        <w:spacing w:after="0" w:line="241" w:lineRule="auto"/>
        <w:tabs>
          <w:tab w:leader="none" w:pos="171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Parent Borrower and each Foreign Subsidiary Borrower, jointly and severally, shall pay (i) all reasonable, documented out-of-pocket expenses incurred by the Administrative Agent, the Collateral Agent and their respective Affiliates (which shall be limited, in the case of legal fees and expenses to the reasonable and documented fees, disbursements and other charges of one primary counsel, one special regulatory counsel if reasonably necessary and one local counsel in each relevant jurisdiction, to such persons, taken as a whole, and, solely in the case of an actual or reasonably perceived conflict of interest, one additional counsel for each affected person (and one additional local counsel in each relevant jurisdiction to each affected person)), in connection with the syndication of the credit facilities provided for herein, due diligence investigation, the preparation and administration of the Loan Documents or any amendments, modifications or waivers of the provisions thereof (whether or not the transactions contemplated hereby or thereby shall be consummated), (ii) all reasonable, documented out of-pocket expenses incurred by the Issuing Bank in connection with the issuance, amendment, renewal or extension of any Letter of Credit or any demand for payment thereunder and (iii) all reasonable, documented out-of-pocket expenses incurred by the Administrative Agent, the Collateral Agent, the Issuing Bank or any Lender (which shall be limited, in the case of legal fees and expenses to the reasonable and documented fees, disbursements and other charges of one primary counsel, one special regulatory counsel if reasonably necessary and one local counsel in each relevant jurisdiction, to such persons, taken as a whole, and, solely in the case of an actual or reasonably perceived conflict of interest, one additional counsel for each affected person (and one additional local counsel in each relevant jurisdiction to each affected person))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0" w:lineRule="exact"/>
        <w:rPr>
          <w:rFonts w:ascii="Times New Roman" w:cs="Times New Roman" w:eastAsia="Times New Roman" w:hAnsi="Times New Roman"/>
          <w:sz w:val="20"/>
          <w:szCs w:val="20"/>
          <w:color w:val="auto"/>
        </w:rPr>
      </w:pPr>
    </w:p>
    <w:p>
      <w:pPr>
        <w:ind w:right="300" w:firstLine="1288"/>
        <w:spacing w:after="0" w:line="274" w:lineRule="auto"/>
        <w:tabs>
          <w:tab w:leader="none" w:pos="1725"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the Parent Borrower and each Foreign Subsidiary Borrower, jointly and severally, shall indemnify the Agents, the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Liabilities and related expenses (including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0880"/>
          </w:cols>
          <w:pgMar w:left="660" w:top="1413" w:right="359" w:bottom="1440" w:gutter="0" w:footer="0" w:header="0"/>
        </w:sectPr>
      </w:pPr>
    </w:p>
    <w:bookmarkStart w:id="202" w:name="page203"/>
    <w:bookmarkEnd w:id="202"/>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result of any conversion of amounts outstanding hereunder from one currency to another currency as provided hereunder), including the reasonable fees, charges and disbursements of any counsel for any Indemnitee (which shall be limited, in the case of legal fees and expenses, to the reasonable and documented fees, disbursements and other charges of one primary counsel, one special regulatory counsel if reasonably necessary and one local counsel in each relevant jurisdiction, to such persons, taken as a whole, and, solely in the case of an actual or reasonably perceived conflict of interest, one additional counsel for each affected person and one additional local counsel in each relevant jurisdiction to each affected person),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Mortgaged Property or any other property currently or formerly owned or operated by Holdings, the Parent Borrower or any Subsidiary, or any Environmental Liability related in any way to Holdings, the Parent Borrower or any Subsidiary, or (iv) any actual or prospective Proceeding relating to any of the foregoing, whether based on contract, tort or any other theory and regardless of whether or not such Proceeding is brought by Holdings, any Borrower or any other Loan Party or its or their respective equity holders, Affiliates, creditors or any other third Person and whether based on contract, tort or any other theory or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(x) are determined by a court of competent jurisdiction by final and nonappealable judgment to have resulted from (i) the gross negligence, bad faith or willful misconduct of such Indemnitee (or any of its Controlled Related Parties (as defined below)) or (ii) the material breach by such Indemnitee of any of its express obligations under this Agreement pursuant to a claim initiated by the Parent Borrower or (y) result from any disputes solely among Indemnitees and not arising out of any act or omission of the Parent Borrower or any of its Affiliates (other than (i) any proceeding against any Indemnitee solely in its capacity or in fulfilling its role as Administrative Agent, Collateral Agent, Syndication Agent or Documentation Agent or any other similar role with respect to the credit facilities evidenced by this Agreement or (ii) arising as a result of an act or omission by the Parent Borrower or any of its Affiliates). As used in this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10.03(b), a “</w:t>
      </w:r>
      <w:r>
        <w:rPr>
          <w:rFonts w:ascii="Times New Roman" w:cs="Times New Roman" w:eastAsia="Times New Roman" w:hAnsi="Times New Roman"/>
          <w:sz w:val="20"/>
          <w:szCs w:val="20"/>
          <w:u w:val="single" w:color="auto"/>
          <w:color w:val="auto"/>
        </w:rPr>
        <w:t>Controlled Related Party</w:t>
      </w:r>
      <w:r>
        <w:rPr>
          <w:rFonts w:ascii="Times New Roman" w:cs="Times New Roman" w:eastAsia="Times New Roman" w:hAnsi="Times New Roman"/>
          <w:sz w:val="20"/>
          <w:szCs w:val="20"/>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reference to a Controlled Affiliate, Controlling Person, director, officer or employee in this sentence pertains to a Controlled Affiliate, Controlling Person, director, officer or employee involved in the structuring, arrangement, negotiation or syndication of the credit facilities evidenced by this Agreement. Each of the Administrative Agent and the Lenders hereby agrees, on behalf of itself and its Controlled Related Party, that any settlement entered into by the Administrative Agent or such Lender, respectively, and its Controlled Related Party in connection with a claim or proceeding for which an indemnity claim is made against the Company pursuant to the preceding sentence shall be so entered into in good faith and not on an arbitrary or capricious basis. This Section 10.03(b) shall not apply with respect to Taxes other than any Taxes that represent losses or damages arising from any non-Tax claim.</w:t>
      </w:r>
    </w:p>
    <w:p>
      <w:pPr>
        <w:spacing w:after="0" w:line="189" w:lineRule="exact"/>
        <w:rPr>
          <w:sz w:val="20"/>
          <w:szCs w:val="20"/>
          <w:color w:val="auto"/>
        </w:rPr>
      </w:pPr>
    </w:p>
    <w:p>
      <w:pPr>
        <w:ind w:right="520" w:firstLine="1288"/>
        <w:spacing w:after="0" w:line="269" w:lineRule="auto"/>
        <w:tabs>
          <w:tab w:leader="none" w:pos="171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(i) the Parent Borrower and any Loan Party shall not assert, and the Parent Borrower and each Loan Party hereby waives, any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0880"/>
          </w:cols>
          <w:pgMar w:left="660" w:top="1413" w:right="359" w:bottom="1440" w:gutter="0" w:footer="0" w:header="0"/>
        </w:sectPr>
      </w:pPr>
    </w:p>
    <w:bookmarkStart w:id="203" w:name="page204"/>
    <w:bookmarkEnd w:id="203"/>
    <w:p>
      <w:pPr>
        <w:ind w:right="60"/>
        <w:spacing w:after="0" w:line="242" w:lineRule="auto"/>
        <w:rPr>
          <w:sz w:val="20"/>
          <w:szCs w:val="20"/>
          <w:color w:val="auto"/>
        </w:rPr>
      </w:pPr>
      <w:r>
        <w:rPr>
          <w:rFonts w:ascii="Times New Roman" w:cs="Times New Roman" w:eastAsia="Times New Roman" w:hAnsi="Times New Roman"/>
          <w:sz w:val="20"/>
          <w:szCs w:val="20"/>
          <w:color w:val="auto"/>
        </w:rPr>
        <w:t>against the Administrative Agent, any Syndication Agent, any Documentation Agent,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10.03(c) shall relieve the Parent Borrower and each Loan Party of any obligation it may have to indemnify an Indemnitee, as provided in Section 10.03(b), against any special, indirect, consequential or punitive damages asserted against such Indemnitee by a third party.</w:t>
      </w:r>
    </w:p>
    <w:p>
      <w:pPr>
        <w:spacing w:after="0" w:line="192" w:lineRule="exact"/>
        <w:rPr>
          <w:sz w:val="20"/>
          <w:szCs w:val="20"/>
          <w:color w:val="auto"/>
        </w:rPr>
      </w:pPr>
    </w:p>
    <w:p>
      <w:pPr>
        <w:ind w:right="140" w:firstLine="1288"/>
        <w:spacing w:after="0" w:line="243" w:lineRule="auto"/>
        <w:tabs>
          <w:tab w:leader="none" w:pos="1721"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of Holdings, the Parent Borrower, any of the Foreign Subsidiary Borrowers fails to pay any amount required to be paid by it to the Administrative Agent, the Fronting Lender, the Issuing Bank or the Swingline Lenders under paragraph (a) or (b) of this Section (and without limiting such party’s obligation to do so), each Lender severally agrees to pay to the Administrative Agent, the Fronting Lender, the Issuing Bank or the Swingline Lenders,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the Fronting Lender, the Issuing Bank or any Swingline Lender in its capacity as such. For purposes hereof, a Lender’s “pro rata share” shall be determined based upon its share of the sum of the total Revolving Exposures and unused Commitments at the time.</w:t>
      </w:r>
    </w:p>
    <w:p>
      <w:pPr>
        <w:spacing w:after="0" w:line="185" w:lineRule="exact"/>
        <w:rPr>
          <w:rFonts w:ascii="Times New Roman" w:cs="Times New Roman" w:eastAsia="Times New Roman" w:hAnsi="Times New Roman"/>
          <w:sz w:val="20"/>
          <w:szCs w:val="20"/>
          <w:color w:val="auto"/>
        </w:rPr>
      </w:pPr>
    </w:p>
    <w:p>
      <w:pPr>
        <w:ind w:firstLine="1288"/>
        <w:spacing w:after="0" w:line="246" w:lineRule="auto"/>
        <w:tabs>
          <w:tab w:leader="none" w:pos="171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none of Holdings, the Parent Borrower or any Foreign Subsidiary Borrower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84" w:lineRule="exact"/>
        <w:rPr>
          <w:rFonts w:ascii="Times New Roman" w:cs="Times New Roman" w:eastAsia="Times New Roman" w:hAnsi="Times New Roman"/>
          <w:sz w:val="20"/>
          <w:szCs w:val="20"/>
          <w:color w:val="auto"/>
        </w:rPr>
      </w:pPr>
    </w:p>
    <w:p>
      <w:pPr>
        <w:ind w:left="1680" w:hanging="392"/>
        <w:spacing w:after="0"/>
        <w:tabs>
          <w:tab w:leader="none" w:pos="16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promptly after written demand therefor.</w:t>
      </w:r>
    </w:p>
    <w:p>
      <w:pPr>
        <w:spacing w:after="0" w:line="215" w:lineRule="exact"/>
        <w:rPr>
          <w:rFonts w:ascii="Times New Roman" w:cs="Times New Roman" w:eastAsia="Times New Roman" w:hAnsi="Times New Roman"/>
          <w:sz w:val="20"/>
          <w:szCs w:val="20"/>
          <w:color w:val="auto"/>
        </w:rPr>
      </w:pPr>
    </w:p>
    <w:p>
      <w:pPr>
        <w:ind w:right="40" w:firstLine="1288"/>
        <w:spacing w:after="0" w:line="254" w:lineRule="auto"/>
        <w:tabs>
          <w:tab w:leader="none" w:pos="172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director, officer, employee, stockholder or member, as such, of any Loan Party shall have any liability for the Obligations or for any claim based on, in respect of or by reason of the Obligations or their creation;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relieve any Loan Party of its Obligations under any Loan Document.</w:t>
      </w:r>
    </w:p>
    <w:p>
      <w:pPr>
        <w:spacing w:after="0" w:line="174" w:lineRule="exact"/>
        <w:rPr>
          <w:rFonts w:ascii="Times New Roman" w:cs="Times New Roman" w:eastAsia="Times New Roman" w:hAnsi="Times New Roman"/>
          <w:sz w:val="20"/>
          <w:szCs w:val="20"/>
          <w:color w:val="auto"/>
        </w:rPr>
      </w:pPr>
    </w:p>
    <w:p>
      <w:pPr>
        <w:ind w:right="640" w:firstLine="1288"/>
        <w:spacing w:after="0" w:line="269" w:lineRule="auto"/>
        <w:tabs>
          <w:tab w:leader="none" w:pos="172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this Section 9.3 shall not apply to any Taxes, except to the extent any Taxes that represent losses, claims, damages or liabilities arising from any non-Tax claim.</w:t>
      </w:r>
    </w:p>
    <w:p>
      <w:pPr>
        <w:spacing w:after="0" w:line="159" w:lineRule="exact"/>
        <w:rPr>
          <w:sz w:val="20"/>
          <w:szCs w:val="20"/>
          <w:color w:val="auto"/>
        </w:rPr>
      </w:pPr>
    </w:p>
    <w:p>
      <w:pPr>
        <w:ind w:left="960"/>
        <w:spacing w:after="0"/>
        <w:tabs>
          <w:tab w:leader="none" w:pos="2480" w:val="left"/>
        </w:tabs>
        <w:rPr>
          <w:sz w:val="20"/>
          <w:szCs w:val="20"/>
          <w:color w:val="auto"/>
        </w:rPr>
      </w:pPr>
      <w:r>
        <w:rPr>
          <w:rFonts w:ascii="Times New Roman" w:cs="Times New Roman" w:eastAsia="Times New Roman" w:hAnsi="Times New Roman"/>
          <w:sz w:val="20"/>
          <w:szCs w:val="20"/>
          <w:u w:val="single" w:color="auto"/>
          <w:color w:val="auto"/>
        </w:rPr>
        <w:t>SECTION 10.04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288"/>
        <w:spacing w:after="0" w:line="254" w:lineRule="auto"/>
        <w:tabs>
          <w:tab w:leader="none" w:pos="171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subject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0900"/>
          </w:cols>
          <w:pgMar w:left="660" w:top="1413" w:right="339" w:bottom="1440" w:gutter="0" w:footer="0" w:header="0"/>
        </w:sectPr>
      </w:pPr>
    </w:p>
    <w:bookmarkStart w:id="204" w:name="page205"/>
    <w:bookmarkEnd w:id="204"/>
    <w:p>
      <w:pPr>
        <w:ind w:right="160"/>
        <w:spacing w:after="0" w:line="244" w:lineRule="auto"/>
        <w:rPr>
          <w:sz w:val="20"/>
          <w:szCs w:val="20"/>
          <w:color w:val="auto"/>
        </w:rPr>
      </w:pPr>
      <w:r>
        <w:rPr>
          <w:rFonts w:ascii="Times New Roman" w:cs="Times New Roman" w:eastAsia="Times New Roman" w:hAnsi="Times New Roman"/>
          <w:sz w:val="20"/>
          <w:szCs w:val="20"/>
          <w:color w:val="auto"/>
        </w:rPr>
        <w:t>10.15(g) (and other than as contemplated by Section 2.26), none of Holdings, the Parent Borrower or any Foreign Subsidiary Borrower may assign or otherwise transfer any of its rights or obligations hereunder without the prior written consent of each Lender (and any attempted assignment or transfer by Holdings, the Parent Borrower or any Foreign Subsidiary Borrower without such consent shall be null and void).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86" w:lineRule="exact"/>
        <w:rPr>
          <w:sz w:val="20"/>
          <w:szCs w:val="20"/>
          <w:color w:val="auto"/>
        </w:rPr>
      </w:pPr>
    </w:p>
    <w:p>
      <w:pPr>
        <w:ind w:firstLine="1288"/>
        <w:spacing w:after="0" w:line="253" w:lineRule="auto"/>
        <w:tabs>
          <w:tab w:leader="none" w:pos="171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assign to one or more assignees (other than a natural person) all or a portion of its rights and obligations under this Agreement (including all or a portion of its Commitments and the Loans at the time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except in the case of an assignment to a Lender, a Lender Affiliate or an Approved Fund, each of the Parent Borrower and the Administrative Agent, the Issuing Bank, the Swingline Lenders and the Fronting Lender must give their prior written consent to such assignment (which consent shall not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Parent Borrower shall be deemed to have consented to any assignment of Loans or Commitments unless it shall object thereto by written notice to the Administrative Agent within 10 Business Days after having received notice thereof), (ii) no assignment of Revolving Loans or Revolving Commitments may be made to Holdings, the Parent Borrower, any Foreign Subsidiary Borrower or any Affiliate of any of the foregoing, (iii) except in the case of an assignment to a Lender, a Lender Affiliate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Parent Borrower and the Administrative Agent otherwise consent, (iv) each partial assignment shall be made as an assignment of a proportionate part of all the assigning Lender’s rights and obligations under this Agreement, except that this clause (iv) shall not be construed to prohibit the assignment of a proportionate part of all the assigning Lender’s rights and obligations in respect of one Class of Commitments or Loans, (v) the parties to each assignment shall execute and deliver to the Administrative Agent an Assignment and Assumption, together with a processing and recordation fee of $3,500 and (vi) the assignee, if it shall not be a Lender, shall deliver to the Administrative Agent an Administrative Questionnaire;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consent of the Parent Borrower otherwise required under this paragraph shall not be required if an Event of Default under clauses (a), (h) or (i) of Article VII has occurred and is continuing. Subject to acceptance and recording thereof pursuant to paragraph (d)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10.03).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(e) of this Section.</w:t>
      </w:r>
    </w:p>
    <w:p>
      <w:pPr>
        <w:spacing w:after="0" w:line="200" w:lineRule="exact"/>
        <w:rPr>
          <w:rFonts w:ascii="Times New Roman" w:cs="Times New Roman" w:eastAsia="Times New Roman" w:hAnsi="Times New Roman"/>
          <w:sz w:val="19"/>
          <w:szCs w:val="19"/>
          <w:color w:val="auto"/>
        </w:rPr>
      </w:pPr>
    </w:p>
    <w:p>
      <w:pPr>
        <w:spacing w:after="0" w:line="224" w:lineRule="exact"/>
        <w:rPr>
          <w:rFonts w:ascii="Times New Roman" w:cs="Times New Roman" w:eastAsia="Times New Roman" w:hAnsi="Times New Roman"/>
          <w:sz w:val="19"/>
          <w:szCs w:val="19"/>
          <w:color w:val="auto"/>
        </w:rPr>
      </w:pPr>
    </w:p>
    <w:p>
      <w:pPr>
        <w:ind w:right="80" w:firstLine="1288"/>
        <w:spacing w:after="0" w:line="254" w:lineRule="auto"/>
        <w:tabs>
          <w:tab w:leader="none" w:pos="171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an agent of the Parent Borrower and the Foreign Subsidiary Borrowers, shall maintain at one of its offices in The City of New York a copy of each Assignment and Assumption delivered to it and a register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0860"/>
          </w:cols>
          <w:pgMar w:left="660" w:top="1413" w:right="379" w:bottom="1440" w:gutter="0" w:footer="0" w:header="0"/>
        </w:sectPr>
      </w:pPr>
    </w:p>
    <w:bookmarkStart w:id="205" w:name="page206"/>
    <w:bookmarkEnd w:id="205"/>
    <w:p>
      <w:pPr>
        <w:spacing w:after="0" w:line="244" w:lineRule="auto"/>
        <w:rPr>
          <w:sz w:val="20"/>
          <w:szCs w:val="20"/>
          <w:color w:val="auto"/>
        </w:rPr>
      </w:pPr>
      <w:r>
        <w:rPr>
          <w:rFonts w:ascii="Times New Roman" w:cs="Times New Roman" w:eastAsia="Times New Roman" w:hAnsi="Times New Roman"/>
          <w:sz w:val="20"/>
          <w:szCs w:val="20"/>
          <w:color w:val="auto"/>
        </w:rPr>
        <w:t>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Holdings, the Parent Borrower, the Foreign Subsidiary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Parent Borrower, the Foreign Subsidiary Borrowers, the Issuing Bank and any Lender, at any reasonable time and from time to time upon reasonable prior notice.</w:t>
      </w:r>
    </w:p>
    <w:p>
      <w:pPr>
        <w:spacing w:after="0" w:line="186" w:lineRule="exact"/>
        <w:rPr>
          <w:sz w:val="20"/>
          <w:szCs w:val="20"/>
          <w:color w:val="auto"/>
        </w:rPr>
      </w:pPr>
    </w:p>
    <w:p>
      <w:pPr>
        <w:ind w:right="460" w:firstLine="1288"/>
        <w:spacing w:after="0" w:line="245" w:lineRule="auto"/>
        <w:tabs>
          <w:tab w:leader="none" w:pos="172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4" w:lineRule="exact"/>
        <w:rPr>
          <w:rFonts w:ascii="Times New Roman" w:cs="Times New Roman" w:eastAsia="Times New Roman" w:hAnsi="Times New Roman"/>
          <w:sz w:val="20"/>
          <w:szCs w:val="20"/>
          <w:color w:val="auto"/>
        </w:rPr>
      </w:pPr>
    </w:p>
    <w:p>
      <w:pPr>
        <w:ind w:firstLine="1288"/>
        <w:spacing w:after="0"/>
        <w:tabs>
          <w:tab w:leader="none" w:pos="1703"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the Parent Borrower or any Foreign Subsidiary Borrower, the Administrative Agent, the Issuing Bank or the Swingline Lenders,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 and the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Holdings, the Parent Borrower, the Foreign Subsidiary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clauses (i) through (ix) in the first proviso to Section 10.02(b) that affects such Participant. Subject to paragraph (f) of this Section, the Parent Borrower and the Foreign Subsidiary Borrowers agree that each Participant shall be entitled to the benefits of Sections 2.15, 2.16 and 2.17 (subject to the limitations and requirements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agrees to be subject to the provisions of Section 2.19 as if it were an assignee under paragraph (b) of this Section. To the extent permitted by law, each Participant also shall be entitled to the benefits of Section 10.08 as though it were a Lender, provided such Participant agrees to be subject to Section 2.18(c) as though it were a Lender. Each Lender that sells a Participation shall, acting solely for this purpose as an agent of the Parent Borrower and the Foreign Subsidiary Borrowers, as applicable,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0880"/>
          </w:cols>
          <w:pgMar w:left="660" w:top="1413" w:right="359" w:bottom="1440" w:gutter="0" w:footer="0" w:header="0"/>
        </w:sectPr>
      </w:pPr>
    </w:p>
    <w:bookmarkStart w:id="206" w:name="page207"/>
    <w:bookmarkEnd w:id="206"/>
    <w:p>
      <w:pPr>
        <w:ind w:left="340" w:right="180"/>
        <w:spacing w:after="0" w:line="249" w:lineRule="auto"/>
        <w:rPr>
          <w:sz w:val="20"/>
          <w:szCs w:val="20"/>
          <w:color w:val="auto"/>
        </w:rPr>
      </w:pPr>
      <w:r>
        <w:rPr>
          <w:rFonts w:ascii="Times New Roman" w:cs="Times New Roman" w:eastAsia="Times New Roman" w:hAnsi="Times New Roman"/>
          <w:sz w:val="20"/>
          <w:szCs w:val="20"/>
          <w:color w:val="auto"/>
        </w:rPr>
        <w:t>Regulations or in connection with any income tax audit or other income tax proceeding of the Parent Borrower and the Foreign Subsidiary Borrowers.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0" w:lineRule="exact"/>
        <w:rPr>
          <w:sz w:val="20"/>
          <w:szCs w:val="20"/>
          <w:color w:val="auto"/>
        </w:rPr>
      </w:pPr>
    </w:p>
    <w:p>
      <w:pPr>
        <w:ind w:left="340" w:right="80" w:firstLine="1288"/>
        <w:spacing w:after="0" w:line="245" w:lineRule="auto"/>
        <w:tabs>
          <w:tab w:leader="none" w:pos="2021"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prior written consent of the Parent Borrower and, to the extent applicable, each relevant Foreign Subsidiary Borrower. A Participant that would be a Non-U.S. Lender if it were a Lender shall not be entitled to the benefits of Section</w:t>
      </w:r>
    </w:p>
    <w:p>
      <w:pPr>
        <w:ind w:left="340" w:right="18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2.17 unless the Parent Borrower and, to the extent applicable, each relevant Foreign Subsidiary Borrower is notified of the participation sold to such Participant and such Participant agrees, for the benefit of the Parent Borrower and, to the extent applicable, each relevant Foreign Subsidiary Borrower, to comply with Section 2.17(f) as though it were a Lender.</w:t>
      </w:r>
    </w:p>
    <w:p>
      <w:pPr>
        <w:spacing w:after="0" w:line="186" w:lineRule="exact"/>
        <w:rPr>
          <w:rFonts w:ascii="Times New Roman" w:cs="Times New Roman" w:eastAsia="Times New Roman" w:hAnsi="Times New Roman"/>
          <w:sz w:val="20"/>
          <w:szCs w:val="20"/>
          <w:color w:val="auto"/>
        </w:rPr>
      </w:pPr>
    </w:p>
    <w:p>
      <w:pPr>
        <w:ind w:left="340" w:right="140" w:firstLine="1288"/>
        <w:spacing w:after="0" w:line="246" w:lineRule="auto"/>
        <w:tabs>
          <w:tab w:leader="none" w:pos="205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Parent Borrower or the Administrative Agent,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5" w:lineRule="exact"/>
        <w:rPr>
          <w:sz w:val="20"/>
          <w:szCs w:val="20"/>
          <w:color w:val="auto"/>
        </w:rPr>
      </w:pPr>
    </w:p>
    <w:p>
      <w:pPr>
        <w:ind w:right="20" w:firstLine="1296"/>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10.05 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10.03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90"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10.06 Counterparts; Integration; Effectiveness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413" w:right="339" w:bottom="1440" w:gutter="0" w:footer="0" w:header="0"/>
        </w:sectPr>
      </w:pPr>
    </w:p>
    <w:bookmarkStart w:id="207" w:name="page208"/>
    <w:bookmarkEnd w:id="207"/>
    <w:p>
      <w:pPr>
        <w:ind w:right="80"/>
        <w:spacing w:after="0" w:line="269" w:lineRule="auto"/>
        <w:rPr>
          <w:sz w:val="20"/>
          <w:szCs w:val="20"/>
          <w:color w:val="auto"/>
        </w:rPr>
      </w:pPr>
      <w:r>
        <w:rPr>
          <w:rFonts w:ascii="Times New Roman" w:cs="Times New Roman" w:eastAsia="Times New Roman" w:hAnsi="Times New Roman"/>
          <w:sz w:val="20"/>
          <w:szCs w:val="20"/>
          <w:color w:val="auto"/>
        </w:rPr>
        <w:t>respective successors and assigns. Delivery of an executed counterpart of a signature page of this Agreement by facsimile or other electronic transmission shall be effective as delivery of a manually executed counterpart of this Agreement.</w:t>
      </w:r>
    </w:p>
    <w:p>
      <w:pPr>
        <w:spacing w:after="0" w:line="159" w:lineRule="exact"/>
        <w:rPr>
          <w:sz w:val="20"/>
          <w:szCs w:val="20"/>
          <w:color w:val="auto"/>
        </w:rPr>
      </w:pPr>
    </w:p>
    <w:p>
      <w:pPr>
        <w:ind w:right="12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10.07 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10.08 Right of Setoff</w:t>
      </w:r>
      <w:r>
        <w:rPr>
          <w:rFonts w:ascii="Times New Roman" w:cs="Times New Roman" w:eastAsia="Times New Roman" w:hAnsi="Times New Roman"/>
          <w:sz w:val="20"/>
          <w:szCs w:val="20"/>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Parent Borrower or any Foreign Subsidiary Borrower against any of and all the obligations of the Parent Borrower or any Foreign Subsidiary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deposits or any other obligation owing to or for the credit or the account of any Foreign Subsidiary Borrower shall be set off or applied against any obligations of the Parent Borrower or any Borrower that is a United States person within the meaning of Section 7701(a)(30) of the Code. The rights of each Lender under this Section are in addition to other rights and remedies (including other rights of setoff) which such Lender may have;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prohibited by applicable law as described in the definition of “Excluded Swap Obligation,” no amounts received from, or set off with respect to, any Loan Party shall be applied to any Excluded Swap Obligations of such Loan Party.</w:t>
      </w:r>
    </w:p>
    <w:p>
      <w:pPr>
        <w:spacing w:after="0" w:line="187"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u w:val="single" w:color="auto"/>
          <w:color w:val="auto"/>
        </w:rPr>
        <w:t>SECTION 10.09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40" w:hanging="412"/>
        <w:spacing w:after="0"/>
        <w:tabs>
          <w:tab w:leader="none" w:pos="204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215" w:lineRule="exact"/>
        <w:rPr>
          <w:rFonts w:ascii="Times New Roman" w:cs="Times New Roman" w:eastAsia="Times New Roman" w:hAnsi="Times New Roman"/>
          <w:sz w:val="20"/>
          <w:szCs w:val="20"/>
          <w:color w:val="auto"/>
        </w:rPr>
      </w:pPr>
    </w:p>
    <w:p>
      <w:pPr>
        <w:ind w:left="340" w:firstLine="1288"/>
        <w:spacing w:after="0" w:line="256" w:lineRule="auto"/>
        <w:tabs>
          <w:tab w:leader="none" w:pos="2065"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Holdings, the Parent Borrower and each Foreign Subsidiary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Holdings, the Parent Borrower, any of the Foreign Subsidiary Borrowers or their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20"/>
          </w:cols>
          <w:pgMar w:left="320" w:top="1413" w:right="359" w:bottom="1440" w:gutter="0" w:footer="0" w:header="0"/>
        </w:sectPr>
      </w:pPr>
    </w:p>
    <w:bookmarkStart w:id="208" w:name="page209"/>
    <w:bookmarkEnd w:id="208"/>
    <w:p>
      <w:pPr>
        <w:ind w:left="340" w:right="80" w:firstLine="1288"/>
        <w:spacing w:after="0" w:line="246" w:lineRule="auto"/>
        <w:tabs>
          <w:tab w:leader="none" w:pos="2053"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the Parent Borrower and each Foreign Subsidiary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20"/>
          <w:szCs w:val="20"/>
          <w:color w:val="auto"/>
        </w:rPr>
      </w:pPr>
    </w:p>
    <w:p>
      <w:pPr>
        <w:jc w:val="both"/>
        <w:ind w:left="340" w:right="520" w:firstLine="1288"/>
        <w:spacing w:after="0" w:line="254" w:lineRule="auto"/>
        <w:tabs>
          <w:tab w:leader="none" w:pos="206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10.01. Nothing in this Agreement or any other Loan Document will affect the right of any party to this Agreement to serve process in any other manner permitted by law.</w:t>
      </w:r>
    </w:p>
    <w:p>
      <w:pPr>
        <w:spacing w:after="0" w:line="170"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10.10 WAIVER OF JURY TRIAL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EACH PARTY HERETO HEREBY WAIVES, TO THE FULLEST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0" w:lineRule="exact"/>
        <w:rPr>
          <w:sz w:val="20"/>
          <w:szCs w:val="20"/>
          <w:color w:val="auto"/>
        </w:rPr>
      </w:pPr>
    </w:p>
    <w:p>
      <w:pPr>
        <w:jc w:val="both"/>
        <w:ind w:right="42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10.11 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ind w:right="80" w:firstLine="1296"/>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10.12 Confidentiality</w:t>
      </w:r>
      <w:r>
        <w:rPr>
          <w:rFonts w:ascii="Times New Roman" w:cs="Times New Roman" w:eastAsia="Times New Roman" w:hAnsi="Times New Roman"/>
          <w:sz w:val="20"/>
          <w:szCs w:val="20"/>
          <w:color w:val="auto"/>
        </w:rPr>
        <w:t>. Each of the Administrative Agent, the Issuing Bank and the Lenders agrees to maintain the confidentiality of the Information (as defined below), except that Information may be disclosed (a) to its Lender Affiliates and to its and its Lender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pursuant to the terms hereof), (b) to the extent requested by any regulatory or quasi-regulatory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Parent Borrower, any Foreign Subsidiary Borrower and their respective obligations, (g) with the consent of the Parent Borrower or (h) to the extent such Information (i) is publicly available at the time of disclosure or becomes publicly available other than as a result of a breach of this Section or (ii) becomes available to the Administrative Agent, the Issuing Bank or any Lender on a nonconfidential basis from a source other than Holdings, the Parent Borrower or any Subsidiary (including the Receivables Subsidiary). For the purposes of this Section, “Information” means all information received from Holdings, the Parent Borrower or any Subsidiary (including the Receivables Subsidiary) relating to Holdings, the Parent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13" w:right="339" w:bottom="1440" w:gutter="0" w:footer="0" w:header="0"/>
        </w:sectPr>
      </w:pPr>
    </w:p>
    <w:bookmarkStart w:id="209" w:name="page210"/>
    <w:bookmarkEnd w:id="209"/>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(including the Receivables Subsidiary) or its business, other than any such information that is available to the Administrative Agent, the Issuing Bank or any Lender on a nonconfidential basis prior to disclosure by Holdings, the Parent Borrower or any Subsidiary (including the Receivables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Holdings, the Parent Borrower or any Subsidiary (including the Receivables Subsidiary) after the Third Restatement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w:t>
      </w:r>
    </w:p>
    <w:p>
      <w:pPr>
        <w:spacing w:after="0" w:line="192" w:lineRule="exact"/>
        <w:rPr>
          <w:sz w:val="20"/>
          <w:szCs w:val="20"/>
          <w:color w:val="auto"/>
        </w:rPr>
      </w:pPr>
    </w:p>
    <w:p>
      <w:pPr>
        <w:ind w:firstLine="1296"/>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10.13 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6"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u w:val="single" w:color="auto"/>
          <w:color w:val="auto"/>
        </w:rPr>
        <w:t>SECTION 10.14</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40" w:right="40" w:firstLine="1288"/>
        <w:spacing w:after="0" w:line="242" w:lineRule="auto"/>
        <w:tabs>
          <w:tab w:leader="none" w:pos="205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hereunder of the Parent Borrower and the Foreign Subsidiary Borrowers and under the other Loan Documents to make payments in dollars shall not be discharged or satisfied by any tender or recovery pursuant to any judgment expressed in or converted into any currency other than dollars, except to the extent that such tender or recovery results in the effective receipt by the Administrative Agent, the Collateral Agent or a Lender of the full amount of dollars expressed to be payable to the Administrative Agent, Collateral Agent or Lender under this Agreement or the other Loan Documents. If, for the purpose of obtaining or enforcing judgment against the Parent Borrower, any Foreign Subsidiary Borrower or any other Loan Party in any court or in any jurisdiction, it becomes necessary to convert into or from any currency other than dollars (such other currency being hereinafter referred to as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an amount due in dollars, each party hereto agrees, to the fullest extent that it may effectively do so, that the rate of exchange used shall be that at which, in accordance with normal banking procedures in the relevant jurisdiction, the first currency could be purchased with such other currency, as of the date immediately preceding the day on which the judgment is given (such Business Day being hereinafter referred to as the “</w:t>
      </w:r>
      <w:r>
        <w:rPr>
          <w:rFonts w:ascii="Times New Roman" w:cs="Times New Roman" w:eastAsia="Times New Roman" w:hAnsi="Times New Roman"/>
          <w:sz w:val="20"/>
          <w:szCs w:val="20"/>
          <w:u w:val="single" w:color="auto"/>
          <w:color w:val="auto"/>
        </w:rPr>
        <w:t>Judgment Currency Conversion Date</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340" w:firstLine="1288"/>
        <w:spacing w:after="0" w:line="246" w:lineRule="auto"/>
        <w:tabs>
          <w:tab w:leader="none" w:pos="206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change in the rate of exchange prevailing between the Judgment Currency Conversion Date and the date of actual payment of the amount due, the Parent Borrower and each Foreign Subsidiary Borrower, as the case may be,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dollars which could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20"/>
          </w:cols>
          <w:pgMar w:left="320" w:top="1413" w:right="359" w:bottom="1440" w:gutter="0" w:footer="0" w:header="0"/>
        </w:sectPr>
      </w:pPr>
    </w:p>
    <w:bookmarkStart w:id="210" w:name="page211"/>
    <w:bookmarkEnd w:id="210"/>
    <w:p>
      <w:pPr>
        <w:ind w:left="340" w:right="200"/>
        <w:spacing w:after="0" w:line="269" w:lineRule="auto"/>
        <w:rPr>
          <w:sz w:val="20"/>
          <w:szCs w:val="20"/>
          <w:color w:val="auto"/>
        </w:rPr>
      </w:pPr>
      <w:r>
        <w:rPr>
          <w:rFonts w:ascii="Times New Roman" w:cs="Times New Roman" w:eastAsia="Times New Roman" w:hAnsi="Times New Roman"/>
          <w:sz w:val="20"/>
          <w:szCs w:val="20"/>
          <w:color w:val="auto"/>
        </w:rPr>
        <w:t>purchased with the amount of Judgment Currency stipulated in the judgment or judicial award at the rate of exchange prevailing on the Judgment Currency Conversion Date.</w:t>
      </w:r>
    </w:p>
    <w:p>
      <w:pPr>
        <w:spacing w:after="0" w:line="159" w:lineRule="exact"/>
        <w:rPr>
          <w:sz w:val="20"/>
          <w:szCs w:val="20"/>
          <w:color w:val="auto"/>
        </w:rPr>
      </w:pPr>
    </w:p>
    <w:p>
      <w:pPr>
        <w:ind w:left="340" w:right="580" w:firstLine="1288"/>
        <w:spacing w:after="0" w:line="269" w:lineRule="auto"/>
        <w:tabs>
          <w:tab w:leader="none" w:pos="205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dollar equivalent of the Judgment Currency, such amounts shall include any premium and costs payable in connection with the purchase of dollars.</w:t>
      </w:r>
    </w:p>
    <w:p>
      <w:pPr>
        <w:spacing w:after="0" w:line="159"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u w:val="single" w:color="auto"/>
          <w:color w:val="auto"/>
        </w:rPr>
        <w:t>SECTION 10.15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19"/>
          <w:szCs w:val="19"/>
          <w:u w:val="single" w:color="auto"/>
          <w:color w:val="auto"/>
        </w:rPr>
        <w:t>SECTION 10.16 PATRIOT Act</w:t>
      </w:r>
      <w:r>
        <w:rPr>
          <w:rFonts w:ascii="Times New Roman" w:cs="Times New Roman" w:eastAsia="Times New Roman" w:hAnsi="Times New Roman"/>
          <w:sz w:val="19"/>
          <w:szCs w:val="19"/>
          <w:color w:val="auto"/>
        </w:rPr>
        <w:t>. Each Lender hereby notifies Holdings and the Parent Borrower that pursuant to the requirements of the USA PATRIOT Act (Title III of Pub. L. 107-56 (signed into law October 26, 2001)) (the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it is required, or will be required in the future, to obtain, verify and record information that identifies Holdings, the Parent Borrower and the other Loan Parties, which information includes the name and address of Holdings, the Parent Borrower and the other Loan Parties and other information that will allow such Lender to identify Holdings, the Parent Borrower and the other Loan Parties in accordance with the PATRIOT Act.</w:t>
      </w:r>
    </w:p>
    <w:p>
      <w:pPr>
        <w:spacing w:after="0" w:line="166"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10.17 No Fiduciary Duty</w:t>
      </w:r>
      <w:r>
        <w:rPr>
          <w:rFonts w:ascii="Times New Roman" w:cs="Times New Roman" w:eastAsia="Times New Roman" w:hAnsi="Times New Roman"/>
          <w:sz w:val="20"/>
          <w:szCs w:val="20"/>
          <w:color w:val="auto"/>
        </w:rPr>
        <w:t>. Each Agent, each Lender and their Affiliates (collectively, solely for purposes of this paragraph,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may have economic interests that conflict with those of the Parent Borrower and the Foreign Subsidiary Borrowers, their stockholders and/or their affiliates. Each of the Parent Borrower and the Foreign Subsidiary Borrowers agrees that nothing in the Loan Documents or otherwise will be deemed to create an advisory, fiduciary or agency relationship or fiduciary or other implied duty between any Lender, on the one hand, and such borrower, its stockholders or its affiliates, on the other. Each of the Parent Borrower and the Foreign Subsidiary Borrowers acknowledges and agrees that (i) the transactions contemplated by the Loan Documents (including the exercise of rights and remedies hereunder and there under) are arm’s-length commercial transactions between the Lenders, on the one hand, and the applicable borrower, on the other, and (ii) in connection therewith and with the process leading thereto, (x) no Lender has assumed an advisory or fiduciary responsibility in favor of any of the Parent Borrower or the Foreign Subsidiary Borrowers, their stockholders or their affiliates with respect to the transactions contemplated hereby (or the exercise of rights or remedies with respect thereto) or the process leading thereto (irrespective of whether any Lender has advised, is currently advising or will advise any borrower, its stockholders or its Affiliates on other matters) or any other obligation to any of the Parent Borrower or the Foreign Subsidiary Borrowers except the obligations expressly set forth in the Loan Documents and (y) each Lender is acting solely as principal and not as the agent or fiduciary of any of the Parent Borrower or the Foreign Subsidiary Borrowers, their respective management, stockholders, creditors or any other Person. Each of the Parent Borrower and the Foreign Subsidiary Borrowers acknowledges and agrees that it has consulted its own legal and financial advisors to the extent it deemed appropriate and that it is responsible for making its own independent judgment with respect to such transactions and the process leading thereto. Each of the Parent Borrower and the Foreign Subsidiary Borrowers agrees that it will not claim that any Lender has rendered advisory services of any nature or respect, or owes a fiduciary or similar duty to such borrower, in connection with such transaction or the process leading thereto.</w:t>
      </w:r>
    </w:p>
    <w:p>
      <w:pPr>
        <w:spacing w:after="0" w:line="189"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u w:val="single" w:color="auto"/>
          <w:color w:val="auto"/>
        </w:rPr>
        <w:t>SECTION 10.18</w:t>
      </w:r>
      <w:r>
        <w:rPr>
          <w:sz w:val="20"/>
          <w:szCs w:val="20"/>
          <w:color w:val="auto"/>
        </w:rPr>
        <w:tab/>
      </w:r>
      <w:r>
        <w:rPr>
          <w:rFonts w:ascii="Times New Roman" w:cs="Times New Roman" w:eastAsia="Times New Roman" w:hAnsi="Times New Roman"/>
          <w:sz w:val="19"/>
          <w:szCs w:val="19"/>
          <w:u w:val="single" w:color="auto"/>
          <w:color w:val="auto"/>
        </w:rPr>
        <w:t>Parallel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40" w:hanging="412"/>
        <w:spacing w:after="0"/>
        <w:tabs>
          <w:tab w:leader="none" w:pos="20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Parallel Debt Foreign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80" w:firstLine="1296"/>
        <w:spacing w:after="0" w:line="269" w:lineRule="auto"/>
        <w:rPr>
          <w:sz w:val="20"/>
          <w:szCs w:val="20"/>
          <w:color w:val="auto"/>
        </w:rPr>
      </w:pPr>
      <w:r>
        <w:rPr>
          <w:rFonts w:ascii="Times New Roman" w:cs="Times New Roman" w:eastAsia="Times New Roman" w:hAnsi="Times New Roman"/>
          <w:sz w:val="20"/>
          <w:szCs w:val="20"/>
          <w:color w:val="auto"/>
        </w:rPr>
        <w:t>For the purpose of any Foreign Security Document governed by Dutch law, each Foreign Subsidiary Borrower hereby irrevocably and unconditionally undertakes to pay as a separate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20"/>
          </w:cols>
          <w:pgMar w:left="320" w:top="1413" w:right="359" w:bottom="1440" w:gutter="0" w:footer="0" w:header="0"/>
        </w:sectPr>
      </w:pPr>
    </w:p>
    <w:bookmarkStart w:id="211" w:name="page212"/>
    <w:bookmarkEnd w:id="211"/>
    <w:p>
      <w:pPr>
        <w:ind w:right="200"/>
        <w:spacing w:after="0" w:line="250" w:lineRule="auto"/>
        <w:rPr>
          <w:sz w:val="20"/>
          <w:szCs w:val="20"/>
          <w:color w:val="auto"/>
        </w:rPr>
      </w:pPr>
      <w:r>
        <w:rPr>
          <w:rFonts w:ascii="Times New Roman" w:cs="Times New Roman" w:eastAsia="Times New Roman" w:hAnsi="Times New Roman"/>
          <w:sz w:val="20"/>
          <w:szCs w:val="20"/>
          <w:color w:val="auto"/>
        </w:rPr>
        <w:t>independent obligation to the Collateral Agent amounts equal to the aggregate amount payable (</w:t>
      </w:r>
      <w:r>
        <w:rPr>
          <w:rFonts w:ascii="Times New Roman" w:cs="Times New Roman" w:eastAsia="Times New Roman" w:hAnsi="Times New Roman"/>
          <w:sz w:val="20"/>
          <w:szCs w:val="20"/>
          <w:i w:val="1"/>
          <w:iCs w:val="1"/>
          <w:color w:val="auto"/>
        </w:rPr>
        <w:t>verschuldigd</w:t>
      </w:r>
      <w:r>
        <w:rPr>
          <w:rFonts w:ascii="Times New Roman" w:cs="Times New Roman" w:eastAsia="Times New Roman" w:hAnsi="Times New Roman"/>
          <w:sz w:val="20"/>
          <w:szCs w:val="20"/>
          <w:color w:val="auto"/>
        </w:rPr>
        <w:t>) to any of the Secured Parties under or pursuant to its Foreign Obligations (these payment undertakings to the Collateral Agent hereinafter collectively referred to as the “</w:t>
      </w:r>
      <w:r>
        <w:rPr>
          <w:rFonts w:ascii="Times New Roman" w:cs="Times New Roman" w:eastAsia="Times New Roman" w:hAnsi="Times New Roman"/>
          <w:sz w:val="20"/>
          <w:szCs w:val="20"/>
          <w:u w:val="single" w:color="auto"/>
          <w:color w:val="auto"/>
        </w:rPr>
        <w:t>Parallel Debt Foreign Obligations</w:t>
      </w:r>
      <w:r>
        <w:rPr>
          <w:rFonts w:ascii="Times New Roman" w:cs="Times New Roman" w:eastAsia="Times New Roman" w:hAnsi="Times New Roman"/>
          <w:sz w:val="20"/>
          <w:szCs w:val="20"/>
          <w:color w:val="auto"/>
        </w:rPr>
        <w:t>”). The Parallel Debt Foreign Obligations will be payable in the currency or currencies of the relevant Foreign Obligations.</w:t>
      </w:r>
    </w:p>
    <w:p>
      <w:pPr>
        <w:spacing w:after="0" w:line="176" w:lineRule="exact"/>
        <w:rPr>
          <w:sz w:val="20"/>
          <w:szCs w:val="20"/>
          <w:color w:val="auto"/>
        </w:rPr>
      </w:pPr>
    </w:p>
    <w:p>
      <w:pPr>
        <w:ind w:right="280" w:firstLine="1296"/>
        <w:spacing w:after="0" w:line="273" w:lineRule="auto"/>
        <w:rPr>
          <w:sz w:val="20"/>
          <w:szCs w:val="20"/>
          <w:color w:val="auto"/>
        </w:rPr>
      </w:pPr>
      <w:r>
        <w:rPr>
          <w:rFonts w:ascii="Times New Roman" w:cs="Times New Roman" w:eastAsia="Times New Roman" w:hAnsi="Times New Roman"/>
          <w:sz w:val="20"/>
          <w:szCs w:val="20"/>
          <w:color w:val="auto"/>
        </w:rPr>
        <w:t>The Parallel Debt Foreign Obligations will become due and payable (</w:t>
      </w:r>
      <w:r>
        <w:rPr>
          <w:rFonts w:ascii="Times New Roman" w:cs="Times New Roman" w:eastAsia="Times New Roman" w:hAnsi="Times New Roman"/>
          <w:sz w:val="20"/>
          <w:szCs w:val="20"/>
          <w:i w:val="1"/>
          <w:iCs w:val="1"/>
          <w:color w:val="auto"/>
        </w:rPr>
        <w:t>opeisbaar</w:t>
      </w:r>
      <w:r>
        <w:rPr>
          <w:rFonts w:ascii="Times New Roman" w:cs="Times New Roman" w:eastAsia="Times New Roman" w:hAnsi="Times New Roman"/>
          <w:sz w:val="20"/>
          <w:szCs w:val="20"/>
          <w:color w:val="auto"/>
        </w:rPr>
        <w:t>) immediately upon the Collateral Agent’s first demand, which may be made at any time, as and when one or more of the Foreign Obligations becomes due and payable.</w:t>
      </w:r>
    </w:p>
    <w:p>
      <w:pPr>
        <w:spacing w:after="0" w:line="156" w:lineRule="exact"/>
        <w:rPr>
          <w:sz w:val="20"/>
          <w:szCs w:val="20"/>
          <w:color w:val="auto"/>
        </w:rPr>
      </w:pPr>
    </w:p>
    <w:p>
      <w:pPr>
        <w:ind w:right="40" w:firstLine="1296"/>
        <w:spacing w:after="0" w:line="244" w:lineRule="auto"/>
        <w:rPr>
          <w:sz w:val="20"/>
          <w:szCs w:val="20"/>
          <w:color w:val="auto"/>
        </w:rPr>
      </w:pPr>
      <w:r>
        <w:rPr>
          <w:rFonts w:ascii="Times New Roman" w:cs="Times New Roman" w:eastAsia="Times New Roman" w:hAnsi="Times New Roman"/>
          <w:sz w:val="20"/>
          <w:szCs w:val="20"/>
          <w:color w:val="auto"/>
        </w:rPr>
        <w:t>Each of the parties to this Agreement hereby acknowledges that (A) the Parallel Debt Foreign Obligations constitute undertakings, obligations and liabilities of the Foreign Subsidiary Borrowers to the Collateral Agent which are transferable, separate and independent from, and without prejudice to, the corresponding Foreign Obligations and (B) the Parallel Debt Foreign Obligations represent the Collateral Agent’s own separate claims to receive payment of the Parallel Debt Foreign Obligations from the Foreign Subsidiary Borrowers, it being understood that the amounts which may become due and payable by the Foreign Subsidiary Borrowers under or pursuant to the Parallel Debt Foreign Obligations from time to time shall never exceed the aggregate amount which is payable under the Foreign Obligations from time to time.</w:t>
      </w:r>
    </w:p>
    <w:p>
      <w:pPr>
        <w:spacing w:after="0" w:line="186"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20"/>
          <w:szCs w:val="20"/>
          <w:color w:val="auto"/>
        </w:rPr>
        <w:t>For the avoidance of doubt, each of the parties to this Agreement confirms that the claims of the Collateral Agent against each of the Foreign Subsidiary Borrowers in respect of the Parallel Debt Foreign Obligations and the claims of any or more of the Secured Parties against the Foreign Subsidiary Borrowers under or pursuant to the Foreign Obligations payable to such Secured Parties do not constitute common property (</w:t>
      </w:r>
      <w:r>
        <w:rPr>
          <w:rFonts w:ascii="Times New Roman" w:cs="Times New Roman" w:eastAsia="Times New Roman" w:hAnsi="Times New Roman"/>
          <w:sz w:val="20"/>
          <w:szCs w:val="20"/>
          <w:i w:val="1"/>
          <w:iCs w:val="1"/>
          <w:color w:val="auto"/>
        </w:rPr>
        <w:t>een gemeenschap</w:t>
      </w:r>
      <w:r>
        <w:rPr>
          <w:rFonts w:ascii="Times New Roman" w:cs="Times New Roman" w:eastAsia="Times New Roman" w:hAnsi="Times New Roman"/>
          <w:sz w:val="20"/>
          <w:szCs w:val="20"/>
          <w:color w:val="auto"/>
        </w:rPr>
        <w:t>) within the meaning of Section 3:166 of the DCC and that the provisions relating to such common property shall not apply. If, however, it shall be held that such claims of the Collateral Agent and such claims of any one or more of the Secured Parties do constitute such common property and such provisions do apply, the parties to this Agreement agree that this Agreement shall constitute the administration agreement (</w:t>
      </w:r>
      <w:r>
        <w:rPr>
          <w:rFonts w:ascii="Times New Roman" w:cs="Times New Roman" w:eastAsia="Times New Roman" w:hAnsi="Times New Roman"/>
          <w:sz w:val="20"/>
          <w:szCs w:val="20"/>
          <w:i w:val="1"/>
          <w:iCs w:val="1"/>
          <w:color w:val="auto"/>
        </w:rPr>
        <w:t>beheersregeling</w:t>
      </w:r>
      <w:r>
        <w:rPr>
          <w:rFonts w:ascii="Times New Roman" w:cs="Times New Roman" w:eastAsia="Times New Roman" w:hAnsi="Times New Roman"/>
          <w:sz w:val="20"/>
          <w:szCs w:val="20"/>
          <w:color w:val="auto"/>
        </w:rPr>
        <w:t>) within the meaning of Section 3:168 of the DCC.</w:t>
      </w:r>
    </w:p>
    <w:p>
      <w:pPr>
        <w:spacing w:after="0" w:line="186"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For the avoidance of doubt, the parties hereto confirm that this Agreement is not to be construed as an agreement as referred to in Section 6:16 of the Dutch Civil Code and that Section 6:16 of the Dutch Civil Code shall not apply.</w:t>
      </w:r>
    </w:p>
    <w:p>
      <w:pPr>
        <w:spacing w:after="0" w:line="155" w:lineRule="exact"/>
        <w:rPr>
          <w:sz w:val="20"/>
          <w:szCs w:val="20"/>
          <w:color w:val="auto"/>
        </w:rPr>
      </w:pPr>
    </w:p>
    <w:p>
      <w:pPr>
        <w:ind w:right="80" w:firstLine="1296"/>
        <w:spacing w:after="0" w:line="247" w:lineRule="auto"/>
        <w:rPr>
          <w:sz w:val="20"/>
          <w:szCs w:val="20"/>
          <w:color w:val="auto"/>
        </w:rPr>
      </w:pPr>
      <w:r>
        <w:rPr>
          <w:rFonts w:ascii="Times New Roman" w:cs="Times New Roman" w:eastAsia="Times New Roman" w:hAnsi="Times New Roman"/>
          <w:sz w:val="20"/>
          <w:szCs w:val="20"/>
          <w:color w:val="auto"/>
        </w:rPr>
        <w:t>To the extent the Collateral Agent irrevocably (</w:t>
      </w:r>
      <w:r>
        <w:rPr>
          <w:rFonts w:ascii="Times New Roman" w:cs="Times New Roman" w:eastAsia="Times New Roman" w:hAnsi="Times New Roman"/>
          <w:sz w:val="20"/>
          <w:szCs w:val="20"/>
          <w:i w:val="1"/>
          <w:iCs w:val="1"/>
          <w:color w:val="auto"/>
        </w:rPr>
        <w:t>onaantastbaar</w:t>
      </w:r>
      <w:r>
        <w:rPr>
          <w:rFonts w:ascii="Times New Roman" w:cs="Times New Roman" w:eastAsia="Times New Roman" w:hAnsi="Times New Roman"/>
          <w:sz w:val="20"/>
          <w:szCs w:val="20"/>
          <w:color w:val="auto"/>
        </w:rPr>
        <w:t>) receives any amount in payment of the Parallel Debt Foreign Obligations, the Collateral Agent shall distribute such amount among the Secured Parties in accordance with Section 2.18 and upon irrevocable (</w:t>
      </w:r>
      <w:r>
        <w:rPr>
          <w:rFonts w:ascii="Times New Roman" w:cs="Times New Roman" w:eastAsia="Times New Roman" w:hAnsi="Times New Roman"/>
          <w:sz w:val="20"/>
          <w:szCs w:val="20"/>
          <w:i w:val="1"/>
          <w:iCs w:val="1"/>
          <w:color w:val="auto"/>
        </w:rPr>
        <w:t>onaantastbaar</w:t>
      </w:r>
      <w:r>
        <w:rPr>
          <w:rFonts w:ascii="Times New Roman" w:cs="Times New Roman" w:eastAsia="Times New Roman" w:hAnsi="Times New Roman"/>
          <w:sz w:val="20"/>
          <w:szCs w:val="20"/>
          <w:color w:val="auto"/>
        </w:rPr>
        <w:t>) receipt of such amount, the Foreign Obligations shall be reduced by an amount equal to such amount in the manner as if such amount were received as a payment of the Foreign Obligations on the date of receipt by the Collateral Agent of such amount.</w:t>
      </w:r>
    </w:p>
    <w:p>
      <w:pPr>
        <w:spacing w:after="0" w:line="180"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0"/>
          <w:szCs w:val="20"/>
          <w:color w:val="auto"/>
        </w:rPr>
        <w:t>To the extent the Collateral Agent or Administrative Agent irrevocably (</w:t>
      </w:r>
      <w:r>
        <w:rPr>
          <w:rFonts w:ascii="Times New Roman" w:cs="Times New Roman" w:eastAsia="Times New Roman" w:hAnsi="Times New Roman"/>
          <w:sz w:val="20"/>
          <w:szCs w:val="20"/>
          <w:i w:val="1"/>
          <w:iCs w:val="1"/>
          <w:color w:val="auto"/>
        </w:rPr>
        <w:t>onaantastbaar</w:t>
      </w:r>
      <w:r>
        <w:rPr>
          <w:rFonts w:ascii="Times New Roman" w:cs="Times New Roman" w:eastAsia="Times New Roman" w:hAnsi="Times New Roman"/>
          <w:sz w:val="20"/>
          <w:szCs w:val="20"/>
          <w:color w:val="auto"/>
        </w:rPr>
        <w:t>) receives any amount in payment of the Foreign Obligations, the Collateral Agent or Administrative Agent (as applicable) shall distribute such amount among the Secured Parties in accordance with Section 2.18 and upon irrevocable (</w:t>
      </w:r>
      <w:r>
        <w:rPr>
          <w:rFonts w:ascii="Times New Roman" w:cs="Times New Roman" w:eastAsia="Times New Roman" w:hAnsi="Times New Roman"/>
          <w:sz w:val="20"/>
          <w:szCs w:val="20"/>
          <w:i w:val="1"/>
          <w:iCs w:val="1"/>
          <w:color w:val="auto"/>
        </w:rPr>
        <w:t>onaantastbaar</w:t>
      </w:r>
      <w:r>
        <w:rPr>
          <w:rFonts w:ascii="Times New Roman" w:cs="Times New Roman" w:eastAsia="Times New Roman" w:hAnsi="Times New Roman"/>
          <w:sz w:val="20"/>
          <w:szCs w:val="20"/>
          <w:color w:val="auto"/>
        </w:rPr>
        <w:t>) receipt of such amount, the Parallel Debt Foreign Obligations shall be reduced by an amount equal to such amount in the manner as if such amount were received as a payment of the Parallel Debt Foreign Obligations on the date of receipt by the Secured Party of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20"/>
          </w:cols>
          <w:pgMar w:left="320" w:top="1409" w:right="359" w:bottom="1440" w:gutter="0" w:footer="0" w:header="0"/>
        </w:sectPr>
      </w:pPr>
    </w:p>
    <w:bookmarkStart w:id="212" w:name="page213"/>
    <w:bookmarkEnd w:id="212"/>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For the purpose of any Foreign Security Document governed by Dutch law, the Collateral Agent acts in its own name and on behalf of itself but for the benefit of the Secured Parties and any security right granted to the Collateral Agent to secure the Parallel Debt Foreign Obligations is granted to the Collateral Agent in its capacity of sole creditor of the Parallel Debt Foreign Obligations.</w:t>
      </w:r>
    </w:p>
    <w:p>
      <w:pPr>
        <w:spacing w:after="0" w:line="168" w:lineRule="exact"/>
        <w:rPr>
          <w:sz w:val="20"/>
          <w:szCs w:val="20"/>
          <w:color w:val="auto"/>
        </w:rPr>
      </w:pPr>
    </w:p>
    <w:p>
      <w:pPr>
        <w:ind w:right="14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10.19 No Novation</w:t>
      </w:r>
      <w:r>
        <w:rPr>
          <w:rFonts w:ascii="Times New Roman" w:cs="Times New Roman" w:eastAsia="Times New Roman" w:hAnsi="Times New Roman"/>
          <w:sz w:val="20"/>
          <w:szCs w:val="20"/>
          <w:color w:val="auto"/>
        </w:rPr>
        <w:t>. Nothing in this Agreement or the Eighth Amendment shall be deemed to be a substitution or novation of the obligations outstanding under the Security Documents or the other Loan Documents or instruments securing the same, which shall remain in full force and effect, except to any extent modified hereby or by instruments executed concurrently herewith.</w:t>
      </w:r>
    </w:p>
    <w:p>
      <w:pPr>
        <w:spacing w:after="0" w:line="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10.20 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left="340" w:right="380" w:firstLine="1288"/>
        <w:spacing w:after="0" w:line="269" w:lineRule="auto"/>
        <w:tabs>
          <w:tab w:leader="none" w:pos="20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left="1300" w:firstLine="652"/>
        <w:spacing w:after="0" w:line="254" w:lineRule="auto"/>
        <w:tabs>
          <w:tab w:leader="none" w:pos="2388"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3" w:lineRule="exact"/>
        <w:rPr>
          <w:rFonts w:ascii="Times New Roman" w:cs="Times New Roman" w:eastAsia="Times New Roman" w:hAnsi="Times New Roman"/>
          <w:sz w:val="20"/>
          <w:szCs w:val="20"/>
          <w:color w:val="auto"/>
        </w:rPr>
      </w:pPr>
    </w:p>
    <w:p>
      <w:pPr>
        <w:ind w:left="1300" w:right="120" w:firstLine="652"/>
        <w:spacing w:after="0" w:line="283" w:lineRule="auto"/>
        <w:tabs>
          <w:tab w:leader="none" w:pos="2443"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10.21 MIRE Events</w:t>
      </w:r>
      <w:r>
        <w:rPr>
          <w:rFonts w:ascii="Times New Roman" w:cs="Times New Roman" w:eastAsia="Times New Roman" w:hAnsi="Times New Roman"/>
          <w:sz w:val="20"/>
          <w:szCs w:val="20"/>
          <w:color w:val="auto"/>
        </w:rPr>
        <w:t>. Each of the parties hereto acknowledges and agrees that, solely in the event that there are any Mortgaged Properties at the time of any increase, extension or renewal of any of the Commitments or Loans (including the provision of Incremental Revolving Commitments or any other incremental credit facilities hereunder, but excluding (i) any continuation or conversion of borrowings, (ii) the making of any Revolving Loans or (iii) the issuance, renewal or extension of Letters of Credit) shall be subject to (and conditioned upon) delivery of all flood hazard determination certifications, acknowledgements and evidence of flood insurance and other flood-related documentation with respect to such Mortgaged Properties as required by Flood Laws and as otherwise reasonably requested by the Administrative Agent or the Lenders (through the Administrative Agent).</w:t>
      </w:r>
    </w:p>
    <w:p>
      <w:pPr>
        <w:spacing w:after="0" w:line="179"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10.22 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00"/>
          </w:cols>
          <w:pgMar w:left="320" w:top="1413" w:right="379" w:bottom="1440" w:gutter="0" w:footer="0" w:header="0"/>
        </w:sectPr>
      </w:pPr>
    </w:p>
    <w:bookmarkStart w:id="213" w:name="page214"/>
    <w:bookmarkEnd w:id="213"/>
    <w:p>
      <w:pPr>
        <w:ind w:right="120"/>
        <w:spacing w:after="0" w:line="246" w:lineRule="auto"/>
        <w:rPr>
          <w:sz w:val="20"/>
          <w:szCs w:val="20"/>
          <w:color w:val="auto"/>
        </w:rPr>
      </w:pPr>
      <w:r>
        <w:rPr>
          <w:rFonts w:ascii="Times New Roman" w:cs="Times New Roman" w:eastAsia="Times New Roman" w:hAnsi="Times New Roman"/>
          <w:sz w:val="20"/>
          <w:szCs w:val="20"/>
          <w:color w:val="auto"/>
        </w:rPr>
        <w:t>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right="220" w:firstLine="1296"/>
        <w:spacing w:after="0" w:line="258"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w:t>
      </w:r>
    </w:p>
    <w:p>
      <w:pPr>
        <w:spacing w:after="0" w:line="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u w:val="single" w:color="auto"/>
          <w:color w:val="auto"/>
        </w:rPr>
        <w:t>SECTION 10.23</w:t>
      </w:r>
      <w:r>
        <w:rPr>
          <w:sz w:val="20"/>
          <w:szCs w:val="20"/>
          <w:color w:val="auto"/>
        </w:rPr>
        <w:tab/>
      </w:r>
      <w:r>
        <w:rPr>
          <w:rFonts w:ascii="Times New Roman" w:cs="Times New Roman" w:eastAsia="Times New Roman" w:hAnsi="Times New Roman"/>
          <w:sz w:val="19"/>
          <w:szCs w:val="19"/>
          <w:u w:val="single" w:color="auto"/>
          <w:color w:val="auto"/>
        </w:rPr>
        <w:t>Releases of Subsidiary Loan Parties.</w:t>
      </w:r>
    </w:p>
    <w:p>
      <w:pPr>
        <w:spacing w:after="0" w:line="216" w:lineRule="exact"/>
        <w:rPr>
          <w:sz w:val="20"/>
          <w:szCs w:val="20"/>
          <w:color w:val="auto"/>
        </w:rPr>
      </w:pPr>
    </w:p>
    <w:p>
      <w:pPr>
        <w:ind w:left="340" w:firstLine="1288"/>
        <w:spacing w:after="0" w:line="243" w:lineRule="auto"/>
        <w:tabs>
          <w:tab w:leader="none" w:pos="2043"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Subsidiary Loan Party shall automatically be released from its Guarantee obligations upon the consummation of any transaction permitted by this Agreement as a result of which such Subsidiary Loan Party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(and the Administrative Agent may rely conclusively on a certificate to that effect provided to it by any Loan Party upon its reasonable request without further inquiry). Any execution and delivery of documents pursuant to this Section shall be without recourse to or warranty by the Administrative Agent.</w:t>
      </w:r>
    </w:p>
    <w:p>
      <w:pPr>
        <w:spacing w:after="0" w:line="189" w:lineRule="exact"/>
        <w:rPr>
          <w:rFonts w:ascii="Times New Roman" w:cs="Times New Roman" w:eastAsia="Times New Roman" w:hAnsi="Times New Roman"/>
          <w:sz w:val="20"/>
          <w:szCs w:val="20"/>
          <w:color w:val="auto"/>
        </w:rPr>
      </w:pPr>
    </w:p>
    <w:p>
      <w:pPr>
        <w:ind w:left="340" w:firstLine="1288"/>
        <w:spacing w:after="0" w:line="244" w:lineRule="auto"/>
        <w:tabs>
          <w:tab w:leader="none" w:pos="205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principal and interest on the Loans, all LC Disbursements, the fees, expenses and other amounts payable under the Loan Documents and the other Obligations (other than Other Secured Obligations (as defined in the Security Agreement) and other Obligations expressly stated to survive such payment and termination) shall have been paid in full in cash, the Commitments shall have been terminated and no Letters of Credit shall be outstanding that is not cash collateralized or backstopped in a manner reasonably satisfactory to the applicable Issuing Bank, the Guarantee obligations and all obligations (other than those expressly stated to survive such termination) of each Subsidiary Loan Party thereunder shall automatically terminate, all without delivery of any instrument or performance of any act by any Person.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Pages Omitted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20"/>
          </w:cols>
          <w:pgMar w:left="320" w:top="1413" w:right="35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593725</wp:posOffset>
            </wp:positionH>
            <wp:positionV relativeFrom="page">
              <wp:posOffset>1237615</wp:posOffset>
            </wp:positionV>
            <wp:extent cx="5777865" cy="3540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777865" cy="3540760"/>
                    </a:xfrm>
                    <a:prstGeom prst="rect">
                      <a:avLst/>
                    </a:prstGeom>
                    <a:noFill/>
                  </pic:spPr>
                </pic:pic>
              </a:graphicData>
            </a:graphic>
          </wp:anchor>
        </w:drawing>
      </w:r>
    </w:p>
    <w:p>
      <w:pPr>
        <w:spacing w:after="0" w:line="3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Summary report: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Litera Compare for Word 11.9.1.1 Document comparison done on 3/25/2026 8:08:38 AM</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Style name: </w:t>
      </w:r>
      <w:r>
        <w:rPr>
          <w:rFonts w:ascii="Times New Roman" w:cs="Times New Roman" w:eastAsia="Times New Roman" w:hAnsi="Times New Roman"/>
          <w:sz w:val="22"/>
          <w:szCs w:val="22"/>
          <w:color w:val="auto"/>
        </w:rPr>
        <w:t>JD Color With Moves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Intelligent Table Comparison: </w:t>
      </w:r>
      <w:r>
        <w:rPr>
          <w:rFonts w:ascii="Times New Roman" w:cs="Times New Roman" w:eastAsia="Times New Roman" w:hAnsi="Times New Roman"/>
          <w:sz w:val="22"/>
          <w:szCs w:val="22"/>
          <w:color w:val="auto"/>
        </w:rPr>
        <w:t>Inactive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Original DMS: </w:t>
      </w:r>
      <w:r>
        <w:rPr>
          <w:rFonts w:ascii="Times New Roman" w:cs="Times New Roman" w:eastAsia="Times New Roman" w:hAnsi="Times New Roman"/>
          <w:sz w:val="22"/>
          <w:szCs w:val="22"/>
          <w:color w:val="auto"/>
        </w:rPr>
        <w:t>iw://jonesday.cloudimanage.com/NAI/5011249277/2</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Modified DMS: </w:t>
      </w:r>
      <w:r>
        <w:rPr>
          <w:rFonts w:ascii="Times New Roman" w:cs="Times New Roman" w:eastAsia="Times New Roman" w:hAnsi="Times New Roman"/>
          <w:sz w:val="22"/>
          <w:szCs w:val="22"/>
          <w:color w:val="auto"/>
        </w:rPr>
        <w:t>iw://jonesday.cloudimanage.com/NAI/5011231122/1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Changes: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 w:type="dxa"/>
            <w:vAlign w:val="bottom"/>
            <w:tcBorders>
              <w:top w:val="single" w:sz="8" w:color="auto"/>
            </w:tcBorders>
          </w:tcPr>
          <w:p>
            <w:pPr>
              <w:spacing w:after="0"/>
              <w:rPr>
                <w:sz w:val="18"/>
                <w:szCs w:val="18"/>
                <w:color w:val="auto"/>
              </w:rPr>
            </w:pPr>
          </w:p>
        </w:tc>
        <w:tc>
          <w:tcPr>
            <w:tcW w:w="6980" w:type="dxa"/>
            <w:vAlign w:val="bottom"/>
            <w:tcBorders>
              <w:top w:val="single" w:sz="8" w:color="auto"/>
              <w:right w:val="single" w:sz="8" w:color="auto"/>
            </w:tcBorders>
            <w:gridSpan w:val="5"/>
          </w:tcPr>
          <w:p>
            <w:pPr>
              <w:spacing w:after="0" w:line="211" w:lineRule="exact"/>
              <w:rPr>
                <w:sz w:val="20"/>
                <w:szCs w:val="20"/>
                <w:color w:val="auto"/>
              </w:rPr>
            </w:pPr>
            <w:r>
              <w:rPr>
                <w:rFonts w:ascii="Times New Roman" w:cs="Times New Roman" w:eastAsia="Times New Roman" w:hAnsi="Times New Roman"/>
                <w:sz w:val="22"/>
                <w:szCs w:val="22"/>
                <w:color w:val="0000FF"/>
              </w:rPr>
              <w:t>Add</w:t>
            </w:r>
          </w:p>
        </w:tc>
        <w:tc>
          <w:tcPr>
            <w:tcW w:w="2040" w:type="dxa"/>
            <w:vAlign w:val="bottom"/>
            <w:tcBorders>
              <w:top w:val="single" w:sz="8" w:color="auto"/>
            </w:tcBorders>
          </w:tcPr>
          <w:p>
            <w:pPr>
              <w:ind w:left="20"/>
              <w:spacing w:after="0" w:line="211" w:lineRule="exact"/>
              <w:rPr>
                <w:sz w:val="20"/>
                <w:szCs w:val="20"/>
                <w:color w:val="auto"/>
              </w:rPr>
            </w:pPr>
            <w:r>
              <w:rPr>
                <w:rFonts w:ascii="Times New Roman" w:cs="Times New Roman" w:eastAsia="Times New Roman" w:hAnsi="Times New Roman"/>
                <w:sz w:val="22"/>
                <w:szCs w:val="22"/>
                <w:color w:val="auto"/>
              </w:rPr>
              <w:t>32</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17</w:t>
            </w:r>
          </w:p>
        </w:tc>
      </w:tr>
      <w:tr>
        <w:trPr>
          <w:trHeight w:val="263"/>
        </w:trPr>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008000"/>
                <w:strike w:val="1"/>
                <w:w w:val="95"/>
              </w:rPr>
              <w:t>Move From</w:t>
            </w:r>
          </w:p>
        </w:tc>
        <w:tc>
          <w:tcPr>
            <w:tcW w:w="300" w:type="dxa"/>
            <w:vAlign w:val="bottom"/>
            <w:tcBorders>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09"/>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8000"/>
              </w:rPr>
              <w:t>Move To</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0"/>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00FF"/>
              </w:rPr>
              <w:t>Table Insert</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FF0000"/>
                <w:strike w:val="1"/>
              </w:rPr>
              <w:t>Table Delete</w:t>
            </w: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09"/>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8000"/>
              </w:rPr>
              <w:t>Table moves to</w:t>
            </w:r>
          </w:p>
        </w:tc>
        <w:tc>
          <w:tcPr>
            <w:tcW w:w="20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008000"/>
                <w:strike w:val="1"/>
              </w:rPr>
              <w:t>Table moves from</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Embedded Graphics (Visio, ChemDraw, Images etc.)</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Embedded Excel</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Format changes</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b w:val="1"/>
                <w:bCs w:val="1"/>
                <w:color w:val="auto"/>
              </w:rPr>
              <w:t>Total Changes:</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9519"/>
          </w:cols>
          <w:pgMar w:left="940" w:top="1440" w:right="1440"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Two-Year (Ratable) Vest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CFO Initial RSU Award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122" w:right="33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Paul Swart</w:t>
      </w:r>
    </w:p>
    <w:p>
      <w:pPr>
        <w:spacing w:after="0" w:line="173" w:lineRule="exact"/>
        <w:rPr>
          <w:sz w:val="20"/>
          <w:szCs w:val="20"/>
          <w:color w:val="auto"/>
        </w:rPr>
      </w:pPr>
    </w:p>
    <w:p>
      <w:pPr>
        <w:sectPr>
          <w:pgSz w:w="11900" w:h="16838" w:orient="portrait"/>
          <w:cols w:equalWidth="0" w:num="2">
            <w:col w:w="5680" w:space="720"/>
            <w:col w:w="48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Jan-18-2026</w:t>
      </w:r>
    </w:p>
    <w:p>
      <w:pPr>
        <w:spacing w:after="0" w:line="173" w:lineRule="exact"/>
        <w:rPr>
          <w:sz w:val="20"/>
          <w:szCs w:val="20"/>
          <w:color w:val="auto"/>
        </w:rPr>
      </w:pPr>
    </w:p>
    <w:p>
      <w:pPr>
        <w:sectPr>
          <w:pgSz w:w="11900" w:h="16838" w:orient="portrait"/>
          <w:cols w:equalWidth="0" w:num="2">
            <w:col w:w="5680" w:space="720"/>
            <w:col w:w="48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Jan-01-2026</w:t>
      </w:r>
    </w:p>
    <w:p>
      <w:pPr>
        <w:spacing w:after="0" w:line="173" w:lineRule="exact"/>
        <w:rPr>
          <w:sz w:val="20"/>
          <w:szCs w:val="20"/>
          <w:color w:val="auto"/>
        </w:rPr>
      </w:pPr>
    </w:p>
    <w:p>
      <w:pPr>
        <w:sectPr>
          <w:pgSz w:w="11900" w:h="16838" w:orient="portrait"/>
          <w:cols w:equalWidth="0" w:num="2">
            <w:col w:w="5680" w:space="720"/>
            <w:col w:w="48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7,052</w:t>
      </w:r>
    </w:p>
    <w:p>
      <w:pPr>
        <w:spacing w:after="0" w:line="200" w:lineRule="exact"/>
        <w:rPr>
          <w:sz w:val="20"/>
          <w:szCs w:val="20"/>
          <w:color w:val="auto"/>
        </w:rPr>
      </w:pPr>
    </w:p>
    <w:p>
      <w:pPr>
        <w:sectPr>
          <w:pgSz w:w="11900" w:h="16838" w:orient="portrait"/>
          <w:cols w:equalWidth="0" w:num="2">
            <w:col w:w="5680" w:space="720"/>
            <w:col w:w="4840"/>
          </w:cols>
          <w:pgMar w:left="320" w:top="122" w:right="3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440" w:hanging="432"/>
        <w:spacing w:after="0"/>
        <w:tabs>
          <w:tab w:leader="none" w:pos="440"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b w:val="1"/>
          <w:bCs w:val="1"/>
          <w:color w:val="auto"/>
        </w:rPr>
      </w:pPr>
    </w:p>
    <w:p>
      <w:pPr>
        <w:jc w:val="both"/>
        <w:ind w:firstLine="231"/>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72"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2"/>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52" w:lineRule="auto"/>
        <w:tabs>
          <w:tab w:leader="none" w:pos="1953" w:val="left"/>
        </w:tabs>
        <w:numPr>
          <w:ilvl w:val="3"/>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two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two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122" w:right="339" w:bottom="1440" w:gutter="0" w:footer="0" w:header="0"/>
          <w:type w:val="continuous"/>
        </w:sectPr>
      </w:pPr>
    </w:p>
    <w:bookmarkStart w:id="216" w:name="page217"/>
    <w:bookmarkEnd w:id="216"/>
    <w:p>
      <w:pPr>
        <w:spacing w:after="0" w:line="200" w:lineRule="exact"/>
        <w:rPr>
          <w:sz w:val="20"/>
          <w:szCs w:val="20"/>
          <w:color w:val="auto"/>
        </w:rPr>
      </w:pPr>
    </w:p>
    <w:p>
      <w:pPr>
        <w:spacing w:after="0" w:line="224" w:lineRule="exact"/>
        <w:rPr>
          <w:sz w:val="20"/>
          <w:szCs w:val="20"/>
          <w:color w:val="auto"/>
        </w:rPr>
      </w:pPr>
    </w:p>
    <w:p>
      <w:pPr>
        <w:ind w:left="1760" w:hanging="636"/>
        <w:spacing w:after="0"/>
        <w:tabs>
          <w:tab w:leader="none" w:pos="1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1120" w:firstLine="652"/>
        <w:spacing w:after="0" w:line="239" w:lineRule="auto"/>
        <w:tabs>
          <w:tab w:leader="none" w:pos="2323"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0" w:lineRule="exact"/>
        <w:rPr>
          <w:rFonts w:ascii="Times New Roman" w:cs="Times New Roman" w:eastAsia="Times New Roman" w:hAnsi="Times New Roman"/>
          <w:sz w:val="22"/>
          <w:szCs w:val="22"/>
          <w:color w:val="auto"/>
        </w:rPr>
      </w:pPr>
    </w:p>
    <w:p>
      <w:pPr>
        <w:jc w:val="both"/>
        <w:ind w:left="1120" w:firstLine="652"/>
        <w:spacing w:after="0" w:line="245" w:lineRule="auto"/>
        <w:tabs>
          <w:tab w:leader="none" w:pos="2261"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2" w:lineRule="exact"/>
        <w:rPr>
          <w:rFonts w:ascii="Times New Roman" w:cs="Times New Roman" w:eastAsia="Times New Roman" w:hAnsi="Times New Roman"/>
          <w:sz w:val="22"/>
          <w:szCs w:val="22"/>
          <w:color w:val="auto"/>
        </w:rPr>
      </w:pPr>
    </w:p>
    <w:p>
      <w:pPr>
        <w:jc w:val="both"/>
        <w:ind w:left="1120" w:firstLine="652"/>
        <w:spacing w:after="0"/>
        <w:tabs>
          <w:tab w:leader="none" w:pos="2362"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24, and then (y) subtracting the number of Restricted Stock Units that have already vested under this Award.</w:t>
      </w:r>
    </w:p>
    <w:p>
      <w:pPr>
        <w:spacing w:after="0" w:line="186" w:lineRule="exact"/>
        <w:rPr>
          <w:rFonts w:ascii="Times New Roman" w:cs="Times New Roman" w:eastAsia="Times New Roman" w:hAnsi="Times New Roman"/>
          <w:sz w:val="22"/>
          <w:szCs w:val="22"/>
          <w:color w:val="auto"/>
        </w:rPr>
      </w:pPr>
    </w:p>
    <w:p>
      <w:pPr>
        <w:jc w:val="both"/>
        <w:ind w:left="1120" w:firstLine="652"/>
        <w:spacing w:after="0" w:line="246" w:lineRule="auto"/>
        <w:tabs>
          <w:tab w:leader="none" w:pos="2309"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such unvested Restricted Stock Units shall vest in accordance with this Section II.A.1(b)(iv):</w:t>
      </w:r>
    </w:p>
    <w:p>
      <w:pPr>
        <w:spacing w:after="0" w:line="184" w:lineRule="exact"/>
        <w:rPr>
          <w:rFonts w:ascii="Times New Roman" w:cs="Times New Roman" w:eastAsia="Times New Roman" w:hAnsi="Times New Roman"/>
          <w:sz w:val="22"/>
          <w:szCs w:val="22"/>
          <w:color w:val="auto"/>
        </w:rPr>
      </w:pPr>
    </w:p>
    <w:p>
      <w:pPr>
        <w:jc w:val="both"/>
        <w:ind w:left="2020" w:firstLine="643"/>
        <w:spacing w:after="0" w:line="244" w:lineRule="auto"/>
        <w:tabs>
          <w:tab w:leader="none" w:pos="3333" w:val="left"/>
        </w:tabs>
        <w:numPr>
          <w:ilvl w:val="2"/>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all of the Restricted Stock Units subject to this Award, and while Grantee is continuously a Service Provider, a Change in Control occurs, then Grantee shall fully vest in the Restricted Stock Units subject to this Award that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40" w:right="339" w:bottom="1440" w:gutter="0" w:footer="0" w:header="0"/>
        </w:sectPr>
      </w:pPr>
    </w:p>
    <w:bookmarkStart w:id="217" w:name="page218"/>
    <w:bookmarkEnd w:id="217"/>
    <w:p>
      <w:pPr>
        <w:jc w:val="both"/>
        <w:ind w:left="2020"/>
        <w:spacing w:after="0" w:line="250" w:lineRule="auto"/>
        <w:rPr>
          <w:sz w:val="20"/>
          <w:szCs w:val="20"/>
          <w:color w:val="auto"/>
        </w:rPr>
      </w:pPr>
      <w:r>
        <w:rPr>
          <w:rFonts w:ascii="Times New Roman" w:cs="Times New Roman" w:eastAsia="Times New Roman" w:hAnsi="Times New Roman"/>
          <w:sz w:val="22"/>
          <w:szCs w:val="22"/>
          <w:color w:val="auto"/>
        </w:rPr>
        <w:t>already vested as of the date of the Change in Control, except to the extent that a Replacement Award is provided to Grantee in accordance with Section II.A.1(b)(iv)(B) to continue, replace or assume the Restricted Stock Units covered by this Award (the “Replaced Award”).</w:t>
      </w:r>
    </w:p>
    <w:p>
      <w:pPr>
        <w:spacing w:after="0" w:line="168" w:lineRule="exact"/>
        <w:rPr>
          <w:sz w:val="20"/>
          <w:szCs w:val="20"/>
          <w:color w:val="auto"/>
        </w:rPr>
      </w:pPr>
    </w:p>
    <w:p>
      <w:pPr>
        <w:jc w:val="both"/>
        <w:ind w:left="2020" w:firstLine="643"/>
        <w:spacing w:after="0" w:line="237" w:lineRule="auto"/>
        <w:tabs>
          <w:tab w:leader="none" w:pos="3205"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(4) if Grantee holding the Replaced Award is subject to U.S. federal income tax under the Code, the tax consequences of which to such Grantee under the Code are not less favorable to such Grantee than the tax consequences of the Replaced Award, and (5)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II.A.1(b)(iv)(B) are satisfied will be made by the Committee, as constituted immediately before the Change in Control, in its sole discretion.</w:t>
      </w:r>
    </w:p>
    <w:p>
      <w:pPr>
        <w:spacing w:after="0" w:line="187" w:lineRule="exact"/>
        <w:rPr>
          <w:rFonts w:ascii="Times New Roman" w:cs="Times New Roman" w:eastAsia="Times New Roman" w:hAnsi="Times New Roman"/>
          <w:sz w:val="22"/>
          <w:szCs w:val="22"/>
          <w:color w:val="auto"/>
        </w:rPr>
      </w:pPr>
    </w:p>
    <w:p>
      <w:pPr>
        <w:jc w:val="both"/>
        <w:ind w:left="2020" w:firstLine="643"/>
        <w:spacing w:after="0" w:line="260" w:lineRule="auto"/>
        <w:tabs>
          <w:tab w:leader="none" w:pos="3176"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and its Subsidiaries (or any of their successors) (as applicable, the “Successor”), or</w:t>
      </w:r>
    </w:p>
    <w:p>
      <w:pPr>
        <w:ind w:left="2340" w:hanging="325"/>
        <w:spacing w:after="0"/>
        <w:tabs>
          <w:tab w:leader="none" w:pos="234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Disability, in each case within a</w:t>
      </w:r>
    </w:p>
    <w:p>
      <w:pPr>
        <w:spacing w:after="0" w:line="4" w:lineRule="exact"/>
        <w:rPr>
          <w:sz w:val="20"/>
          <w:szCs w:val="20"/>
          <w:color w:val="auto"/>
        </w:rPr>
      </w:pPr>
    </w:p>
    <w:p>
      <w:pPr>
        <w:jc w:val="both"/>
        <w:ind w:left="2020"/>
        <w:spacing w:after="0" w:line="237" w:lineRule="auto"/>
        <w:rPr>
          <w:sz w:val="20"/>
          <w:szCs w:val="20"/>
          <w:color w:val="auto"/>
        </w:rPr>
      </w:pPr>
      <w:r>
        <w:rPr>
          <w:rFonts w:ascii="Times New Roman" w:cs="Times New Roman" w:eastAsia="Times New Roman" w:hAnsi="Times New Roman"/>
          <w:sz w:val="22"/>
          <w:szCs w:val="22"/>
          <w:color w:val="auto"/>
        </w:rPr>
        <w:t>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Disability.</w:t>
      </w:r>
    </w:p>
    <w:p>
      <w:pPr>
        <w:spacing w:after="0" w:line="178" w:lineRule="exact"/>
        <w:rPr>
          <w:sz w:val="20"/>
          <w:szCs w:val="20"/>
          <w:color w:val="auto"/>
        </w:rPr>
      </w:pPr>
    </w:p>
    <w:p>
      <w:pPr>
        <w:jc w:val="both"/>
        <w:ind w:left="2020" w:firstLine="643"/>
        <w:spacing w:after="0" w:line="244" w:lineRule="auto"/>
        <w:tabs>
          <w:tab w:leader="none" w:pos="326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408" w:right="339" w:bottom="1440" w:gutter="0" w:footer="0" w:header="0"/>
        </w:sectPr>
      </w:pPr>
    </w:p>
    <w:bookmarkStart w:id="218" w:name="page219"/>
    <w:bookmarkEnd w:id="218"/>
    <w:p>
      <w:pPr>
        <w:jc w:val="both"/>
        <w:ind w:left="480"/>
        <w:spacing w:after="0" w:line="250"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64" w:lineRule="exact"/>
        <w:rPr>
          <w:sz w:val="20"/>
          <w:szCs w:val="20"/>
          <w:color w:val="auto"/>
        </w:rPr>
      </w:pPr>
    </w:p>
    <w:p>
      <w:pPr>
        <w:ind w:left="640" w:hanging="380"/>
        <w:spacing w:after="0"/>
        <w:tabs>
          <w:tab w:leader="none" w:pos="64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80" w:firstLine="259"/>
        <w:spacing w:after="0" w:line="246" w:lineRule="auto"/>
        <w:tabs>
          <w:tab w:leader="none" w:pos="124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80" w:lineRule="exact"/>
        <w:rPr>
          <w:rFonts w:ascii="Times New Roman" w:cs="Times New Roman" w:eastAsia="Times New Roman" w:hAnsi="Times New Roman"/>
          <w:sz w:val="22"/>
          <w:szCs w:val="22"/>
          <w:color w:val="auto"/>
        </w:rPr>
      </w:pPr>
    </w:p>
    <w:p>
      <w:pPr>
        <w:ind w:left="480" w:firstLine="306"/>
        <w:spacing w:after="0" w:line="262" w:lineRule="auto"/>
        <w:tabs>
          <w:tab w:leader="none" w:pos="1353"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67" w:lineRule="exact"/>
        <w:rPr>
          <w:rFonts w:ascii="Times New Roman" w:cs="Times New Roman" w:eastAsia="Times New Roman" w:hAnsi="Times New Roman"/>
          <w:sz w:val="22"/>
          <w:szCs w:val="22"/>
          <w:color w:val="auto"/>
        </w:rPr>
      </w:pPr>
    </w:p>
    <w:p>
      <w:pPr>
        <w:jc w:val="both"/>
        <w:ind w:left="1120" w:firstLine="571"/>
        <w:spacing w:after="0"/>
        <w:tabs>
          <w:tab w:leader="none" w:pos="2197"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 (and have not previously been settled) on the date Grantee ceases to be a Service Provider as a result of Grantee’s death or Disability, the Company shall issue Grantee one share of Common Stock for each vested Restricted Stock Unit as soon as practicable following (but no later than thirty (30) days following) the date Grantee ceases to be a Service Provider;</w:t>
      </w:r>
    </w:p>
    <w:p>
      <w:pPr>
        <w:spacing w:after="0" w:line="179" w:lineRule="exact"/>
        <w:rPr>
          <w:rFonts w:ascii="Times New Roman" w:cs="Times New Roman" w:eastAsia="Times New Roman" w:hAnsi="Times New Roman"/>
          <w:sz w:val="22"/>
          <w:szCs w:val="22"/>
          <w:color w:val="auto"/>
        </w:rPr>
      </w:pPr>
    </w:p>
    <w:p>
      <w:pPr>
        <w:jc w:val="both"/>
        <w:ind w:left="1120" w:firstLine="571"/>
        <w:spacing w:after="0" w:line="248" w:lineRule="auto"/>
        <w:tabs>
          <w:tab w:leader="none" w:pos="2234"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II.A.1(b)(iii) (and have not previously been settled) on the date of Grantee’s Qualifying Termination, the Company shall issue Grantee one share of Common Stock for each vested Restricted Stock Unit as soon as practicable following (but no later than thirty (30) days following) the date of Grantee’s Qualifying Termination.</w:t>
      </w:r>
    </w:p>
    <w:p>
      <w:pPr>
        <w:spacing w:after="0" w:line="169" w:lineRule="exact"/>
        <w:rPr>
          <w:rFonts w:ascii="Times New Roman" w:cs="Times New Roman" w:eastAsia="Times New Roman" w:hAnsi="Times New Roman"/>
          <w:sz w:val="22"/>
          <w:szCs w:val="22"/>
          <w:color w:val="auto"/>
        </w:rPr>
      </w:pPr>
    </w:p>
    <w:p>
      <w:pPr>
        <w:jc w:val="both"/>
        <w:ind w:left="1120" w:firstLine="571"/>
        <w:spacing w:after="0" w:line="238" w:lineRule="auto"/>
        <w:tabs>
          <w:tab w:leader="none" w:pos="2227"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II.A.1(b)(iv)(A)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99" w:lineRule="exact"/>
        <w:rPr>
          <w:rFonts w:ascii="Times New Roman" w:cs="Times New Roman" w:eastAsia="Times New Roman" w:hAnsi="Times New Roman"/>
          <w:sz w:val="22"/>
          <w:szCs w:val="22"/>
          <w:color w:val="auto"/>
        </w:rPr>
      </w:pPr>
    </w:p>
    <w:p>
      <w:pPr>
        <w:jc w:val="both"/>
        <w:ind w:left="1120" w:firstLine="571"/>
        <w:spacing w:after="0" w:line="244" w:lineRule="auto"/>
        <w:tabs>
          <w:tab w:leader="none" w:pos="2220"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II.A.1(b)(iv)(C) (and have not previously been settled) on the date of Grantee’s “separation from service” with the Company and its Subsidiaries (determined in accordance with Section 409A(a)(2)(A)(i) of the Code) within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08" w:right="339" w:bottom="1440" w:gutter="0" w:footer="0" w:header="0"/>
        </w:sectPr>
      </w:pPr>
    </w:p>
    <w:bookmarkStart w:id="219" w:name="page220"/>
    <w:bookmarkEnd w:id="219"/>
    <w:p>
      <w:pPr>
        <w:jc w:val="both"/>
        <w:ind w:left="1120"/>
        <w:spacing w:after="0" w:line="244" w:lineRule="auto"/>
        <w:rPr>
          <w:sz w:val="20"/>
          <w:szCs w:val="20"/>
          <w:color w:val="auto"/>
        </w:rPr>
      </w:pPr>
      <w:r>
        <w:rPr>
          <w:rFonts w:ascii="Times New Roman" w:cs="Times New Roman" w:eastAsia="Times New Roman" w:hAnsi="Times New Roman"/>
          <w:sz w:val="22"/>
          <w:szCs w:val="22"/>
          <w:color w:val="auto"/>
        </w:rPr>
        <w:t>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82" w:lineRule="exact"/>
        <w:rPr>
          <w:sz w:val="20"/>
          <w:szCs w:val="20"/>
          <w:color w:val="auto"/>
        </w:rPr>
      </w:pPr>
    </w:p>
    <w:p>
      <w:pPr>
        <w:jc w:val="both"/>
        <w:ind w:left="-180" w:firstLine="449"/>
        <w:spacing w:after="0" w:line="239" w:lineRule="auto"/>
        <w:tabs>
          <w:tab w:leader="none" w:pos="643" w:val="left"/>
        </w:tabs>
        <w:numPr>
          <w:ilvl w:val="1"/>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6" w:lineRule="exact"/>
        <w:rPr>
          <w:rFonts w:ascii="Times New Roman" w:cs="Times New Roman" w:eastAsia="Times New Roman" w:hAnsi="Times New Roman"/>
          <w:sz w:val="22"/>
          <w:szCs w:val="22"/>
          <w:b w:val="1"/>
          <w:bCs w:val="1"/>
          <w:color w:val="auto"/>
        </w:rPr>
      </w:pPr>
    </w:p>
    <w:p>
      <w:pPr>
        <w:ind w:left="-180" w:right="20" w:firstLine="467"/>
        <w:spacing w:after="0" w:line="262" w:lineRule="auto"/>
        <w:tabs>
          <w:tab w:leader="none" w:pos="670" w:val="left"/>
        </w:tabs>
        <w:numPr>
          <w:ilvl w:val="3"/>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63" w:lineRule="exact"/>
        <w:rPr>
          <w:rFonts w:ascii="Times New Roman" w:cs="Times New Roman" w:eastAsia="Times New Roman" w:hAnsi="Times New Roman"/>
          <w:sz w:val="22"/>
          <w:szCs w:val="22"/>
          <w:b w:val="1"/>
          <w:bCs w:val="1"/>
          <w:color w:val="auto"/>
        </w:rPr>
      </w:pPr>
    </w:p>
    <w:p>
      <w:pPr>
        <w:ind w:left="-180" w:firstLine="440"/>
        <w:spacing w:after="0" w:line="262" w:lineRule="auto"/>
        <w:tabs>
          <w:tab w:leader="none" w:pos="630" w:val="left"/>
        </w:tabs>
        <w:numPr>
          <w:ilvl w:val="2"/>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63" w:lineRule="exact"/>
        <w:rPr>
          <w:rFonts w:ascii="Times New Roman" w:cs="Times New Roman" w:eastAsia="Times New Roman" w:hAnsi="Times New Roman"/>
          <w:sz w:val="22"/>
          <w:szCs w:val="22"/>
          <w:b w:val="1"/>
          <w:bCs w:val="1"/>
          <w:color w:val="auto"/>
        </w:rPr>
      </w:pPr>
    </w:p>
    <w:p>
      <w:pPr>
        <w:ind w:left="460" w:hanging="416"/>
        <w:spacing w:after="0"/>
        <w:tabs>
          <w:tab w:leader="none" w:pos="4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80" w:firstLine="494"/>
        <w:spacing w:after="0" w:line="245" w:lineRule="auto"/>
        <w:tabs>
          <w:tab w:leader="none" w:pos="711" w:val="left"/>
        </w:tabs>
        <w:numPr>
          <w:ilvl w:val="4"/>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2" w:lineRule="exact"/>
        <w:rPr>
          <w:rFonts w:ascii="Times New Roman" w:cs="Times New Roman" w:eastAsia="Times New Roman" w:hAnsi="Times New Roman"/>
          <w:sz w:val="22"/>
          <w:szCs w:val="22"/>
          <w:b w:val="1"/>
          <w:bCs w:val="1"/>
          <w:color w:val="auto"/>
        </w:rPr>
      </w:pPr>
    </w:p>
    <w:p>
      <w:pPr>
        <w:jc w:val="both"/>
        <w:ind w:left="-180" w:firstLine="593"/>
        <w:spacing w:after="0" w:line="238" w:lineRule="auto"/>
        <w:tabs>
          <w:tab w:leader="none" w:pos="859" w:val="left"/>
        </w:tabs>
        <w:numPr>
          <w:ilvl w:val="5"/>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408" w:right="339" w:bottom="1440" w:gutter="0" w:footer="0" w:header="0"/>
        </w:sectPr>
      </w:pPr>
    </w:p>
    <w:bookmarkStart w:id="220" w:name="page221"/>
    <w:bookmarkEnd w:id="220"/>
    <w:p>
      <w:pPr>
        <w:jc w:val="both"/>
        <w:spacing w:after="0" w:line="243" w:lineRule="auto"/>
        <w:rPr>
          <w:sz w:val="20"/>
          <w:szCs w:val="20"/>
          <w:color w:val="auto"/>
        </w:rPr>
      </w:pPr>
      <w:r>
        <w:rPr>
          <w:rFonts w:ascii="Times New Roman" w:cs="Times New Roman" w:eastAsia="Times New Roman" w:hAnsi="Times New Roman"/>
          <w:sz w:val="22"/>
          <w:szCs w:val="22"/>
          <w:color w:val="auto"/>
        </w:rPr>
        <w:t>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3" w:lineRule="exact"/>
        <w:rPr>
          <w:sz w:val="20"/>
          <w:szCs w:val="20"/>
          <w:color w:val="auto"/>
        </w:rPr>
      </w:pPr>
    </w:p>
    <w:p>
      <w:pPr>
        <w:ind w:left="820" w:hanging="380"/>
        <w:spacing w:after="0"/>
        <w:tabs>
          <w:tab w:leader="none" w:pos="82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06" w:lineRule="exact"/>
        <w:rPr>
          <w:rFonts w:ascii="Times New Roman" w:cs="Times New Roman" w:eastAsia="Times New Roman" w:hAnsi="Times New Roman"/>
          <w:sz w:val="22"/>
          <w:szCs w:val="22"/>
          <w:b w:val="1"/>
          <w:bCs w:val="1"/>
          <w:color w:val="auto"/>
        </w:rPr>
      </w:pPr>
    </w:p>
    <w:p>
      <w:pPr>
        <w:ind w:left="660" w:firstLine="212"/>
        <w:spacing w:after="0" w:line="239" w:lineRule="auto"/>
        <w:tabs>
          <w:tab w:leader="none" w:pos="133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Generally. </w:t>
      </w:r>
      <w:r>
        <w:rPr>
          <w:rFonts w:ascii="Times New Roman" w:cs="Times New Roman" w:eastAsia="Times New Roman" w:hAnsi="Times New Roman"/>
          <w:sz w:val="22"/>
          <w:szCs w:val="22"/>
          <w:color w:val="auto"/>
        </w:rPr>
        <w:t>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 agreement or arrangement)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80" w:lineRule="exact"/>
        <w:rPr>
          <w:rFonts w:ascii="Times New Roman" w:cs="Times New Roman" w:eastAsia="Times New Roman" w:hAnsi="Times New Roman"/>
          <w:sz w:val="22"/>
          <w:szCs w:val="22"/>
          <w:color w:val="auto"/>
        </w:rPr>
      </w:pPr>
    </w:p>
    <w:p>
      <w:pPr>
        <w:ind w:left="660" w:right="80" w:firstLine="212"/>
        <w:spacing w:after="0" w:line="250" w:lineRule="auto"/>
        <w:tabs>
          <w:tab w:leader="none" w:pos="1344"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Confidentiality. </w:t>
      </w:r>
      <w:r>
        <w:rPr>
          <w:rFonts w:ascii="Times New Roman" w:cs="Times New Roman" w:eastAsia="Times New Roman" w:hAnsi="Times New Roman"/>
          <w:sz w:val="21"/>
          <w:szCs w:val="21"/>
          <w:color w:val="auto"/>
        </w:rPr>
        <w:t>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8" w:right="339" w:bottom="1440" w:gutter="0" w:footer="0" w:header="0"/>
        </w:sectPr>
      </w:pPr>
    </w:p>
    <w:bookmarkStart w:id="221" w:name="page222"/>
    <w:bookmarkEnd w:id="221"/>
    <w:p>
      <w:pPr>
        <w:ind w:left="480" w:right="120"/>
        <w:spacing w:after="0" w:line="249" w:lineRule="auto"/>
        <w:rPr>
          <w:sz w:val="20"/>
          <w:szCs w:val="20"/>
          <w:color w:val="auto"/>
        </w:rPr>
      </w:pPr>
      <w:r>
        <w:rPr>
          <w:rFonts w:ascii="Times New Roman" w:cs="Times New Roman" w:eastAsia="Times New Roman" w:hAnsi="Times New Roman"/>
          <w:sz w:val="21"/>
          <w:szCs w:val="21"/>
          <w:color w:val="auto"/>
        </w:rPr>
        <w:t>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1" w:lineRule="exact"/>
        <w:rPr>
          <w:sz w:val="20"/>
          <w:szCs w:val="20"/>
          <w:color w:val="auto"/>
        </w:rPr>
      </w:pPr>
    </w:p>
    <w:p>
      <w:pPr>
        <w:ind w:left="1140" w:hanging="448"/>
        <w:spacing w:after="0"/>
        <w:tabs>
          <w:tab w:leader="none" w:pos="11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p>
    <w:p>
      <w:pPr>
        <w:spacing w:after="0" w:line="210" w:lineRule="exact"/>
        <w:rPr>
          <w:rFonts w:ascii="Times New Roman" w:cs="Times New Roman" w:eastAsia="Times New Roman" w:hAnsi="Times New Roman"/>
          <w:sz w:val="22"/>
          <w:szCs w:val="22"/>
          <w:color w:val="auto"/>
        </w:rPr>
      </w:pPr>
    </w:p>
    <w:p>
      <w:pPr>
        <w:ind w:left="1120" w:hanging="212"/>
        <w:spacing w:after="0" w:line="239" w:lineRule="auto"/>
        <w:tabs>
          <w:tab w:leader="none" w:pos="1324"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0" w:lineRule="exact"/>
        <w:rPr>
          <w:rFonts w:ascii="Times New Roman" w:cs="Times New Roman" w:eastAsia="Times New Roman" w:hAnsi="Times New Roman"/>
          <w:sz w:val="22"/>
          <w:szCs w:val="22"/>
          <w:color w:val="auto"/>
        </w:rPr>
      </w:pPr>
    </w:p>
    <w:p>
      <w:pPr>
        <w:ind w:left="1120" w:firstLine="220"/>
        <w:spacing w:after="0" w:line="250" w:lineRule="auto"/>
        <w:tabs>
          <w:tab w:leader="none" w:pos="1816" w:val="left"/>
        </w:tabs>
        <w:numPr>
          <w:ilvl w:val="2"/>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500" w:top="1408" w:right="359" w:bottom="1440" w:gutter="0" w:footer="0" w:header="0"/>
        </w:sectPr>
      </w:pPr>
    </w:p>
    <w:bookmarkStart w:id="222" w:name="page223"/>
    <w:bookmarkEnd w:id="222"/>
    <w:p>
      <w:pPr>
        <w:ind w:left="1120" w:right="260"/>
        <w:spacing w:after="0" w:line="244" w:lineRule="auto"/>
        <w:rPr>
          <w:sz w:val="20"/>
          <w:szCs w:val="20"/>
          <w:color w:val="auto"/>
        </w:rPr>
      </w:pPr>
      <w:r>
        <w:rPr>
          <w:rFonts w:ascii="Times New Roman" w:cs="Times New Roman" w:eastAsia="Times New Roman" w:hAnsi="Times New Roman"/>
          <w:sz w:val="22"/>
          <w:szCs w:val="22"/>
          <w:color w:val="auto"/>
        </w:rPr>
        <w:t>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6" w:lineRule="exact"/>
        <w:rPr>
          <w:sz w:val="20"/>
          <w:szCs w:val="20"/>
          <w:color w:val="auto"/>
        </w:rPr>
      </w:pPr>
    </w:p>
    <w:p>
      <w:pPr>
        <w:ind w:left="1120" w:right="180" w:hanging="212"/>
        <w:spacing w:after="0" w:line="238" w:lineRule="auto"/>
        <w:tabs>
          <w:tab w:leader="none" w:pos="1444"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89"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p>
    <w:p>
      <w:pPr>
        <w:spacing w:after="0" w:line="18" w:lineRule="exact"/>
        <w:rPr>
          <w:rFonts w:ascii="Times New Roman" w:cs="Times New Roman" w:eastAsia="Times New Roman" w:hAnsi="Times New Roman"/>
          <w:sz w:val="22"/>
          <w:szCs w:val="22"/>
          <w:color w:val="auto"/>
        </w:rPr>
      </w:pPr>
    </w:p>
    <w:p>
      <w:pPr>
        <w:ind w:left="480" w:right="1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74" w:lineRule="exact"/>
        <w:rPr>
          <w:rFonts w:ascii="Times New Roman" w:cs="Times New Roman" w:eastAsia="Times New Roman" w:hAnsi="Times New Roman"/>
          <w:sz w:val="22"/>
          <w:szCs w:val="22"/>
          <w:color w:val="auto"/>
        </w:rPr>
      </w:pPr>
    </w:p>
    <w:p>
      <w:pPr>
        <w:ind w:left="1140" w:hanging="448"/>
        <w:spacing w:after="0"/>
        <w:tabs>
          <w:tab w:leader="none" w:pos="114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ind w:left="1120" w:firstLine="622"/>
        <w:spacing w:after="0"/>
        <w:tabs>
          <w:tab w:leader="none" w:pos="2158" w:val="left"/>
        </w:tabs>
        <w:numPr>
          <w:ilvl w:val="2"/>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3" w:lineRule="exact"/>
        <w:rPr>
          <w:rFonts w:ascii="Times New Roman" w:cs="Times New Roman" w:eastAsia="Times New Roman" w:hAnsi="Times New Roman"/>
          <w:sz w:val="22"/>
          <w:szCs w:val="22"/>
          <w:color w:val="auto"/>
        </w:rPr>
      </w:pPr>
    </w:p>
    <w:p>
      <w:pPr>
        <w:ind w:left="1120" w:right="20" w:firstLine="622"/>
        <w:spacing w:after="0" w:line="249" w:lineRule="auto"/>
        <w:tabs>
          <w:tab w:leader="none" w:pos="2218" w:val="left"/>
        </w:tabs>
        <w:numPr>
          <w:ilvl w:val="2"/>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5" w:lineRule="exact"/>
        <w:rPr>
          <w:rFonts w:ascii="Times New Roman" w:cs="Times New Roman" w:eastAsia="Times New Roman" w:hAnsi="Times New Roman"/>
          <w:sz w:val="22"/>
          <w:szCs w:val="22"/>
          <w:color w:val="auto"/>
        </w:rPr>
      </w:pPr>
    </w:p>
    <w:p>
      <w:pPr>
        <w:ind w:left="1120" w:right="300" w:firstLine="622"/>
        <w:spacing w:after="0" w:line="252" w:lineRule="auto"/>
        <w:tabs>
          <w:tab w:leader="none" w:pos="2278" w:val="left"/>
        </w:tabs>
        <w:numPr>
          <w:ilvl w:val="2"/>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500" w:top="1408" w:right="359" w:bottom="1440" w:gutter="0" w:footer="0" w:header="0"/>
        </w:sectPr>
      </w:pPr>
    </w:p>
    <w:bookmarkStart w:id="223" w:name="page224"/>
    <w:bookmarkEnd w:id="223"/>
    <w:p>
      <w:pPr>
        <w:ind w:left="1120"/>
        <w:spacing w:after="0" w:line="239" w:lineRule="auto"/>
        <w:rPr>
          <w:sz w:val="20"/>
          <w:szCs w:val="20"/>
          <w:color w:val="auto"/>
        </w:rPr>
      </w:pPr>
      <w:r>
        <w:rPr>
          <w:rFonts w:ascii="Times New Roman" w:cs="Times New Roman" w:eastAsia="Times New Roman" w:hAnsi="Times New Roman"/>
          <w:sz w:val="22"/>
          <w:szCs w:val="22"/>
          <w:color w:val="auto"/>
        </w:rPr>
        <w:t>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7" w:lineRule="exact"/>
        <w:rPr>
          <w:sz w:val="20"/>
          <w:szCs w:val="20"/>
          <w:color w:val="auto"/>
        </w:rPr>
      </w:pPr>
    </w:p>
    <w:p>
      <w:pPr>
        <w:jc w:val="both"/>
        <w:ind w:left="460" w:right="140" w:firstLine="644"/>
        <w:spacing w:after="0" w:line="245" w:lineRule="auto"/>
        <w:tabs>
          <w:tab w:leader="none" w:pos="153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8" w:lineRule="exact"/>
        <w:rPr>
          <w:rFonts w:ascii="Times New Roman" w:cs="Times New Roman" w:eastAsia="Times New Roman" w:hAnsi="Times New Roman"/>
          <w:sz w:val="22"/>
          <w:szCs w:val="22"/>
          <w:color w:val="auto"/>
        </w:rPr>
      </w:pPr>
    </w:p>
    <w:p>
      <w:pPr>
        <w:ind w:left="460" w:right="60" w:firstLine="644"/>
        <w:spacing w:after="0" w:line="238" w:lineRule="auto"/>
        <w:tabs>
          <w:tab w:leader="none" w:pos="1566"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94" w:lineRule="exact"/>
        <w:rPr>
          <w:rFonts w:ascii="Times New Roman" w:cs="Times New Roman" w:eastAsia="Times New Roman" w:hAnsi="Times New Roman"/>
          <w:sz w:val="22"/>
          <w:szCs w:val="22"/>
          <w:color w:val="auto"/>
        </w:rPr>
      </w:pPr>
    </w:p>
    <w:p>
      <w:pPr>
        <w:ind w:left="460" w:right="760" w:firstLine="644"/>
        <w:spacing w:after="0" w:line="262" w:lineRule="auto"/>
        <w:tabs>
          <w:tab w:leader="none" w:pos="1566"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Separate Covenants. </w:t>
      </w:r>
      <w:r>
        <w:rPr>
          <w:rFonts w:ascii="Times New Roman" w:cs="Times New Roman" w:eastAsia="Times New Roman" w:hAnsi="Times New Roman"/>
          <w:sz w:val="22"/>
          <w:szCs w:val="22"/>
          <w:color w:val="auto"/>
        </w:rPr>
        <w:t>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rFonts w:ascii="Times New Roman" w:cs="Times New Roman" w:eastAsia="Times New Roman" w:hAnsi="Times New Roman"/>
          <w:sz w:val="22"/>
          <w:szCs w:val="22"/>
          <w:color w:val="auto"/>
        </w:rPr>
      </w:pPr>
    </w:p>
    <w:p>
      <w:pPr>
        <w:jc w:val="both"/>
        <w:ind w:left="-180" w:firstLine="485"/>
        <w:spacing w:after="0" w:line="252" w:lineRule="auto"/>
        <w:tabs>
          <w:tab w:leader="none" w:pos="697"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08" w:right="339" w:bottom="1440" w:gutter="0" w:footer="0" w:header="0"/>
        </w:sectPr>
      </w:pPr>
    </w:p>
    <w:bookmarkStart w:id="224" w:name="page225"/>
    <w:bookmarkEnd w:id="224"/>
    <w:p>
      <w:pPr>
        <w:jc w:val="both"/>
        <w:spacing w:after="0" w:line="250" w:lineRule="auto"/>
        <w:rPr>
          <w:sz w:val="20"/>
          <w:szCs w:val="20"/>
          <w:color w:val="auto"/>
        </w:rPr>
      </w:pPr>
      <w:r>
        <w:rPr>
          <w:rFonts w:ascii="Times New Roman" w:cs="Times New Roman" w:eastAsia="Times New Roman" w:hAnsi="Times New Roman"/>
          <w:sz w:val="22"/>
          <w:szCs w:val="22"/>
          <w:color w:val="auto"/>
        </w:rPr>
        <w:t>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64" w:lineRule="exact"/>
        <w:rPr>
          <w:sz w:val="20"/>
          <w:szCs w:val="20"/>
          <w:color w:val="auto"/>
        </w:rPr>
      </w:pPr>
    </w:p>
    <w:p>
      <w:pPr>
        <w:jc w:val="both"/>
        <w:ind w:firstLine="530"/>
        <w:spacing w:after="0" w:line="244" w:lineRule="auto"/>
        <w:tabs>
          <w:tab w:leader="none" w:pos="945" w:val="left"/>
        </w:tabs>
        <w:numPr>
          <w:ilvl w:val="1"/>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2" w:lineRule="exact"/>
        <w:rPr>
          <w:rFonts w:ascii="Times New Roman" w:cs="Times New Roman" w:eastAsia="Times New Roman" w:hAnsi="Times New Roman"/>
          <w:sz w:val="22"/>
          <w:szCs w:val="22"/>
          <w:b w:val="1"/>
          <w:bCs w:val="1"/>
          <w:color w:val="auto"/>
        </w:rPr>
      </w:pPr>
    </w:p>
    <w:p>
      <w:pPr>
        <w:jc w:val="both"/>
        <w:ind w:firstLine="449"/>
        <w:spacing w:after="0" w:line="245" w:lineRule="auto"/>
        <w:tabs>
          <w:tab w:leader="none" w:pos="823"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2" w:lineRule="exact"/>
        <w:rPr>
          <w:rFonts w:ascii="Times New Roman" w:cs="Times New Roman" w:eastAsia="Times New Roman" w:hAnsi="Times New Roman"/>
          <w:sz w:val="22"/>
          <w:szCs w:val="22"/>
          <w:b w:val="1"/>
          <w:bCs w:val="1"/>
          <w:color w:val="auto"/>
        </w:rPr>
      </w:pPr>
    </w:p>
    <w:p>
      <w:pPr>
        <w:jc w:val="both"/>
        <w:ind w:firstLine="561"/>
        <w:spacing w:after="0" w:line="246" w:lineRule="auto"/>
        <w:tabs>
          <w:tab w:leader="none" w:pos="985" w:val="left"/>
        </w:tabs>
        <w:numPr>
          <w:ilvl w:val="2"/>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80" w:lineRule="exact"/>
        <w:rPr>
          <w:rFonts w:ascii="Times New Roman" w:cs="Times New Roman" w:eastAsia="Times New Roman" w:hAnsi="Times New Roman"/>
          <w:sz w:val="22"/>
          <w:szCs w:val="22"/>
          <w:b w:val="1"/>
          <w:bCs w:val="1"/>
          <w:color w:val="auto"/>
        </w:rPr>
      </w:pPr>
    </w:p>
    <w:p>
      <w:pPr>
        <w:jc w:val="both"/>
        <w:ind w:firstLine="584"/>
        <w:spacing w:after="0" w:line="252" w:lineRule="auto"/>
        <w:tabs>
          <w:tab w:leader="none" w:pos="1026" w:val="left"/>
        </w:tabs>
        <w:numPr>
          <w:ilvl w:val="3"/>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firstLine="746"/>
        <w:spacing w:after="0" w:line="245" w:lineRule="auto"/>
        <w:tabs>
          <w:tab w:leader="none" w:pos="1269" w:val="left"/>
        </w:tabs>
        <w:numPr>
          <w:ilvl w:val="4"/>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2" w:lineRule="exact"/>
        <w:rPr>
          <w:sz w:val="20"/>
          <w:szCs w:val="20"/>
          <w:color w:val="auto"/>
        </w:rPr>
      </w:pPr>
    </w:p>
    <w:p>
      <w:pPr>
        <w:jc w:val="both"/>
        <w:ind w:firstLine="494"/>
        <w:spacing w:after="0" w:line="241" w:lineRule="auto"/>
        <w:tabs>
          <w:tab w:leader="none" w:pos="999" w:val="left"/>
        </w:tabs>
        <w:numPr>
          <w:ilvl w:val="1"/>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7"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10" w:lineRule="exact"/>
        <w:rPr>
          <w:rFonts w:ascii="Times New Roman" w:cs="Times New Roman" w:eastAsia="Times New Roman" w:hAnsi="Times New Roman"/>
          <w:sz w:val="22"/>
          <w:szCs w:val="22"/>
          <w:b w:val="1"/>
          <w:bCs w:val="1"/>
          <w:color w:val="auto"/>
        </w:rPr>
      </w:pPr>
    </w:p>
    <w:p>
      <w:pPr>
        <w:ind w:left="660" w:right="20" w:firstLine="227"/>
        <w:spacing w:after="0" w:line="282" w:lineRule="auto"/>
        <w:tabs>
          <w:tab w:leader="none" w:pos="1361" w:val="left"/>
        </w:tabs>
        <w:numPr>
          <w:ilvl w:val="2"/>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8" w:right="339" w:bottom="1440" w:gutter="0" w:footer="0" w:header="0"/>
        </w:sectPr>
      </w:pPr>
    </w:p>
    <w:bookmarkStart w:id="225" w:name="page226"/>
    <w:bookmarkEnd w:id="225"/>
    <w:p>
      <w:pPr>
        <w:jc w:val="both"/>
        <w:ind w:left="480" w:firstLine="266"/>
        <w:spacing w:after="0" w:line="250" w:lineRule="auto"/>
        <w:tabs>
          <w:tab w:leader="none" w:pos="1272" w:val="left"/>
        </w:tabs>
        <w:numPr>
          <w:ilvl w:val="4"/>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7" w:lineRule="exact"/>
        <w:rPr>
          <w:rFonts w:ascii="Times New Roman" w:cs="Times New Roman" w:eastAsia="Times New Roman" w:hAnsi="Times New Roman"/>
          <w:sz w:val="22"/>
          <w:szCs w:val="22"/>
          <w:color w:val="auto"/>
        </w:rPr>
      </w:pPr>
    </w:p>
    <w:p>
      <w:pPr>
        <w:ind w:left="480" w:firstLine="348"/>
        <w:spacing w:after="0" w:line="271" w:lineRule="auto"/>
        <w:tabs>
          <w:tab w:leader="none" w:pos="1424" w:val="left"/>
        </w:tabs>
        <w:numPr>
          <w:ilvl w:val="5"/>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44"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3"/>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left="480" w:firstLine="231"/>
        <w:spacing w:after="0" w:line="250" w:lineRule="auto"/>
        <w:tabs>
          <w:tab w:leader="none" w:pos="1191" w:val="left"/>
        </w:tabs>
        <w:numPr>
          <w:ilvl w:val="3"/>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1" w:lineRule="exact"/>
        <w:rPr>
          <w:rFonts w:ascii="Times New Roman" w:cs="Times New Roman" w:eastAsia="Times New Roman" w:hAnsi="Times New Roman"/>
          <w:sz w:val="22"/>
          <w:szCs w:val="22"/>
          <w:color w:val="auto"/>
        </w:rPr>
      </w:pPr>
    </w:p>
    <w:p>
      <w:pPr>
        <w:ind w:left="480" w:right="20" w:firstLine="216"/>
        <w:spacing w:after="0" w:line="258" w:lineRule="auto"/>
        <w:tabs>
          <w:tab w:leader="none" w:pos="1136"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ind w:left="1160" w:hanging="468"/>
        <w:spacing w:after="0"/>
        <w:tabs>
          <w:tab w:leader="none" w:pos="11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480" w:firstLine="212"/>
        <w:spacing w:after="0" w:line="261" w:lineRule="auto"/>
        <w:tabs>
          <w:tab w:leader="none" w:pos="1164"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70" w:lineRule="exact"/>
        <w:rPr>
          <w:rFonts w:ascii="Times New Roman" w:cs="Times New Roman" w:eastAsia="Times New Roman" w:hAnsi="Times New Roman"/>
          <w:sz w:val="21"/>
          <w:szCs w:val="21"/>
          <w:color w:val="auto"/>
        </w:rPr>
      </w:pPr>
    </w:p>
    <w:p>
      <w:pPr>
        <w:jc w:val="both"/>
        <w:ind w:left="480" w:firstLine="264"/>
        <w:spacing w:after="0" w:line="241" w:lineRule="auto"/>
        <w:tabs>
          <w:tab w:leader="none" w:pos="1220" w:val="left"/>
        </w:tabs>
        <w:numPr>
          <w:ilvl w:val="3"/>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6" w:lineRule="exact"/>
        <w:rPr>
          <w:rFonts w:ascii="Times New Roman" w:cs="Times New Roman" w:eastAsia="Times New Roman" w:hAnsi="Times New Roman"/>
          <w:sz w:val="22"/>
          <w:szCs w:val="22"/>
          <w:color w:val="auto"/>
        </w:rPr>
      </w:pPr>
    </w:p>
    <w:p>
      <w:pPr>
        <w:jc w:val="both"/>
        <w:ind w:left="480" w:firstLine="241"/>
        <w:spacing w:after="0" w:line="241" w:lineRule="auto"/>
        <w:tabs>
          <w:tab w:leader="none" w:pos="1174"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90" w:lineRule="exact"/>
        <w:rPr>
          <w:rFonts w:ascii="Times New Roman" w:cs="Times New Roman" w:eastAsia="Times New Roman" w:hAnsi="Times New Roman"/>
          <w:sz w:val="22"/>
          <w:szCs w:val="22"/>
          <w:color w:val="auto"/>
        </w:rPr>
      </w:pPr>
    </w:p>
    <w:p>
      <w:pPr>
        <w:ind w:left="740" w:hanging="480"/>
        <w:spacing w:after="0"/>
        <w:tabs>
          <w:tab w:leader="none" w:pos="740" w:val="left"/>
        </w:tabs>
        <w:numPr>
          <w:ilvl w:val="0"/>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500" w:top="1408" w:right="339" w:bottom="1440" w:gutter="0" w:footer="0" w:header="0"/>
        </w:sectPr>
      </w:pPr>
    </w:p>
    <w:bookmarkStart w:id="226" w:name="page227"/>
    <w:bookmarkEnd w:id="226"/>
    <w:p>
      <w:pPr>
        <w:jc w:val="both"/>
        <w:ind w:firstLine="494"/>
        <w:spacing w:after="0" w:line="244" w:lineRule="auto"/>
        <w:tabs>
          <w:tab w:leader="none" w:pos="999" w:val="left"/>
        </w:tabs>
        <w:numPr>
          <w:ilvl w:val="2"/>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2" w:lineRule="exact"/>
        <w:rPr>
          <w:rFonts w:ascii="Times New Roman" w:cs="Times New Roman" w:eastAsia="Times New Roman" w:hAnsi="Times New Roman"/>
          <w:sz w:val="22"/>
          <w:szCs w:val="22"/>
          <w:b w:val="1"/>
          <w:bCs w:val="1"/>
          <w:color w:val="auto"/>
        </w:rPr>
      </w:pPr>
    </w:p>
    <w:p>
      <w:pPr>
        <w:jc w:val="both"/>
        <w:ind w:firstLine="467"/>
        <w:spacing w:after="0" w:line="245" w:lineRule="auto"/>
        <w:tabs>
          <w:tab w:leader="none" w:pos="958" w:val="left"/>
        </w:tabs>
        <w:numPr>
          <w:ilvl w:val="1"/>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2" w:lineRule="exact"/>
        <w:rPr>
          <w:rFonts w:ascii="Times New Roman" w:cs="Times New Roman" w:eastAsia="Times New Roman" w:hAnsi="Times New Roman"/>
          <w:sz w:val="22"/>
          <w:szCs w:val="22"/>
          <w:b w:val="1"/>
          <w:bCs w:val="1"/>
          <w:color w:val="auto"/>
        </w:rPr>
      </w:pPr>
    </w:p>
    <w:p>
      <w:pPr>
        <w:jc w:val="both"/>
        <w:ind w:firstLine="449"/>
        <w:spacing w:after="0" w:line="249" w:lineRule="auto"/>
        <w:tabs>
          <w:tab w:leader="none" w:pos="931" w:val="left"/>
        </w:tabs>
        <w:numPr>
          <w:ilvl w:val="0"/>
          <w:numId w:val="2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 BY LAW, EACH</w:t>
      </w: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PARTY WAIVES ANY RIGHT TO TRIAL BY JURY WITH RESPECT TO ANY PROCEEDING ARISING OUT OF OR RELATING TO THIS AGREEMENT.</w:t>
      </w:r>
    </w:p>
    <w:p>
      <w:pPr>
        <w:spacing w:after="0" w:line="187"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40" w:firstLine="644"/>
        <w:spacing w:after="0" w:line="238" w:lineRule="auto"/>
        <w:tabs>
          <w:tab w:leader="none" w:pos="1864" w:val="left"/>
        </w:tabs>
        <w:numPr>
          <w:ilvl w:val="3"/>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4" w:right="339" w:bottom="1440" w:gutter="0" w:footer="0" w:header="0"/>
        </w:sectPr>
      </w:pPr>
    </w:p>
    <w:bookmarkStart w:id="227" w:name="page228"/>
    <w:bookmarkEnd w:id="227"/>
    <w:p>
      <w:pPr>
        <w:jc w:val="both"/>
        <w:ind w:left="460"/>
        <w:spacing w:after="0" w:line="239" w:lineRule="auto"/>
        <w:rPr>
          <w:sz w:val="20"/>
          <w:szCs w:val="20"/>
          <w:color w:val="auto"/>
        </w:rPr>
      </w:pPr>
      <w:r>
        <w:rPr>
          <w:rFonts w:ascii="Times New Roman" w:cs="Times New Roman" w:eastAsia="Times New Roman" w:hAnsi="Times New Roman"/>
          <w:sz w:val="22"/>
          <w:szCs w:val="22"/>
          <w:color w:val="auto"/>
        </w:rPr>
        <w:t>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4" w:lineRule="exact"/>
        <w:rPr>
          <w:sz w:val="20"/>
          <w:szCs w:val="20"/>
          <w:color w:val="auto"/>
        </w:rPr>
      </w:pPr>
    </w:p>
    <w:p>
      <w:pPr>
        <w:jc w:val="both"/>
        <w:ind w:left="460" w:firstLine="644"/>
        <w:spacing w:after="0" w:line="244" w:lineRule="auto"/>
        <w:tabs>
          <w:tab w:leader="none" w:pos="160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500" w:top="1408" w:right="339" w:bottom="1440" w:gutter="0" w:footer="0" w:header="0"/>
        </w:sectPr>
      </w:pPr>
    </w:p>
    <w:bookmarkStart w:id="228" w:name="page229"/>
    <w:bookmarkEnd w:id="228"/>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Dated as of: Jan-01-2026</w:t>
            </w:r>
          </w:p>
        </w:tc>
        <w:tc>
          <w:tcPr>
            <w:tcW w:w="3560" w:type="dxa"/>
            <w:vAlign w:val="bottom"/>
            <w:gridSpan w:val="2"/>
          </w:tcPr>
          <w:p>
            <w:pPr>
              <w:ind w:left="1380"/>
              <w:spacing w:after="0"/>
              <w:rPr>
                <w:sz w:val="20"/>
                <w:szCs w:val="20"/>
                <w:color w:val="auto"/>
              </w:rPr>
            </w:pPr>
            <w:r>
              <w:rPr>
                <w:rFonts w:ascii="Times New Roman" w:cs="Times New Roman" w:eastAsia="Times New Roman" w:hAnsi="Times New Roman"/>
                <w:sz w:val="22"/>
                <w:szCs w:val="22"/>
                <w:color w:val="auto"/>
                <w:w w:val="97"/>
              </w:rPr>
              <w:t>By: /s/ Thomas J. Snyder</w:t>
            </w:r>
          </w:p>
        </w:tc>
      </w:tr>
      <w:tr>
        <w:trPr>
          <w:trHeight w:val="20"/>
        </w:trPr>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63"/>
        </w:trPr>
        <w:tc>
          <w:tcPr>
            <w:tcW w:w="3580" w:type="dxa"/>
            <w:vAlign w:val="bottom"/>
          </w:tcPr>
          <w:p>
            <w:pPr>
              <w:spacing w:after="0"/>
              <w:rPr>
                <w:sz w:val="22"/>
                <w:szCs w:val="22"/>
                <w:color w:val="auto"/>
              </w:rPr>
            </w:pPr>
          </w:p>
        </w:tc>
        <w:tc>
          <w:tcPr>
            <w:tcW w:w="3560" w:type="dxa"/>
            <w:vAlign w:val="bottom"/>
            <w:gridSpan w:val="2"/>
          </w:tcPr>
          <w:p>
            <w:pPr>
              <w:ind w:left="1380"/>
              <w:spacing w:after="0"/>
              <w:rPr>
                <w:sz w:val="20"/>
                <w:szCs w:val="20"/>
                <w:color w:val="auto"/>
              </w:rPr>
            </w:pPr>
            <w:r>
              <w:rPr>
                <w:rFonts w:ascii="Times New Roman" w:cs="Times New Roman" w:eastAsia="Times New Roman" w:hAnsi="Times New Roman"/>
                <w:sz w:val="22"/>
                <w:szCs w:val="22"/>
                <w:color w:val="auto"/>
                <w:w w:val="97"/>
              </w:rPr>
              <w:t>Name: Thomas J. Snyder</w:t>
            </w:r>
          </w:p>
        </w:tc>
      </w:tr>
      <w:tr>
        <w:trPr>
          <w:trHeight w:val="282"/>
        </w:trPr>
        <w:tc>
          <w:tcPr>
            <w:tcW w:w="3580" w:type="dxa"/>
            <w:vAlign w:val="bottom"/>
          </w:tcPr>
          <w:p>
            <w:pPr>
              <w:spacing w:after="0"/>
              <w:rPr>
                <w:sz w:val="24"/>
                <w:szCs w:val="24"/>
                <w:color w:val="auto"/>
              </w:rPr>
            </w:pPr>
          </w:p>
        </w:tc>
        <w:tc>
          <w:tcPr>
            <w:tcW w:w="3560" w:type="dxa"/>
            <w:vAlign w:val="bottom"/>
            <w:gridSpan w:val="2"/>
          </w:tcPr>
          <w:p>
            <w:pPr>
              <w:ind w:left="1380"/>
              <w:spacing w:after="0"/>
              <w:rPr>
                <w:sz w:val="20"/>
                <w:szCs w:val="20"/>
                <w:color w:val="auto"/>
              </w:rPr>
            </w:pPr>
            <w:r>
              <w:rPr>
                <w:rFonts w:ascii="Times New Roman" w:cs="Times New Roman" w:eastAsia="Times New Roman" w:hAnsi="Times New Roman"/>
                <w:sz w:val="22"/>
                <w:szCs w:val="22"/>
                <w:color w:val="auto"/>
              </w:rPr>
              <w:t>Title: 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22" w:right="339" w:bottom="1440" w:gutter="0" w:footer="0" w:header="0"/>
        </w:sectPr>
      </w:pPr>
    </w:p>
    <w:bookmarkStart w:id="229" w:name="page230"/>
    <w:bookmarkEnd w:id="229"/>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twelve (12) months, or (b) if due to any medically determinable physical or mental impairment expected to result in death or last for a continuous period not less than twelve (12) months, Grantee has received income replacement benefits for a period of not less than three months under an accident and health plan sponsored by the Company.</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64" w:lineRule="exact"/>
        <w:rPr>
          <w:sz w:val="20"/>
          <w:szCs w:val="20"/>
          <w:color w:val="auto"/>
        </w:rPr>
      </w:pPr>
    </w:p>
    <w:p>
      <w:pPr>
        <w:jc w:val="both"/>
        <w:ind w:left="1400" w:hanging="644"/>
        <w:spacing w:after="0" w:line="257" w:lineRule="auto"/>
        <w:tabs>
          <w:tab w:leader="none" w:pos="145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99" w:lineRule="exact"/>
        <w:rPr>
          <w:rFonts w:ascii="Times New Roman" w:cs="Times New Roman" w:eastAsia="Times New Roman" w:hAnsi="Times New Roman"/>
          <w:sz w:val="22"/>
          <w:szCs w:val="22"/>
          <w:color w:val="auto"/>
        </w:rPr>
      </w:pPr>
    </w:p>
    <w:p>
      <w:pPr>
        <w:ind w:left="1400" w:hanging="644"/>
        <w:spacing w:after="0" w:line="271" w:lineRule="auto"/>
        <w:tabs>
          <w:tab w:leader="none" w:pos="1355"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21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Grantee to another primary office more than 50 miles from the current office location, which reassignment is not otherwise approved by the Board.</w:t>
      </w:r>
    </w:p>
    <w:p>
      <w:pPr>
        <w:spacing w:after="0" w:line="185"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230" w:name="page231"/>
    <w:bookmarkEnd w:id="23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153" w:lineRule="exact"/>
        <w:rPr>
          <w:sz w:val="20"/>
          <w:szCs w:val="20"/>
          <w:color w:val="auto"/>
        </w:rPr>
      </w:pPr>
    </w:p>
    <w:p>
      <w:pPr>
        <w:ind w:left="1120" w:hanging="464"/>
        <w:spacing w:after="0"/>
        <w:tabs>
          <w:tab w:leader="none" w:pos="112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w:t>
      </w:r>
    </w:p>
    <w:p>
      <w:pPr>
        <w:spacing w:after="0" w:line="233"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2"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2"/>
          <w:szCs w:val="22"/>
          <w:b w:val="1"/>
          <w:bCs w:val="1"/>
          <w:color w:val="auto"/>
        </w:rPr>
        <w:t>1/1/26 – 12/31/28 Award</w:t>
      </w:r>
    </w:p>
    <w:p>
      <w:pPr>
        <w:spacing w:after="0" w:line="1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1"/>
          <w:szCs w:val="21"/>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PSU AWARD</w:t>
      </w:r>
    </w:p>
    <w:p>
      <w:pPr>
        <w:sectPr>
          <w:pgSz w:w="11900" w:h="16838" w:orient="portrait"/>
          <w:cols w:equalWidth="0" w:num="1">
            <w:col w:w="11240"/>
          </w:cols>
          <w:pgMar w:left="320" w:top="94" w:right="339" w:bottom="1440" w:gutter="0" w:footer="0" w:header="0"/>
        </w:sect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PSUs in Award:</w:t>
      </w:r>
    </w:p>
    <w:p>
      <w:pPr>
        <w:spacing w:after="0" w:line="20" w:lineRule="exact"/>
        <w:rPr>
          <w:sz w:val="20"/>
          <w:szCs w:val="20"/>
          <w:color w:val="auto"/>
        </w:rPr>
      </w:pPr>
      <w:r>
        <w:rPr>
          <w:sz w:val="20"/>
          <w:szCs w:val="20"/>
          <w:color w:val="auto"/>
        </w:rPr>
        <w:br w:type="column"/>
      </w:r>
    </w:p>
    <w:p>
      <w:pPr>
        <w:ind w:right="940"/>
        <w:spacing w:after="0" w:line="263" w:lineRule="auto"/>
        <w:rPr>
          <w:sz w:val="20"/>
          <w:szCs w:val="20"/>
          <w:color w:val="auto"/>
        </w:rPr>
      </w:pPr>
      <w:r>
        <w:rPr>
          <w:rFonts w:ascii="Times New Roman" w:cs="Times New Roman" w:eastAsia="Times New Roman" w:hAnsi="Times New Roman"/>
          <w:sz w:val="22"/>
          <w:szCs w:val="22"/>
          <w:color w:val="auto"/>
        </w:rPr>
        <w:t>[number of PSUs] (“Target”), subject to addition or subtraction as set forth on Appendix A depending on achievement of applicable Management Objectives</w:t>
      </w:r>
    </w:p>
    <w:p>
      <w:pPr>
        <w:spacing w:after="0" w:line="109"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ind w:right="1680"/>
        <w:spacing w:after="0" w:line="271" w:lineRule="auto"/>
        <w:rPr>
          <w:sz w:val="20"/>
          <w:szCs w:val="20"/>
          <w:color w:val="auto"/>
        </w:rPr>
      </w:pPr>
      <w:r>
        <w:rPr>
          <w:rFonts w:ascii="Times New Roman" w:cs="Times New Roman" w:eastAsia="Times New Roman" w:hAnsi="Times New Roman"/>
          <w:sz w:val="22"/>
          <w:szCs w:val="22"/>
          <w:color w:val="auto"/>
        </w:rPr>
        <w:t>Beginning on January 1, 2026, and continuing through December 31, 2028</w:t>
      </w:r>
    </w:p>
    <w:p>
      <w:pPr>
        <w:spacing w:after="0" w:line="100"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March 14, 2029</w:t>
      </w:r>
    </w:p>
    <w:p>
      <w:pPr>
        <w:spacing w:after="0" w:line="173"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Settlement Method:</w:t>
      </w:r>
    </w:p>
    <w:p>
      <w:pPr>
        <w:spacing w:after="0" w:line="20" w:lineRule="exact"/>
        <w:rPr>
          <w:sz w:val="20"/>
          <w:szCs w:val="20"/>
          <w:color w:val="auto"/>
        </w:rPr>
      </w:pPr>
      <w:r>
        <w:rPr>
          <w:sz w:val="20"/>
          <w:szCs w:val="20"/>
          <w:color w:val="auto"/>
        </w:rPr>
        <w:br w:type="column"/>
      </w:r>
    </w:p>
    <w:p>
      <w:pPr>
        <w:ind w:right="880"/>
        <w:spacing w:after="0" w:line="271" w:lineRule="auto"/>
        <w:rPr>
          <w:sz w:val="20"/>
          <w:szCs w:val="20"/>
          <w:color w:val="auto"/>
        </w:rPr>
      </w:pPr>
      <w:r>
        <w:rPr>
          <w:rFonts w:ascii="Times New Roman" w:cs="Times New Roman" w:eastAsia="Times New Roman" w:hAnsi="Times New Roman"/>
          <w:sz w:val="22"/>
          <w:szCs w:val="22"/>
          <w:color w:val="auto"/>
        </w:rPr>
        <w:t>Earned and vested PSUs will be settled by delivery of one share of Common Stock for each PSU being settled</w:t>
      </w:r>
    </w:p>
    <w:p>
      <w:pPr>
        <w:spacing w:after="0" w:line="200" w:lineRule="exact"/>
        <w:rPr>
          <w:sz w:val="20"/>
          <w:szCs w:val="20"/>
          <w:color w:val="auto"/>
        </w:rPr>
      </w:pPr>
    </w:p>
    <w:p>
      <w:pPr>
        <w:sectPr>
          <w:pgSz w:w="11900" w:h="16838" w:orient="portrait"/>
          <w:cols w:equalWidth="0" w:num="2">
            <w:col w:w="4120" w:space="720"/>
            <w:col w:w="6400"/>
          </w:cols>
          <w:pgMar w:left="320" w:top="94" w:right="339" w:bottom="1440" w:gutter="0" w:footer="0" w:header="0"/>
          <w:type w:val="continuous"/>
        </w:sectPr>
      </w:pPr>
    </w:p>
    <w:p>
      <w:pPr>
        <w:spacing w:after="0" w:line="143" w:lineRule="exact"/>
        <w:rPr>
          <w:sz w:val="20"/>
          <w:szCs w:val="20"/>
          <w:color w:val="auto"/>
        </w:rPr>
      </w:pPr>
    </w:p>
    <w:p>
      <w:pPr>
        <w:ind w:left="440" w:hanging="432"/>
        <w:spacing w:after="0"/>
        <w:tabs>
          <w:tab w:leader="none" w:pos="440" w:val="left"/>
        </w:tabs>
        <w:numPr>
          <w:ilvl w:val="0"/>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b w:val="1"/>
          <w:bCs w:val="1"/>
          <w:color w:val="auto"/>
        </w:rPr>
      </w:pPr>
    </w:p>
    <w:p>
      <w:pPr>
        <w:jc w:val="both"/>
        <w:ind w:firstLine="299"/>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ectPr>
          <w:pgSz w:w="11900" w:h="16838" w:orient="portrait"/>
          <w:cols w:equalWidth="0" w:num="1">
            <w:col w:w="11240"/>
          </w:cols>
          <w:pgMar w:left="320" w:top="94" w:right="339" w:bottom="1440" w:gutter="0" w:footer="0" w:header="0"/>
          <w:type w:val="continuous"/>
        </w:sectPr>
      </w:pPr>
    </w:p>
    <w:bookmarkStart w:id="232" w:name="page233"/>
    <w:bookmarkEnd w:id="232"/>
    <w:p>
      <w:pPr>
        <w:jc w:val="both"/>
        <w:ind w:left="-180" w:firstLine="476"/>
        <w:spacing w:after="0" w:line="260" w:lineRule="auto"/>
        <w:tabs>
          <w:tab w:leader="none" w:pos="684" w:val="left"/>
        </w:tabs>
        <w:numPr>
          <w:ilvl w:val="1"/>
          <w:numId w:val="2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68" w:lineRule="exact"/>
        <w:rPr>
          <w:rFonts w:ascii="Times New Roman" w:cs="Times New Roman" w:eastAsia="Times New Roman" w:hAnsi="Times New Roman"/>
          <w:sz w:val="21"/>
          <w:szCs w:val="21"/>
          <w:b w:val="1"/>
          <w:bCs w:val="1"/>
          <w:color w:val="auto"/>
        </w:rPr>
      </w:pPr>
    </w:p>
    <w:p>
      <w:pPr>
        <w:jc w:val="both"/>
        <w:ind w:left="-180" w:firstLine="440"/>
        <w:spacing w:after="0" w:line="246" w:lineRule="auto"/>
        <w:tabs>
          <w:tab w:leader="none" w:pos="63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80" w:lineRule="exact"/>
        <w:rPr>
          <w:rFonts w:ascii="Times New Roman" w:cs="Times New Roman" w:eastAsia="Times New Roman" w:hAnsi="Times New Roman"/>
          <w:sz w:val="22"/>
          <w:szCs w:val="22"/>
          <w:b w:val="1"/>
          <w:bCs w:val="1"/>
          <w:color w:val="auto"/>
        </w:rPr>
      </w:pPr>
    </w:p>
    <w:p>
      <w:pPr>
        <w:jc w:val="both"/>
        <w:ind w:left="-180" w:firstLine="503"/>
        <w:spacing w:after="0" w:line="239" w:lineRule="auto"/>
        <w:tabs>
          <w:tab w:leader="none" w:pos="724" w:val="left"/>
        </w:tabs>
        <w:numPr>
          <w:ilvl w:val="2"/>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6" w:lineRule="exact"/>
        <w:rPr>
          <w:rFonts w:ascii="Times New Roman" w:cs="Times New Roman" w:eastAsia="Times New Roman" w:hAnsi="Times New Roman"/>
          <w:sz w:val="22"/>
          <w:szCs w:val="22"/>
          <w:b w:val="1"/>
          <w:bCs w:val="1"/>
          <w:color w:val="auto"/>
        </w:rPr>
      </w:pPr>
    </w:p>
    <w:p>
      <w:pPr>
        <w:jc w:val="both"/>
        <w:ind w:left="-180" w:firstLine="642"/>
        <w:spacing w:after="0" w:line="242" w:lineRule="auto"/>
        <w:tabs>
          <w:tab w:leader="none" w:pos="940" w:val="left"/>
        </w:tabs>
        <w:numPr>
          <w:ilvl w:val="3"/>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2" w:lineRule="exact"/>
        <w:rPr>
          <w:sz w:val="20"/>
          <w:szCs w:val="20"/>
          <w:color w:val="auto"/>
        </w:rPr>
      </w:pPr>
    </w:p>
    <w:p>
      <w:pPr>
        <w:ind w:left="640" w:hanging="380"/>
        <w:spacing w:after="0"/>
        <w:tabs>
          <w:tab w:leader="none" w:pos="640" w:val="left"/>
        </w:tabs>
        <w:numPr>
          <w:ilvl w:val="0"/>
          <w:numId w:val="2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206" w:lineRule="exact"/>
        <w:rPr>
          <w:rFonts w:ascii="Times New Roman" w:cs="Times New Roman" w:eastAsia="Times New Roman" w:hAnsi="Times New Roman"/>
          <w:sz w:val="22"/>
          <w:szCs w:val="22"/>
          <w:b w:val="1"/>
          <w:bCs w:val="1"/>
          <w:color w:val="auto"/>
        </w:rPr>
      </w:pPr>
    </w:p>
    <w:p>
      <w:pPr>
        <w:ind w:left="640" w:hanging="380"/>
        <w:spacing w:after="0"/>
        <w:tabs>
          <w:tab w:leader="none" w:pos="640" w:val="left"/>
        </w:tabs>
        <w:numPr>
          <w:ilvl w:val="0"/>
          <w:numId w:val="2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480" w:hanging="220"/>
        <w:spacing w:after="0" w:line="241" w:lineRule="auto"/>
        <w:tabs>
          <w:tab w:leader="none" w:pos="77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 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04" w:right="339" w:bottom="1440" w:gutter="0" w:footer="0" w:header="0"/>
        </w:sectPr>
      </w:pPr>
    </w:p>
    <w:bookmarkStart w:id="233" w:name="page234"/>
    <w:bookmarkEnd w:id="233"/>
    <w:p>
      <w:pPr>
        <w:jc w:val="both"/>
        <w:ind w:left="652" w:hanging="652"/>
        <w:spacing w:after="0" w:line="251" w:lineRule="auto"/>
        <w:tabs>
          <w:tab w:leader="none" w:pos="715"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Qualifying Termination Prior to a Change in Control</w:t>
      </w:r>
      <w:r>
        <w:rPr>
          <w:rFonts w:ascii="Times New Roman" w:cs="Times New Roman" w:eastAsia="Times New Roman" w:hAnsi="Times New Roman"/>
          <w:sz w:val="21"/>
          <w:szCs w:val="21"/>
          <w:color w:val="auto"/>
        </w:rPr>
        <w:t>. Notwithstanding the foregoing, and 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subsection (f) of this Section II.A.6, if Grantee ceases to be a Service Provider prior to the Settlement Date as a result of Grantee’s Qualifying Termination, Grantee shall become vested on the Determination Date in a pro-rata portion of the number of PSUs determined in accordance with this Section II.A.6(b). On the date of Grantee’s Qualifying Termination, the pro-rata portion of the Target number set forth in “Number of PSUs in Award” in Section I will be determined by multiplying such Target number by a fraction (not greater than 1), the numerator of which is the number of whole calendar months Grantee was employed or rendering services from the beginning of the Performance Period through the date of Grantee’s Qualifying Termination, and the denominator of which is 36 (the “Pro-Rata Target Amount”). The number of PSUs to be earned and settled under Section II.A.7 shall then be equal to the amount determined under Section II.A.2 above at the end of the Performance Period but based on the Pro-Rata Target Amount. Any PSUs not included in the Pro-Rata Target Amount calculation will be canceled and forfeited upon the date of Grantee’s Qualifying Termination.</w:t>
      </w:r>
    </w:p>
    <w:p>
      <w:pPr>
        <w:spacing w:after="0" w:line="164" w:lineRule="exact"/>
        <w:rPr>
          <w:rFonts w:ascii="Times New Roman" w:cs="Times New Roman" w:eastAsia="Times New Roman" w:hAnsi="Times New Roman"/>
          <w:sz w:val="21"/>
          <w:szCs w:val="21"/>
          <w:color w:val="auto"/>
        </w:rPr>
      </w:pPr>
    </w:p>
    <w:p>
      <w:pPr>
        <w:jc w:val="both"/>
        <w:ind w:left="652" w:hanging="130"/>
        <w:spacing w:after="0" w:line="244" w:lineRule="auto"/>
        <w:tabs>
          <w:tab w:leader="none" w:pos="1027"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and except as set forth in subsection (f) of this Section II.A.6, if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be a Service Provider prior to the 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2" w:lineRule="exact"/>
        <w:rPr>
          <w:rFonts w:ascii="Times New Roman" w:cs="Times New Roman" w:eastAsia="Times New Roman" w:hAnsi="Times New Roman"/>
          <w:sz w:val="22"/>
          <w:szCs w:val="22"/>
          <w:color w:val="auto"/>
        </w:rPr>
      </w:pPr>
    </w:p>
    <w:p>
      <w:pPr>
        <w:jc w:val="both"/>
        <w:ind w:left="652" w:hanging="103"/>
        <w:spacing w:after="0" w:line="252" w:lineRule="auto"/>
        <w:tabs>
          <w:tab w:leader="none" w:pos="1079" w:val="left"/>
        </w:tabs>
        <w:numPr>
          <w:ilvl w:val="3"/>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61" w:lineRule="exact"/>
        <w:rPr>
          <w:rFonts w:ascii="Times New Roman" w:cs="Times New Roman" w:eastAsia="Times New Roman" w:hAnsi="Times New Roman"/>
          <w:sz w:val="22"/>
          <w:szCs w:val="22"/>
          <w:color w:val="auto"/>
        </w:rPr>
      </w:pPr>
    </w:p>
    <w:p>
      <w:pPr>
        <w:jc w:val="both"/>
        <w:ind w:left="652" w:hanging="79"/>
        <w:spacing w:after="0" w:line="265" w:lineRule="auto"/>
        <w:tabs>
          <w:tab w:leader="none" w:pos="1175" w:val="left"/>
        </w:tabs>
        <w:numPr>
          <w:ilvl w:val="4"/>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If Grantee ceases to be a Service Provider prior to the Settlement Date due to Grantee’s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subsection (f) of this Section II.A.6,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48" w:lineRule="exact"/>
        <w:rPr>
          <w:rFonts w:ascii="Times New Roman" w:cs="Times New Roman" w:eastAsia="Times New Roman" w:hAnsi="Times New Roman"/>
          <w:sz w:val="21"/>
          <w:szCs w:val="21"/>
          <w:color w:val="auto"/>
        </w:rPr>
      </w:pPr>
    </w:p>
    <w:p>
      <w:pPr>
        <w:ind w:left="652" w:hanging="193"/>
        <w:spacing w:after="0" w:line="262" w:lineRule="auto"/>
        <w:tabs>
          <w:tab w:leader="none" w:pos="908"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67" w:lineRule="exact"/>
        <w:rPr>
          <w:rFonts w:ascii="Times New Roman" w:cs="Times New Roman" w:eastAsia="Times New Roman" w:hAnsi="Times New Roman"/>
          <w:sz w:val="22"/>
          <w:szCs w:val="22"/>
          <w:color w:val="auto"/>
        </w:rPr>
      </w:pPr>
    </w:p>
    <w:p>
      <w:pPr>
        <w:jc w:val="both"/>
        <w:ind w:left="1292" w:firstLine="652"/>
        <w:spacing w:after="0" w:line="230" w:lineRule="auto"/>
        <w:tabs>
          <w:tab w:leader="none" w:pos="2379" w:val="left"/>
        </w:tabs>
        <w:numPr>
          <w:ilvl w:val="5"/>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II.A.6(f)(ii) to continue, replace or assume the PSUs covered by this Agreement (the “Replaced Award”)) as follows: the number of PSUs under this Award that shall become vested and non-forfeitable (the “Change in Control Payout Level”) shall equal the greater of (A) the Target number set forth in “Number of PSUs in Award” in Section I, and (B) the number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32"/>
          </w:cols>
          <w:pgMar w:left="328" w:top="1404" w:right="339" w:bottom="1440" w:gutter="0" w:footer="0" w:header="0"/>
        </w:sectPr>
      </w:pPr>
    </w:p>
    <w:bookmarkStart w:id="234" w:name="page235"/>
    <w:bookmarkEnd w:id="234"/>
    <w:p>
      <w:pPr>
        <w:jc w:val="both"/>
        <w:ind w:left="1120"/>
        <w:spacing w:after="0" w:line="232" w:lineRule="auto"/>
        <w:rPr>
          <w:sz w:val="20"/>
          <w:szCs w:val="20"/>
          <w:color w:val="auto"/>
        </w:rPr>
      </w:pPr>
      <w:r>
        <w:rPr>
          <w:rFonts w:ascii="Times New Roman" w:cs="Times New Roman" w:eastAsia="Times New Roman" w:hAnsi="Times New Roman"/>
          <w:sz w:val="22"/>
          <w:szCs w:val="22"/>
          <w:color w:val="auto"/>
        </w:rPr>
        <w:t>that would have been actually earned due to the achievement of the performance measures specified in Appendix A if the date of the Change in Control had been the last day of the Performance Period (as determined by the Committee as constituted immediately prior to the Change in Control), less the number of PSUs that had already become vested as of the date of such Change in Control, but in no event may negative discretion be exercised with respect to the number of PSUs vested. Any PSUs that are not earned and do not vest in accordance with the foregoing sentence shall terminate and be forfeited.</w:t>
      </w:r>
    </w:p>
    <w:p>
      <w:pPr>
        <w:spacing w:after="0" w:line="180" w:lineRule="exact"/>
        <w:rPr>
          <w:sz w:val="20"/>
          <w:szCs w:val="20"/>
          <w:color w:val="auto"/>
        </w:rPr>
      </w:pPr>
    </w:p>
    <w:p>
      <w:pPr>
        <w:jc w:val="both"/>
        <w:ind w:left="1120" w:firstLine="652"/>
        <w:spacing w:after="0"/>
        <w:tabs>
          <w:tab w:leader="none" w:pos="2248"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“Replacement Award” means an award: (A) consisting of an award of time-based restricted stock units that is not subject to performance conditions; (B) that has a value at least equal to the value of the Replaced Award, which shall be the value of the PSUs at the Change in Control Payout Level;</w:t>
      </w:r>
    </w:p>
    <w:p>
      <w:pPr>
        <w:spacing w:after="0" w:line="1" w:lineRule="exact"/>
        <w:rPr>
          <w:rFonts w:ascii="Times New Roman" w:cs="Times New Roman" w:eastAsia="Times New Roman" w:hAnsi="Times New Roman"/>
          <w:sz w:val="21"/>
          <w:szCs w:val="21"/>
          <w:color w:val="auto"/>
        </w:rPr>
      </w:pPr>
    </w:p>
    <w:p>
      <w:pPr>
        <w:ind w:left="1480" w:hanging="356"/>
        <w:spacing w:after="0" w:line="230" w:lineRule="auto"/>
        <w:tabs>
          <w:tab w:leader="none" w:pos="14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relates to publicly traded equity securities of the Company or its successor in the Change in Control or</w:t>
      </w:r>
    </w:p>
    <w:p>
      <w:pPr>
        <w:spacing w:after="0" w:line="1" w:lineRule="exact"/>
        <w:rPr>
          <w:sz w:val="20"/>
          <w:szCs w:val="20"/>
          <w:color w:val="auto"/>
        </w:rPr>
      </w:pPr>
    </w:p>
    <w:p>
      <w:pPr>
        <w:jc w:val="both"/>
        <w:ind w:left="1120"/>
        <w:spacing w:after="0" w:line="226" w:lineRule="auto"/>
        <w:rPr>
          <w:sz w:val="20"/>
          <w:szCs w:val="20"/>
          <w:color w:val="auto"/>
        </w:rPr>
      </w:pPr>
      <w:r>
        <w:rPr>
          <w:rFonts w:ascii="Times New Roman" w:cs="Times New Roman" w:eastAsia="Times New Roman" w:hAnsi="Times New Roman"/>
          <w:sz w:val="22"/>
          <w:szCs w:val="22"/>
          <w:color w:val="auto"/>
        </w:rPr>
        <w:t>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Payout Level for any subsequent vesting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82" w:lineRule="exact"/>
        <w:rPr>
          <w:sz w:val="20"/>
          <w:szCs w:val="20"/>
          <w:color w:val="auto"/>
        </w:rPr>
      </w:pPr>
    </w:p>
    <w:p>
      <w:pPr>
        <w:jc w:val="both"/>
        <w:ind w:left="1120" w:firstLine="652"/>
        <w:spacing w:after="0" w:line="230" w:lineRule="auto"/>
        <w:tabs>
          <w:tab w:leader="none" w:pos="232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(A) Grantee experiences a Qualifying Termination with the Company and its Subsidiaries (or any of their successors) (as applicable, the “Successor”) or (B) Grantee ceases to be a Service Provider as a result of Grantee’s Retirement or Disability, in each case within a period of two years after the Change in Control and prior to the Settlement Date, the Replacement Award shall become vested and non-forfeitable in full, specifically taking into account the Change in Control Payout Level for the Replaced Award, less the portion of the award that had already become vested as of the date of such termination or cessation of service. Any portion of the Replacement Award that does not vest in accordance with the foregoing sentence shall terminate and be forfeited.</w:t>
      </w:r>
    </w:p>
    <w:p>
      <w:pPr>
        <w:spacing w:after="0" w:line="180" w:lineRule="exact"/>
        <w:rPr>
          <w:rFonts w:ascii="Times New Roman" w:cs="Times New Roman" w:eastAsia="Times New Roman" w:hAnsi="Times New Roman"/>
          <w:sz w:val="22"/>
          <w:szCs w:val="22"/>
          <w:color w:val="auto"/>
        </w:rPr>
      </w:pPr>
    </w:p>
    <w:p>
      <w:pPr>
        <w:jc w:val="both"/>
        <w:ind w:left="1120" w:right="20" w:firstLine="652"/>
        <w:spacing w:after="0" w:line="238" w:lineRule="auto"/>
        <w:tabs>
          <w:tab w:leader="none" w:pos="229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08" w:right="339" w:bottom="1440" w:gutter="0" w:footer="0" w:header="0"/>
        </w:sectPr>
      </w:pPr>
    </w:p>
    <w:bookmarkStart w:id="235" w:name="page236"/>
    <w:bookmarkEnd w:id="235"/>
    <w:p>
      <w:pPr>
        <w:ind w:left="1300"/>
        <w:spacing w:after="0" w:line="258" w:lineRule="auto"/>
        <w:rPr>
          <w:sz w:val="20"/>
          <w:szCs w:val="20"/>
          <w:color w:val="auto"/>
        </w:rPr>
      </w:pPr>
      <w:r>
        <w:rPr>
          <w:rFonts w:ascii="Times New Roman" w:cs="Times New Roman" w:eastAsia="Times New Roman" w:hAnsi="Times New Roman"/>
          <w:sz w:val="22"/>
          <w:szCs w:val="22"/>
          <w:color w:val="auto"/>
        </w:rPr>
        <w:t>forfeiture” (within the meaning of Section 409A of the Code) will be deemed to be vested and nonforfeitable at the time of such Change in Control.</w:t>
      </w:r>
    </w:p>
    <w:p>
      <w:pPr>
        <w:spacing w:after="0" w:line="1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40" w:lineRule="exact"/>
        <w:rPr>
          <w:sz w:val="20"/>
          <w:szCs w:val="20"/>
          <w:color w:val="auto"/>
        </w:rPr>
      </w:pPr>
    </w:p>
    <w:p>
      <w:pPr>
        <w:ind w:left="820" w:hanging="380"/>
        <w:spacing w:after="0"/>
        <w:tabs>
          <w:tab w:leader="none" w:pos="820"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40" w:firstLine="644"/>
        <w:spacing w:after="0" w:line="242" w:lineRule="auto"/>
        <w:tabs>
          <w:tab w:leader="none" w:pos="1936"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14, 2029 (the “Settlement Date”).</w:t>
      </w:r>
    </w:p>
    <w:p>
      <w:pPr>
        <w:spacing w:after="0" w:line="183" w:lineRule="exact"/>
        <w:rPr>
          <w:rFonts w:ascii="Times New Roman" w:cs="Times New Roman" w:eastAsia="Times New Roman" w:hAnsi="Times New Roman"/>
          <w:sz w:val="22"/>
          <w:szCs w:val="22"/>
          <w:color w:val="auto"/>
        </w:rPr>
      </w:pPr>
    </w:p>
    <w:p>
      <w:pPr>
        <w:ind w:left="640" w:firstLine="644"/>
        <w:spacing w:after="0" w:line="262" w:lineRule="auto"/>
        <w:tabs>
          <w:tab w:leader="none" w:pos="1935"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153" w:lineRule="exact"/>
        <w:rPr>
          <w:rFonts w:ascii="Times New Roman" w:cs="Times New Roman" w:eastAsia="Times New Roman" w:hAnsi="Times New Roman"/>
          <w:sz w:val="22"/>
          <w:szCs w:val="22"/>
          <w:color w:val="auto"/>
        </w:rPr>
      </w:pPr>
    </w:p>
    <w:p>
      <w:pPr>
        <w:jc w:val="both"/>
        <w:ind w:left="1280" w:firstLine="642"/>
        <w:spacing w:after="0" w:line="248" w:lineRule="auto"/>
        <w:tabs>
          <w:tab w:leader="none" w:pos="2343"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II.A.6(d)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196" w:lineRule="exact"/>
        <w:rPr>
          <w:rFonts w:ascii="Times New Roman" w:cs="Times New Roman" w:eastAsia="Times New Roman" w:hAnsi="Times New Roman"/>
          <w:sz w:val="22"/>
          <w:szCs w:val="22"/>
          <w:color w:val="auto"/>
        </w:rPr>
      </w:pPr>
    </w:p>
    <w:p>
      <w:pPr>
        <w:jc w:val="both"/>
        <w:ind w:left="1280" w:firstLine="642"/>
        <w:spacing w:after="0"/>
        <w:tabs>
          <w:tab w:leader="none" w:pos="2491"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II.A.6(f)(i)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176" w:lineRule="exact"/>
        <w:rPr>
          <w:rFonts w:ascii="Times New Roman" w:cs="Times New Roman" w:eastAsia="Times New Roman" w:hAnsi="Times New Roman"/>
          <w:sz w:val="22"/>
          <w:szCs w:val="22"/>
          <w:color w:val="auto"/>
        </w:rPr>
      </w:pPr>
    </w:p>
    <w:p>
      <w:pPr>
        <w:jc w:val="both"/>
        <w:ind w:left="1280" w:firstLine="642"/>
        <w:spacing w:after="0" w:line="260" w:lineRule="auto"/>
        <w:tabs>
          <w:tab w:leader="none" w:pos="2545" w:val="left"/>
        </w:tabs>
        <w:numPr>
          <w:ilvl w:val="2"/>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vested (and have not previously been settled) on the date of Grantee’s “separation from service” with the Company and its Subsidiaries (determined in accordance with Section 409A(a)</w:t>
      </w:r>
    </w:p>
    <w:p>
      <w:pPr>
        <w:jc w:val="both"/>
        <w:ind w:left="128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(2)(A)(i) of the Code) within two years following the occurrence of a Change in Control that constitutes a “change in control” for purposes of Section 409A(a)(2)(A)(v) of the Code, such vested PSUs will be settled by issuing to Grantee one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8"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color w:val="auto"/>
        </w:rPr>
        <w:t>Common Stock for each such vested PSU within 30 days of the date of such separation from service.</w:t>
      </w:r>
    </w:p>
    <w:p>
      <w:pPr>
        <w:spacing w:after="0" w:line="206" w:lineRule="exact"/>
        <w:rPr>
          <w:sz w:val="20"/>
          <w:szCs w:val="20"/>
          <w:color w:val="auto"/>
        </w:rPr>
      </w:pPr>
    </w:p>
    <w:p>
      <w:pPr>
        <w:jc w:val="both"/>
        <w:ind w:left="580" w:firstLine="644"/>
        <w:spacing w:after="0" w:line="250" w:lineRule="auto"/>
        <w:tabs>
          <w:tab w:leader="none" w:pos="1876" w:val="left"/>
        </w:tabs>
        <w:numPr>
          <w:ilvl w:val="4"/>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77" w:lineRule="exact"/>
        <w:rPr>
          <w:rFonts w:ascii="Times New Roman" w:cs="Times New Roman" w:eastAsia="Times New Roman" w:hAnsi="Times New Roman"/>
          <w:sz w:val="22"/>
          <w:szCs w:val="22"/>
          <w:color w:val="auto"/>
        </w:rPr>
      </w:pPr>
    </w:p>
    <w:p>
      <w:pPr>
        <w:ind w:left="580" w:hanging="416"/>
        <w:spacing w:after="0"/>
        <w:tabs>
          <w:tab w:leader="none" w:pos="580" w:val="left"/>
        </w:tabs>
        <w:numPr>
          <w:ilvl w:val="0"/>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0" w:firstLine="494"/>
        <w:spacing w:after="0" w:line="245" w:lineRule="auto"/>
        <w:tabs>
          <w:tab w:leader="none" w:pos="831" w:val="left"/>
        </w:tabs>
        <w:numPr>
          <w:ilvl w:val="2"/>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2" w:lineRule="exact"/>
        <w:rPr>
          <w:rFonts w:ascii="Times New Roman" w:cs="Times New Roman" w:eastAsia="Times New Roman" w:hAnsi="Times New Roman"/>
          <w:sz w:val="22"/>
          <w:szCs w:val="22"/>
          <w:b w:val="1"/>
          <w:bCs w:val="1"/>
          <w:color w:val="auto"/>
        </w:rPr>
      </w:pPr>
    </w:p>
    <w:p>
      <w:pPr>
        <w:jc w:val="both"/>
        <w:ind w:left="-60" w:firstLine="593"/>
        <w:spacing w:after="0" w:line="237" w:lineRule="auto"/>
        <w:tabs>
          <w:tab w:leader="none" w:pos="979" w:val="left"/>
        </w:tabs>
        <w:numPr>
          <w:ilvl w:val="3"/>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1" w:lineRule="exact"/>
        <w:rPr>
          <w:rFonts w:ascii="Times New Roman" w:cs="Times New Roman" w:eastAsia="Times New Roman" w:hAnsi="Times New Roman"/>
          <w:sz w:val="22"/>
          <w:szCs w:val="22"/>
          <w:b w:val="1"/>
          <w:bCs w:val="1"/>
          <w:color w:val="auto"/>
        </w:rPr>
      </w:pPr>
    </w:p>
    <w:p>
      <w:pPr>
        <w:ind w:left="760" w:hanging="380"/>
        <w:spacing w:after="0"/>
        <w:tabs>
          <w:tab w:leader="none" w:pos="760" w:val="left"/>
        </w:tabs>
        <w:numPr>
          <w:ilvl w:val="1"/>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580" w:firstLine="644"/>
        <w:spacing w:after="0" w:line="232" w:lineRule="auto"/>
        <w:tabs>
          <w:tab w:leader="none" w:pos="1876" w:val="left"/>
        </w:tabs>
        <w:numPr>
          <w:ilvl w:val="4"/>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80" w:top="1408" w:right="339" w:bottom="1440" w:gutter="0" w:footer="0" w:header="0"/>
        </w:sectPr>
      </w:pPr>
    </w:p>
    <w:bookmarkStart w:id="237" w:name="page238"/>
    <w:bookmarkEnd w:id="237"/>
    <w:p>
      <w:pPr>
        <w:jc w:val="both"/>
        <w:ind w:left="460"/>
        <w:spacing w:after="0" w:line="238" w:lineRule="auto"/>
        <w:rPr>
          <w:sz w:val="20"/>
          <w:szCs w:val="20"/>
          <w:color w:val="auto"/>
        </w:rPr>
      </w:pPr>
      <w:r>
        <w:rPr>
          <w:rFonts w:ascii="Times New Roman" w:cs="Times New Roman" w:eastAsia="Times New Roman" w:hAnsi="Times New Roman"/>
          <w:sz w:val="22"/>
          <w:szCs w:val="22"/>
          <w:color w:val="auto"/>
        </w:rPr>
        <w:t>agreement or arrangement)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75" w:lineRule="exact"/>
        <w:rPr>
          <w:sz w:val="20"/>
          <w:szCs w:val="20"/>
          <w:color w:val="auto"/>
        </w:rPr>
      </w:pPr>
    </w:p>
    <w:p>
      <w:pPr>
        <w:jc w:val="both"/>
        <w:ind w:left="460" w:firstLine="644"/>
        <w:spacing w:after="0" w:line="237" w:lineRule="auto"/>
        <w:tabs>
          <w:tab w:leader="none" w:pos="1755"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PSUs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the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500" w:top="1408" w:right="339" w:bottom="1440" w:gutter="0" w:footer="0" w:header="0"/>
        </w:sectPr>
      </w:pPr>
    </w:p>
    <w:bookmarkStart w:id="238" w:name="page239"/>
    <w:bookmarkEnd w:id="238"/>
    <w:p>
      <w:pPr>
        <w:jc w:val="both"/>
        <w:ind w:left="460"/>
        <w:spacing w:after="0" w:line="238" w:lineRule="auto"/>
        <w:rPr>
          <w:sz w:val="20"/>
          <w:szCs w:val="20"/>
          <w:color w:val="auto"/>
        </w:rPr>
      </w:pPr>
      <w:r>
        <w:rPr>
          <w:rFonts w:ascii="Times New Roman" w:cs="Times New Roman" w:eastAsia="Times New Roman" w:hAnsi="Times New Roman"/>
          <w:sz w:val="22"/>
          <w:szCs w:val="22"/>
          <w:color w:val="auto"/>
        </w:rPr>
        <w:t>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5" w:lineRule="exact"/>
        <w:rPr>
          <w:sz w:val="20"/>
          <w:szCs w:val="20"/>
          <w:color w:val="auto"/>
        </w:rPr>
      </w:pPr>
    </w:p>
    <w:p>
      <w:pPr>
        <w:ind w:left="1140" w:hanging="448"/>
        <w:spacing w:after="0"/>
        <w:tabs>
          <w:tab w:leader="none" w:pos="11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1120" w:hanging="208"/>
        <w:spacing w:after="0" w:line="230" w:lineRule="auto"/>
        <w:tabs>
          <w:tab w:leader="none" w:pos="1329"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67" w:lineRule="exact"/>
        <w:rPr>
          <w:rFonts w:ascii="Times New Roman" w:cs="Times New Roman" w:eastAsia="Times New Roman" w:hAnsi="Times New Roman"/>
          <w:sz w:val="22"/>
          <w:szCs w:val="22"/>
          <w:color w:val="auto"/>
        </w:rPr>
      </w:pPr>
    </w:p>
    <w:p>
      <w:pPr>
        <w:jc w:val="both"/>
        <w:ind w:left="1120" w:firstLine="337"/>
        <w:spacing w:after="0" w:line="232" w:lineRule="auto"/>
        <w:tabs>
          <w:tab w:leader="none" w:pos="2051" w:val="left"/>
        </w:tabs>
        <w:numPr>
          <w:ilvl w:val="4"/>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64" w:lineRule="exact"/>
        <w:rPr>
          <w:rFonts w:ascii="Times New Roman" w:cs="Times New Roman" w:eastAsia="Times New Roman" w:hAnsi="Times New Roman"/>
          <w:sz w:val="22"/>
          <w:szCs w:val="22"/>
          <w:color w:val="auto"/>
        </w:rPr>
      </w:pPr>
    </w:p>
    <w:p>
      <w:pPr>
        <w:jc w:val="both"/>
        <w:ind w:left="1120" w:hanging="112"/>
        <w:spacing w:after="0" w:line="232" w:lineRule="auto"/>
        <w:tabs>
          <w:tab w:leader="none" w:pos="1594"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59" w:lineRule="exact"/>
        <w:rPr>
          <w:rFonts w:ascii="Times New Roman" w:cs="Times New Roman" w:eastAsia="Times New Roman" w:hAnsi="Times New Roman"/>
          <w:sz w:val="22"/>
          <w:szCs w:val="22"/>
          <w:color w:val="auto"/>
        </w:rPr>
      </w:pPr>
    </w:p>
    <w:p>
      <w:pPr>
        <w:jc w:val="both"/>
        <w:ind w:left="1100" w:firstLine="4"/>
        <w:spacing w:after="0" w:line="237" w:lineRule="auto"/>
        <w:tabs>
          <w:tab w:leader="none" w:pos="1649" w:val="left"/>
        </w:tabs>
        <w:numPr>
          <w:ilvl w:val="3"/>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500" w:top="1408" w:right="339" w:bottom="1440" w:gutter="0" w:footer="0" w:header="0"/>
        </w:sectPr>
      </w:pPr>
    </w:p>
    <w:bookmarkStart w:id="239" w:name="page240"/>
    <w:bookmarkEnd w:id="239"/>
    <w:p>
      <w:pPr>
        <w:ind w:left="1560" w:hanging="456"/>
        <w:spacing w:after="0"/>
        <w:tabs>
          <w:tab w:leader="none" w:pos="156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120" w:firstLine="622"/>
        <w:spacing w:after="0"/>
        <w:tabs>
          <w:tab w:leader="none" w:pos="2226"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3" w:lineRule="exact"/>
        <w:rPr>
          <w:rFonts w:ascii="Times New Roman" w:cs="Times New Roman" w:eastAsia="Times New Roman" w:hAnsi="Times New Roman"/>
          <w:sz w:val="22"/>
          <w:szCs w:val="22"/>
          <w:color w:val="auto"/>
        </w:rPr>
      </w:pPr>
    </w:p>
    <w:p>
      <w:pPr>
        <w:jc w:val="both"/>
        <w:ind w:left="1120" w:firstLine="622"/>
        <w:spacing w:after="0" w:line="249" w:lineRule="auto"/>
        <w:tabs>
          <w:tab w:leader="none" w:pos="2326"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5" w:lineRule="exact"/>
        <w:rPr>
          <w:rFonts w:ascii="Times New Roman" w:cs="Times New Roman" w:eastAsia="Times New Roman" w:hAnsi="Times New Roman"/>
          <w:sz w:val="22"/>
          <w:szCs w:val="22"/>
          <w:color w:val="auto"/>
        </w:rPr>
      </w:pPr>
    </w:p>
    <w:p>
      <w:pPr>
        <w:jc w:val="both"/>
        <w:ind w:left="1120" w:firstLine="622"/>
        <w:spacing w:after="0" w:line="238" w:lineRule="auto"/>
        <w:tabs>
          <w:tab w:leader="none" w:pos="246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154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1" w:lineRule="exact"/>
        <w:rPr>
          <w:rFonts w:ascii="Times New Roman" w:cs="Times New Roman" w:eastAsia="Times New Roman" w:hAnsi="Times New Roman"/>
          <w:sz w:val="22"/>
          <w:szCs w:val="22"/>
          <w:color w:val="auto"/>
        </w:rPr>
      </w:pPr>
    </w:p>
    <w:p>
      <w:pPr>
        <w:jc w:val="both"/>
        <w:ind w:left="460" w:firstLine="644"/>
        <w:spacing w:after="0" w:line="246" w:lineRule="auto"/>
        <w:tabs>
          <w:tab w:leader="none" w:pos="15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04" w:right="339" w:bottom="1440" w:gutter="0" w:footer="0" w:header="0"/>
        </w:sectPr>
      </w:pPr>
    </w:p>
    <w:bookmarkStart w:id="240" w:name="page241"/>
    <w:bookmarkEnd w:id="240"/>
    <w:p>
      <w:pPr>
        <w:jc w:val="both"/>
        <w:ind w:left="460"/>
        <w:spacing w:after="0" w:line="229" w:lineRule="auto"/>
        <w:rPr>
          <w:sz w:val="20"/>
          <w:szCs w:val="20"/>
          <w:color w:val="auto"/>
        </w:rPr>
      </w:pPr>
      <w:r>
        <w:rPr>
          <w:rFonts w:ascii="Times New Roman" w:cs="Times New Roman" w:eastAsia="Times New Roman" w:hAnsi="Times New Roman"/>
          <w:sz w:val="22"/>
          <w:szCs w:val="22"/>
          <w:color w:val="auto"/>
        </w:rPr>
        <w:t>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76" w:lineRule="exact"/>
        <w:rPr>
          <w:sz w:val="20"/>
          <w:szCs w:val="20"/>
          <w:color w:val="auto"/>
        </w:rPr>
      </w:pPr>
    </w:p>
    <w:p>
      <w:pPr>
        <w:ind w:left="460" w:firstLine="644"/>
        <w:spacing w:after="0" w:line="249" w:lineRule="auto"/>
        <w:tabs>
          <w:tab w:leader="none" w:pos="1728" w:val="left"/>
        </w:tabs>
        <w:numPr>
          <w:ilvl w:val="4"/>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63" w:lineRule="exact"/>
        <w:rPr>
          <w:rFonts w:ascii="Times New Roman" w:cs="Times New Roman" w:eastAsia="Times New Roman" w:hAnsi="Times New Roman"/>
          <w:sz w:val="22"/>
          <w:szCs w:val="22"/>
          <w:color w:val="auto"/>
        </w:rPr>
      </w:pPr>
    </w:p>
    <w:p>
      <w:pPr>
        <w:jc w:val="both"/>
        <w:ind w:left="-180" w:firstLine="485"/>
        <w:spacing w:after="0" w:line="242" w:lineRule="auto"/>
        <w:tabs>
          <w:tab w:leader="none" w:pos="697" w:val="left"/>
        </w:tabs>
        <w:numPr>
          <w:ilvl w:val="1"/>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0" w:lineRule="exact"/>
        <w:rPr>
          <w:rFonts w:ascii="Times New Roman" w:cs="Times New Roman" w:eastAsia="Times New Roman" w:hAnsi="Times New Roman"/>
          <w:sz w:val="22"/>
          <w:szCs w:val="22"/>
          <w:b w:val="1"/>
          <w:bCs w:val="1"/>
          <w:color w:val="auto"/>
        </w:rPr>
      </w:pPr>
    </w:p>
    <w:p>
      <w:pPr>
        <w:jc w:val="both"/>
        <w:ind w:left="-180" w:firstLine="521"/>
        <w:spacing w:after="0" w:line="244" w:lineRule="auto"/>
        <w:tabs>
          <w:tab w:leader="none" w:pos="751" w:val="left"/>
        </w:tabs>
        <w:numPr>
          <w:ilvl w:val="2"/>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2" w:lineRule="exact"/>
        <w:rPr>
          <w:rFonts w:ascii="Times New Roman" w:cs="Times New Roman" w:eastAsia="Times New Roman" w:hAnsi="Times New Roman"/>
          <w:sz w:val="22"/>
          <w:szCs w:val="22"/>
          <w:b w:val="1"/>
          <w:bCs w:val="1"/>
          <w:color w:val="auto"/>
        </w:rPr>
      </w:pPr>
    </w:p>
    <w:p>
      <w:pPr>
        <w:jc w:val="both"/>
        <w:ind w:left="-180" w:firstLine="449"/>
        <w:spacing w:after="0" w:line="245" w:lineRule="auto"/>
        <w:tabs>
          <w:tab w:leader="none" w:pos="643"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2" w:lineRule="exact"/>
        <w:rPr>
          <w:rFonts w:ascii="Times New Roman" w:cs="Times New Roman" w:eastAsia="Times New Roman" w:hAnsi="Times New Roman"/>
          <w:sz w:val="22"/>
          <w:szCs w:val="22"/>
          <w:b w:val="1"/>
          <w:bCs w:val="1"/>
          <w:color w:val="auto"/>
        </w:rPr>
      </w:pPr>
    </w:p>
    <w:p>
      <w:pPr>
        <w:jc w:val="both"/>
        <w:ind w:left="-180" w:firstLine="566"/>
        <w:spacing w:after="0" w:line="246" w:lineRule="auto"/>
        <w:tabs>
          <w:tab w:leader="none" w:pos="819" w:val="left"/>
        </w:tabs>
        <w:numPr>
          <w:ilvl w:val="3"/>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80" w:lineRule="exact"/>
        <w:rPr>
          <w:rFonts w:ascii="Times New Roman" w:cs="Times New Roman" w:eastAsia="Times New Roman" w:hAnsi="Times New Roman"/>
          <w:sz w:val="22"/>
          <w:szCs w:val="22"/>
          <w:b w:val="1"/>
          <w:bCs w:val="1"/>
          <w:color w:val="auto"/>
        </w:rPr>
      </w:pPr>
    </w:p>
    <w:p>
      <w:pPr>
        <w:ind w:left="-180" w:firstLine="530"/>
        <w:spacing w:after="0" w:line="262" w:lineRule="auto"/>
        <w:tabs>
          <w:tab w:leader="none" w:pos="765" w:val="left"/>
        </w:tabs>
        <w:numPr>
          <w:ilvl w:val="2"/>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408" w:right="339" w:bottom="1440" w:gutter="0" w:footer="0" w:header="0"/>
        </w:sectPr>
      </w:pPr>
    </w:p>
    <w:bookmarkStart w:id="241" w:name="page242"/>
    <w:bookmarkEnd w:id="241"/>
    <w:p>
      <w:pPr>
        <w:spacing w:after="0" w:line="258" w:lineRule="auto"/>
        <w:rPr>
          <w:sz w:val="20"/>
          <w:szCs w:val="20"/>
          <w:color w:val="auto"/>
        </w:rPr>
      </w:pPr>
      <w:r>
        <w:rPr>
          <w:rFonts w:ascii="Times New Roman" w:cs="Times New Roman" w:eastAsia="Times New Roman" w:hAnsi="Times New Roman"/>
          <w:sz w:val="22"/>
          <w:szCs w:val="22"/>
          <w:color w:val="auto"/>
        </w:rPr>
        <w:t>Company. The PSUs represent an unfunded and unsecured obligation of the Company, subject to the terms and conditions of this Agreement and the Plan.</w:t>
      </w:r>
    </w:p>
    <w:p>
      <w:pPr>
        <w:spacing w:after="0" w:line="168" w:lineRule="exact"/>
        <w:rPr>
          <w:sz w:val="20"/>
          <w:szCs w:val="20"/>
          <w:color w:val="auto"/>
        </w:rPr>
      </w:pPr>
    </w:p>
    <w:p>
      <w:pPr>
        <w:jc w:val="both"/>
        <w:ind w:firstLine="746"/>
        <w:spacing w:after="0" w:line="245" w:lineRule="auto"/>
        <w:tabs>
          <w:tab w:leader="none" w:pos="1269"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9" w:lineRule="exact"/>
        <w:rPr>
          <w:sz w:val="20"/>
          <w:szCs w:val="20"/>
          <w:color w:val="auto"/>
        </w:rPr>
      </w:pPr>
    </w:p>
    <w:p>
      <w:pPr>
        <w:jc w:val="both"/>
        <w:ind w:firstLine="656"/>
        <w:spacing w:after="0" w:line="244" w:lineRule="auto"/>
        <w:tabs>
          <w:tab w:leader="none" w:pos="1242" w:val="left"/>
        </w:tabs>
        <w:numPr>
          <w:ilvl w:val="1"/>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2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660" w:right="20" w:firstLine="227"/>
        <w:spacing w:after="0" w:line="282" w:lineRule="auto"/>
        <w:tabs>
          <w:tab w:leader="none" w:pos="1361" w:val="left"/>
        </w:tabs>
        <w:numPr>
          <w:ilvl w:val="3"/>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ind w:left="660" w:firstLine="258"/>
        <w:spacing w:after="0" w:line="271" w:lineRule="auto"/>
        <w:tabs>
          <w:tab w:leader="none" w:pos="1436" w:val="left"/>
        </w:tabs>
        <w:numPr>
          <w:ilvl w:val="4"/>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44" w:lineRule="exact"/>
        <w:rPr>
          <w:rFonts w:ascii="Times New Roman" w:cs="Times New Roman" w:eastAsia="Times New Roman" w:hAnsi="Times New Roman"/>
          <w:sz w:val="22"/>
          <w:szCs w:val="22"/>
          <w:color w:val="auto"/>
        </w:rPr>
      </w:pPr>
    </w:p>
    <w:p>
      <w:pPr>
        <w:ind w:left="1320" w:hanging="448"/>
        <w:spacing w:after="0"/>
        <w:tabs>
          <w:tab w:leader="none" w:pos="1320" w:val="left"/>
        </w:tabs>
        <w:numPr>
          <w:ilvl w:val="2"/>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219"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2"/>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left="660" w:firstLine="372"/>
        <w:spacing w:after="0" w:line="250" w:lineRule="auto"/>
        <w:tabs>
          <w:tab w:leader="none" w:pos="1651" w:val="left"/>
        </w:tabs>
        <w:numPr>
          <w:ilvl w:val="6"/>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67" w:lineRule="exact"/>
        <w:rPr>
          <w:rFonts w:ascii="Times New Roman" w:cs="Times New Roman" w:eastAsia="Times New Roman" w:hAnsi="Times New Roman"/>
          <w:sz w:val="22"/>
          <w:szCs w:val="22"/>
          <w:color w:val="auto"/>
        </w:rPr>
      </w:pPr>
    </w:p>
    <w:p>
      <w:pPr>
        <w:ind w:left="660" w:firstLine="380"/>
        <w:spacing w:after="0" w:line="271" w:lineRule="auto"/>
        <w:tabs>
          <w:tab w:leader="none" w:pos="1644" w:val="left"/>
        </w:tabs>
        <w:numPr>
          <w:ilvl w:val="6"/>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44"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06" w:lineRule="exact"/>
        <w:rPr>
          <w:rFonts w:ascii="Times New Roman" w:cs="Times New Roman" w:eastAsia="Times New Roman" w:hAnsi="Times New Roman"/>
          <w:sz w:val="22"/>
          <w:szCs w:val="22"/>
          <w:color w:val="auto"/>
        </w:rPr>
      </w:pPr>
    </w:p>
    <w:p>
      <w:pPr>
        <w:jc w:val="both"/>
        <w:ind w:left="660" w:firstLine="305"/>
        <w:spacing w:after="0" w:line="250" w:lineRule="auto"/>
        <w:tabs>
          <w:tab w:leader="none" w:pos="1530" w:val="left"/>
        </w:tabs>
        <w:numPr>
          <w:ilvl w:val="5"/>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8" w:right="339" w:bottom="1440" w:gutter="0" w:footer="0" w:header="0"/>
        </w:sectPr>
      </w:pPr>
    </w:p>
    <w:bookmarkStart w:id="242" w:name="page243"/>
    <w:bookmarkEnd w:id="242"/>
    <w:p>
      <w:pPr>
        <w:jc w:val="both"/>
        <w:ind w:left="660" w:firstLine="272"/>
        <w:spacing w:after="0" w:line="241" w:lineRule="auto"/>
        <w:tabs>
          <w:tab w:leader="none" w:pos="1416" w:val="left"/>
        </w:tabs>
        <w:numPr>
          <w:ilvl w:val="5"/>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6" w:lineRule="exact"/>
        <w:rPr>
          <w:rFonts w:ascii="Times New Roman" w:cs="Times New Roman" w:eastAsia="Times New Roman" w:hAnsi="Times New Roman"/>
          <w:sz w:val="22"/>
          <w:szCs w:val="22"/>
          <w:color w:val="auto"/>
        </w:rPr>
      </w:pPr>
    </w:p>
    <w:p>
      <w:pPr>
        <w:jc w:val="both"/>
        <w:ind w:left="660" w:firstLine="241"/>
        <w:spacing w:after="0" w:line="241" w:lineRule="auto"/>
        <w:tabs>
          <w:tab w:leader="none" w:pos="1354" w:val="left"/>
        </w:tabs>
        <w:numPr>
          <w:ilvl w:val="4"/>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86" w:lineRule="exact"/>
        <w:rPr>
          <w:rFonts w:ascii="Times New Roman" w:cs="Times New Roman" w:eastAsia="Times New Roman" w:hAnsi="Times New Roman"/>
          <w:sz w:val="22"/>
          <w:szCs w:val="22"/>
          <w:color w:val="auto"/>
        </w:rPr>
      </w:pPr>
    </w:p>
    <w:p>
      <w:pPr>
        <w:ind w:left="1000" w:hanging="479"/>
        <w:spacing w:after="0"/>
        <w:tabs>
          <w:tab w:leader="none" w:pos="1000" w:val="left"/>
        </w:tabs>
        <w:numPr>
          <w:ilvl w:val="3"/>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494"/>
        <w:spacing w:after="0" w:line="244" w:lineRule="auto"/>
        <w:tabs>
          <w:tab w:leader="none" w:pos="999" w:val="left"/>
        </w:tabs>
        <w:numPr>
          <w:ilvl w:val="2"/>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2" w:lineRule="exact"/>
        <w:rPr>
          <w:rFonts w:ascii="Times New Roman" w:cs="Times New Roman" w:eastAsia="Times New Roman" w:hAnsi="Times New Roman"/>
          <w:sz w:val="22"/>
          <w:szCs w:val="22"/>
          <w:b w:val="1"/>
          <w:bCs w:val="1"/>
          <w:color w:val="auto"/>
        </w:rPr>
      </w:pPr>
    </w:p>
    <w:p>
      <w:pPr>
        <w:jc w:val="both"/>
        <w:ind w:firstLine="467"/>
        <w:spacing w:after="0" w:line="245" w:lineRule="auto"/>
        <w:tabs>
          <w:tab w:leader="none" w:pos="958" w:val="left"/>
        </w:tabs>
        <w:numPr>
          <w:ilvl w:val="1"/>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2" w:lineRule="exact"/>
        <w:rPr>
          <w:rFonts w:ascii="Times New Roman" w:cs="Times New Roman" w:eastAsia="Times New Roman" w:hAnsi="Times New Roman"/>
          <w:sz w:val="22"/>
          <w:szCs w:val="22"/>
          <w:b w:val="1"/>
          <w:bCs w:val="1"/>
          <w:color w:val="auto"/>
        </w:rPr>
      </w:pPr>
    </w:p>
    <w:p>
      <w:pPr>
        <w:jc w:val="both"/>
        <w:ind w:firstLine="449"/>
        <w:spacing w:after="0" w:line="249" w:lineRule="auto"/>
        <w:tabs>
          <w:tab w:leader="none" w:pos="931" w:val="left"/>
        </w:tabs>
        <w:numPr>
          <w:ilvl w:val="0"/>
          <w:numId w:val="2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 BY LAW, EACH</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PARTY WAIVES ANY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8"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b w:val="1"/>
          <w:bCs w:val="1"/>
          <w:color w:val="auto"/>
        </w:rPr>
        <w:t>WITH RESPECT TO ANY PROCEEDING ARISING OUT OF OR RELATING TO THIS AGREEMENT.</w:t>
      </w:r>
    </w:p>
    <w:p>
      <w:pPr>
        <w:spacing w:after="0" w:line="206" w:lineRule="exact"/>
        <w:rPr>
          <w:sz w:val="20"/>
          <w:szCs w:val="20"/>
          <w:color w:val="auto"/>
        </w:rPr>
      </w:pPr>
    </w:p>
    <w:p>
      <w:pPr>
        <w:ind w:left="920" w:hanging="480"/>
        <w:spacing w:after="0"/>
        <w:tabs>
          <w:tab w:leader="none" w:pos="920" w:val="left"/>
        </w:tabs>
        <w:numPr>
          <w:ilvl w:val="0"/>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40" w:firstLine="644"/>
        <w:spacing w:after="0" w:line="237" w:lineRule="auto"/>
        <w:tabs>
          <w:tab w:leader="none" w:pos="1936"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81" w:lineRule="exact"/>
        <w:rPr>
          <w:rFonts w:ascii="Times New Roman" w:cs="Times New Roman" w:eastAsia="Times New Roman" w:hAnsi="Times New Roman"/>
          <w:sz w:val="22"/>
          <w:szCs w:val="22"/>
          <w:color w:val="auto"/>
        </w:rPr>
      </w:pPr>
    </w:p>
    <w:p>
      <w:pPr>
        <w:ind w:left="640" w:firstLine="644"/>
        <w:spacing w:after="0" w:line="268" w:lineRule="auto"/>
        <w:tabs>
          <w:tab w:leader="none" w:pos="1935"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404" w:right="399" w:bottom="1440" w:gutter="0" w:footer="0" w:header="0"/>
        </w:sectPr>
      </w:pPr>
    </w:p>
    <w:bookmarkStart w:id="244" w:name="page245"/>
    <w:bookmarkEnd w:id="244"/>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J. Snyder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22" w:right="339" w:bottom="1440" w:gutter="0" w:footer="0" w:header="0"/>
          <w:type w:val="continuous"/>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14, 2029 following the end of the Performance Period (“Determination Date”), using data as of, and including, December 31, 2028 under the rules described below. Any PSUs not earned as of the Determination Date will be canceled and forfeited.</w:t>
      </w:r>
    </w:p>
    <w:p>
      <w:pPr>
        <w:spacing w:after="0" w:line="194" w:lineRule="exact"/>
        <w:rPr>
          <w:sz w:val="20"/>
          <w:szCs w:val="20"/>
          <w:color w:val="auto"/>
        </w:rPr>
      </w:pPr>
    </w:p>
    <w:p>
      <w:pPr>
        <w:ind w:firstLine="8"/>
        <w:spacing w:after="0" w:line="295" w:lineRule="auto"/>
        <w:tabs>
          <w:tab w:leader="none" w:pos="400"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62" w:lineRule="exact"/>
        <w:rPr>
          <w:rFonts w:ascii="Times New Roman" w:cs="Times New Roman" w:eastAsia="Times New Roman" w:hAnsi="Times New Roman"/>
          <w:sz w:val="21"/>
          <w:szCs w:val="21"/>
          <w:color w:val="auto"/>
        </w:rPr>
      </w:pPr>
    </w:p>
    <w:p>
      <w:pPr>
        <w:ind w:firstLine="8"/>
        <w:spacing w:after="0" w:line="271" w:lineRule="auto"/>
        <w:tabs>
          <w:tab w:leader="none" w:pos="37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2026 through December 31, 2028) and determined on the Determination Date.</w:t>
      </w:r>
    </w:p>
    <w:p>
      <w:pPr>
        <w:spacing w:after="0" w:line="178" w:lineRule="exact"/>
        <w:rPr>
          <w:rFonts w:ascii="Times New Roman" w:cs="Times New Roman" w:eastAsia="Times New Roman" w:hAnsi="Times New Roman"/>
          <w:sz w:val="22"/>
          <w:szCs w:val="22"/>
          <w:color w:val="auto"/>
        </w:rPr>
      </w:pPr>
    </w:p>
    <w:p>
      <w:pPr>
        <w:jc w:val="both"/>
        <w:ind w:firstLine="8"/>
        <w:spacing w:after="0" w:line="266" w:lineRule="auto"/>
        <w:tabs>
          <w:tab w:leader="none" w:pos="40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initially earned based on the achievement of EPS (the “</w:t>
      </w:r>
      <w:r>
        <w:rPr>
          <w:rFonts w:ascii="Times New Roman" w:cs="Times New Roman" w:eastAsia="Times New Roman" w:hAnsi="Times New Roman"/>
          <w:sz w:val="22"/>
          <w:szCs w:val="22"/>
          <w:b w:val="1"/>
          <w:bCs w:val="1"/>
          <w:i w:val="1"/>
          <w:iCs w:val="1"/>
          <w:color w:val="auto"/>
        </w:rPr>
        <w:t>EPS PSUs</w:t>
      </w:r>
      <w:r>
        <w:rPr>
          <w:rFonts w:ascii="Times New Roman" w:cs="Times New Roman" w:eastAsia="Times New Roman" w:hAnsi="Times New Roman"/>
          <w:sz w:val="22"/>
          <w:szCs w:val="22"/>
          <w:color w:val="auto"/>
        </w:rPr>
        <w:t>”), and 50% of the Target PSUs will be initially earned based on ROIC (the “</w:t>
      </w:r>
      <w:r>
        <w:rPr>
          <w:rFonts w:ascii="Times New Roman" w:cs="Times New Roman" w:eastAsia="Times New Roman" w:hAnsi="Times New Roman"/>
          <w:sz w:val="22"/>
          <w:szCs w:val="22"/>
          <w:b w:val="1"/>
          <w:bCs w:val="1"/>
          <w:i w:val="1"/>
          <w:iCs w:val="1"/>
          <w:color w:val="auto"/>
        </w:rPr>
        <w:t>ROIC PSUs</w:t>
      </w:r>
      <w:r>
        <w:rPr>
          <w:rFonts w:ascii="Times New Roman" w:cs="Times New Roman" w:eastAsia="Times New Roman" w:hAnsi="Times New Roman"/>
          <w:sz w:val="22"/>
          <w:szCs w:val="22"/>
          <w:color w:val="auto"/>
        </w:rPr>
        <w:t>”). The total EPS PSUs and ROIC PSUs initially earned shall be subject to modification based on RTSR Performance.</w:t>
      </w:r>
    </w:p>
    <w:p>
      <w:pPr>
        <w:spacing w:after="0" w:line="19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40" w:lineRule="exact"/>
        <w:rPr>
          <w:rFonts w:ascii="Times New Roman" w:cs="Times New Roman" w:eastAsia="Times New Roman" w:hAnsi="Times New Roman"/>
          <w:sz w:val="22"/>
          <w:szCs w:val="22"/>
          <w:color w:val="auto"/>
        </w:rPr>
      </w:pPr>
    </w:p>
    <w:p>
      <w:pPr>
        <w:jc w:val="both"/>
        <w:ind w:left="1300" w:hanging="644"/>
        <w:spacing w:after="0" w:line="266" w:lineRule="auto"/>
        <w:tabs>
          <w:tab w:leader="none" w:pos="1303"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w:t>
      </w:r>
      <w:r>
        <w:rPr>
          <w:rFonts w:ascii="Times New Roman" w:cs="Times New Roman" w:eastAsia="Times New Roman" w:hAnsi="Times New Roman"/>
          <w:sz w:val="22"/>
          <w:szCs w:val="22"/>
          <w:color w:val="auto"/>
        </w:rPr>
        <w:t>” means the adjusted diluted earnings per share from continuing operations as publicly disclosed by the Company, plus or minus special items that may occur from time-to-time that the Committee believes should adjust the as-reported results for measurement of performance.</w:t>
      </w:r>
    </w:p>
    <w:p>
      <w:pPr>
        <w:spacing w:after="0" w:line="184" w:lineRule="exact"/>
        <w:rPr>
          <w:rFonts w:ascii="Times New Roman" w:cs="Times New Roman" w:eastAsia="Times New Roman" w:hAnsi="Times New Roman"/>
          <w:sz w:val="22"/>
          <w:szCs w:val="22"/>
          <w:color w:val="auto"/>
        </w:rPr>
      </w:pPr>
    </w:p>
    <w:p>
      <w:pPr>
        <w:ind w:left="1300" w:hanging="644"/>
        <w:spacing w:after="0" w:line="260" w:lineRule="auto"/>
        <w:tabs>
          <w:tab w:leader="none" w:pos="1196"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90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90" w:lineRule="exact"/>
        <w:rPr>
          <w:rFonts w:ascii="Times New Roman" w:cs="Times New Roman" w:eastAsia="Times New Roman" w:hAnsi="Times New Roman"/>
          <w:sz w:val="22"/>
          <w:szCs w:val="22"/>
          <w:color w:val="auto"/>
        </w:rPr>
      </w:pPr>
    </w:p>
    <w:p>
      <w:pPr>
        <w:ind w:left="1300" w:hanging="644"/>
        <w:spacing w:after="0" w:line="251" w:lineRule="auto"/>
        <w:tabs>
          <w:tab w:leader="none" w:pos="1156"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 Adjustment Protocol</w:t>
      </w:r>
      <w:r>
        <w:rPr>
          <w:rFonts w:ascii="Times New Roman" w:cs="Times New Roman" w:eastAsia="Times New Roman" w:hAnsi="Times New Roman"/>
          <w:sz w:val="22"/>
          <w:szCs w:val="22"/>
          <w:color w:val="auto"/>
        </w:rPr>
        <w:t xml:space="preserve">” means: (i) if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has been acquired and/or is no longer existing as a public company that is traded on its primary stock exchange (other than for the reasons as described in subsection (i) above), then such entity will not remain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83" w:right="339" w:bottom="1440" w:gutter="0" w:footer="0" w:header="0"/>
        </w:sectPr>
      </w:pPr>
    </w:p>
    <w:bookmarkStart w:id="246" w:name="page247"/>
    <w:bookmarkEnd w:id="246"/>
    <w:p>
      <w:pPr>
        <w:jc w:val="both"/>
        <w:ind w:left="1292"/>
        <w:spacing w:after="0" w:line="256" w:lineRule="auto"/>
        <w:rPr>
          <w:sz w:val="20"/>
          <w:szCs w:val="20"/>
          <w:color w:val="auto"/>
        </w:rPr>
      </w:pPr>
      <w:r>
        <w:rPr>
          <w:rFonts w:ascii="Times New Roman" w:cs="Times New Roman" w:eastAsia="Times New Roman" w:hAnsi="Times New Roman"/>
          <w:sz w:val="22"/>
          <w:szCs w:val="22"/>
          <w:color w:val="auto"/>
        </w:rPr>
        <w:t xml:space="preserve">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such entity shall be deemed to include any successor to all or substantially all of the primary business of such entity at end of the Performance Period.</w:t>
      </w:r>
    </w:p>
    <w:p>
      <w:pPr>
        <w:spacing w:after="0" w:line="197" w:lineRule="exact"/>
        <w:rPr>
          <w:sz w:val="20"/>
          <w:szCs w:val="20"/>
          <w:color w:val="auto"/>
        </w:rPr>
      </w:pPr>
    </w:p>
    <w:p>
      <w:pPr>
        <w:jc w:val="both"/>
        <w:ind w:left="1292" w:hanging="644"/>
        <w:spacing w:after="0" w:line="266" w:lineRule="auto"/>
        <w:tabs>
          <w:tab w:leader="none" w:pos="1227"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84" w:lineRule="exact"/>
        <w:rPr>
          <w:rFonts w:ascii="Times New Roman" w:cs="Times New Roman" w:eastAsia="Times New Roman" w:hAnsi="Times New Roman"/>
          <w:sz w:val="22"/>
          <w:szCs w:val="22"/>
          <w:color w:val="auto"/>
        </w:rPr>
      </w:pPr>
    </w:p>
    <w:p>
      <w:pPr>
        <w:jc w:val="both"/>
        <w:ind w:left="1292" w:hanging="644"/>
        <w:spacing w:after="0" w:line="254" w:lineRule="auto"/>
        <w:tabs>
          <w:tab w:leader="none" w:pos="1271"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ROIC</w:t>
      </w:r>
      <w:r>
        <w:rPr>
          <w:rFonts w:ascii="Times New Roman" w:cs="Times New Roman" w:eastAsia="Times New Roman" w:hAnsi="Times New Roman"/>
          <w:sz w:val="22"/>
          <w:szCs w:val="22"/>
          <w:color w:val="auto"/>
        </w:rPr>
        <w:t>” means the quotient of (i) net adjusted operating profit after income taxes (“</w:t>
      </w:r>
      <w:r>
        <w:rPr>
          <w:rFonts w:ascii="Times New Roman" w:cs="Times New Roman" w:eastAsia="Times New Roman" w:hAnsi="Times New Roman"/>
          <w:sz w:val="22"/>
          <w:szCs w:val="22"/>
          <w:b w:val="1"/>
          <w:bCs w:val="1"/>
          <w:i w:val="1"/>
          <w:iCs w:val="1"/>
          <w:color w:val="auto"/>
        </w:rPr>
        <w:t>NOPAT</w:t>
      </w:r>
      <w:r>
        <w:rPr>
          <w:rFonts w:ascii="Times New Roman" w:cs="Times New Roman" w:eastAsia="Times New Roman" w:hAnsi="Times New Roman"/>
          <w:sz w:val="22"/>
          <w:szCs w:val="22"/>
          <w:color w:val="auto"/>
        </w:rPr>
        <w:t>”) divided by (ii) invested capital. The Company uses its long-term expected effective tax rate of 25% in the calculation of NOPAT for all periods to eliminate potential volatility in year-to-year results from tax planning strategies which may impact the measurement of operating returns.</w:t>
      </w:r>
    </w:p>
    <w:p>
      <w:pPr>
        <w:spacing w:after="0" w:line="198" w:lineRule="exact"/>
        <w:rPr>
          <w:rFonts w:ascii="Times New Roman" w:cs="Times New Roman" w:eastAsia="Times New Roman" w:hAnsi="Times New Roman"/>
          <w:sz w:val="22"/>
          <w:szCs w:val="22"/>
          <w:color w:val="auto"/>
        </w:rPr>
      </w:pPr>
    </w:p>
    <w:p>
      <w:pPr>
        <w:jc w:val="both"/>
        <w:ind w:left="1292" w:hanging="644"/>
        <w:spacing w:after="0" w:line="251" w:lineRule="auto"/>
        <w:tabs>
          <w:tab w:leader="none" w:pos="1245"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2026 on the principal stock exchange on which the stock is then traded and the ending stock price will be based on the average closing stock price for the 20 trading days immediately preceding January 1, 2029 on the principal stock exchange on which the stock then trades.</w:t>
      </w:r>
    </w:p>
    <w:p>
      <w:pPr>
        <w:spacing w:after="0" w:line="211" w:lineRule="exact"/>
        <w:rPr>
          <w:rFonts w:ascii="Times New Roman" w:cs="Times New Roman" w:eastAsia="Times New Roman" w:hAnsi="Times New Roman"/>
          <w:sz w:val="22"/>
          <w:szCs w:val="22"/>
          <w:color w:val="auto"/>
        </w:rPr>
      </w:pPr>
    </w:p>
    <w:p>
      <w:pPr>
        <w:ind w:left="-8" w:firstLine="8"/>
        <w:spacing w:after="0" w:line="271" w:lineRule="auto"/>
        <w:tabs>
          <w:tab w:leader="none" w:pos="45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Performance Matrix</w:t>
      </w:r>
      <w:r>
        <w:rPr>
          <w:rFonts w:ascii="Times New Roman" w:cs="Times New Roman" w:eastAsia="Times New Roman" w:hAnsi="Times New Roman"/>
          <w:sz w:val="22"/>
          <w:szCs w:val="22"/>
          <w:color w:val="auto"/>
        </w:rPr>
        <w:t>. From 0% to 200% of the EPS PSUs will be initially earned based on achievement of the EPS performance goals for each year during the Performance Period as follows:</w:t>
      </w:r>
    </w:p>
    <w:p>
      <w:pPr>
        <w:spacing w:after="0" w:line="206" w:lineRule="exact"/>
        <w:rPr>
          <w:sz w:val="20"/>
          <w:szCs w:val="20"/>
          <w:color w:val="auto"/>
        </w:rPr>
      </w:pPr>
    </w:p>
    <w:tbl>
      <w:tblPr>
        <w:tblLayout w:type="fixed"/>
        <w:tblInd w:w="42" w:type="dxa"/>
        <w:tblCellMar>
          <w:top w:w="0" w:type="dxa"/>
          <w:left w:w="0" w:type="dxa"/>
          <w:bottom w:w="0" w:type="dxa"/>
          <w:right w:w="0" w:type="dxa"/>
        </w:tblCellMar>
      </w:tblPr>
      <w:tr>
        <w:trPr>
          <w:trHeight w:val="480"/>
        </w:trPr>
        <w:tc>
          <w:tcPr>
            <w:tcW w:w="1200" w:type="dxa"/>
            <w:vAlign w:val="bottom"/>
            <w:tcBorders>
              <w:top w:val="single" w:sz="8" w:color="auto"/>
              <w:left w:val="single" w:sz="8" w:color="auto"/>
              <w:bottom w:val="single" w:sz="8" w:color="A6A6A6"/>
              <w:right w:val="single" w:sz="8" w:color="auto"/>
            </w:tcBorders>
            <w:shd w:val="clear" w:color="auto" w:fill="A6A6A6"/>
          </w:tcPr>
          <w:p>
            <w:pPr>
              <w:spacing w:after="0"/>
              <w:rPr>
                <w:sz w:val="24"/>
                <w:szCs w:val="24"/>
                <w:color w:val="auto"/>
              </w:rPr>
            </w:pPr>
          </w:p>
        </w:tc>
        <w:tc>
          <w:tcPr>
            <w:tcW w:w="3240" w:type="dxa"/>
            <w:vAlign w:val="bottom"/>
            <w:tcBorders>
              <w:top w:val="single" w:sz="8" w:color="auto"/>
              <w:bottom w:val="single" w:sz="8" w:color="auto"/>
              <w:right w:val="single" w:sz="8" w:color="A6A6A6"/>
            </w:tcBorders>
            <w:shd w:val="clear" w:color="auto" w:fill="A6A6A6"/>
          </w:tcPr>
          <w:p>
            <w:pPr>
              <w:spacing w:after="0"/>
              <w:rPr>
                <w:sz w:val="24"/>
                <w:szCs w:val="24"/>
                <w:color w:val="auto"/>
              </w:rPr>
            </w:pPr>
          </w:p>
        </w:tc>
        <w:tc>
          <w:tcPr>
            <w:tcW w:w="2680" w:type="dxa"/>
            <w:vAlign w:val="bottom"/>
            <w:tcBorders>
              <w:top w:val="single" w:sz="8" w:color="auto"/>
              <w:bottom w:val="single" w:sz="8" w:color="auto"/>
              <w:right w:val="single" w:sz="8" w:color="A6A6A6"/>
            </w:tcBorders>
            <w:shd w:val="clear" w:color="auto" w:fill="A6A6A6"/>
          </w:tcPr>
          <w:p>
            <w:pPr>
              <w:ind w:left="500"/>
              <w:spacing w:after="0"/>
              <w:rPr>
                <w:sz w:val="20"/>
                <w:szCs w:val="20"/>
                <w:color w:val="auto"/>
              </w:rPr>
            </w:pPr>
            <w:r>
              <w:rPr>
                <w:rFonts w:ascii="Times New Roman" w:cs="Times New Roman" w:eastAsia="Times New Roman" w:hAnsi="Times New Roman"/>
                <w:sz w:val="22"/>
                <w:szCs w:val="22"/>
                <w:b w:val="1"/>
                <w:bCs w:val="1"/>
                <w:color w:val="auto"/>
              </w:rPr>
              <w:t>EPS Goal</w:t>
            </w:r>
          </w:p>
        </w:tc>
        <w:tc>
          <w:tcPr>
            <w:tcW w:w="2500" w:type="dxa"/>
            <w:vAlign w:val="bottom"/>
            <w:tcBorders>
              <w:top w:val="single" w:sz="8" w:color="auto"/>
              <w:bottom w:val="single" w:sz="8" w:color="auto"/>
              <w:right w:val="single" w:sz="8" w:color="auto"/>
            </w:tcBorders>
            <w:shd w:val="clear" w:color="auto" w:fill="A6A6A6"/>
          </w:tcPr>
          <w:p>
            <w:pPr>
              <w:spacing w:after="0"/>
              <w:rPr>
                <w:sz w:val="24"/>
                <w:szCs w:val="24"/>
                <w:color w:val="auto"/>
              </w:rPr>
            </w:pPr>
          </w:p>
        </w:tc>
        <w:tc>
          <w:tcPr>
            <w:tcW w:w="1540" w:type="dxa"/>
            <w:vAlign w:val="bottom"/>
            <w:tcBorders>
              <w:top w:val="single" w:sz="8" w:color="auto"/>
              <w:bottom w:val="single" w:sz="8" w:color="A6A6A6"/>
              <w:right w:val="single" w:sz="8" w:color="auto"/>
            </w:tcBorders>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00" w:type="dxa"/>
            <w:vAlign w:val="bottom"/>
            <w:tcBorders>
              <w:left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Year</w:t>
            </w:r>
          </w:p>
        </w:tc>
        <w:tc>
          <w:tcPr>
            <w:tcW w:w="324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2680" w:type="dxa"/>
            <w:vAlign w:val="bottom"/>
            <w:tcBorders>
              <w:right w:val="single" w:sz="8" w:color="auto"/>
            </w:tcBorders>
            <w:shd w:val="clear" w:color="auto" w:fill="A6A6A6"/>
          </w:tcPr>
          <w:p>
            <w:pPr>
              <w:ind w:left="102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50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4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Weighting</w:t>
            </w:r>
          </w:p>
        </w:tc>
        <w:tc>
          <w:tcPr>
            <w:tcW w:w="0" w:type="dxa"/>
            <w:vAlign w:val="bottom"/>
          </w:tcPr>
          <w:p>
            <w:pPr>
              <w:spacing w:after="0"/>
              <w:rPr>
                <w:sz w:val="1"/>
                <w:szCs w:val="1"/>
                <w:color w:val="auto"/>
              </w:rPr>
            </w:pPr>
          </w:p>
        </w:tc>
      </w:tr>
      <w:tr>
        <w:trPr>
          <w:trHeight w:val="287"/>
        </w:trPr>
        <w:tc>
          <w:tcPr>
            <w:tcW w:w="1200" w:type="dxa"/>
            <w:vAlign w:val="bottom"/>
            <w:tcBorders>
              <w:left w:val="single" w:sz="8" w:color="auto"/>
              <w:bottom w:val="single" w:sz="8" w:color="auto"/>
              <w:right w:val="single" w:sz="8" w:color="auto"/>
            </w:tcBorders>
            <w:vMerge w:val="continue"/>
            <w:shd w:val="clear" w:color="auto" w:fill="A6A6A6"/>
          </w:tcPr>
          <w:p>
            <w:pPr>
              <w:spacing w:after="0"/>
              <w:rPr>
                <w:sz w:val="24"/>
                <w:szCs w:val="24"/>
                <w:color w:val="auto"/>
              </w:rPr>
            </w:pPr>
          </w:p>
        </w:tc>
        <w:tc>
          <w:tcPr>
            <w:tcW w:w="3240" w:type="dxa"/>
            <w:vAlign w:val="bottom"/>
            <w:tcBorders>
              <w:bottom w:val="single" w:sz="8" w:color="auto"/>
              <w:right w:val="single" w:sz="8" w:color="auto"/>
            </w:tcBorders>
            <w:shd w:val="clear" w:color="auto" w:fill="A6A6A6"/>
          </w:tcPr>
          <w:p>
            <w:pPr>
              <w:jc w:val="right"/>
              <w:ind w:right="1312"/>
              <w:spacing w:after="0"/>
              <w:rPr>
                <w:sz w:val="20"/>
                <w:szCs w:val="20"/>
                <w:color w:val="auto"/>
              </w:rPr>
            </w:pPr>
            <w:r>
              <w:rPr>
                <w:rFonts w:ascii="Times New Roman" w:cs="Times New Roman" w:eastAsia="Times New Roman" w:hAnsi="Times New Roman"/>
                <w:sz w:val="22"/>
                <w:szCs w:val="22"/>
                <w:b w:val="1"/>
                <w:bCs w:val="1"/>
                <w:color w:val="auto"/>
              </w:rPr>
              <w:t>40%</w:t>
            </w:r>
          </w:p>
        </w:tc>
        <w:tc>
          <w:tcPr>
            <w:tcW w:w="2680" w:type="dxa"/>
            <w:vAlign w:val="bottom"/>
            <w:tcBorders>
              <w:bottom w:val="single" w:sz="8" w:color="auto"/>
              <w:right w:val="single" w:sz="8" w:color="auto"/>
            </w:tcBorders>
            <w:shd w:val="clear" w:color="auto" w:fill="A6A6A6"/>
          </w:tcPr>
          <w:p>
            <w:pPr>
              <w:ind w:left="1060"/>
              <w:spacing w:after="0"/>
              <w:rPr>
                <w:sz w:val="20"/>
                <w:szCs w:val="20"/>
                <w:color w:val="auto"/>
              </w:rPr>
            </w:pPr>
            <w:r>
              <w:rPr>
                <w:rFonts w:ascii="Times New Roman" w:cs="Times New Roman" w:eastAsia="Times New Roman" w:hAnsi="Times New Roman"/>
                <w:sz w:val="22"/>
                <w:szCs w:val="22"/>
                <w:b w:val="1"/>
                <w:bCs w:val="1"/>
                <w:color w:val="auto"/>
              </w:rPr>
              <w:t>100%</w:t>
            </w:r>
          </w:p>
        </w:tc>
        <w:tc>
          <w:tcPr>
            <w:tcW w:w="2500" w:type="dxa"/>
            <w:vAlign w:val="bottom"/>
            <w:tcBorders>
              <w:bottom w:val="single" w:sz="8" w:color="auto"/>
              <w:right w:val="single" w:sz="8" w:color="auto"/>
            </w:tcBorders>
            <w:shd w:val="clear" w:color="auto" w:fill="A6A6A6"/>
          </w:tcPr>
          <w:p>
            <w:pPr>
              <w:jc w:val="right"/>
              <w:ind w:right="892"/>
              <w:spacing w:after="0"/>
              <w:rPr>
                <w:sz w:val="20"/>
                <w:szCs w:val="20"/>
                <w:color w:val="auto"/>
              </w:rPr>
            </w:pPr>
            <w:r>
              <w:rPr>
                <w:rFonts w:ascii="Times New Roman" w:cs="Times New Roman" w:eastAsia="Times New Roman" w:hAnsi="Times New Roman"/>
                <w:sz w:val="22"/>
                <w:szCs w:val="22"/>
                <w:b w:val="1"/>
                <w:bCs w:val="1"/>
                <w:color w:val="auto"/>
              </w:rPr>
              <w:t>200%</w:t>
            </w:r>
          </w:p>
        </w:tc>
        <w:tc>
          <w:tcPr>
            <w:tcW w:w="1540" w:type="dxa"/>
            <w:vAlign w:val="bottom"/>
            <w:tcBorders>
              <w:bottom w:val="single" w:sz="8" w:color="auto"/>
              <w:right w:val="single" w:sz="8" w:color="auto"/>
            </w:tcBorders>
            <w:vMerge w:val="continue"/>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34"/>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2026</w:t>
            </w:r>
          </w:p>
        </w:tc>
        <w:tc>
          <w:tcPr>
            <w:tcW w:w="3240" w:type="dxa"/>
            <w:vAlign w:val="bottom"/>
            <w:tcBorders>
              <w:right w:val="single" w:sz="8" w:color="auto"/>
            </w:tcBorders>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2027</w:t>
            </w:r>
          </w:p>
        </w:tc>
        <w:tc>
          <w:tcPr>
            <w:tcW w:w="324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283"/>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34"/>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right w:val="single" w:sz="8" w:color="auto"/>
            </w:tcBorders>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32"/>
          </w:cols>
          <w:pgMar w:left="328" w:top="1287" w:right="339" w:bottom="1440" w:gutter="0" w:footer="0" w:header="0"/>
        </w:sectPr>
      </w:pPr>
    </w:p>
    <w:bookmarkStart w:id="247" w:name="page248"/>
    <w:bookmarkEnd w:id="247"/>
    <w:p>
      <w:pPr>
        <w:spacing w:after="0" w:line="90" w:lineRule="exact"/>
        <w:rPr>
          <w:sz w:val="20"/>
          <w:szCs w:val="20"/>
          <w:color w:val="auto"/>
        </w:rPr>
      </w:pPr>
    </w:p>
    <w:p>
      <w:pPr>
        <w:jc w:val="both"/>
        <w:ind w:left="-8" w:firstLine="8"/>
        <w:spacing w:after="0" w:line="252" w:lineRule="auto"/>
        <w:tabs>
          <w:tab w:leader="none" w:pos="37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PSUs Earned</w:t>
      </w:r>
      <w:r>
        <w:rPr>
          <w:rFonts w:ascii="Times New Roman" w:cs="Times New Roman" w:eastAsia="Times New Roman" w:hAnsi="Times New Roman"/>
          <w:sz w:val="22"/>
          <w:szCs w:val="22"/>
          <w:color w:val="auto"/>
        </w:rPr>
        <w:t xml:space="preserve">. Following the Performance Period, on the Determination Date, the Committee shall determine whether and to what extent the EPS performance goal has been satisfied for each applicable year during the Performance Period (for purposes of this Section 6, as described in the above matrix) and shall determine the percentage of the EPS PSUs that shall become initially earned hereunder and under the Agreement based on the sum total of the weighted achievement for each applicable year during the Performance Period equal to the product of (x) the actual achievement of the EPS performance goal for an applicable year during the Performance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the relative weighting of such year (the “</w:t>
      </w:r>
      <w:r>
        <w:rPr>
          <w:rFonts w:ascii="Times New Roman" w:cs="Times New Roman" w:eastAsia="Times New Roman" w:hAnsi="Times New Roman"/>
          <w:sz w:val="22"/>
          <w:szCs w:val="22"/>
          <w:b w:val="1"/>
          <w:bCs w:val="1"/>
          <w:i w:val="1"/>
          <w:iCs w:val="1"/>
          <w:color w:val="auto"/>
        </w:rPr>
        <w:t>Initial EPS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Percentage</w:t>
      </w:r>
      <w:r>
        <w:rPr>
          <w:rFonts w:ascii="Times New Roman" w:cs="Times New Roman" w:eastAsia="Times New Roman" w:hAnsi="Times New Roman"/>
          <w:sz w:val="22"/>
          <w:szCs w:val="22"/>
          <w:color w:val="auto"/>
        </w:rPr>
        <w:t>”), subject to modification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rFonts w:ascii="Times New Roman" w:cs="Times New Roman" w:eastAsia="Times New Roman" w:hAnsi="Times New Roman"/>
          <w:sz w:val="22"/>
          <w:szCs w:val="22"/>
          <w:color w:val="auto"/>
        </w:rPr>
      </w:pPr>
    </w:p>
    <w:p>
      <w:pPr>
        <w:ind w:left="1292" w:right="220" w:hanging="725"/>
        <w:spacing w:after="0" w:line="257" w:lineRule="auto"/>
        <w:tabs>
          <w:tab w:leader="none" w:pos="1079"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for an applicable year during the Performance Period falls below the lowest EPS level set forth in the Performance Matrix for the applicable year, the Initial EPS Percentage for such year during the Performance Period shall be 0%.</w:t>
      </w:r>
    </w:p>
    <w:p>
      <w:pPr>
        <w:spacing w:after="0" w:line="199" w:lineRule="exact"/>
        <w:rPr>
          <w:rFonts w:ascii="Times New Roman" w:cs="Times New Roman" w:eastAsia="Times New Roman" w:hAnsi="Times New Roman"/>
          <w:sz w:val="22"/>
          <w:szCs w:val="22"/>
          <w:color w:val="auto"/>
        </w:rPr>
      </w:pPr>
    </w:p>
    <w:p>
      <w:pPr>
        <w:jc w:val="both"/>
        <w:ind w:left="1292" w:hanging="644"/>
        <w:spacing w:after="0" w:line="250" w:lineRule="auto"/>
        <w:tabs>
          <w:tab w:leader="none" w:pos="1256" w:val="left"/>
        </w:tabs>
        <w:numPr>
          <w:ilvl w:val="2"/>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for an applicable year during the Performance Period is exactly equal to one of the levels set forth in the Performance Matrix, the Initial EPS Percentage for such year during the Performance Period shall be equal to the percentage set forth for such level in the Performance Matrix. If, upon the conclusion of the Performance Period, EPS for an applicable year during the Performance Period falls between two levels set forth in the Performance Matrix, the Initial EPS Percentage for such year during the Performance Period shall be based on straight-line mathematical interpolation between the percentages applicable to such levels but in no event will the Initial EPS Percentage for an applicable year during the Performance Period be greater than 200%.</w:t>
      </w:r>
    </w:p>
    <w:p>
      <w:pPr>
        <w:spacing w:after="0" w:line="213" w:lineRule="exact"/>
        <w:rPr>
          <w:rFonts w:ascii="Times New Roman" w:cs="Times New Roman" w:eastAsia="Times New Roman" w:hAnsi="Times New Roman"/>
          <w:sz w:val="22"/>
          <w:szCs w:val="22"/>
          <w:color w:val="auto"/>
        </w:rPr>
      </w:pPr>
    </w:p>
    <w:p>
      <w:pPr>
        <w:ind w:left="-8" w:firstLine="8"/>
        <w:spacing w:after="0" w:line="271" w:lineRule="auto"/>
        <w:tabs>
          <w:tab w:leader="none" w:pos="383"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 Performance Matrix</w:t>
      </w:r>
      <w:r>
        <w:rPr>
          <w:rFonts w:ascii="Times New Roman" w:cs="Times New Roman" w:eastAsia="Times New Roman" w:hAnsi="Times New Roman"/>
          <w:sz w:val="22"/>
          <w:szCs w:val="22"/>
          <w:color w:val="auto"/>
        </w:rPr>
        <w:t>. From 0% to 200% of the ROIC PSUs will be initially earned based on achievement of the ROIC performance goals during the Performance Period as follows:</w:t>
      </w:r>
    </w:p>
    <w:p>
      <w:pPr>
        <w:spacing w:after="0" w:line="206" w:lineRule="exact"/>
        <w:rPr>
          <w:sz w:val="20"/>
          <w:szCs w:val="20"/>
          <w:color w:val="auto"/>
        </w:rPr>
      </w:pPr>
    </w:p>
    <w:tbl>
      <w:tblPr>
        <w:tblLayout w:type="fixed"/>
        <w:tblInd w:w="42" w:type="dxa"/>
        <w:tblCellMar>
          <w:top w:w="0" w:type="dxa"/>
          <w:left w:w="0" w:type="dxa"/>
          <w:bottom w:w="0" w:type="dxa"/>
          <w:right w:w="0" w:type="dxa"/>
        </w:tblCellMar>
      </w:tblPr>
      <w:tr>
        <w:trPr>
          <w:trHeight w:val="479"/>
        </w:trPr>
        <w:tc>
          <w:tcPr>
            <w:tcW w:w="1200" w:type="dxa"/>
            <w:vAlign w:val="bottom"/>
            <w:tcBorders>
              <w:top w:val="single" w:sz="8" w:color="auto"/>
              <w:left w:val="single" w:sz="8" w:color="auto"/>
              <w:bottom w:val="single" w:sz="8" w:color="A6A6A6"/>
              <w:right w:val="single" w:sz="8" w:color="auto"/>
            </w:tcBorders>
            <w:shd w:val="clear" w:color="auto" w:fill="A6A6A6"/>
          </w:tcPr>
          <w:p>
            <w:pPr>
              <w:spacing w:after="0"/>
              <w:rPr>
                <w:sz w:val="24"/>
                <w:szCs w:val="24"/>
                <w:color w:val="auto"/>
              </w:rPr>
            </w:pPr>
          </w:p>
        </w:tc>
        <w:tc>
          <w:tcPr>
            <w:tcW w:w="3240" w:type="dxa"/>
            <w:vAlign w:val="bottom"/>
            <w:tcBorders>
              <w:top w:val="single" w:sz="8" w:color="auto"/>
              <w:bottom w:val="single" w:sz="8" w:color="auto"/>
              <w:right w:val="single" w:sz="8" w:color="A6A6A6"/>
            </w:tcBorders>
            <w:shd w:val="clear" w:color="auto" w:fill="A6A6A6"/>
          </w:tcPr>
          <w:p>
            <w:pPr>
              <w:spacing w:after="0"/>
              <w:rPr>
                <w:sz w:val="24"/>
                <w:szCs w:val="24"/>
                <w:color w:val="auto"/>
              </w:rPr>
            </w:pPr>
          </w:p>
        </w:tc>
        <w:tc>
          <w:tcPr>
            <w:tcW w:w="2580" w:type="dxa"/>
            <w:vAlign w:val="bottom"/>
            <w:tcBorders>
              <w:top w:val="single" w:sz="8" w:color="auto"/>
              <w:bottom w:val="single" w:sz="8" w:color="auto"/>
              <w:right w:val="single" w:sz="8" w:color="A6A6A6"/>
            </w:tcBorders>
            <w:shd w:val="clear" w:color="auto" w:fill="A6A6A6"/>
          </w:tcPr>
          <w:p>
            <w:pPr>
              <w:ind w:left="420"/>
              <w:spacing w:after="0"/>
              <w:rPr>
                <w:sz w:val="20"/>
                <w:szCs w:val="20"/>
                <w:color w:val="auto"/>
              </w:rPr>
            </w:pPr>
            <w:r>
              <w:rPr>
                <w:rFonts w:ascii="Times New Roman" w:cs="Times New Roman" w:eastAsia="Times New Roman" w:hAnsi="Times New Roman"/>
                <w:sz w:val="22"/>
                <w:szCs w:val="22"/>
                <w:b w:val="1"/>
                <w:bCs w:val="1"/>
                <w:color w:val="auto"/>
              </w:rPr>
              <w:t>ROIC Goal</w:t>
            </w:r>
          </w:p>
        </w:tc>
        <w:tc>
          <w:tcPr>
            <w:tcW w:w="2600" w:type="dxa"/>
            <w:vAlign w:val="bottom"/>
            <w:tcBorders>
              <w:top w:val="single" w:sz="8" w:color="auto"/>
              <w:bottom w:val="single" w:sz="8" w:color="auto"/>
              <w:right w:val="single" w:sz="8" w:color="auto"/>
            </w:tcBorders>
            <w:shd w:val="clear" w:color="auto" w:fill="A6A6A6"/>
          </w:tcPr>
          <w:p>
            <w:pPr>
              <w:spacing w:after="0"/>
              <w:rPr>
                <w:sz w:val="24"/>
                <w:szCs w:val="24"/>
                <w:color w:val="auto"/>
              </w:rPr>
            </w:pPr>
          </w:p>
        </w:tc>
        <w:tc>
          <w:tcPr>
            <w:tcW w:w="1540" w:type="dxa"/>
            <w:vAlign w:val="bottom"/>
            <w:tcBorders>
              <w:top w:val="single" w:sz="8" w:color="auto"/>
              <w:bottom w:val="single" w:sz="8" w:color="A6A6A6"/>
              <w:right w:val="single" w:sz="8" w:color="auto"/>
            </w:tcBorders>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00" w:type="dxa"/>
            <w:vAlign w:val="bottom"/>
            <w:tcBorders>
              <w:left w:val="single" w:sz="8" w:color="auto"/>
              <w:right w:val="single" w:sz="8" w:color="auto"/>
            </w:tcBorders>
            <w:shd w:val="clear" w:color="auto" w:fill="A6A6A6"/>
          </w:tcPr>
          <w:p>
            <w:pPr>
              <w:spacing w:after="0"/>
              <w:rPr>
                <w:sz w:val="23"/>
                <w:szCs w:val="23"/>
                <w:color w:val="auto"/>
              </w:rPr>
            </w:pPr>
          </w:p>
        </w:tc>
        <w:tc>
          <w:tcPr>
            <w:tcW w:w="324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2580" w:type="dxa"/>
            <w:vAlign w:val="bottom"/>
            <w:tcBorders>
              <w:right w:val="single" w:sz="8" w:color="auto"/>
            </w:tcBorders>
            <w:shd w:val="clear" w:color="auto" w:fill="A6A6A6"/>
          </w:tcPr>
          <w:p>
            <w:pPr>
              <w:ind w:left="98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60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40" w:type="dxa"/>
            <w:vAlign w:val="bottom"/>
            <w:tcBorders>
              <w:right w:val="single" w:sz="8" w:color="auto"/>
            </w:tcBorders>
            <w:shd w:val="clear" w:color="auto" w:fill="A6A6A6"/>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1200" w:type="dxa"/>
            <w:vAlign w:val="bottom"/>
            <w:tcBorders>
              <w:left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Year</w:t>
            </w:r>
          </w:p>
        </w:tc>
        <w:tc>
          <w:tcPr>
            <w:tcW w:w="3240" w:type="dxa"/>
            <w:vAlign w:val="bottom"/>
            <w:tcBorders>
              <w:bottom w:val="single" w:sz="8" w:color="auto"/>
              <w:right w:val="single" w:sz="8" w:color="auto"/>
            </w:tcBorders>
            <w:shd w:val="clear" w:color="auto" w:fill="A6A6A6"/>
          </w:tcPr>
          <w:p>
            <w:pPr>
              <w:jc w:val="right"/>
              <w:ind w:right="1312"/>
              <w:spacing w:after="0"/>
              <w:rPr>
                <w:sz w:val="20"/>
                <w:szCs w:val="20"/>
                <w:color w:val="auto"/>
              </w:rPr>
            </w:pPr>
            <w:r>
              <w:rPr>
                <w:rFonts w:ascii="Times New Roman" w:cs="Times New Roman" w:eastAsia="Times New Roman" w:hAnsi="Times New Roman"/>
                <w:sz w:val="22"/>
                <w:szCs w:val="22"/>
                <w:b w:val="1"/>
                <w:bCs w:val="1"/>
                <w:color w:val="auto"/>
              </w:rPr>
              <w:t>40%</w:t>
            </w:r>
          </w:p>
        </w:tc>
        <w:tc>
          <w:tcPr>
            <w:tcW w:w="2580" w:type="dxa"/>
            <w:vAlign w:val="bottom"/>
            <w:tcBorders>
              <w:bottom w:val="single" w:sz="8" w:color="auto"/>
              <w:right w:val="single" w:sz="8" w:color="auto"/>
            </w:tcBorders>
            <w:shd w:val="clear" w:color="auto" w:fill="A6A6A6"/>
          </w:tcPr>
          <w:p>
            <w:pPr>
              <w:ind w:left="1000"/>
              <w:spacing w:after="0"/>
              <w:rPr>
                <w:sz w:val="20"/>
                <w:szCs w:val="20"/>
                <w:color w:val="auto"/>
              </w:rPr>
            </w:pPr>
            <w:r>
              <w:rPr>
                <w:rFonts w:ascii="Times New Roman" w:cs="Times New Roman" w:eastAsia="Times New Roman" w:hAnsi="Times New Roman"/>
                <w:sz w:val="22"/>
                <w:szCs w:val="22"/>
                <w:b w:val="1"/>
                <w:bCs w:val="1"/>
                <w:color w:val="auto"/>
              </w:rPr>
              <w:t>100%</w:t>
            </w:r>
          </w:p>
        </w:tc>
        <w:tc>
          <w:tcPr>
            <w:tcW w:w="2600" w:type="dxa"/>
            <w:vAlign w:val="bottom"/>
            <w:tcBorders>
              <w:bottom w:val="single" w:sz="8" w:color="auto"/>
              <w:right w:val="single" w:sz="8" w:color="auto"/>
            </w:tcBorders>
            <w:shd w:val="clear" w:color="auto" w:fill="A6A6A6"/>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200%</w:t>
            </w:r>
          </w:p>
        </w:tc>
        <w:tc>
          <w:tcPr>
            <w:tcW w:w="1540" w:type="dxa"/>
            <w:vAlign w:val="bottom"/>
            <w:tcBorders>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Weighting</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2026</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2027</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ind w:left="-8" w:firstLine="8"/>
        <w:spacing w:after="0" w:line="257" w:lineRule="auto"/>
        <w:tabs>
          <w:tab w:leader="none" w:pos="53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ROIC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ROIC performance goal has been satisfied for each applicable year during the Performance Period (for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32"/>
          </w:cols>
          <w:pgMar w:left="328" w:top="1440" w:right="339" w:bottom="1440" w:gutter="0" w:footer="0" w:header="0"/>
        </w:sectPr>
      </w:pPr>
    </w:p>
    <w:bookmarkStart w:id="248" w:name="page249"/>
    <w:bookmarkEnd w:id="24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8, as described in the above matrix) and shall determine the percentage of the ROIC PSUs that shall become initially earned hereunder and under the Agreement based on the sum total of the weighted achievement for each applicable year during the Performance Period equal to the product of (i) the actual achievement of the ROIC performance goal for an applicable year during the Performance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relative weighting of such year (the “</w:t>
      </w:r>
      <w:r>
        <w:rPr>
          <w:rFonts w:ascii="Times New Roman" w:cs="Times New Roman" w:eastAsia="Times New Roman" w:hAnsi="Times New Roman"/>
          <w:sz w:val="22"/>
          <w:szCs w:val="22"/>
          <w:b w:val="1"/>
          <w:bCs w:val="1"/>
          <w:i w:val="1"/>
          <w:iCs w:val="1"/>
          <w:color w:val="auto"/>
        </w:rPr>
        <w:t>Initial ROIC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sz w:val="20"/>
          <w:szCs w:val="20"/>
          <w:color w:val="auto"/>
        </w:rPr>
      </w:pPr>
    </w:p>
    <w:p>
      <w:pPr>
        <w:ind w:left="1300" w:hanging="725"/>
        <w:spacing w:after="0" w:line="263" w:lineRule="auto"/>
        <w:tabs>
          <w:tab w:leader="none" w:pos="1222"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ROIC for an applicable year during the Performance Period falls below the lowest ROIC level set forth in the Performance Matrix for the applicable year, the Initial ROIC Percentage for such year during the Performance Period shall be 0%.</w:t>
      </w:r>
    </w:p>
    <w:p>
      <w:pPr>
        <w:spacing w:after="0" w:line="194" w:lineRule="exact"/>
        <w:rPr>
          <w:rFonts w:ascii="Times New Roman" w:cs="Times New Roman" w:eastAsia="Times New Roman" w:hAnsi="Times New Roman"/>
          <w:sz w:val="22"/>
          <w:szCs w:val="22"/>
          <w:color w:val="auto"/>
        </w:rPr>
      </w:pPr>
    </w:p>
    <w:p>
      <w:pPr>
        <w:ind w:left="1300" w:hanging="644"/>
        <w:spacing w:after="0" w:line="250" w:lineRule="auto"/>
        <w:tabs>
          <w:tab w:leader="none" w:pos="1223"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ROIC for an applicable year during the Performance Period is exactly equal to one of the levels set forth in the Performance Matrix, the Initial ROIC Percentage shall be equal to the percentage set forth for such level in the Performance Matrix. If, upon the conclusion of the Performance Period, ROIC for an applicable year during the Performance Period falls between two levels set forth in the Performance Matrix, the Initial ROIC Percentage shall be based on straight-line mathematical interpolation between the percentages applicable to such levels but in no event will the Initial ROIC Percentage for an applicable year during the Performance Period be greater than 200%.</w:t>
      </w:r>
    </w:p>
    <w:p>
      <w:pPr>
        <w:spacing w:after="0" w:line="207" w:lineRule="exact"/>
        <w:rPr>
          <w:rFonts w:ascii="Times New Roman" w:cs="Times New Roman" w:eastAsia="Times New Roman" w:hAnsi="Times New Roman"/>
          <w:sz w:val="22"/>
          <w:szCs w:val="22"/>
          <w:color w:val="auto"/>
        </w:rPr>
      </w:pPr>
    </w:p>
    <w:p>
      <w:pPr>
        <w:jc w:val="both"/>
        <w:ind w:right="20" w:firstLine="8"/>
        <w:spacing w:after="0" w:line="263" w:lineRule="auto"/>
        <w:tabs>
          <w:tab w:leader="none" w:pos="44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Modifier Performance Matrix</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a percentage modifier (the “</w:t>
      </w:r>
      <w:r>
        <w:rPr>
          <w:rFonts w:ascii="Times New Roman" w:cs="Times New Roman" w:eastAsia="Times New Roman" w:hAnsi="Times New Roman"/>
          <w:sz w:val="22"/>
          <w:szCs w:val="22"/>
          <w:b w:val="1"/>
          <w:bCs w:val="1"/>
          <w:i w:val="1"/>
          <w:iCs w:val="1"/>
          <w:color w:val="auto"/>
        </w:rPr>
        <w:t>RTSR Percentage Modifier</w:t>
      </w:r>
      <w:r>
        <w:rPr>
          <w:rFonts w:ascii="Times New Roman" w:cs="Times New Roman" w:eastAsia="Times New Roman" w:hAnsi="Times New Roman"/>
          <w:sz w:val="22"/>
          <w:szCs w:val="22"/>
          <w:color w:val="auto"/>
        </w:rPr>
        <w:t>”) in accordance with the following table:</w:t>
      </w:r>
    </w:p>
    <w:p>
      <w:pPr>
        <w:spacing w:after="0" w:line="215" w:lineRule="exact"/>
        <w:rPr>
          <w:sz w:val="20"/>
          <w:szCs w:val="20"/>
          <w:color w:val="auto"/>
        </w:rPr>
      </w:pPr>
    </w:p>
    <w:tbl>
      <w:tblPr>
        <w:tblLayout w:type="fixed"/>
        <w:tblInd w:w="770" w:type="dxa"/>
        <w:tblCellMar>
          <w:top w:w="0" w:type="dxa"/>
          <w:left w:w="0" w:type="dxa"/>
          <w:bottom w:w="0" w:type="dxa"/>
          <w:right w:w="0" w:type="dxa"/>
        </w:tblCellMar>
      </w:tblPr>
      <w:tr>
        <w:trPr>
          <w:trHeight w:val="318"/>
        </w:trPr>
        <w:tc>
          <w:tcPr>
            <w:tcW w:w="47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Total Shareholder Return</w:t>
            </w:r>
          </w:p>
        </w:tc>
        <w:tc>
          <w:tcPr>
            <w:tcW w:w="4820" w:type="dxa"/>
            <w:vAlign w:val="bottom"/>
            <w:tcBorders>
              <w:top w:val="single" w:sz="8" w:color="auto"/>
              <w:bottom w:val="single" w:sz="8" w:color="auto"/>
              <w:right w:val="single" w:sz="8" w:color="auto"/>
            </w:tcBorders>
            <w:shd w:val="clear" w:color="auto" w:fill="BFBFBF"/>
          </w:tcPr>
          <w:p>
            <w:pPr>
              <w:ind w:left="1160"/>
              <w:spacing w:after="0"/>
              <w:rPr>
                <w:sz w:val="20"/>
                <w:szCs w:val="20"/>
                <w:color w:val="auto"/>
              </w:rPr>
            </w:pPr>
            <w:r>
              <w:rPr>
                <w:rFonts w:ascii="Times New Roman" w:cs="Times New Roman" w:eastAsia="Times New Roman" w:hAnsi="Times New Roman"/>
                <w:sz w:val="22"/>
                <w:szCs w:val="22"/>
                <w:b w:val="1"/>
                <w:bCs w:val="1"/>
                <w:color w:val="auto"/>
              </w:rPr>
              <w:t>RTSR Percentage Modifier</w:t>
            </w: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7"/>
              </w:rPr>
              <w:t>Ranked below or at 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90%</w:t>
            </w:r>
          </w:p>
        </w:tc>
      </w:tr>
      <w:tr>
        <w:trPr>
          <w:trHeight w:val="263"/>
        </w:trPr>
        <w:tc>
          <w:tcPr>
            <w:tcW w:w="47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96"/>
              </w:rPr>
              <w:t>Ranked above 25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 but below 75</w:t>
            </w:r>
            <w:r>
              <w:rPr>
                <w:rFonts w:ascii="Times New Roman" w:cs="Times New Roman" w:eastAsia="Times New Roman" w:hAnsi="Times New Roman"/>
                <w:sz w:val="28"/>
                <w:szCs w:val="28"/>
                <w:color w:val="auto"/>
                <w:w w:val="96"/>
                <w:vertAlign w:val="superscript"/>
              </w:rPr>
              <w:t>th</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91"/>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percentile</w:t>
            </w:r>
          </w:p>
        </w:tc>
        <w:tc>
          <w:tcPr>
            <w:tcW w:w="4820" w:type="dxa"/>
            <w:vAlign w:val="bottom"/>
            <w:tcBorders>
              <w:bottom w:val="single" w:sz="8" w:color="auto"/>
              <w:right w:val="single" w:sz="8" w:color="auto"/>
            </w:tcBorders>
          </w:tcPr>
          <w:p>
            <w:pPr>
              <w:spacing w:after="0"/>
              <w:rPr>
                <w:sz w:val="24"/>
                <w:szCs w:val="24"/>
                <w:color w:val="auto"/>
              </w:rPr>
            </w:pP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6"/>
              </w:rPr>
              <w:t>Ranked at or above 75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110%</w:t>
            </w:r>
          </w:p>
        </w:tc>
      </w:tr>
    </w:tbl>
    <w:p>
      <w:pPr>
        <w:spacing w:after="0" w:line="31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2"/>
          <w:szCs w:val="22"/>
          <w:color w:val="auto"/>
        </w:rPr>
        <w:t>If, upon the conclusion of the Performance Period, RTSR performance for the Performance Period falls below the lowest RTSR performance level set forth in the Performance Matrix, the RTSR Percentage Modifier for the Performance Period will be 90%. If, upon the conclusion of the Performance Period, RTSR performance for the Performance Period is exactly equal to one of the levels set forth in the Performance Matrix, the RTSR Percentage Modifier for the Performance Period shall be equal to the percentage set forth opposite such level in the Performance Matrix. If, upon the conclusion of the Performance Period, RTSR performance for the Performance Period falls between two levels set forth in the Performance Matrix, the RTSR Percentage Modifier for the Performance Period shall be 100%.</w:t>
      </w:r>
    </w:p>
    <w:p>
      <w:pPr>
        <w:spacing w:after="0" w:line="206" w:lineRule="exact"/>
        <w:rPr>
          <w:sz w:val="20"/>
          <w:szCs w:val="20"/>
          <w:color w:val="auto"/>
        </w:rPr>
      </w:pPr>
    </w:p>
    <w:p>
      <w:pPr>
        <w:ind w:firstLine="8"/>
        <w:spacing w:after="0" w:line="271" w:lineRule="auto"/>
        <w:tabs>
          <w:tab w:leader="none" w:pos="52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Number of PSUs Earned</w:t>
      </w:r>
      <w:r>
        <w:rPr>
          <w:rFonts w:ascii="Times New Roman" w:cs="Times New Roman" w:eastAsia="Times New Roman" w:hAnsi="Times New Roman"/>
          <w:sz w:val="22"/>
          <w:szCs w:val="22"/>
          <w:color w:val="auto"/>
        </w:rPr>
        <w:t>. The total number of PSUs earned shall be a percentage of the PSUs (rounded down to the nearest whole number of PSUs) equal to the product of (A)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287"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1"/>
          <w:szCs w:val="21"/>
          <w:color w:val="auto"/>
        </w:rPr>
        <w:t xml:space="preserve">50% of the sum of the Initial EPS Percentage and the Initial ROIC Percentage,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the RTSR Percentage Modifier.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ILLUSTRATIVE EXAMPLE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illustration only, assume that:</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Initial EPS Percentage is achieved as follows:</w:t>
      </w:r>
    </w:p>
    <w:p>
      <w:pPr>
        <w:spacing w:after="0" w:line="243"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540" w:type="dxa"/>
            <w:vAlign w:val="bottom"/>
            <w:tcBorders>
              <w:top w:val="single" w:sz="8" w:color="auto"/>
              <w:left w:val="single" w:sz="8" w:color="auto"/>
              <w:right w:val="single" w:sz="8" w:color="auto"/>
            </w:tcBorders>
            <w:vMerge w:val="restart"/>
            <w:shd w:val="clear" w:color="auto" w:fill="808080"/>
          </w:tcPr>
          <w:p>
            <w:pPr>
              <w:ind w:left="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Achievement of</w:t>
            </w:r>
          </w:p>
        </w:tc>
        <w:tc>
          <w:tcPr>
            <w:tcW w:w="154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84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Payout</w:t>
            </w: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2100" w:type="dxa"/>
            <w:vAlign w:val="bottom"/>
            <w:tcBorders>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EPS Goal</w:t>
            </w:r>
          </w:p>
        </w:tc>
        <w:tc>
          <w:tcPr>
            <w:tcW w:w="1540" w:type="dxa"/>
            <w:vAlign w:val="bottom"/>
            <w:tcBorders>
              <w:right w:val="single" w:sz="8" w:color="auto"/>
            </w:tcBorders>
            <w:vMerge w:val="continue"/>
            <w:shd w:val="clear" w:color="auto" w:fill="808080"/>
          </w:tcPr>
          <w:p>
            <w:pPr>
              <w:spacing w:after="0"/>
              <w:rPr>
                <w:sz w:val="11"/>
                <w:szCs w:val="11"/>
                <w:color w:val="auto"/>
              </w:rPr>
            </w:pPr>
          </w:p>
        </w:tc>
        <w:tc>
          <w:tcPr>
            <w:tcW w:w="1840" w:type="dxa"/>
            <w:vAlign w:val="bottom"/>
            <w:tcBorders>
              <w:right w:val="single" w:sz="8" w:color="auto"/>
            </w:tcBorders>
            <w:vMerge w:val="continue"/>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bottom w:val="single" w:sz="8" w:color="808080"/>
              <w:right w:val="single" w:sz="8" w:color="auto"/>
            </w:tcBorders>
            <w:shd w:val="clear" w:color="auto" w:fill="808080"/>
          </w:tcPr>
          <w:p>
            <w:pPr>
              <w:spacing w:after="0"/>
              <w:rPr>
                <w:sz w:val="11"/>
                <w:szCs w:val="11"/>
                <w:color w:val="auto"/>
              </w:rPr>
            </w:pPr>
          </w:p>
        </w:tc>
        <w:tc>
          <w:tcPr>
            <w:tcW w:w="2100" w:type="dxa"/>
            <w:vAlign w:val="bottom"/>
            <w:tcBorders>
              <w:bottom w:val="single" w:sz="8" w:color="808080"/>
              <w:right w:val="single" w:sz="8" w:color="auto"/>
            </w:tcBorders>
            <w:vMerge w:val="continue"/>
            <w:shd w:val="clear" w:color="auto" w:fill="808080"/>
          </w:tcPr>
          <w:p>
            <w:pPr>
              <w:spacing w:after="0"/>
              <w:rPr>
                <w:sz w:val="11"/>
                <w:szCs w:val="11"/>
                <w:color w:val="auto"/>
              </w:rPr>
            </w:pPr>
          </w:p>
        </w:tc>
        <w:tc>
          <w:tcPr>
            <w:tcW w:w="1540" w:type="dxa"/>
            <w:vAlign w:val="bottom"/>
            <w:tcBorders>
              <w:bottom w:val="single" w:sz="8" w:color="808080"/>
              <w:right w:val="single" w:sz="8" w:color="auto"/>
            </w:tcBorders>
            <w:shd w:val="clear" w:color="auto" w:fill="808080"/>
          </w:tcPr>
          <w:p>
            <w:pPr>
              <w:spacing w:after="0"/>
              <w:rPr>
                <w:sz w:val="11"/>
                <w:szCs w:val="11"/>
                <w:color w:val="auto"/>
              </w:rPr>
            </w:pPr>
          </w:p>
        </w:tc>
        <w:tc>
          <w:tcPr>
            <w:tcW w:w="1840" w:type="dxa"/>
            <w:vAlign w:val="bottom"/>
            <w:tcBorders>
              <w:bottom w:val="single" w:sz="8" w:color="808080"/>
              <w:right w:val="single" w:sz="8" w:color="auto"/>
            </w:tcBorders>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1</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79%</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840" w:type="dxa"/>
            <w:vAlign w:val="bottom"/>
            <w:tcBorders>
              <w:bottom w:val="single" w:sz="8" w:color="808080"/>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114.7%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Initial ROIC Percentage is achieved as follows:</w:t>
      </w:r>
    </w:p>
    <w:p>
      <w:pPr>
        <w:spacing w:after="0" w:line="267"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540" w:type="dxa"/>
            <w:vAlign w:val="bottom"/>
            <w:tcBorders>
              <w:top w:val="single" w:sz="8" w:color="auto"/>
              <w:left w:val="single" w:sz="8" w:color="auto"/>
              <w:right w:val="single" w:sz="8" w:color="auto"/>
            </w:tcBorders>
            <w:vMerge w:val="restart"/>
            <w:shd w:val="clear" w:color="auto" w:fill="808080"/>
          </w:tcPr>
          <w:p>
            <w:pPr>
              <w:ind w:left="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Achievement of</w:t>
            </w:r>
          </w:p>
        </w:tc>
        <w:tc>
          <w:tcPr>
            <w:tcW w:w="146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82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Payout</w:t>
            </w: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2200" w:type="dxa"/>
            <w:vAlign w:val="bottom"/>
            <w:tcBorders>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ROIC Goal</w:t>
            </w:r>
          </w:p>
        </w:tc>
        <w:tc>
          <w:tcPr>
            <w:tcW w:w="1460" w:type="dxa"/>
            <w:vAlign w:val="bottom"/>
            <w:tcBorders>
              <w:right w:val="single" w:sz="8" w:color="auto"/>
            </w:tcBorders>
            <w:vMerge w:val="continue"/>
            <w:shd w:val="clear" w:color="auto" w:fill="808080"/>
          </w:tcPr>
          <w:p>
            <w:pPr>
              <w:spacing w:after="0"/>
              <w:rPr>
                <w:sz w:val="11"/>
                <w:szCs w:val="11"/>
                <w:color w:val="auto"/>
              </w:rPr>
            </w:pPr>
          </w:p>
        </w:tc>
        <w:tc>
          <w:tcPr>
            <w:tcW w:w="1820" w:type="dxa"/>
            <w:vAlign w:val="bottom"/>
            <w:tcBorders>
              <w:right w:val="single" w:sz="8" w:color="auto"/>
            </w:tcBorders>
            <w:vMerge w:val="continue"/>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bottom w:val="single" w:sz="8" w:color="808080"/>
              <w:right w:val="single" w:sz="8" w:color="auto"/>
            </w:tcBorders>
            <w:shd w:val="clear" w:color="auto" w:fill="808080"/>
          </w:tcPr>
          <w:p>
            <w:pPr>
              <w:spacing w:after="0"/>
              <w:rPr>
                <w:sz w:val="11"/>
                <w:szCs w:val="11"/>
                <w:color w:val="auto"/>
              </w:rPr>
            </w:pPr>
          </w:p>
        </w:tc>
        <w:tc>
          <w:tcPr>
            <w:tcW w:w="2200" w:type="dxa"/>
            <w:vAlign w:val="bottom"/>
            <w:tcBorders>
              <w:bottom w:val="single" w:sz="8" w:color="808080"/>
              <w:right w:val="single" w:sz="8" w:color="auto"/>
            </w:tcBorders>
            <w:vMerge w:val="continue"/>
            <w:shd w:val="clear" w:color="auto" w:fill="808080"/>
          </w:tcPr>
          <w:p>
            <w:pPr>
              <w:spacing w:after="0"/>
              <w:rPr>
                <w:sz w:val="11"/>
                <w:szCs w:val="11"/>
                <w:color w:val="auto"/>
              </w:rPr>
            </w:pPr>
          </w:p>
        </w:tc>
        <w:tc>
          <w:tcPr>
            <w:tcW w:w="1460" w:type="dxa"/>
            <w:vAlign w:val="bottom"/>
            <w:tcBorders>
              <w:bottom w:val="single" w:sz="8" w:color="808080"/>
              <w:right w:val="single" w:sz="8" w:color="auto"/>
            </w:tcBorders>
            <w:shd w:val="clear" w:color="auto" w:fill="808080"/>
          </w:tcPr>
          <w:p>
            <w:pPr>
              <w:spacing w:after="0"/>
              <w:rPr>
                <w:sz w:val="11"/>
                <w:szCs w:val="11"/>
                <w:color w:val="auto"/>
              </w:rPr>
            </w:pPr>
          </w:p>
        </w:tc>
        <w:tc>
          <w:tcPr>
            <w:tcW w:w="1820" w:type="dxa"/>
            <w:vAlign w:val="bottom"/>
            <w:tcBorders>
              <w:bottom w:val="single" w:sz="8" w:color="808080"/>
              <w:right w:val="single" w:sz="8" w:color="auto"/>
            </w:tcBorders>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1</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(below Threshold)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2</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820" w:type="dxa"/>
            <w:vAlign w:val="bottom"/>
            <w:tcBorders>
              <w:bottom w:val="single" w:sz="8" w:color="808080"/>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75%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RTSR Percentage Modifier is 110%.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such case, </w:t>
      </w:r>
      <w:r>
        <w:rPr>
          <w:rFonts w:ascii="Times New Roman" w:cs="Times New Roman" w:eastAsia="Times New Roman" w:hAnsi="Times New Roman"/>
          <w:sz w:val="22"/>
          <w:szCs w:val="22"/>
          <w:b w:val="1"/>
          <w:bCs w:val="1"/>
          <w:u w:val="single" w:color="auto"/>
          <w:color w:val="auto"/>
        </w:rPr>
        <w:t>104.34%</w:t>
      </w:r>
      <w:r>
        <w:rPr>
          <w:rFonts w:ascii="Times New Roman" w:cs="Times New Roman" w:eastAsia="Times New Roman" w:hAnsi="Times New Roman"/>
          <w:sz w:val="22"/>
          <w:szCs w:val="22"/>
          <w:color w:val="auto"/>
        </w:rPr>
        <w:t xml:space="preserve"> of the PSUs would be earned, calculated as follows: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(114.7% + 75%)</w:t>
      </w:r>
    </w:p>
    <w:p>
      <w:pPr>
        <w:spacing w:after="0" w:line="28" w:lineRule="exact"/>
        <w:rPr>
          <w:sz w:val="20"/>
          <w:szCs w:val="20"/>
          <w:color w:val="auto"/>
        </w:rPr>
      </w:pPr>
    </w:p>
    <w:p>
      <w:pPr>
        <w:ind w:left="380" w:hanging="372"/>
        <w:spacing w:after="0"/>
        <w:tabs>
          <w:tab w:leader="none" w:pos="38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110% = 104.34%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1287" w:right="459" w:bottom="1440" w:gutter="0" w:footer="0" w:header="0"/>
        </w:sectPr>
      </w:pPr>
    </w:p>
    <w:bookmarkStart w:id="250" w:name="page251"/>
    <w:bookmarkEnd w:id="250"/>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840" w:type="dxa"/>
            <w:vAlign w:val="bottom"/>
            <w:tcBorders>
              <w:left w:val="single" w:sz="8" w:color="1F497D"/>
              <w:right w:val="single" w:sz="8" w:color="1F497D"/>
            </w:tcBorders>
            <w:shd w:val="clear" w:color="auto" w:fill="1F497D"/>
          </w:tcPr>
          <w:p>
            <w:pPr>
              <w:spacing w:after="0"/>
              <w:rPr>
                <w:sz w:val="22"/>
                <w:szCs w:val="22"/>
                <w:color w:val="auto"/>
              </w:rPr>
            </w:pPr>
          </w:p>
        </w:tc>
        <w:tc>
          <w:tcPr>
            <w:tcW w:w="960" w:type="dxa"/>
            <w:vAlign w:val="bottom"/>
            <w:tcBorders>
              <w:right w:val="single" w:sz="8" w:color="1F497D"/>
            </w:tcBorders>
            <w:shd w:val="clear" w:color="auto" w:fill="1F497D"/>
          </w:tcPr>
          <w:p>
            <w:pPr>
              <w:spacing w:after="0"/>
              <w:rPr>
                <w:sz w:val="22"/>
                <w:szCs w:val="22"/>
                <w:color w:val="auto"/>
              </w:rPr>
            </w:pPr>
          </w:p>
        </w:tc>
        <w:tc>
          <w:tcPr>
            <w:tcW w:w="3740" w:type="dxa"/>
            <w:vAlign w:val="bottom"/>
            <w:tcBorders>
              <w:right w:val="single" w:sz="8" w:color="1F497D"/>
            </w:tcBorders>
            <w:gridSpan w:val="2"/>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w w:val="98"/>
              </w:rPr>
              <w:t>S&amp;P SmallCap 600 Industrials (January 1, 2026)</w:t>
            </w:r>
          </w:p>
        </w:tc>
        <w:tc>
          <w:tcPr>
            <w:tcW w:w="2660" w:type="dxa"/>
            <w:vAlign w:val="bottom"/>
            <w:tcBorders>
              <w:right w:val="single" w:sz="8" w:color="1F497D"/>
            </w:tcBorders>
            <w:shd w:val="clear" w:color="auto" w:fill="1F497D"/>
          </w:tcPr>
          <w:p>
            <w:pPr>
              <w:spacing w:after="0"/>
              <w:rPr>
                <w:sz w:val="22"/>
                <w:szCs w:val="22"/>
                <w:color w:val="auto"/>
              </w:rPr>
            </w:pPr>
          </w:p>
        </w:tc>
        <w:tc>
          <w:tcPr>
            <w:tcW w:w="1040" w:type="dxa"/>
            <w:vAlign w:val="bottom"/>
            <w:shd w:val="clear" w:color="auto" w:fill="1F497D"/>
          </w:tcPr>
          <w:p>
            <w:pPr>
              <w:spacing w:after="0"/>
              <w:rPr>
                <w:sz w:val="22"/>
                <w:szCs w:val="22"/>
                <w:color w:val="auto"/>
              </w:rPr>
            </w:pPr>
          </w:p>
        </w:tc>
        <w:tc>
          <w:tcPr>
            <w:tcW w:w="20" w:type="dxa"/>
            <w:vAlign w:val="bottom"/>
          </w:tcPr>
          <w:p>
            <w:pPr>
              <w:spacing w:after="0"/>
              <w:rPr>
                <w:sz w:val="22"/>
                <w:szCs w:val="22"/>
                <w:color w:val="auto"/>
              </w:rPr>
            </w:pPr>
          </w:p>
        </w:tc>
      </w:tr>
      <w:tr>
        <w:trPr>
          <w:trHeight w:val="262"/>
        </w:trPr>
        <w:tc>
          <w:tcPr>
            <w:tcW w:w="2840" w:type="dxa"/>
            <w:vAlign w:val="bottom"/>
            <w:tcBorders>
              <w:left w:val="single" w:sz="8" w:color="1F497D"/>
              <w:bottom w:val="single" w:sz="8" w:color="1F497D"/>
              <w:right w:val="single" w:sz="8" w:color="1F497D"/>
            </w:tcBorders>
            <w:shd w:val="clear" w:color="auto" w:fill="1F497D"/>
          </w:tcPr>
          <w:p>
            <w:pPr>
              <w:ind w:left="2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780" w:type="dxa"/>
            <w:vAlign w:val="bottom"/>
            <w:tcBorders>
              <w:bottom w:val="single" w:sz="8" w:color="1F497D"/>
              <w:right w:val="single" w:sz="8" w:color="1F497D"/>
            </w:tcBorders>
            <w:shd w:val="clear" w:color="auto" w:fill="1F497D"/>
          </w:tcPr>
          <w:p>
            <w:pPr>
              <w:ind w:left="3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ind w:left="20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bottom w:val="single" w:sz="8" w:color="1F497D"/>
              <w:right w:val="single" w:sz="8" w:color="1F497D"/>
            </w:tcBorders>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40" w:type="dxa"/>
            <w:vAlign w:val="bottom"/>
            <w:tcBorders>
              <w:bottom w:val="single" w:sz="8" w:color="1F497D"/>
            </w:tcBorders>
            <w:shd w:val="clear" w:color="auto" w:fill="1F497D"/>
          </w:tcPr>
          <w:p>
            <w:pPr>
              <w:ind w:left="26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0" w:type="dxa"/>
            <w:vAlign w:val="bottom"/>
          </w:tcPr>
          <w:p>
            <w:pPr>
              <w:spacing w:after="0"/>
              <w:rPr>
                <w:sz w:val="22"/>
                <w:szCs w:val="22"/>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AAR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AIR</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Franklin Electric Co.,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FELE</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National Presto Industries,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NPK</w:t>
            </w: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ABM Industries Incorporated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ABM</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Gates Industrial Corporation plc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GTES</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OPENLANE,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OPLN</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Air Lease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AL</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Gibraltar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ROCK</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Pitney Bowes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PBI</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34"/>
        </w:trPr>
        <w:tc>
          <w:tcPr>
            <w:tcW w:w="2840" w:type="dxa"/>
            <w:vAlign w:val="bottom"/>
            <w:tcBorders>
              <w:left w:val="single" w:sz="8" w:color="auto"/>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Alamo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ALG</w:t>
            </w:r>
          </w:p>
        </w:tc>
        <w:tc>
          <w:tcPr>
            <w:tcW w:w="278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Granite Construction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2"/>
              </w:rPr>
              <w:t>GVA</w:t>
            </w:r>
          </w:p>
        </w:tc>
        <w:tc>
          <w:tcPr>
            <w:tcW w:w="266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Powell Industries, Inc.</w:t>
            </w:r>
          </w:p>
        </w:tc>
        <w:tc>
          <w:tcPr>
            <w:tcW w:w="1040" w:type="dxa"/>
            <w:vAlign w:val="bottom"/>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POWL</w:t>
            </w:r>
          </w:p>
        </w:tc>
        <w:tc>
          <w:tcPr>
            <w:tcW w:w="20" w:type="dxa"/>
            <w:vAlign w:val="bottom"/>
            <w:shd w:val="clear" w:color="auto" w:fill="000000"/>
          </w:tcPr>
          <w:p>
            <w:pPr>
              <w:spacing w:after="0"/>
              <w:rPr>
                <w:sz w:val="20"/>
                <w:szCs w:val="20"/>
                <w:color w:val="auto"/>
              </w:rPr>
            </w:pPr>
          </w:p>
        </w:tc>
      </w:tr>
      <w:tr>
        <w:trPr>
          <w:trHeight w:val="273"/>
        </w:trPr>
        <w:tc>
          <w:tcPr>
            <w:tcW w:w="2840" w:type="dxa"/>
            <w:vAlign w:val="bottom"/>
            <w:tcBorders>
              <w:left w:val="single" w:sz="8" w:color="auto"/>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Incorporated</w:t>
            </w: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660" w:type="dxa"/>
            <w:vAlign w:val="bottom"/>
            <w:tcBorders>
              <w:bottom w:val="single" w:sz="8" w:color="E8ECF5"/>
              <w:right w:val="single" w:sz="8" w:color="auto"/>
            </w:tcBorders>
            <w:shd w:val="clear" w:color="auto" w:fill="E8ECF5"/>
          </w:tcPr>
          <w:p>
            <w:pPr>
              <w:spacing w:after="0"/>
              <w:rPr>
                <w:sz w:val="23"/>
                <w:szCs w:val="23"/>
                <w:color w:val="auto"/>
              </w:rPr>
            </w:pPr>
          </w:p>
        </w:tc>
        <w:tc>
          <w:tcPr>
            <w:tcW w:w="1040" w:type="dxa"/>
            <w:vAlign w:val="bottom"/>
            <w:tcBorders>
              <w:bottom w:val="single" w:sz="8" w:color="E8ECF5"/>
            </w:tcBorders>
            <w:shd w:val="clear" w:color="auto" w:fill="E8ECF5"/>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Albany International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AIN</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Griffon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GFF</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Primoris Services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PRIM</w:t>
            </w: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Allegiant Travel Company</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ALGT</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Hayward Holdings,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HAYW</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Proto Labs,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PRLB</w:t>
            </w:r>
          </w:p>
        </w:tc>
        <w:tc>
          <w:tcPr>
            <w:tcW w:w="20" w:type="dxa"/>
            <w:vAlign w:val="bottom"/>
            <w:tcBorders>
              <w:bottom w:val="single" w:sz="8" w:color="auto"/>
            </w:tcBorders>
            <w:shd w:val="clear" w:color="auto" w:fill="000000"/>
          </w:tcPr>
          <w:p>
            <w:pPr>
              <w:spacing w:after="0"/>
              <w:rPr>
                <w:sz w:val="24"/>
                <w:szCs w:val="24"/>
                <w:color w:val="auto"/>
              </w:rPr>
            </w:pPr>
          </w:p>
        </w:tc>
      </w:tr>
      <w:tr>
        <w:trPr>
          <w:trHeight w:val="234"/>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Amentum Holdings,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AMTM</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Healthcare Services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HCSG</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Quanex Building Products</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NX</w:t>
            </w:r>
          </w:p>
        </w:tc>
        <w:tc>
          <w:tcPr>
            <w:tcW w:w="20" w:type="dxa"/>
            <w:vAlign w:val="bottom"/>
            <w:shd w:val="clear" w:color="auto" w:fill="000000"/>
          </w:tcPr>
          <w:p>
            <w:pPr>
              <w:spacing w:after="0"/>
              <w:rPr>
                <w:sz w:val="20"/>
                <w:szCs w:val="20"/>
                <w:color w:val="auto"/>
              </w:rPr>
            </w:pPr>
          </w:p>
        </w:tc>
      </w:tr>
      <w:tr>
        <w:trPr>
          <w:trHeight w:val="258"/>
        </w:trPr>
        <w:tc>
          <w:tcPr>
            <w:tcW w:w="284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Corporation</w:t>
            </w:r>
          </w:p>
        </w:tc>
        <w:tc>
          <w:tcPr>
            <w:tcW w:w="10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34"/>
        </w:trPr>
        <w:tc>
          <w:tcPr>
            <w:tcW w:w="2840" w:type="dxa"/>
            <w:vAlign w:val="bottom"/>
            <w:tcBorders>
              <w:left w:val="single" w:sz="8" w:color="auto"/>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American Woodmark</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AMWD</w:t>
            </w:r>
          </w:p>
        </w:tc>
        <w:tc>
          <w:tcPr>
            <w:tcW w:w="278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Heartland Express,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HTLD</w:t>
            </w:r>
          </w:p>
        </w:tc>
        <w:tc>
          <w:tcPr>
            <w:tcW w:w="266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Resideo Technologies, Inc.</w:t>
            </w:r>
          </w:p>
        </w:tc>
        <w:tc>
          <w:tcPr>
            <w:tcW w:w="1040" w:type="dxa"/>
            <w:vAlign w:val="bottom"/>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REZI</w:t>
            </w:r>
          </w:p>
        </w:tc>
        <w:tc>
          <w:tcPr>
            <w:tcW w:w="20" w:type="dxa"/>
            <w:vAlign w:val="bottom"/>
            <w:shd w:val="clear" w:color="auto" w:fill="000000"/>
          </w:tcPr>
          <w:p>
            <w:pPr>
              <w:spacing w:after="0"/>
              <w:rPr>
                <w:sz w:val="20"/>
                <w:szCs w:val="20"/>
                <w:color w:val="auto"/>
              </w:rPr>
            </w:pPr>
          </w:p>
        </w:tc>
      </w:tr>
      <w:tr>
        <w:trPr>
          <w:trHeight w:val="273"/>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Corporation</w:t>
            </w: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780" w:type="dxa"/>
            <w:vAlign w:val="bottom"/>
            <w:tcBorders>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660" w:type="dxa"/>
            <w:vAlign w:val="bottom"/>
            <w:tcBorders>
              <w:bottom w:val="single" w:sz="8" w:color="E8ECF5"/>
              <w:right w:val="single" w:sz="8" w:color="auto"/>
            </w:tcBorders>
            <w:shd w:val="clear" w:color="auto" w:fill="E8ECF5"/>
          </w:tcPr>
          <w:p>
            <w:pPr>
              <w:spacing w:after="0"/>
              <w:rPr>
                <w:sz w:val="23"/>
                <w:szCs w:val="23"/>
                <w:color w:val="auto"/>
              </w:rPr>
            </w:pPr>
          </w:p>
        </w:tc>
        <w:tc>
          <w:tcPr>
            <w:tcW w:w="1040" w:type="dxa"/>
            <w:vAlign w:val="bottom"/>
            <w:tcBorders>
              <w:bottom w:val="single" w:sz="8" w:color="E8ECF5"/>
            </w:tcBorders>
            <w:shd w:val="clear" w:color="auto" w:fill="E8ECF5"/>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Apogee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APOG</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Hertz Global Holdings,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HTZ</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Robert Half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RHI</w:t>
            </w: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ArcBest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ARCB</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HNI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5"/>
              </w:rPr>
              <w:t>HNI</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Rush Enterprises,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RUSH.A</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Arcosa,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ACA</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Hub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HUBG</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RXO,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RXO</w:t>
            </w: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Armstrong World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4"/>
              </w:rPr>
              <w:t>AWI</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Insperity,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NSP</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Schneider National,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SNDR</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Astec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ASTE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Insteel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IIIN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SkyWest,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SKYW</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34"/>
        </w:trPr>
        <w:tc>
          <w:tcPr>
            <w:tcW w:w="2840" w:type="dxa"/>
            <w:vAlign w:val="bottom"/>
            <w:tcBorders>
              <w:left w:val="single" w:sz="8" w:color="auto"/>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AZZ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7"/>
              </w:rPr>
              <w:t>AZZ</w:t>
            </w:r>
          </w:p>
        </w:tc>
        <w:tc>
          <w:tcPr>
            <w:tcW w:w="278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Interface,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TILE</w:t>
            </w:r>
          </w:p>
        </w:tc>
        <w:tc>
          <w:tcPr>
            <w:tcW w:w="266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Standex International</w:t>
            </w:r>
          </w:p>
        </w:tc>
        <w:tc>
          <w:tcPr>
            <w:tcW w:w="1040" w:type="dxa"/>
            <w:vAlign w:val="bottom"/>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SXI</w:t>
            </w:r>
          </w:p>
        </w:tc>
        <w:tc>
          <w:tcPr>
            <w:tcW w:w="20" w:type="dxa"/>
            <w:vAlign w:val="bottom"/>
            <w:shd w:val="clear" w:color="auto" w:fill="000000"/>
          </w:tcPr>
          <w:p>
            <w:pPr>
              <w:spacing w:after="0"/>
              <w:rPr>
                <w:sz w:val="20"/>
                <w:szCs w:val="20"/>
                <w:color w:val="auto"/>
              </w:rPr>
            </w:pPr>
          </w:p>
        </w:tc>
      </w:tr>
      <w:tr>
        <w:trPr>
          <w:trHeight w:val="273"/>
        </w:trPr>
        <w:tc>
          <w:tcPr>
            <w:tcW w:w="2840" w:type="dxa"/>
            <w:vAlign w:val="bottom"/>
            <w:tcBorders>
              <w:left w:val="single" w:sz="8" w:color="auto"/>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780" w:type="dxa"/>
            <w:vAlign w:val="bottom"/>
            <w:tcBorders>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Corporation</w:t>
            </w:r>
          </w:p>
        </w:tc>
        <w:tc>
          <w:tcPr>
            <w:tcW w:w="1040" w:type="dxa"/>
            <w:vAlign w:val="bottom"/>
            <w:tcBorders>
              <w:bottom w:val="single" w:sz="8" w:color="E8ECF5"/>
            </w:tcBorders>
            <w:shd w:val="clear" w:color="auto" w:fill="E8ECF5"/>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34"/>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Boise Cascade Company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BCC</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JBT Marel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JBTM</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Sun Country Airlines Holdings,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SNCY</w:t>
            </w:r>
          </w:p>
        </w:tc>
        <w:tc>
          <w:tcPr>
            <w:tcW w:w="20" w:type="dxa"/>
            <w:vAlign w:val="bottom"/>
            <w:shd w:val="clear" w:color="auto" w:fill="000000"/>
          </w:tcPr>
          <w:p>
            <w:pPr>
              <w:spacing w:after="0"/>
              <w:rPr>
                <w:sz w:val="20"/>
                <w:szCs w:val="20"/>
                <w:color w:val="auto"/>
              </w:rPr>
            </w:pPr>
          </w:p>
        </w:tc>
      </w:tr>
      <w:tr>
        <w:trPr>
          <w:trHeight w:val="258"/>
        </w:trPr>
        <w:tc>
          <w:tcPr>
            <w:tcW w:w="284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Inc.</w:t>
            </w:r>
          </w:p>
        </w:tc>
        <w:tc>
          <w:tcPr>
            <w:tcW w:w="10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Brady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4"/>
              </w:rPr>
              <w:t>BRC</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JetBlue Airways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JBLU</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Sunrun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RUN</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Casella Waste Systems,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CWST</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Kadant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KAI</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Tennant Company</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TNC</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CoreCivic,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CXW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Kennametal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KMT</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The GEO Group,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7"/>
              </w:rPr>
              <w:t>GEO</w:t>
            </w:r>
          </w:p>
        </w:tc>
        <w:tc>
          <w:tcPr>
            <w:tcW w:w="20" w:type="dxa"/>
            <w:vAlign w:val="bottom"/>
            <w:tcBorders>
              <w:bottom w:val="single" w:sz="8" w:color="auto"/>
            </w:tcBorders>
            <w:shd w:val="clear" w:color="auto" w:fill="000000"/>
          </w:tcPr>
          <w:p>
            <w:pPr>
              <w:spacing w:after="0"/>
              <w:rPr>
                <w:sz w:val="24"/>
                <w:szCs w:val="24"/>
                <w:color w:val="auto"/>
              </w:rPr>
            </w:pPr>
          </w:p>
        </w:tc>
      </w:tr>
      <w:tr>
        <w:trPr>
          <w:trHeight w:val="234"/>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CSG Systems International,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CSGS</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Korn Ferry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KFY</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Greenbrier Companies,</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GBX</w:t>
            </w:r>
          </w:p>
        </w:tc>
        <w:tc>
          <w:tcPr>
            <w:tcW w:w="20" w:type="dxa"/>
            <w:vAlign w:val="bottom"/>
            <w:shd w:val="clear" w:color="auto" w:fill="000000"/>
          </w:tcPr>
          <w:p>
            <w:pPr>
              <w:spacing w:after="0"/>
              <w:rPr>
                <w:sz w:val="20"/>
                <w:szCs w:val="20"/>
                <w:color w:val="auto"/>
              </w:rPr>
            </w:pPr>
          </w:p>
        </w:tc>
      </w:tr>
      <w:tr>
        <w:trPr>
          <w:trHeight w:val="258"/>
        </w:trPr>
        <w:tc>
          <w:tcPr>
            <w:tcW w:w="284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Inc.</w:t>
            </w:r>
          </w:p>
        </w:tc>
        <w:tc>
          <w:tcPr>
            <w:tcW w:w="10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CSW Industrials,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CSW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Lindsay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LNN</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Titan International,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TWI</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Deluxe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DLX</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Liquidity Services,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LQDT</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Trinity Industries,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TRN</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DNOW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DNOW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ManpowerGroup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MAN</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UniFirst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UNF</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DXP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DXPE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Marten Transport, Ltd.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MRTN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Upwork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UPWK</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Enerpac Tool Group Corp.</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7"/>
              </w:rPr>
              <w:t>EPAC</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MasterBrand,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MBC</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Verra Mobility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VRRM</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Enpro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NPO</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Matson,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MATX</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Vestis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VSTS</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Enviri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NVRI</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Mercury Systems,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8"/>
              </w:rPr>
              <w:t>MRCY</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Vicor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VICR</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ESCO Technologies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ESE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MillerKnoll,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MLKN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Werner Enterprises,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WERN</w:t>
            </w:r>
          </w:p>
        </w:tc>
        <w:tc>
          <w:tcPr>
            <w:tcW w:w="20" w:type="dxa"/>
            <w:vAlign w:val="bottom"/>
            <w:shd w:val="clear" w:color="auto" w:fill="000000"/>
          </w:tcPr>
          <w:p>
            <w:pPr>
              <w:spacing w:after="0"/>
              <w:rPr>
                <w:sz w:val="22"/>
                <w:szCs w:val="22"/>
                <w:color w:val="auto"/>
              </w:rPr>
            </w:pPr>
          </w:p>
        </w:tc>
      </w:tr>
      <w:tr>
        <w:trPr>
          <w:trHeight w:val="35"/>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77"/>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Everus Construction 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4"/>
              </w:rPr>
              <w:t>ECG</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Moog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MOG.A</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WillScot Holdings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WSC</w:t>
            </w:r>
          </w:p>
        </w:tc>
        <w:tc>
          <w:tcPr>
            <w:tcW w:w="20" w:type="dxa"/>
            <w:vAlign w:val="bottom"/>
            <w:tcBorders>
              <w:bottom w:val="single" w:sz="8" w:color="auto"/>
            </w:tcBorders>
            <w:shd w:val="clear" w:color="auto" w:fill="000000"/>
          </w:tcPr>
          <w:p>
            <w:pPr>
              <w:spacing w:after="0"/>
              <w:rPr>
                <w:sz w:val="24"/>
                <w:szCs w:val="24"/>
                <w:color w:val="auto"/>
              </w:rPr>
            </w:pPr>
          </w:p>
        </w:tc>
      </w:tr>
      <w:tr>
        <w:trPr>
          <w:trHeight w:val="26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Federal Signal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FSS</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Mueller Water Products,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MWA</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Worthington Enterprises,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WOR</w:t>
            </w:r>
          </w:p>
        </w:tc>
        <w:tc>
          <w:tcPr>
            <w:tcW w:w="20" w:type="dxa"/>
            <w:vAlign w:val="bottom"/>
            <w:shd w:val="clear" w:color="auto" w:fill="000000"/>
          </w:tcPr>
          <w:p>
            <w:pPr>
              <w:spacing w:after="0"/>
              <w:rPr>
                <w:sz w:val="22"/>
                <w:szCs w:val="22"/>
                <w:color w:val="auto"/>
              </w:rPr>
            </w:pPr>
          </w:p>
        </w:tc>
      </w:tr>
      <w:tr>
        <w:trPr>
          <w:trHeight w:val="34"/>
        </w:trPr>
        <w:tc>
          <w:tcPr>
            <w:tcW w:w="2840" w:type="dxa"/>
            <w:vAlign w:val="bottom"/>
            <w:tcBorders>
              <w:left w:val="single" w:sz="8" w:color="auto"/>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r>
      <w:tr>
        <w:trPr>
          <w:trHeight w:val="234"/>
        </w:trPr>
        <w:tc>
          <w:tcPr>
            <w:tcW w:w="2840" w:type="dxa"/>
            <w:vAlign w:val="bottom"/>
            <w:tcBorders>
              <w:left w:val="single" w:sz="8" w:color="auto"/>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20"/>
                <w:szCs w:val="20"/>
                <w:color w:val="auto"/>
              </w:rPr>
              <w:t>Forward Air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rPr>
              <w:t>FWRD</w:t>
            </w:r>
          </w:p>
        </w:tc>
        <w:tc>
          <w:tcPr>
            <w:tcW w:w="278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MYR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6"/>
              </w:rPr>
              <w:t>MYRG</w:t>
            </w:r>
          </w:p>
        </w:tc>
        <w:tc>
          <w:tcPr>
            <w:tcW w:w="266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Zurn Elkay Water Solutions</w:t>
            </w:r>
          </w:p>
        </w:tc>
        <w:tc>
          <w:tcPr>
            <w:tcW w:w="1040" w:type="dxa"/>
            <w:vAlign w:val="bottom"/>
            <w:shd w:val="clear" w:color="auto" w:fill="E8ECF5"/>
          </w:tcPr>
          <w:p>
            <w:pPr>
              <w:jc w:val="center"/>
              <w:spacing w:after="0"/>
              <w:rPr>
                <w:sz w:val="20"/>
                <w:szCs w:val="20"/>
                <w:color w:val="auto"/>
              </w:rPr>
            </w:pPr>
            <w:r>
              <w:rPr>
                <w:rFonts w:ascii="Times New Roman" w:cs="Times New Roman" w:eastAsia="Times New Roman" w:hAnsi="Times New Roman"/>
                <w:sz w:val="20"/>
                <w:szCs w:val="20"/>
                <w:color w:val="auto"/>
                <w:w w:val="99"/>
              </w:rPr>
              <w:t>ZWS</w:t>
            </w:r>
          </w:p>
        </w:tc>
        <w:tc>
          <w:tcPr>
            <w:tcW w:w="20" w:type="dxa"/>
            <w:vAlign w:val="bottom"/>
            <w:shd w:val="clear" w:color="auto" w:fill="000000"/>
          </w:tcPr>
          <w:p>
            <w:pPr>
              <w:spacing w:after="0"/>
              <w:rPr>
                <w:sz w:val="20"/>
                <w:szCs w:val="20"/>
                <w:color w:val="auto"/>
              </w:rPr>
            </w:pPr>
          </w:p>
        </w:tc>
      </w:tr>
      <w:tr>
        <w:trPr>
          <w:trHeight w:val="273"/>
        </w:trPr>
        <w:tc>
          <w:tcPr>
            <w:tcW w:w="2840" w:type="dxa"/>
            <w:vAlign w:val="bottom"/>
            <w:tcBorders>
              <w:left w:val="single" w:sz="8" w:color="auto"/>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780" w:type="dxa"/>
            <w:vAlign w:val="bottom"/>
            <w:tcBorders>
              <w:bottom w:val="single" w:sz="8" w:color="E8ECF5"/>
              <w:right w:val="single" w:sz="8" w:color="auto"/>
            </w:tcBorders>
            <w:shd w:val="clear" w:color="auto" w:fill="E8ECF5"/>
          </w:tcPr>
          <w:p>
            <w:pPr>
              <w:spacing w:after="0"/>
              <w:rPr>
                <w:sz w:val="23"/>
                <w:szCs w:val="23"/>
                <w:color w:val="auto"/>
              </w:rPr>
            </w:pPr>
          </w:p>
        </w:tc>
        <w:tc>
          <w:tcPr>
            <w:tcW w:w="960" w:type="dxa"/>
            <w:vAlign w:val="bottom"/>
            <w:tcBorders>
              <w:bottom w:val="single" w:sz="8" w:color="E8ECF5"/>
              <w:right w:val="single" w:sz="8" w:color="auto"/>
            </w:tcBorders>
            <w:shd w:val="clear" w:color="auto" w:fill="E8ECF5"/>
          </w:tcPr>
          <w:p>
            <w:pPr>
              <w:spacing w:after="0"/>
              <w:rPr>
                <w:sz w:val="23"/>
                <w:szCs w:val="23"/>
                <w:color w:val="auto"/>
              </w:rPr>
            </w:pP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20"/>
                <w:szCs w:val="20"/>
                <w:color w:val="auto"/>
              </w:rPr>
              <w:t>Corporation</w:t>
            </w:r>
          </w:p>
        </w:tc>
        <w:tc>
          <w:tcPr>
            <w:tcW w:w="1040" w:type="dxa"/>
            <w:vAlign w:val="bottom"/>
            <w:tcBorders>
              <w:bottom w:val="single" w:sz="8" w:color="E8ECF5"/>
            </w:tcBorders>
            <w:shd w:val="clear" w:color="auto" w:fill="E8ECF5"/>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-6899910</wp:posOffset>
            </wp:positionV>
            <wp:extent cx="2383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ectPr>
          <w:pgSz w:w="11900" w:h="16838" w:orient="portrait"/>
          <w:cols w:equalWidth="0" w:num="1">
            <w:col w:w="11260"/>
          </w:cols>
          <w:pgMar w:left="320" w:top="128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1260"/>
          </w:cols>
          <w:pgMar w:left="320" w:top="1283" w:right="319" w:bottom="1440" w:gutter="0" w:footer="0" w:header="0"/>
          <w:type w:val="continuous"/>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twelve (12) months, or (b) if due to any medically determinable physical or mental impairment expected to result in death or last for a continuous period not less than twelve (12) months, Grantee has received income replacement benefits for a period of not less than three months under an accident and health plan sponsored by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64" w:lineRule="exact"/>
        <w:rPr>
          <w:sz w:val="20"/>
          <w:szCs w:val="20"/>
          <w:color w:val="auto"/>
        </w:rPr>
      </w:pPr>
    </w:p>
    <w:p>
      <w:pPr>
        <w:jc w:val="both"/>
        <w:ind w:left="1300" w:hanging="644"/>
        <w:spacing w:after="0" w:line="257" w:lineRule="auto"/>
        <w:tabs>
          <w:tab w:leader="none" w:pos="1352"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72"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71"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1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Grantee to another primary office more than 50 miles from the current office location, which reassignment is not otherwise approved by the Board.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252" w:name="page253"/>
    <w:bookmarkEnd w:id="252"/>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180" w:lineRule="exact"/>
        <w:rPr>
          <w:sz w:val="20"/>
          <w:szCs w:val="20"/>
          <w:color w:val="auto"/>
        </w:rPr>
      </w:pPr>
    </w:p>
    <w:p>
      <w:pPr>
        <w:ind w:left="1080" w:hanging="424"/>
        <w:spacing w:after="0"/>
        <w:tabs>
          <w:tab w:leader="none" w:pos="1080"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33"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4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 with a Subsidiary shall only include service provided by Grantee after such Subsidiary becomes a subsidiary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2"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1/1/26 – 12/31/28 Award</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PSU AWARD</w:t>
      </w:r>
    </w:p>
    <w:p>
      <w:pPr>
        <w:sectPr>
          <w:pgSz w:w="11900" w:h="16838" w:orient="portrait"/>
          <w:cols w:equalWidth="0" w:num="1">
            <w:col w:w="11240"/>
          </w:cols>
          <w:pgMar w:left="320" w:top="122" w:right="339" w:bottom="1440" w:gutter="0" w:footer="0" w:header="0"/>
        </w:sect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PSUs in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PSUs] (“Target”), subject to addition or subtraction</w:t>
      </w:r>
    </w:p>
    <w:p>
      <w:pPr>
        <w:spacing w:after="0" w:line="41"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21"/>
          <w:szCs w:val="21"/>
          <w:color w:val="auto"/>
        </w:rPr>
        <w:t>as set forth on Appendix A depending on achievement of</w:t>
      </w:r>
    </w:p>
    <w:p>
      <w:pPr>
        <w:spacing w:after="0" w:line="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applicable Management Objectives</w:t>
      </w:r>
    </w:p>
    <w:p>
      <w:pPr>
        <w:sectPr>
          <w:pgSz w:w="11900" w:h="16838" w:orient="portrait"/>
          <w:cols w:equalWidth="0" w:num="1">
            <w:col w:w="11240"/>
          </w:cols>
          <w:pgMar w:left="320" w:top="122" w:right="33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Beginning on January 1, 2026, and continuing through</w:t>
      </w:r>
    </w:p>
    <w:p>
      <w:pPr>
        <w:spacing w:after="0" w:line="41"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21"/>
          <w:szCs w:val="21"/>
          <w:color w:val="auto"/>
        </w:rPr>
        <w:t>December 31, 2028</w:t>
      </w:r>
    </w:p>
    <w:p>
      <w:pPr>
        <w:sectPr>
          <w:pgSz w:w="11900" w:h="16838" w:orient="portrait"/>
          <w:cols w:equalWidth="0" w:num="1">
            <w:col w:w="11240"/>
          </w:cols>
          <w:pgMar w:left="320" w:top="122" w:right="339" w:bottom="1440" w:gutter="0" w:footer="0" w:header="0"/>
          <w:type w:val="continuous"/>
        </w:sectPr>
      </w:pP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Settlement Date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14, 2029</w:t>
      </w:r>
    </w:p>
    <w:p>
      <w:pPr>
        <w:spacing w:after="0" w:line="173"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Earned and vested PSUs will be settled by delivery of one share</w:t>
      </w:r>
    </w:p>
    <w:p>
      <w:pPr>
        <w:spacing w:after="0" w:line="41"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21"/>
          <w:szCs w:val="21"/>
          <w:color w:val="auto"/>
        </w:rPr>
        <w:t>of Common Stock for each PSU being settled</w:t>
      </w:r>
    </w:p>
    <w:p>
      <w:pPr>
        <w:sectPr>
          <w:pgSz w:w="11900" w:h="16838" w:orient="portrait"/>
          <w:cols w:equalWidth="0" w:num="1">
            <w:col w:w="11240"/>
          </w:cols>
          <w:pgMar w:left="320" w:top="122" w:right="339" w:bottom="1440" w:gutter="0" w:footer="0" w:header="0"/>
          <w:type w:val="continuous"/>
        </w:sectPr>
      </w:pPr>
    </w:p>
    <w:p>
      <w:pPr>
        <w:spacing w:after="0" w:line="390" w:lineRule="exact"/>
        <w:rPr>
          <w:sz w:val="20"/>
          <w:szCs w:val="20"/>
          <w:color w:val="auto"/>
        </w:rPr>
      </w:pPr>
    </w:p>
    <w:p>
      <w:pPr>
        <w:ind w:left="440" w:hanging="432"/>
        <w:spacing w:after="0"/>
        <w:tabs>
          <w:tab w:leader="none" w:pos="440" w:val="left"/>
        </w:tabs>
        <w:numPr>
          <w:ilvl w:val="0"/>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192" w:lineRule="exact"/>
        <w:rPr>
          <w:rFonts w:ascii="Times New Roman" w:cs="Times New Roman" w:eastAsia="Times New Roman" w:hAnsi="Times New Roman"/>
          <w:sz w:val="22"/>
          <w:szCs w:val="22"/>
          <w:b w:val="1"/>
          <w:bCs w:val="1"/>
          <w:color w:val="auto"/>
        </w:rPr>
      </w:pPr>
    </w:p>
    <w:p>
      <w:pPr>
        <w:jc w:val="both"/>
        <w:ind w:firstLine="299"/>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ectPr>
          <w:pgSz w:w="11900" w:h="16838" w:orient="portrait"/>
          <w:cols w:equalWidth="0" w:num="1">
            <w:col w:w="11240"/>
          </w:cols>
          <w:pgMar w:left="320" w:top="122" w:right="339" w:bottom="1440" w:gutter="0" w:footer="0" w:header="0"/>
          <w:type w:val="continuous"/>
        </w:sectPr>
      </w:pPr>
    </w:p>
    <w:bookmarkStart w:id="254" w:name="page255"/>
    <w:bookmarkEnd w:id="254"/>
    <w:p>
      <w:pPr>
        <w:jc w:val="both"/>
        <w:ind w:left="-180" w:firstLine="476"/>
        <w:spacing w:after="0" w:line="256" w:lineRule="auto"/>
        <w:tabs>
          <w:tab w:leader="none" w:pos="684" w:val="left"/>
        </w:tabs>
        <w:numPr>
          <w:ilvl w:val="1"/>
          <w:numId w:val="3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57" w:lineRule="exact"/>
        <w:rPr>
          <w:rFonts w:ascii="Times New Roman" w:cs="Times New Roman" w:eastAsia="Times New Roman" w:hAnsi="Times New Roman"/>
          <w:sz w:val="21"/>
          <w:szCs w:val="21"/>
          <w:b w:val="1"/>
          <w:bCs w:val="1"/>
          <w:color w:val="auto"/>
        </w:rPr>
      </w:pPr>
    </w:p>
    <w:p>
      <w:pPr>
        <w:jc w:val="both"/>
        <w:ind w:left="-180" w:firstLine="440"/>
        <w:spacing w:after="0"/>
        <w:tabs>
          <w:tab w:leader="none" w:pos="630" w:val="left"/>
        </w:tabs>
        <w:numPr>
          <w:ilvl w:val="0"/>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72" w:lineRule="exact"/>
        <w:rPr>
          <w:rFonts w:ascii="Times New Roman" w:cs="Times New Roman" w:eastAsia="Times New Roman" w:hAnsi="Times New Roman"/>
          <w:sz w:val="22"/>
          <w:szCs w:val="22"/>
          <w:b w:val="1"/>
          <w:bCs w:val="1"/>
          <w:color w:val="auto"/>
        </w:rPr>
      </w:pPr>
    </w:p>
    <w:p>
      <w:pPr>
        <w:jc w:val="both"/>
        <w:ind w:left="-180" w:firstLine="503"/>
        <w:spacing w:after="0" w:line="235" w:lineRule="auto"/>
        <w:tabs>
          <w:tab w:leader="none" w:pos="724" w:val="left"/>
        </w:tabs>
        <w:numPr>
          <w:ilvl w:val="2"/>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3" w:lineRule="exact"/>
        <w:rPr>
          <w:rFonts w:ascii="Times New Roman" w:cs="Times New Roman" w:eastAsia="Times New Roman" w:hAnsi="Times New Roman"/>
          <w:sz w:val="22"/>
          <w:szCs w:val="22"/>
          <w:b w:val="1"/>
          <w:bCs w:val="1"/>
          <w:color w:val="auto"/>
        </w:rPr>
      </w:pPr>
    </w:p>
    <w:p>
      <w:pPr>
        <w:jc w:val="both"/>
        <w:ind w:left="-180" w:firstLine="642"/>
        <w:spacing w:after="0" w:line="234" w:lineRule="auto"/>
        <w:tabs>
          <w:tab w:leader="none" w:pos="940" w:val="left"/>
        </w:tabs>
        <w:numPr>
          <w:ilvl w:val="3"/>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7" w:lineRule="exact"/>
        <w:rPr>
          <w:sz w:val="20"/>
          <w:szCs w:val="20"/>
          <w:color w:val="auto"/>
        </w:rPr>
      </w:pPr>
    </w:p>
    <w:p>
      <w:pPr>
        <w:ind w:left="640" w:hanging="380"/>
        <w:spacing w:after="0"/>
        <w:tabs>
          <w:tab w:leader="none" w:pos="64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206" w:lineRule="exact"/>
        <w:rPr>
          <w:rFonts w:ascii="Times New Roman" w:cs="Times New Roman" w:eastAsia="Times New Roman" w:hAnsi="Times New Roman"/>
          <w:sz w:val="22"/>
          <w:szCs w:val="22"/>
          <w:b w:val="1"/>
          <w:bCs w:val="1"/>
          <w:color w:val="auto"/>
        </w:rPr>
      </w:pPr>
    </w:p>
    <w:p>
      <w:pPr>
        <w:ind w:left="640" w:hanging="380"/>
        <w:spacing w:after="0"/>
        <w:tabs>
          <w:tab w:leader="none" w:pos="64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hanging="220"/>
        <w:spacing w:after="0" w:line="236" w:lineRule="auto"/>
        <w:tabs>
          <w:tab w:leader="none" w:pos="774"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 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404" w:right="339" w:bottom="1440" w:gutter="0" w:footer="0" w:header="0"/>
        </w:sectPr>
      </w:pPr>
    </w:p>
    <w:bookmarkStart w:id="255" w:name="page256"/>
    <w:bookmarkEnd w:id="255"/>
    <w:p>
      <w:pPr>
        <w:jc w:val="both"/>
        <w:ind w:left="652" w:hanging="652"/>
        <w:spacing w:after="0" w:line="244" w:lineRule="auto"/>
        <w:tabs>
          <w:tab w:leader="none" w:pos="715"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Qualifying Termination Prior to a Change in Control</w:t>
      </w:r>
      <w:r>
        <w:rPr>
          <w:rFonts w:ascii="Times New Roman" w:cs="Times New Roman" w:eastAsia="Times New Roman" w:hAnsi="Times New Roman"/>
          <w:sz w:val="21"/>
          <w:szCs w:val="21"/>
          <w:color w:val="auto"/>
        </w:rPr>
        <w:t>. Notwithstanding the foregoing, and 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subsection (f) of this Section II.A.6, if Grantee ceases to be a Service Provider prior to the Settlement Date as a result of Grantee’s Qualifying Termination, Grantee shall become vested on the Determination Date in a pro-rata portion of the number of PSUs determined in accordance with this Section II.A.6(b). On the date of Grantee’s Qualifying Termination, the pro-rata portion of the Target number set forth in “Number of PSUs in Award” in Section I will be determined by multiplying such Target number by a fraction (not greater than 1), the numerator of which is the number of whole calendar months Grantee was employed or rendering services from the beginning of the Performance Period through the date of Grantee’s Qualifying Termination, and the denominator of which is 36 (the “Pro-Rata Target Amount”). The number of PSUs to be earned and settled under Section II.A.7 shall then be equal to the amount determined under Section II.A.2 above at the end of the Performance Period but based on the Pro-Rata Target Amount. Any PSUs not included in the Pro-Rata Target Amount calculation will be canceled and forfeited upon the date of Grantee’s Qualifying Termination.</w:t>
      </w:r>
    </w:p>
    <w:p>
      <w:pPr>
        <w:spacing w:after="0" w:line="174" w:lineRule="exact"/>
        <w:rPr>
          <w:rFonts w:ascii="Times New Roman" w:cs="Times New Roman" w:eastAsia="Times New Roman" w:hAnsi="Times New Roman"/>
          <w:sz w:val="21"/>
          <w:szCs w:val="21"/>
          <w:color w:val="auto"/>
        </w:rPr>
      </w:pPr>
    </w:p>
    <w:p>
      <w:pPr>
        <w:jc w:val="both"/>
        <w:ind w:left="652" w:hanging="130"/>
        <w:spacing w:after="0" w:line="238" w:lineRule="auto"/>
        <w:tabs>
          <w:tab w:leader="none" w:pos="1027" w:val="left"/>
        </w:tabs>
        <w:numPr>
          <w:ilvl w:val="2"/>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and except as set forth in subsection (f) of this Section II.A.6, if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be a Service Provider prior to the 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6" w:lineRule="exact"/>
        <w:rPr>
          <w:rFonts w:ascii="Times New Roman" w:cs="Times New Roman" w:eastAsia="Times New Roman" w:hAnsi="Times New Roman"/>
          <w:sz w:val="22"/>
          <w:szCs w:val="22"/>
          <w:color w:val="auto"/>
        </w:rPr>
      </w:pPr>
    </w:p>
    <w:p>
      <w:pPr>
        <w:jc w:val="both"/>
        <w:ind w:left="652" w:hanging="103"/>
        <w:spacing w:after="0"/>
        <w:tabs>
          <w:tab w:leader="none" w:pos="1079" w:val="left"/>
        </w:tabs>
        <w:numPr>
          <w:ilvl w:val="3"/>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72" w:lineRule="exact"/>
        <w:rPr>
          <w:rFonts w:ascii="Times New Roman" w:cs="Times New Roman" w:eastAsia="Times New Roman" w:hAnsi="Times New Roman"/>
          <w:sz w:val="22"/>
          <w:szCs w:val="22"/>
          <w:color w:val="auto"/>
        </w:rPr>
      </w:pPr>
    </w:p>
    <w:p>
      <w:pPr>
        <w:jc w:val="both"/>
        <w:ind w:left="652" w:hanging="79"/>
        <w:spacing w:after="0" w:line="256" w:lineRule="auto"/>
        <w:tabs>
          <w:tab w:leader="none" w:pos="1175" w:val="left"/>
        </w:tabs>
        <w:numPr>
          <w:ilvl w:val="4"/>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If Grantee ceases to be a Service Provider prior to the Settlement Date due to Grantee’s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subsection (f) of this Section II.A.6,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57" w:lineRule="exact"/>
        <w:rPr>
          <w:rFonts w:ascii="Times New Roman" w:cs="Times New Roman" w:eastAsia="Times New Roman" w:hAnsi="Times New Roman"/>
          <w:sz w:val="21"/>
          <w:szCs w:val="21"/>
          <w:color w:val="auto"/>
        </w:rPr>
      </w:pPr>
    </w:p>
    <w:p>
      <w:pPr>
        <w:ind w:left="652" w:hanging="193"/>
        <w:spacing w:after="0" w:line="262" w:lineRule="auto"/>
        <w:tabs>
          <w:tab w:leader="none" w:pos="908"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53" w:lineRule="exact"/>
        <w:rPr>
          <w:rFonts w:ascii="Times New Roman" w:cs="Times New Roman" w:eastAsia="Times New Roman" w:hAnsi="Times New Roman"/>
          <w:sz w:val="22"/>
          <w:szCs w:val="22"/>
          <w:color w:val="auto"/>
        </w:rPr>
      </w:pPr>
    </w:p>
    <w:p>
      <w:pPr>
        <w:jc w:val="both"/>
        <w:ind w:left="1292" w:firstLine="652"/>
        <w:spacing w:after="0" w:line="234" w:lineRule="auto"/>
        <w:tabs>
          <w:tab w:leader="none" w:pos="2379" w:val="left"/>
        </w:tabs>
        <w:numPr>
          <w:ilvl w:val="5"/>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II.A.6(f)(ii) to continue, replace or assume the PSUs covered by this Agreement (the “Replaced Award”)) as follows: the number of PSUs under this Award that shall become vested and non-forfeitable (the “Change in Control Payout Level”) shall equal the greater of (A) the Target number set forth in “Number of PSUs in Award” in Section I, and (B) the number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32"/>
          </w:cols>
          <w:pgMar w:left="328" w:top="1404" w:right="339" w:bottom="1440" w:gutter="0" w:footer="0" w:header="0"/>
        </w:sectPr>
      </w:pPr>
    </w:p>
    <w:bookmarkStart w:id="256" w:name="page257"/>
    <w:bookmarkEnd w:id="256"/>
    <w:p>
      <w:pPr>
        <w:jc w:val="both"/>
        <w:ind w:left="1120"/>
        <w:spacing w:after="0" w:line="236" w:lineRule="auto"/>
        <w:rPr>
          <w:sz w:val="20"/>
          <w:szCs w:val="20"/>
          <w:color w:val="auto"/>
        </w:rPr>
      </w:pPr>
      <w:r>
        <w:rPr>
          <w:rFonts w:ascii="Times New Roman" w:cs="Times New Roman" w:eastAsia="Times New Roman" w:hAnsi="Times New Roman"/>
          <w:sz w:val="22"/>
          <w:szCs w:val="22"/>
          <w:color w:val="auto"/>
        </w:rPr>
        <w:t>that would have been actually earned due to the achievement of the performance measures specified in Appendix A if the date of the Change in Control had been the last day of the Performance Period (as determined by the Committee as constituted immediately prior to the Change in Control), less the number of PSUs that had already become vested as of the date of such Change in Control, but in no event may negative discretion be exercised with respect to the number of PSUs vested. Any PSUs that are not earned and do not vest in accordance with the foregoing sentence shall terminate and be forfeited.</w:t>
      </w:r>
    </w:p>
    <w:p>
      <w:pPr>
        <w:spacing w:after="0" w:line="168" w:lineRule="exact"/>
        <w:rPr>
          <w:sz w:val="20"/>
          <w:szCs w:val="20"/>
          <w:color w:val="auto"/>
        </w:rPr>
      </w:pPr>
    </w:p>
    <w:p>
      <w:pPr>
        <w:jc w:val="both"/>
        <w:ind w:left="1120" w:firstLine="652"/>
        <w:spacing w:after="0" w:line="249" w:lineRule="auto"/>
        <w:tabs>
          <w:tab w:leader="none" w:pos="2248"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“Replacement Award” means an award: (A) consisting of an award of time-based restricted stock units that is not subject to performance conditions; (B) that has a value at least equal to the value of the Replaced Award, which shall be the value of the PSUs at the Change in Control Payout Level;</w:t>
      </w:r>
    </w:p>
    <w:p>
      <w:pPr>
        <w:spacing w:after="0" w:line="1" w:lineRule="exact"/>
        <w:rPr>
          <w:rFonts w:ascii="Times New Roman" w:cs="Times New Roman" w:eastAsia="Times New Roman" w:hAnsi="Times New Roman"/>
          <w:sz w:val="21"/>
          <w:szCs w:val="21"/>
          <w:color w:val="auto"/>
        </w:rPr>
      </w:pPr>
    </w:p>
    <w:p>
      <w:pPr>
        <w:jc w:val="both"/>
        <w:ind w:left="1120" w:firstLine="4"/>
        <w:spacing w:after="0" w:line="230" w:lineRule="auto"/>
        <w:tabs>
          <w:tab w:leader="none" w:pos="148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Payout Level for any subsequent vesting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85" w:lineRule="exact"/>
        <w:rPr>
          <w:rFonts w:ascii="Times New Roman" w:cs="Times New Roman" w:eastAsia="Times New Roman" w:hAnsi="Times New Roman"/>
          <w:sz w:val="22"/>
          <w:szCs w:val="22"/>
          <w:color w:val="auto"/>
        </w:rPr>
      </w:pPr>
    </w:p>
    <w:p>
      <w:pPr>
        <w:jc w:val="both"/>
        <w:ind w:left="1120" w:firstLine="652"/>
        <w:spacing w:after="0" w:line="233" w:lineRule="auto"/>
        <w:tabs>
          <w:tab w:leader="none" w:pos="2324"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(A) Grantee experiences a Qualifying Termination with the Company and its Subsidiaries (or any of their successors) (as applicable, the “Successor”) or (B) Grantee ceases to be a Service Provider as a result of Grantee’s Retirement or Disability, in each case within a period of two years after the Change in Control and prior to the Settlement Date, the Replacement Award shall become vested and non-forfeitable in full, specifically taking into account the Change in Control Payout Level for the Replaced Award, less the portion of the award that had already become vested as of the date of such termination or cessation of service. Any portion of the Replacement Award that does not vest in accordance with the foregoing sentence shall terminate and be forfeited.</w:t>
      </w:r>
    </w:p>
    <w:p>
      <w:pPr>
        <w:spacing w:after="0" w:line="181" w:lineRule="exact"/>
        <w:rPr>
          <w:rFonts w:ascii="Times New Roman" w:cs="Times New Roman" w:eastAsia="Times New Roman" w:hAnsi="Times New Roman"/>
          <w:sz w:val="22"/>
          <w:szCs w:val="22"/>
          <w:color w:val="auto"/>
        </w:rPr>
      </w:pPr>
    </w:p>
    <w:p>
      <w:pPr>
        <w:jc w:val="both"/>
        <w:ind w:left="1120" w:right="20" w:firstLine="652"/>
        <w:spacing w:after="0" w:line="244" w:lineRule="auto"/>
        <w:tabs>
          <w:tab w:leader="none" w:pos="2296"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08" w:right="339" w:bottom="1440" w:gutter="0" w:footer="0" w:header="0"/>
        </w:sectPr>
      </w:pPr>
    </w:p>
    <w:bookmarkStart w:id="257" w:name="page258"/>
    <w:bookmarkEnd w:id="257"/>
    <w:p>
      <w:pPr>
        <w:ind w:left="1300"/>
        <w:spacing w:after="0" w:line="258" w:lineRule="auto"/>
        <w:rPr>
          <w:sz w:val="20"/>
          <w:szCs w:val="20"/>
          <w:color w:val="auto"/>
        </w:rPr>
      </w:pPr>
      <w:r>
        <w:rPr>
          <w:rFonts w:ascii="Times New Roman" w:cs="Times New Roman" w:eastAsia="Times New Roman" w:hAnsi="Times New Roman"/>
          <w:sz w:val="22"/>
          <w:szCs w:val="22"/>
          <w:color w:val="auto"/>
        </w:rPr>
        <w:t>forfeiture” (within the meaning of Section 409A of the Code) will be deemed to be vested and nonforfeitable at the time of such Change in Control.</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54" w:lineRule="exact"/>
        <w:rPr>
          <w:sz w:val="20"/>
          <w:szCs w:val="20"/>
          <w:color w:val="auto"/>
        </w:rPr>
      </w:pPr>
    </w:p>
    <w:p>
      <w:pPr>
        <w:ind w:left="820" w:hanging="380"/>
        <w:spacing w:after="0"/>
        <w:tabs>
          <w:tab w:leader="none" w:pos="820" w:val="left"/>
        </w:tabs>
        <w:numPr>
          <w:ilvl w:val="0"/>
          <w:numId w:val="3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40" w:firstLine="644"/>
        <w:spacing w:after="0" w:line="239" w:lineRule="auto"/>
        <w:tabs>
          <w:tab w:leader="none" w:pos="1936"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14, 2029 (the “Settlement Date”).</w:t>
      </w:r>
    </w:p>
    <w:p>
      <w:pPr>
        <w:spacing w:after="0" w:line="189" w:lineRule="exact"/>
        <w:rPr>
          <w:rFonts w:ascii="Times New Roman" w:cs="Times New Roman" w:eastAsia="Times New Roman" w:hAnsi="Times New Roman"/>
          <w:sz w:val="22"/>
          <w:szCs w:val="22"/>
          <w:color w:val="auto"/>
        </w:rPr>
      </w:pPr>
    </w:p>
    <w:p>
      <w:pPr>
        <w:ind w:left="640" w:firstLine="644"/>
        <w:spacing w:after="0" w:line="262" w:lineRule="auto"/>
        <w:tabs>
          <w:tab w:leader="none" w:pos="193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167" w:lineRule="exact"/>
        <w:rPr>
          <w:rFonts w:ascii="Times New Roman" w:cs="Times New Roman" w:eastAsia="Times New Roman" w:hAnsi="Times New Roman"/>
          <w:sz w:val="22"/>
          <w:szCs w:val="22"/>
          <w:color w:val="auto"/>
        </w:rPr>
      </w:pPr>
    </w:p>
    <w:p>
      <w:pPr>
        <w:jc w:val="both"/>
        <w:ind w:left="1280" w:firstLine="642"/>
        <w:spacing w:after="0" w:line="236" w:lineRule="auto"/>
        <w:tabs>
          <w:tab w:leader="none" w:pos="2343"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II.A.6(d)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206" w:lineRule="exact"/>
        <w:rPr>
          <w:rFonts w:ascii="Times New Roman" w:cs="Times New Roman" w:eastAsia="Times New Roman" w:hAnsi="Times New Roman"/>
          <w:sz w:val="22"/>
          <w:szCs w:val="22"/>
          <w:color w:val="auto"/>
        </w:rPr>
      </w:pPr>
    </w:p>
    <w:p>
      <w:pPr>
        <w:jc w:val="both"/>
        <w:ind w:left="1280" w:firstLine="642"/>
        <w:spacing w:after="0" w:line="235" w:lineRule="auto"/>
        <w:tabs>
          <w:tab w:leader="none" w:pos="2491"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II.A.6(f)(i)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178" w:lineRule="exact"/>
        <w:rPr>
          <w:rFonts w:ascii="Times New Roman" w:cs="Times New Roman" w:eastAsia="Times New Roman" w:hAnsi="Times New Roman"/>
          <w:sz w:val="22"/>
          <w:szCs w:val="22"/>
          <w:color w:val="auto"/>
        </w:rPr>
      </w:pPr>
    </w:p>
    <w:p>
      <w:pPr>
        <w:jc w:val="both"/>
        <w:ind w:left="1280" w:firstLine="642"/>
        <w:spacing w:after="0" w:line="246" w:lineRule="auto"/>
        <w:tabs>
          <w:tab w:leader="none" w:pos="2545" w:val="left"/>
        </w:tabs>
        <w:numPr>
          <w:ilvl w:val="2"/>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vested (and have not previously been settled) on the date of Grantee’s “separation from service” with the Company and its Subsidiaries (determined in accordance with Section 409A(a)</w:t>
      </w:r>
    </w:p>
    <w:p>
      <w:pPr>
        <w:spacing w:after="0" w:line="1" w:lineRule="exact"/>
        <w:rPr>
          <w:rFonts w:ascii="Times New Roman" w:cs="Times New Roman" w:eastAsia="Times New Roman" w:hAnsi="Times New Roman"/>
          <w:sz w:val="21"/>
          <w:szCs w:val="21"/>
          <w:color w:val="auto"/>
        </w:rPr>
      </w:pPr>
    </w:p>
    <w:p>
      <w:pPr>
        <w:jc w:val="both"/>
        <w:ind w:left="128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(2)(A)(i) of the Code) within two years following the occurrence of a Change in Control that constitutes a “change in control” for purposes of Section 409A(a)(2)(A)(v) of the Code, such vested PSUs will be settled by issuing to Grantee one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8"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2"/>
          <w:szCs w:val="22"/>
          <w:color w:val="auto"/>
        </w:rPr>
        <w:t>Common Stock for each such vested PSU within 30 days of the date of such separation from service.</w:t>
      </w:r>
    </w:p>
    <w:p>
      <w:pPr>
        <w:spacing w:after="0" w:line="206" w:lineRule="exact"/>
        <w:rPr>
          <w:sz w:val="20"/>
          <w:szCs w:val="20"/>
          <w:color w:val="auto"/>
        </w:rPr>
      </w:pPr>
    </w:p>
    <w:p>
      <w:pPr>
        <w:jc w:val="both"/>
        <w:ind w:left="580" w:firstLine="644"/>
        <w:spacing w:after="0" w:line="250" w:lineRule="auto"/>
        <w:tabs>
          <w:tab w:leader="none" w:pos="1876" w:val="left"/>
        </w:tabs>
        <w:numPr>
          <w:ilvl w:val="4"/>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63" w:lineRule="exact"/>
        <w:rPr>
          <w:rFonts w:ascii="Times New Roman" w:cs="Times New Roman" w:eastAsia="Times New Roman" w:hAnsi="Times New Roman"/>
          <w:sz w:val="22"/>
          <w:szCs w:val="22"/>
          <w:color w:val="auto"/>
        </w:rPr>
      </w:pPr>
    </w:p>
    <w:p>
      <w:pPr>
        <w:ind w:left="580" w:hanging="416"/>
        <w:spacing w:after="0"/>
        <w:tabs>
          <w:tab w:leader="none" w:pos="58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0" w:firstLine="494"/>
        <w:spacing w:after="0" w:line="249" w:lineRule="auto"/>
        <w:tabs>
          <w:tab w:leader="none" w:pos="831" w:val="left"/>
        </w:tabs>
        <w:numPr>
          <w:ilvl w:val="2"/>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5" w:lineRule="exact"/>
        <w:rPr>
          <w:rFonts w:ascii="Times New Roman" w:cs="Times New Roman" w:eastAsia="Times New Roman" w:hAnsi="Times New Roman"/>
          <w:sz w:val="22"/>
          <w:szCs w:val="22"/>
          <w:b w:val="1"/>
          <w:bCs w:val="1"/>
          <w:color w:val="auto"/>
        </w:rPr>
      </w:pPr>
    </w:p>
    <w:p>
      <w:pPr>
        <w:jc w:val="both"/>
        <w:ind w:left="-60" w:firstLine="593"/>
        <w:spacing w:after="0" w:line="238" w:lineRule="auto"/>
        <w:tabs>
          <w:tab w:leader="none" w:pos="979" w:val="left"/>
        </w:tabs>
        <w:numPr>
          <w:ilvl w:val="3"/>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8" w:lineRule="exact"/>
        <w:rPr>
          <w:rFonts w:ascii="Times New Roman" w:cs="Times New Roman" w:eastAsia="Times New Roman" w:hAnsi="Times New Roman"/>
          <w:sz w:val="22"/>
          <w:szCs w:val="22"/>
          <w:b w:val="1"/>
          <w:bCs w:val="1"/>
          <w:color w:val="auto"/>
        </w:rPr>
      </w:pPr>
    </w:p>
    <w:p>
      <w:pPr>
        <w:ind w:left="760" w:hanging="380"/>
        <w:spacing w:after="0"/>
        <w:tabs>
          <w:tab w:leader="none" w:pos="760" w:val="left"/>
        </w:tabs>
        <w:numPr>
          <w:ilvl w:val="1"/>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580" w:firstLine="644"/>
        <w:spacing w:after="0" w:line="242" w:lineRule="auto"/>
        <w:tabs>
          <w:tab w:leader="none" w:pos="1876" w:val="left"/>
        </w:tabs>
        <w:numPr>
          <w:ilvl w:val="4"/>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80" w:top="1408" w:right="339" w:bottom="1440" w:gutter="0" w:footer="0" w:header="0"/>
        </w:sectPr>
      </w:pPr>
    </w:p>
    <w:bookmarkStart w:id="259" w:name="page260"/>
    <w:bookmarkEnd w:id="259"/>
    <w:p>
      <w:pPr>
        <w:jc w:val="both"/>
        <w:ind w:left="460"/>
        <w:spacing w:after="0" w:line="250" w:lineRule="auto"/>
        <w:rPr>
          <w:sz w:val="20"/>
          <w:szCs w:val="20"/>
          <w:color w:val="auto"/>
        </w:rPr>
      </w:pPr>
      <w:r>
        <w:rPr>
          <w:rFonts w:ascii="Times New Roman" w:cs="Times New Roman" w:eastAsia="Times New Roman" w:hAnsi="Times New Roman"/>
          <w:sz w:val="22"/>
          <w:szCs w:val="22"/>
          <w:color w:val="auto"/>
        </w:rPr>
        <w:t>agreement or arrangement)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64" w:lineRule="exact"/>
        <w:rPr>
          <w:sz w:val="20"/>
          <w:szCs w:val="20"/>
          <w:color w:val="auto"/>
        </w:rPr>
      </w:pPr>
    </w:p>
    <w:p>
      <w:pPr>
        <w:jc w:val="both"/>
        <w:ind w:left="460" w:firstLine="644"/>
        <w:spacing w:after="0" w:line="248" w:lineRule="auto"/>
        <w:tabs>
          <w:tab w:leader="none" w:pos="1755"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PSUs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the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500" w:top="1408" w:right="339" w:bottom="1440" w:gutter="0" w:footer="0" w:header="0"/>
        </w:sectPr>
      </w:pPr>
    </w:p>
    <w:bookmarkStart w:id="260" w:name="page261"/>
    <w:bookmarkEnd w:id="260"/>
    <w:p>
      <w:pPr>
        <w:jc w:val="both"/>
        <w:ind w:left="460"/>
        <w:spacing w:after="0" w:line="244" w:lineRule="auto"/>
        <w:rPr>
          <w:sz w:val="20"/>
          <w:szCs w:val="20"/>
          <w:color w:val="auto"/>
        </w:rPr>
      </w:pPr>
      <w:r>
        <w:rPr>
          <w:rFonts w:ascii="Times New Roman" w:cs="Times New Roman" w:eastAsia="Times New Roman" w:hAnsi="Times New Roman"/>
          <w:sz w:val="22"/>
          <w:szCs w:val="22"/>
          <w:color w:val="auto"/>
        </w:rPr>
        <w:t>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82" w:lineRule="exact"/>
        <w:rPr>
          <w:sz w:val="20"/>
          <w:szCs w:val="20"/>
          <w:color w:val="auto"/>
        </w:rPr>
      </w:pPr>
    </w:p>
    <w:p>
      <w:pPr>
        <w:ind w:left="1140" w:hanging="448"/>
        <w:spacing w:after="0"/>
        <w:tabs>
          <w:tab w:leader="none" w:pos="114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1120" w:hanging="208"/>
        <w:spacing w:after="0" w:line="234" w:lineRule="auto"/>
        <w:tabs>
          <w:tab w:leader="none" w:pos="1329"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79" w:lineRule="exact"/>
        <w:rPr>
          <w:rFonts w:ascii="Times New Roman" w:cs="Times New Roman" w:eastAsia="Times New Roman" w:hAnsi="Times New Roman"/>
          <w:sz w:val="22"/>
          <w:szCs w:val="22"/>
          <w:color w:val="auto"/>
        </w:rPr>
      </w:pPr>
    </w:p>
    <w:p>
      <w:pPr>
        <w:jc w:val="both"/>
        <w:ind w:left="1120" w:firstLine="337"/>
        <w:spacing w:after="0" w:line="234" w:lineRule="auto"/>
        <w:tabs>
          <w:tab w:leader="none" w:pos="2051" w:val="left"/>
        </w:tabs>
        <w:numPr>
          <w:ilvl w:val="4"/>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76" w:lineRule="exact"/>
        <w:rPr>
          <w:rFonts w:ascii="Times New Roman" w:cs="Times New Roman" w:eastAsia="Times New Roman" w:hAnsi="Times New Roman"/>
          <w:sz w:val="22"/>
          <w:szCs w:val="22"/>
          <w:color w:val="auto"/>
        </w:rPr>
      </w:pPr>
    </w:p>
    <w:p>
      <w:pPr>
        <w:jc w:val="both"/>
        <w:ind w:left="1120" w:hanging="112"/>
        <w:spacing w:after="0" w:line="233" w:lineRule="auto"/>
        <w:tabs>
          <w:tab w:leader="none" w:pos="1594" w:val="left"/>
        </w:tabs>
        <w:numPr>
          <w:ilvl w:val="2"/>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77" w:lineRule="exact"/>
        <w:rPr>
          <w:rFonts w:ascii="Times New Roman" w:cs="Times New Roman" w:eastAsia="Times New Roman" w:hAnsi="Times New Roman"/>
          <w:sz w:val="22"/>
          <w:szCs w:val="22"/>
          <w:color w:val="auto"/>
        </w:rPr>
      </w:pPr>
    </w:p>
    <w:p>
      <w:pPr>
        <w:jc w:val="both"/>
        <w:ind w:left="1100" w:firstLine="4"/>
        <w:spacing w:after="0" w:line="246" w:lineRule="auto"/>
        <w:tabs>
          <w:tab w:leader="none" w:pos="1649" w:val="left"/>
        </w:tabs>
        <w:numPr>
          <w:ilvl w:val="3"/>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500" w:top="1408" w:right="339" w:bottom="1440" w:gutter="0" w:footer="0" w:header="0"/>
        </w:sectPr>
      </w:pPr>
    </w:p>
    <w:bookmarkStart w:id="261" w:name="page262"/>
    <w:bookmarkEnd w:id="261"/>
    <w:p>
      <w:pPr>
        <w:ind w:left="1100"/>
        <w:spacing w:after="0" w:line="258" w:lineRule="auto"/>
        <w:rPr>
          <w:sz w:val="20"/>
          <w:szCs w:val="20"/>
          <w:color w:val="auto"/>
        </w:rPr>
      </w:pPr>
      <w:r>
        <w:rPr>
          <w:rFonts w:ascii="Times New Roman" w:cs="Times New Roman" w:eastAsia="Times New Roman" w:hAnsi="Times New Roman"/>
          <w:sz w:val="22"/>
          <w:szCs w:val="22"/>
          <w:color w:val="auto"/>
        </w:rPr>
        <w:t>this Section II.B.3. Grantee may request in writing from the Board an advance determination as to whether Grantee’s proposed actions will violate this Section II.B.3.</w:t>
      </w:r>
    </w:p>
    <w:p>
      <w:pPr>
        <w:spacing w:after="0" w:line="154" w:lineRule="exact"/>
        <w:rPr>
          <w:sz w:val="20"/>
          <w:szCs w:val="20"/>
          <w:color w:val="auto"/>
        </w:rPr>
      </w:pPr>
    </w:p>
    <w:p>
      <w:pPr>
        <w:ind w:left="1560" w:hanging="456"/>
        <w:spacing w:after="0"/>
        <w:tabs>
          <w:tab w:leader="none" w:pos="156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120" w:firstLine="622"/>
        <w:spacing w:after="0" w:line="234" w:lineRule="auto"/>
        <w:tabs>
          <w:tab w:leader="none" w:pos="2226"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6" w:lineRule="exact"/>
        <w:rPr>
          <w:rFonts w:ascii="Times New Roman" w:cs="Times New Roman" w:eastAsia="Times New Roman" w:hAnsi="Times New Roman"/>
          <w:sz w:val="22"/>
          <w:szCs w:val="22"/>
          <w:color w:val="auto"/>
        </w:rPr>
      </w:pPr>
    </w:p>
    <w:p>
      <w:pPr>
        <w:jc w:val="both"/>
        <w:ind w:left="1120" w:firstLine="622"/>
        <w:spacing w:after="0" w:line="241" w:lineRule="auto"/>
        <w:tabs>
          <w:tab w:leader="none" w:pos="2326"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71" w:lineRule="exact"/>
        <w:rPr>
          <w:rFonts w:ascii="Times New Roman" w:cs="Times New Roman" w:eastAsia="Times New Roman" w:hAnsi="Times New Roman"/>
          <w:sz w:val="22"/>
          <w:szCs w:val="22"/>
          <w:color w:val="auto"/>
        </w:rPr>
      </w:pPr>
    </w:p>
    <w:p>
      <w:pPr>
        <w:jc w:val="both"/>
        <w:ind w:left="1120" w:firstLine="622"/>
        <w:spacing w:after="0" w:line="232" w:lineRule="auto"/>
        <w:tabs>
          <w:tab w:leader="none" w:pos="2467"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68"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1543"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500" w:top="1408" w:right="339" w:bottom="1440" w:gutter="0" w:footer="0" w:header="0"/>
        </w:sectPr>
      </w:pPr>
    </w:p>
    <w:bookmarkStart w:id="262" w:name="page263"/>
    <w:bookmarkEnd w:id="262"/>
    <w:p>
      <w:pPr>
        <w:jc w:val="both"/>
        <w:ind w:left="460" w:firstLine="644"/>
        <w:spacing w:after="0" w:line="232" w:lineRule="auto"/>
        <w:tabs>
          <w:tab w:leader="none" w:pos="1580" w:val="left"/>
        </w:tabs>
        <w:numPr>
          <w:ilvl w:val="4"/>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82" w:lineRule="exact"/>
        <w:rPr>
          <w:rFonts w:ascii="Times New Roman" w:cs="Times New Roman" w:eastAsia="Times New Roman" w:hAnsi="Times New Roman"/>
          <w:sz w:val="22"/>
          <w:szCs w:val="22"/>
          <w:color w:val="auto"/>
        </w:rPr>
      </w:pPr>
    </w:p>
    <w:p>
      <w:pPr>
        <w:ind w:left="460" w:firstLine="644"/>
        <w:spacing w:after="0" w:line="262" w:lineRule="auto"/>
        <w:tabs>
          <w:tab w:leader="none" w:pos="1728" w:val="left"/>
        </w:tabs>
        <w:numPr>
          <w:ilvl w:val="4"/>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rFonts w:ascii="Times New Roman" w:cs="Times New Roman" w:eastAsia="Times New Roman" w:hAnsi="Times New Roman"/>
          <w:sz w:val="22"/>
          <w:szCs w:val="22"/>
          <w:color w:val="auto"/>
        </w:rPr>
      </w:pPr>
    </w:p>
    <w:p>
      <w:pPr>
        <w:jc w:val="both"/>
        <w:ind w:left="-180" w:firstLine="485"/>
        <w:spacing w:after="0" w:line="235" w:lineRule="auto"/>
        <w:tabs>
          <w:tab w:leader="none" w:pos="697" w:val="left"/>
        </w:tabs>
        <w:numPr>
          <w:ilvl w:val="1"/>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4" w:lineRule="exact"/>
        <w:rPr>
          <w:rFonts w:ascii="Times New Roman" w:cs="Times New Roman" w:eastAsia="Times New Roman" w:hAnsi="Times New Roman"/>
          <w:sz w:val="22"/>
          <w:szCs w:val="22"/>
          <w:b w:val="1"/>
          <w:bCs w:val="1"/>
          <w:color w:val="auto"/>
        </w:rPr>
      </w:pPr>
    </w:p>
    <w:p>
      <w:pPr>
        <w:jc w:val="both"/>
        <w:ind w:left="-180" w:firstLine="521"/>
        <w:spacing w:after="0" w:line="238" w:lineRule="auto"/>
        <w:tabs>
          <w:tab w:leader="none" w:pos="751" w:val="left"/>
        </w:tabs>
        <w:numPr>
          <w:ilvl w:val="2"/>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6" w:lineRule="exact"/>
        <w:rPr>
          <w:rFonts w:ascii="Times New Roman" w:cs="Times New Roman" w:eastAsia="Times New Roman" w:hAnsi="Times New Roman"/>
          <w:sz w:val="22"/>
          <w:szCs w:val="22"/>
          <w:b w:val="1"/>
          <w:bCs w:val="1"/>
          <w:color w:val="auto"/>
        </w:rPr>
      </w:pPr>
    </w:p>
    <w:p>
      <w:pPr>
        <w:jc w:val="both"/>
        <w:ind w:left="-180" w:firstLine="449"/>
        <w:spacing w:after="0" w:line="237" w:lineRule="auto"/>
        <w:tabs>
          <w:tab w:leader="none" w:pos="643" w:val="left"/>
        </w:tabs>
        <w:numPr>
          <w:ilvl w:val="0"/>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5" w:lineRule="exact"/>
        <w:rPr>
          <w:rFonts w:ascii="Times New Roman" w:cs="Times New Roman" w:eastAsia="Times New Roman" w:hAnsi="Times New Roman"/>
          <w:sz w:val="22"/>
          <w:szCs w:val="22"/>
          <w:b w:val="1"/>
          <w:bCs w:val="1"/>
          <w:color w:val="auto"/>
        </w:rPr>
      </w:pPr>
    </w:p>
    <w:p>
      <w:pPr>
        <w:ind w:left="-180" w:right="20" w:firstLine="566"/>
        <w:spacing w:after="0" w:line="262" w:lineRule="auto"/>
        <w:tabs>
          <w:tab w:leader="none" w:pos="819" w:val="left"/>
        </w:tabs>
        <w:numPr>
          <w:ilvl w:val="3"/>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404"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1"/>
          <w:szCs w:val="21"/>
          <w:color w:val="auto"/>
        </w:rPr>
        <w:t>this Agreement and shall have the right to enforce this Agreement, including, but not limited to, the provisions of Section II.B.3.</w:t>
      </w:r>
    </w:p>
    <w:p>
      <w:pPr>
        <w:spacing w:after="0" w:line="214" w:lineRule="exact"/>
        <w:rPr>
          <w:sz w:val="20"/>
          <w:szCs w:val="20"/>
          <w:color w:val="auto"/>
        </w:rPr>
      </w:pPr>
    </w:p>
    <w:p>
      <w:pPr>
        <w:jc w:val="both"/>
        <w:ind w:firstLine="530"/>
        <w:spacing w:after="0" w:line="246" w:lineRule="auto"/>
        <w:tabs>
          <w:tab w:leader="none" w:pos="945" w:val="left"/>
        </w:tabs>
        <w:numPr>
          <w:ilvl w:val="0"/>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 Company. The PSUs represent an unfunded and unsecured obligation of the Company, subject to the terms and conditions of this Agreement and the Plan.</w:t>
      </w:r>
    </w:p>
    <w:p>
      <w:pPr>
        <w:spacing w:after="0" w:line="167" w:lineRule="exact"/>
        <w:rPr>
          <w:rFonts w:ascii="Times New Roman" w:cs="Times New Roman" w:eastAsia="Times New Roman" w:hAnsi="Times New Roman"/>
          <w:sz w:val="22"/>
          <w:szCs w:val="22"/>
          <w:b w:val="1"/>
          <w:bCs w:val="1"/>
          <w:color w:val="auto"/>
        </w:rPr>
      </w:pPr>
    </w:p>
    <w:p>
      <w:pPr>
        <w:jc w:val="both"/>
        <w:ind w:firstLine="746"/>
        <w:spacing w:after="0" w:line="237" w:lineRule="auto"/>
        <w:tabs>
          <w:tab w:leader="none" w:pos="1269" w:val="left"/>
        </w:tabs>
        <w:numPr>
          <w:ilvl w:val="1"/>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5" w:lineRule="exact"/>
        <w:rPr>
          <w:sz w:val="20"/>
          <w:szCs w:val="20"/>
          <w:color w:val="auto"/>
        </w:rPr>
      </w:pPr>
    </w:p>
    <w:p>
      <w:pPr>
        <w:jc w:val="both"/>
        <w:ind w:firstLine="656"/>
        <w:spacing w:after="0" w:line="238" w:lineRule="auto"/>
        <w:tabs>
          <w:tab w:leader="none" w:pos="1242" w:val="left"/>
        </w:tabs>
        <w:numPr>
          <w:ilvl w:val="1"/>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10" w:lineRule="exact"/>
        <w:rPr>
          <w:rFonts w:ascii="Times New Roman" w:cs="Times New Roman" w:eastAsia="Times New Roman" w:hAnsi="Times New Roman"/>
          <w:sz w:val="22"/>
          <w:szCs w:val="22"/>
          <w:b w:val="1"/>
          <w:bCs w:val="1"/>
          <w:color w:val="auto"/>
        </w:rPr>
      </w:pPr>
    </w:p>
    <w:p>
      <w:pPr>
        <w:ind w:left="660" w:right="20" w:firstLine="227"/>
        <w:spacing w:after="0" w:line="282" w:lineRule="auto"/>
        <w:tabs>
          <w:tab w:leader="none" w:pos="1361" w:val="left"/>
        </w:tabs>
        <w:numPr>
          <w:ilvl w:val="3"/>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ind w:left="660" w:firstLine="258"/>
        <w:spacing w:after="0" w:line="245" w:lineRule="auto"/>
        <w:tabs>
          <w:tab w:leader="none" w:pos="1436" w:val="left"/>
        </w:tabs>
        <w:numPr>
          <w:ilvl w:val="4"/>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72" w:lineRule="exact"/>
        <w:rPr>
          <w:rFonts w:ascii="Times New Roman" w:cs="Times New Roman" w:eastAsia="Times New Roman" w:hAnsi="Times New Roman"/>
          <w:sz w:val="22"/>
          <w:szCs w:val="22"/>
          <w:color w:val="auto"/>
        </w:rPr>
      </w:pPr>
    </w:p>
    <w:p>
      <w:pPr>
        <w:ind w:left="1320" w:hanging="448"/>
        <w:spacing w:after="0"/>
        <w:tabs>
          <w:tab w:leader="none" w:pos="132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206"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left="660" w:firstLine="372"/>
        <w:spacing w:after="0" w:line="244" w:lineRule="auto"/>
        <w:tabs>
          <w:tab w:leader="none" w:pos="1651" w:val="left"/>
        </w:tabs>
        <w:numPr>
          <w:ilvl w:val="5"/>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73" w:lineRule="exact"/>
        <w:rPr>
          <w:rFonts w:ascii="Times New Roman" w:cs="Times New Roman" w:eastAsia="Times New Roman" w:hAnsi="Times New Roman"/>
          <w:sz w:val="22"/>
          <w:szCs w:val="22"/>
          <w:color w:val="auto"/>
        </w:rPr>
      </w:pPr>
    </w:p>
    <w:p>
      <w:pPr>
        <w:ind w:left="660" w:firstLine="380"/>
        <w:spacing w:after="0" w:line="258" w:lineRule="auto"/>
        <w:tabs>
          <w:tab w:leader="none" w:pos="1644" w:val="left"/>
        </w:tabs>
        <w:numPr>
          <w:ilvl w:val="5"/>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8" w:right="339" w:bottom="1440" w:gutter="0" w:footer="0" w:header="0"/>
        </w:sectPr>
      </w:pPr>
    </w:p>
    <w:bookmarkStart w:id="264" w:name="page265"/>
    <w:bookmarkEnd w:id="264"/>
    <w:p>
      <w:pPr>
        <w:jc w:val="both"/>
        <w:ind w:left="480" w:firstLine="305"/>
        <w:spacing w:after="0" w:line="244" w:lineRule="auto"/>
        <w:tabs>
          <w:tab w:leader="none" w:pos="1350" w:val="left"/>
        </w:tabs>
        <w:numPr>
          <w:ilvl w:val="3"/>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73" w:lineRule="exact"/>
        <w:rPr>
          <w:rFonts w:ascii="Times New Roman" w:cs="Times New Roman" w:eastAsia="Times New Roman" w:hAnsi="Times New Roman"/>
          <w:sz w:val="22"/>
          <w:szCs w:val="22"/>
          <w:color w:val="auto"/>
        </w:rPr>
      </w:pPr>
    </w:p>
    <w:p>
      <w:pPr>
        <w:jc w:val="both"/>
        <w:ind w:left="480" w:firstLine="272"/>
        <w:spacing w:after="0" w:line="234" w:lineRule="auto"/>
        <w:tabs>
          <w:tab w:leader="none" w:pos="1236" w:val="left"/>
        </w:tabs>
        <w:numPr>
          <w:ilvl w:val="2"/>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0" w:lineRule="exact"/>
        <w:rPr>
          <w:rFonts w:ascii="Times New Roman" w:cs="Times New Roman" w:eastAsia="Times New Roman" w:hAnsi="Times New Roman"/>
          <w:sz w:val="22"/>
          <w:szCs w:val="22"/>
          <w:color w:val="auto"/>
        </w:rPr>
      </w:pPr>
    </w:p>
    <w:p>
      <w:pPr>
        <w:jc w:val="both"/>
        <w:ind w:left="480" w:firstLine="311"/>
        <w:spacing w:after="0" w:line="236" w:lineRule="auto"/>
        <w:tabs>
          <w:tab w:leader="none" w:pos="1315" w:val="left"/>
        </w:tabs>
        <w:numPr>
          <w:ilvl w:val="3"/>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(including Appendix C), 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77" w:lineRule="exact"/>
        <w:rPr>
          <w:rFonts w:ascii="Times New Roman" w:cs="Times New Roman" w:eastAsia="Times New Roman" w:hAnsi="Times New Roman"/>
          <w:sz w:val="22"/>
          <w:szCs w:val="22"/>
          <w:color w:val="auto"/>
        </w:rPr>
      </w:pPr>
    </w:p>
    <w:p>
      <w:pPr>
        <w:ind w:left="820" w:hanging="479"/>
        <w:spacing w:after="0"/>
        <w:tabs>
          <w:tab w:leader="none" w:pos="820" w:val="left"/>
        </w:tabs>
        <w:numPr>
          <w:ilvl w:val="1"/>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480" w:firstLine="644"/>
        <w:spacing w:after="0" w:line="234" w:lineRule="auto"/>
        <w:tabs>
          <w:tab w:leader="none" w:pos="1597" w:val="left"/>
        </w:tabs>
        <w:numPr>
          <w:ilvl w:val="4"/>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PSUs shall also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special terms and conditions set forth in the Non-U.S. Addendum attached as Appendix C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76" w:lineRule="exact"/>
        <w:rPr>
          <w:rFonts w:ascii="Times New Roman" w:cs="Times New Roman" w:eastAsia="Times New Roman" w:hAnsi="Times New Roman"/>
          <w:sz w:val="22"/>
          <w:szCs w:val="22"/>
          <w:color w:val="auto"/>
        </w:rPr>
      </w:pPr>
    </w:p>
    <w:p>
      <w:pPr>
        <w:jc w:val="both"/>
        <w:ind w:left="480" w:firstLine="644"/>
        <w:spacing w:after="0" w:line="236" w:lineRule="auto"/>
        <w:tabs>
          <w:tab w:leader="none" w:pos="1636" w:val="left"/>
        </w:tabs>
        <w:numPr>
          <w:ilvl w:val="4"/>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PSUs shall also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73" w:lineRule="exact"/>
        <w:rPr>
          <w:rFonts w:ascii="Times New Roman" w:cs="Times New Roman" w:eastAsia="Times New Roman" w:hAnsi="Times New Roman"/>
          <w:sz w:val="22"/>
          <w:szCs w:val="22"/>
          <w:color w:val="auto"/>
        </w:rPr>
      </w:pPr>
    </w:p>
    <w:p>
      <w:pPr>
        <w:jc w:val="both"/>
        <w:ind w:left="-180" w:firstLine="494"/>
        <w:spacing w:after="0" w:line="246" w:lineRule="auto"/>
        <w:tabs>
          <w:tab w:leader="none" w:pos="819" w:val="left"/>
        </w:tabs>
        <w:numPr>
          <w:ilvl w:val="0"/>
          <w:numId w:val="3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500" w:top="1408" w:right="339" w:bottom="1440" w:gutter="0" w:footer="0" w:header="0"/>
        </w:sectPr>
      </w:pPr>
    </w:p>
    <w:bookmarkStart w:id="265" w:name="page266"/>
    <w:bookmarkEnd w:id="265"/>
    <w:p>
      <w:pPr>
        <w:spacing w:after="0" w:line="258" w:lineRule="auto"/>
        <w:rPr>
          <w:sz w:val="20"/>
          <w:szCs w:val="20"/>
          <w:color w:val="auto"/>
        </w:rPr>
      </w:pPr>
      <w:r>
        <w:rPr>
          <w:rFonts w:ascii="Times New Roman" w:cs="Times New Roman" w:eastAsia="Times New Roman" w:hAnsi="Times New Roman"/>
          <w:sz w:val="22"/>
          <w:szCs w:val="22"/>
          <w:color w:val="auto"/>
        </w:rPr>
        <w:t>an amendment that is deemed necessary by the Company to ensure compliance with Section 409A of the Code or Section 10D of the Exchange Act.</w:t>
      </w:r>
    </w:p>
    <w:p>
      <w:pPr>
        <w:spacing w:after="0" w:line="154" w:lineRule="exact"/>
        <w:rPr>
          <w:sz w:val="20"/>
          <w:szCs w:val="20"/>
          <w:color w:val="auto"/>
        </w:rPr>
      </w:pPr>
    </w:p>
    <w:p>
      <w:pPr>
        <w:jc w:val="both"/>
        <w:ind w:firstLine="467"/>
        <w:spacing w:after="0" w:line="241" w:lineRule="auto"/>
        <w:tabs>
          <w:tab w:leader="none" w:pos="958" w:val="left"/>
        </w:tabs>
        <w:numPr>
          <w:ilvl w:val="1"/>
          <w:numId w:val="3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58" w:lineRule="exact"/>
        <w:rPr>
          <w:rFonts w:ascii="Times New Roman" w:cs="Times New Roman" w:eastAsia="Times New Roman" w:hAnsi="Times New Roman"/>
          <w:sz w:val="22"/>
          <w:szCs w:val="22"/>
          <w:b w:val="1"/>
          <w:bCs w:val="1"/>
          <w:color w:val="auto"/>
        </w:rPr>
      </w:pPr>
    </w:p>
    <w:p>
      <w:pPr>
        <w:jc w:val="both"/>
        <w:ind w:firstLine="449"/>
        <w:spacing w:after="0" w:line="244" w:lineRule="auto"/>
        <w:tabs>
          <w:tab w:leader="none" w:pos="931" w:val="left"/>
        </w:tabs>
        <w:numPr>
          <w:ilvl w:val="0"/>
          <w:numId w:val="3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 BY LAW, EACH</w:t>
      </w:r>
    </w:p>
    <w:p>
      <w:pPr>
        <w:spacing w:after="0" w:line="5" w:lineRule="exact"/>
        <w:rPr>
          <w:rFonts w:ascii="Times New Roman" w:cs="Times New Roman" w:eastAsia="Times New Roman" w:hAnsi="Times New Roman"/>
          <w:sz w:val="21"/>
          <w:szCs w:val="21"/>
          <w:b w:val="1"/>
          <w:bCs w:val="1"/>
          <w:color w:val="auto"/>
        </w:rPr>
      </w:pP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PARTY WAIVES ANY RIGHT TO TRIAL BY JURY WITH RESPECT TO ANY PROCEEDING ARISING OUT OF OR RELATING TO THIS AGREEMENT.</w:t>
      </w:r>
    </w:p>
    <w:p>
      <w:pPr>
        <w:spacing w:after="0" w:line="160"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3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40" w:firstLine="644"/>
        <w:spacing w:after="0" w:line="232" w:lineRule="auto"/>
        <w:tabs>
          <w:tab w:leader="none" w:pos="1936" w:val="left"/>
        </w:tabs>
        <w:numPr>
          <w:ilvl w:val="2"/>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8" w:right="339" w:bottom="1440" w:gutter="0" w:footer="0" w:header="0"/>
        </w:sectPr>
      </w:pPr>
    </w:p>
    <w:bookmarkStart w:id="266" w:name="page267"/>
    <w:bookmarkEnd w:id="266"/>
    <w:p>
      <w:pPr>
        <w:jc w:val="both"/>
        <w:ind w:left="460"/>
        <w:spacing w:after="0" w:line="244" w:lineRule="auto"/>
        <w:rPr>
          <w:sz w:val="20"/>
          <w:szCs w:val="20"/>
          <w:color w:val="auto"/>
        </w:rPr>
      </w:pPr>
      <w:r>
        <w:rPr>
          <w:rFonts w:ascii="Times New Roman" w:cs="Times New Roman" w:eastAsia="Times New Roman" w:hAnsi="Times New Roman"/>
          <w:sz w:val="22"/>
          <w:szCs w:val="22"/>
          <w:color w:val="auto"/>
        </w:rPr>
        <w:t>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73" w:lineRule="exact"/>
        <w:rPr>
          <w:sz w:val="20"/>
          <w:szCs w:val="20"/>
          <w:color w:val="auto"/>
        </w:rPr>
      </w:pPr>
    </w:p>
    <w:p>
      <w:pPr>
        <w:jc w:val="both"/>
        <w:ind w:left="460" w:right="20" w:firstLine="644"/>
        <w:spacing w:after="0" w:line="261" w:lineRule="auto"/>
        <w:tabs>
          <w:tab w:leader="none" w:pos="1755"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500" w:top="1408" w:right="339" w:bottom="1440" w:gutter="0" w:footer="0" w:header="0"/>
        </w:sectPr>
      </w:pPr>
    </w:p>
    <w:bookmarkStart w:id="267" w:name="page268"/>
    <w:bookmarkEnd w:id="267"/>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J. Snyder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type w:val="continuous"/>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14, 2029 following the end of the Performance Period (“Determination Date”), using data as of, and including, December 31, 2028 under the rules described below. Any PSUs not earned as of the Determination Date will be canceled and forfeited.</w:t>
      </w:r>
    </w:p>
    <w:p>
      <w:pPr>
        <w:spacing w:after="0" w:line="200" w:lineRule="exact"/>
        <w:rPr>
          <w:sz w:val="20"/>
          <w:szCs w:val="20"/>
          <w:color w:val="auto"/>
        </w:rPr>
      </w:pPr>
    </w:p>
    <w:p>
      <w:pPr>
        <w:ind w:firstLine="8"/>
        <w:spacing w:after="0" w:line="309" w:lineRule="auto"/>
        <w:tabs>
          <w:tab w:leader="none" w:pos="40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47" w:lineRule="exact"/>
        <w:rPr>
          <w:rFonts w:ascii="Times New Roman" w:cs="Times New Roman" w:eastAsia="Times New Roman" w:hAnsi="Times New Roman"/>
          <w:sz w:val="21"/>
          <w:szCs w:val="21"/>
          <w:color w:val="auto"/>
        </w:rPr>
      </w:pPr>
    </w:p>
    <w:p>
      <w:pPr>
        <w:ind w:firstLine="8"/>
        <w:spacing w:after="0" w:line="271" w:lineRule="auto"/>
        <w:tabs>
          <w:tab w:leader="none" w:pos="374"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2026 through December 31, 2028) and determined on the Determination Date.</w:t>
      </w:r>
    </w:p>
    <w:p>
      <w:pPr>
        <w:spacing w:after="0" w:line="178" w:lineRule="exact"/>
        <w:rPr>
          <w:rFonts w:ascii="Times New Roman" w:cs="Times New Roman" w:eastAsia="Times New Roman" w:hAnsi="Times New Roman"/>
          <w:sz w:val="22"/>
          <w:szCs w:val="22"/>
          <w:color w:val="auto"/>
        </w:rPr>
      </w:pPr>
    </w:p>
    <w:p>
      <w:pPr>
        <w:jc w:val="both"/>
        <w:ind w:firstLine="8"/>
        <w:spacing w:after="0" w:line="260" w:lineRule="auto"/>
        <w:tabs>
          <w:tab w:leader="none" w:pos="402"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initially earned based on the achievement of EPS (the “</w:t>
      </w:r>
      <w:r>
        <w:rPr>
          <w:rFonts w:ascii="Times New Roman" w:cs="Times New Roman" w:eastAsia="Times New Roman" w:hAnsi="Times New Roman"/>
          <w:sz w:val="22"/>
          <w:szCs w:val="22"/>
          <w:b w:val="1"/>
          <w:bCs w:val="1"/>
          <w:i w:val="1"/>
          <w:iCs w:val="1"/>
          <w:color w:val="auto"/>
        </w:rPr>
        <w:t>EPS PSUs</w:t>
      </w:r>
      <w:r>
        <w:rPr>
          <w:rFonts w:ascii="Times New Roman" w:cs="Times New Roman" w:eastAsia="Times New Roman" w:hAnsi="Times New Roman"/>
          <w:sz w:val="22"/>
          <w:szCs w:val="22"/>
          <w:color w:val="auto"/>
        </w:rPr>
        <w:t>”), and 50% of the Target PSUs will be initially earned based on ROIC (the “</w:t>
      </w:r>
      <w:r>
        <w:rPr>
          <w:rFonts w:ascii="Times New Roman" w:cs="Times New Roman" w:eastAsia="Times New Roman" w:hAnsi="Times New Roman"/>
          <w:sz w:val="22"/>
          <w:szCs w:val="22"/>
          <w:b w:val="1"/>
          <w:bCs w:val="1"/>
          <w:i w:val="1"/>
          <w:iCs w:val="1"/>
          <w:color w:val="auto"/>
        </w:rPr>
        <w:t>ROIC PSUs</w:t>
      </w:r>
      <w:r>
        <w:rPr>
          <w:rFonts w:ascii="Times New Roman" w:cs="Times New Roman" w:eastAsia="Times New Roman" w:hAnsi="Times New Roman"/>
          <w:sz w:val="22"/>
          <w:szCs w:val="22"/>
          <w:color w:val="auto"/>
        </w:rPr>
        <w:t>”). The total EPS PSUs and ROIC PSUs initially earned shall be subject to modification based on RTSR Performance.</w:t>
      </w:r>
    </w:p>
    <w:p>
      <w:pPr>
        <w:spacing w:after="0" w:line="20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40" w:lineRule="exact"/>
        <w:rPr>
          <w:rFonts w:ascii="Times New Roman" w:cs="Times New Roman" w:eastAsia="Times New Roman" w:hAnsi="Times New Roman"/>
          <w:sz w:val="22"/>
          <w:szCs w:val="22"/>
          <w:color w:val="auto"/>
        </w:rPr>
      </w:pPr>
    </w:p>
    <w:p>
      <w:pPr>
        <w:jc w:val="both"/>
        <w:ind w:left="1300" w:hanging="644"/>
        <w:spacing w:after="0" w:line="260" w:lineRule="auto"/>
        <w:tabs>
          <w:tab w:leader="none" w:pos="1303"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w:t>
      </w:r>
      <w:r>
        <w:rPr>
          <w:rFonts w:ascii="Times New Roman" w:cs="Times New Roman" w:eastAsia="Times New Roman" w:hAnsi="Times New Roman"/>
          <w:sz w:val="22"/>
          <w:szCs w:val="22"/>
          <w:color w:val="auto"/>
        </w:rPr>
        <w:t>” means the adjusted diluted earnings per share from continuing operations as publicly disclosed by the Company, plus or minus special items that may occur from time-to-time that the Committee believes should adjust the as-reported results for measurement of performance.</w:t>
      </w:r>
    </w:p>
    <w:p>
      <w:pPr>
        <w:spacing w:after="0" w:line="190" w:lineRule="exact"/>
        <w:rPr>
          <w:rFonts w:ascii="Times New Roman" w:cs="Times New Roman" w:eastAsia="Times New Roman" w:hAnsi="Times New Roman"/>
          <w:sz w:val="22"/>
          <w:szCs w:val="22"/>
          <w:color w:val="auto"/>
        </w:rPr>
      </w:pPr>
    </w:p>
    <w:p>
      <w:pPr>
        <w:ind w:left="1300" w:hanging="644"/>
        <w:spacing w:after="0" w:line="266" w:lineRule="auto"/>
        <w:tabs>
          <w:tab w:leader="none" w:pos="1196"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90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84" w:lineRule="exact"/>
        <w:rPr>
          <w:rFonts w:ascii="Times New Roman" w:cs="Times New Roman" w:eastAsia="Times New Roman" w:hAnsi="Times New Roman"/>
          <w:sz w:val="22"/>
          <w:szCs w:val="22"/>
          <w:color w:val="auto"/>
        </w:rPr>
      </w:pPr>
    </w:p>
    <w:p>
      <w:pPr>
        <w:ind w:left="1300" w:hanging="644"/>
        <w:spacing w:after="0" w:line="249" w:lineRule="auto"/>
        <w:tabs>
          <w:tab w:leader="none" w:pos="1156"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 Adjustment Protocol</w:t>
      </w:r>
      <w:r>
        <w:rPr>
          <w:rFonts w:ascii="Times New Roman" w:cs="Times New Roman" w:eastAsia="Times New Roman" w:hAnsi="Times New Roman"/>
          <w:sz w:val="22"/>
          <w:szCs w:val="22"/>
          <w:color w:val="auto"/>
        </w:rPr>
        <w:t xml:space="preserve">” means: (i) if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has been acquired and/or is no longer existing as a public company that is traded on its primary stock exchange (other than for the reasons as described in subsection (i) above), then such entity will not remain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269" w:name="page270"/>
    <w:bookmarkEnd w:id="269"/>
    <w:p>
      <w:pPr>
        <w:jc w:val="both"/>
        <w:ind w:left="1292"/>
        <w:spacing w:after="0" w:line="256" w:lineRule="auto"/>
        <w:rPr>
          <w:sz w:val="20"/>
          <w:szCs w:val="20"/>
          <w:color w:val="auto"/>
        </w:rPr>
      </w:pPr>
      <w:r>
        <w:rPr>
          <w:rFonts w:ascii="Times New Roman" w:cs="Times New Roman" w:eastAsia="Times New Roman" w:hAnsi="Times New Roman"/>
          <w:sz w:val="22"/>
          <w:szCs w:val="22"/>
          <w:color w:val="auto"/>
        </w:rPr>
        <w:t xml:space="preserve">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such entity shall be deemed to include any successor to all or substantially all of the primary business of such entity at end of the Performance Period.</w:t>
      </w:r>
    </w:p>
    <w:p>
      <w:pPr>
        <w:spacing w:after="0" w:line="197" w:lineRule="exact"/>
        <w:rPr>
          <w:sz w:val="20"/>
          <w:szCs w:val="20"/>
          <w:color w:val="auto"/>
        </w:rPr>
      </w:pPr>
    </w:p>
    <w:p>
      <w:pPr>
        <w:jc w:val="both"/>
        <w:ind w:left="1292" w:hanging="644"/>
        <w:spacing w:after="0" w:line="260" w:lineRule="auto"/>
        <w:tabs>
          <w:tab w:leader="none" w:pos="1227"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90" w:lineRule="exact"/>
        <w:rPr>
          <w:rFonts w:ascii="Times New Roman" w:cs="Times New Roman" w:eastAsia="Times New Roman" w:hAnsi="Times New Roman"/>
          <w:sz w:val="22"/>
          <w:szCs w:val="22"/>
          <w:color w:val="auto"/>
        </w:rPr>
      </w:pPr>
    </w:p>
    <w:p>
      <w:pPr>
        <w:jc w:val="both"/>
        <w:ind w:left="1292" w:hanging="644"/>
        <w:spacing w:after="0" w:line="258" w:lineRule="auto"/>
        <w:tabs>
          <w:tab w:leader="none" w:pos="1271"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ROIC</w:t>
      </w:r>
      <w:r>
        <w:rPr>
          <w:rFonts w:ascii="Times New Roman" w:cs="Times New Roman" w:eastAsia="Times New Roman" w:hAnsi="Times New Roman"/>
          <w:sz w:val="22"/>
          <w:szCs w:val="22"/>
          <w:color w:val="auto"/>
        </w:rPr>
        <w:t>” means the quotient of (i) net adjusted operating profit after income taxes (“</w:t>
      </w:r>
      <w:r>
        <w:rPr>
          <w:rFonts w:ascii="Times New Roman" w:cs="Times New Roman" w:eastAsia="Times New Roman" w:hAnsi="Times New Roman"/>
          <w:sz w:val="22"/>
          <w:szCs w:val="22"/>
          <w:b w:val="1"/>
          <w:bCs w:val="1"/>
          <w:i w:val="1"/>
          <w:iCs w:val="1"/>
          <w:color w:val="auto"/>
        </w:rPr>
        <w:t>NOPAT</w:t>
      </w:r>
      <w:r>
        <w:rPr>
          <w:rFonts w:ascii="Times New Roman" w:cs="Times New Roman" w:eastAsia="Times New Roman" w:hAnsi="Times New Roman"/>
          <w:sz w:val="22"/>
          <w:szCs w:val="22"/>
          <w:color w:val="auto"/>
        </w:rPr>
        <w:t>”) divided by (ii) invested capital. The Company uses its long-term expected effective tax rate of 25% in the calculation of NOPAT for all periods to eliminate potential volatility in year-to-year results from tax planning strategies which may impact the measurement of operating returns.</w:t>
      </w:r>
    </w:p>
    <w:p>
      <w:pPr>
        <w:spacing w:after="0" w:line="194" w:lineRule="exact"/>
        <w:rPr>
          <w:rFonts w:ascii="Times New Roman" w:cs="Times New Roman" w:eastAsia="Times New Roman" w:hAnsi="Times New Roman"/>
          <w:sz w:val="22"/>
          <w:szCs w:val="22"/>
          <w:color w:val="auto"/>
        </w:rPr>
      </w:pPr>
    </w:p>
    <w:p>
      <w:pPr>
        <w:jc w:val="both"/>
        <w:ind w:left="1292" w:hanging="644"/>
        <w:spacing w:after="0" w:line="249" w:lineRule="auto"/>
        <w:tabs>
          <w:tab w:leader="none" w:pos="1245"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2026 on the principal stock exchange on which the stock is then traded and the ending stock price will be based on the average closing stock price for the 20 trading days immediately preceding January 1, 2029 on the principal stock exchange on which the stock then trades.</w:t>
      </w:r>
    </w:p>
    <w:p>
      <w:pPr>
        <w:spacing w:after="0" w:line="228" w:lineRule="exact"/>
        <w:rPr>
          <w:rFonts w:ascii="Times New Roman" w:cs="Times New Roman" w:eastAsia="Times New Roman" w:hAnsi="Times New Roman"/>
          <w:sz w:val="22"/>
          <w:szCs w:val="22"/>
          <w:color w:val="auto"/>
        </w:rPr>
      </w:pPr>
    </w:p>
    <w:p>
      <w:pPr>
        <w:ind w:left="-8" w:firstLine="8"/>
        <w:spacing w:after="0" w:line="271" w:lineRule="auto"/>
        <w:tabs>
          <w:tab w:leader="none" w:pos="451"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Performance Matrix</w:t>
      </w:r>
      <w:r>
        <w:rPr>
          <w:rFonts w:ascii="Times New Roman" w:cs="Times New Roman" w:eastAsia="Times New Roman" w:hAnsi="Times New Roman"/>
          <w:sz w:val="22"/>
          <w:szCs w:val="22"/>
          <w:color w:val="auto"/>
        </w:rPr>
        <w:t>. From 0% to 200% of the EPS PSUs will be initially earned based on achievement of the EPS performance goals for each year during the Performance Period as follows:</w:t>
      </w:r>
    </w:p>
    <w:p>
      <w:pPr>
        <w:spacing w:after="0" w:line="206" w:lineRule="exact"/>
        <w:rPr>
          <w:sz w:val="20"/>
          <w:szCs w:val="20"/>
          <w:color w:val="auto"/>
        </w:rPr>
      </w:pPr>
    </w:p>
    <w:tbl>
      <w:tblPr>
        <w:tblLayout w:type="fixed"/>
        <w:tblInd w:w="42" w:type="dxa"/>
        <w:tblCellMar>
          <w:top w:w="0" w:type="dxa"/>
          <w:left w:w="0" w:type="dxa"/>
          <w:bottom w:w="0" w:type="dxa"/>
          <w:right w:w="0" w:type="dxa"/>
        </w:tblCellMar>
      </w:tblPr>
      <w:tr>
        <w:trPr>
          <w:trHeight w:val="480"/>
        </w:trPr>
        <w:tc>
          <w:tcPr>
            <w:tcW w:w="1200" w:type="dxa"/>
            <w:vAlign w:val="bottom"/>
            <w:tcBorders>
              <w:top w:val="single" w:sz="8" w:color="auto"/>
              <w:left w:val="single" w:sz="8" w:color="auto"/>
              <w:bottom w:val="single" w:sz="8" w:color="A6A6A6"/>
              <w:right w:val="single" w:sz="8" w:color="auto"/>
            </w:tcBorders>
            <w:shd w:val="clear" w:color="auto" w:fill="A6A6A6"/>
          </w:tcPr>
          <w:p>
            <w:pPr>
              <w:spacing w:after="0"/>
              <w:rPr>
                <w:sz w:val="24"/>
                <w:szCs w:val="24"/>
                <w:color w:val="auto"/>
              </w:rPr>
            </w:pPr>
          </w:p>
        </w:tc>
        <w:tc>
          <w:tcPr>
            <w:tcW w:w="3240" w:type="dxa"/>
            <w:vAlign w:val="bottom"/>
            <w:tcBorders>
              <w:top w:val="single" w:sz="8" w:color="auto"/>
              <w:bottom w:val="single" w:sz="8" w:color="auto"/>
              <w:right w:val="single" w:sz="8" w:color="A6A6A6"/>
            </w:tcBorders>
            <w:shd w:val="clear" w:color="auto" w:fill="A6A6A6"/>
          </w:tcPr>
          <w:p>
            <w:pPr>
              <w:spacing w:after="0"/>
              <w:rPr>
                <w:sz w:val="24"/>
                <w:szCs w:val="24"/>
                <w:color w:val="auto"/>
              </w:rPr>
            </w:pPr>
          </w:p>
        </w:tc>
        <w:tc>
          <w:tcPr>
            <w:tcW w:w="2580" w:type="dxa"/>
            <w:vAlign w:val="bottom"/>
            <w:tcBorders>
              <w:top w:val="single" w:sz="8" w:color="auto"/>
              <w:bottom w:val="single" w:sz="8" w:color="auto"/>
              <w:right w:val="single" w:sz="8" w:color="A6A6A6"/>
            </w:tcBorders>
            <w:shd w:val="clear" w:color="auto" w:fill="A6A6A6"/>
          </w:tcPr>
          <w:p>
            <w:pPr>
              <w:ind w:left="500"/>
              <w:spacing w:after="0"/>
              <w:rPr>
                <w:sz w:val="20"/>
                <w:szCs w:val="20"/>
                <w:color w:val="auto"/>
              </w:rPr>
            </w:pPr>
            <w:r>
              <w:rPr>
                <w:rFonts w:ascii="Times New Roman" w:cs="Times New Roman" w:eastAsia="Times New Roman" w:hAnsi="Times New Roman"/>
                <w:sz w:val="22"/>
                <w:szCs w:val="22"/>
                <w:b w:val="1"/>
                <w:bCs w:val="1"/>
                <w:color w:val="auto"/>
              </w:rPr>
              <w:t>EPS Goal</w:t>
            </w:r>
          </w:p>
        </w:tc>
        <w:tc>
          <w:tcPr>
            <w:tcW w:w="2600" w:type="dxa"/>
            <w:vAlign w:val="bottom"/>
            <w:tcBorders>
              <w:top w:val="single" w:sz="8" w:color="auto"/>
              <w:bottom w:val="single" w:sz="8" w:color="auto"/>
              <w:right w:val="single" w:sz="8" w:color="auto"/>
            </w:tcBorders>
            <w:shd w:val="clear" w:color="auto" w:fill="A6A6A6"/>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00" w:type="dxa"/>
            <w:vAlign w:val="bottom"/>
            <w:tcBorders>
              <w:left w:val="single" w:sz="8" w:color="auto"/>
              <w:right w:val="single" w:sz="8" w:color="auto"/>
            </w:tcBorders>
            <w:shd w:val="clear" w:color="auto" w:fill="A6A6A6"/>
          </w:tcPr>
          <w:p>
            <w:pPr>
              <w:spacing w:after="0"/>
              <w:rPr>
                <w:sz w:val="23"/>
                <w:szCs w:val="23"/>
                <w:color w:val="auto"/>
              </w:rPr>
            </w:pPr>
          </w:p>
        </w:tc>
        <w:tc>
          <w:tcPr>
            <w:tcW w:w="324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2580" w:type="dxa"/>
            <w:vAlign w:val="bottom"/>
            <w:tcBorders>
              <w:right w:val="single" w:sz="8" w:color="auto"/>
            </w:tcBorders>
            <w:shd w:val="clear" w:color="auto" w:fill="A6A6A6"/>
          </w:tcPr>
          <w:p>
            <w:pPr>
              <w:ind w:left="98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60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1200" w:type="dxa"/>
            <w:vAlign w:val="bottom"/>
            <w:tcBorders>
              <w:left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Year</w:t>
            </w:r>
          </w:p>
        </w:tc>
        <w:tc>
          <w:tcPr>
            <w:tcW w:w="3240" w:type="dxa"/>
            <w:vAlign w:val="bottom"/>
            <w:tcBorders>
              <w:bottom w:val="single" w:sz="8" w:color="auto"/>
              <w:right w:val="single" w:sz="8" w:color="auto"/>
            </w:tcBorders>
            <w:shd w:val="clear" w:color="auto" w:fill="A6A6A6"/>
          </w:tcPr>
          <w:p>
            <w:pPr>
              <w:jc w:val="right"/>
              <w:ind w:right="1312"/>
              <w:spacing w:after="0"/>
              <w:rPr>
                <w:sz w:val="20"/>
                <w:szCs w:val="20"/>
                <w:color w:val="auto"/>
              </w:rPr>
            </w:pPr>
            <w:r>
              <w:rPr>
                <w:rFonts w:ascii="Times New Roman" w:cs="Times New Roman" w:eastAsia="Times New Roman" w:hAnsi="Times New Roman"/>
                <w:sz w:val="22"/>
                <w:szCs w:val="22"/>
                <w:b w:val="1"/>
                <w:bCs w:val="1"/>
                <w:color w:val="auto"/>
              </w:rPr>
              <w:t>40%</w:t>
            </w:r>
          </w:p>
        </w:tc>
        <w:tc>
          <w:tcPr>
            <w:tcW w:w="2580" w:type="dxa"/>
            <w:vAlign w:val="bottom"/>
            <w:tcBorders>
              <w:bottom w:val="single" w:sz="8" w:color="auto"/>
              <w:right w:val="single" w:sz="8" w:color="auto"/>
            </w:tcBorders>
            <w:shd w:val="clear" w:color="auto" w:fill="A6A6A6"/>
          </w:tcPr>
          <w:p>
            <w:pPr>
              <w:ind w:left="1000"/>
              <w:spacing w:after="0"/>
              <w:rPr>
                <w:sz w:val="20"/>
                <w:szCs w:val="20"/>
                <w:color w:val="auto"/>
              </w:rPr>
            </w:pPr>
            <w:r>
              <w:rPr>
                <w:rFonts w:ascii="Times New Roman" w:cs="Times New Roman" w:eastAsia="Times New Roman" w:hAnsi="Times New Roman"/>
                <w:sz w:val="22"/>
                <w:szCs w:val="22"/>
                <w:b w:val="1"/>
                <w:bCs w:val="1"/>
                <w:color w:val="auto"/>
              </w:rPr>
              <w:t>100%</w:t>
            </w:r>
          </w:p>
        </w:tc>
        <w:tc>
          <w:tcPr>
            <w:tcW w:w="2600" w:type="dxa"/>
            <w:vAlign w:val="bottom"/>
            <w:tcBorders>
              <w:bottom w:val="single" w:sz="8" w:color="auto"/>
              <w:right w:val="single" w:sz="8" w:color="auto"/>
            </w:tcBorders>
            <w:shd w:val="clear" w:color="auto" w:fill="A6A6A6"/>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Weighting</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2026</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2027</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32"/>
          </w:cols>
          <w:pgMar w:left="328" w:top="1422" w:right="339" w:bottom="1440" w:gutter="0" w:footer="0" w:header="0"/>
        </w:sectPr>
      </w:pPr>
    </w:p>
    <w:bookmarkStart w:id="270" w:name="page271"/>
    <w:bookmarkEnd w:id="270"/>
    <w:p>
      <w:pPr>
        <w:spacing w:after="0" w:line="200" w:lineRule="exact"/>
        <w:rPr>
          <w:sz w:val="20"/>
          <w:szCs w:val="20"/>
          <w:color w:val="auto"/>
        </w:rPr>
      </w:pPr>
    </w:p>
    <w:p>
      <w:pPr>
        <w:spacing w:after="0" w:line="268" w:lineRule="exact"/>
        <w:rPr>
          <w:sz w:val="20"/>
          <w:szCs w:val="20"/>
          <w:color w:val="auto"/>
        </w:rPr>
      </w:pPr>
    </w:p>
    <w:p>
      <w:pPr>
        <w:jc w:val="both"/>
        <w:ind w:left="-8" w:firstLine="8"/>
        <w:spacing w:after="0" w:line="250" w:lineRule="auto"/>
        <w:tabs>
          <w:tab w:leader="none" w:pos="37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PSUs Earned</w:t>
      </w:r>
      <w:r>
        <w:rPr>
          <w:rFonts w:ascii="Times New Roman" w:cs="Times New Roman" w:eastAsia="Times New Roman" w:hAnsi="Times New Roman"/>
          <w:sz w:val="22"/>
          <w:szCs w:val="22"/>
          <w:color w:val="auto"/>
        </w:rPr>
        <w:t xml:space="preserve">. Following the Performance Period, on the Determination Date, the Committee shall determine whether and to what extent the EPS performance goal has been satisfied for each applicable year during the Performance Period (for purposes of this Section 6, as described in the above matrix) and shall determine the percentage of the EPS PSUs that shall become initially earned hereunder and under the Agreement based on the sum total of the weighted achievement for each applicable year during the Performance Period equal to the product of (x) the actual achievement of the EPS performance goal for an applicable year during the Performance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the relative weighting of such year (the “</w:t>
      </w:r>
      <w:r>
        <w:rPr>
          <w:rFonts w:ascii="Times New Roman" w:cs="Times New Roman" w:eastAsia="Times New Roman" w:hAnsi="Times New Roman"/>
          <w:sz w:val="22"/>
          <w:szCs w:val="22"/>
          <w:b w:val="1"/>
          <w:bCs w:val="1"/>
          <w:i w:val="1"/>
          <w:iCs w:val="1"/>
          <w:color w:val="auto"/>
        </w:rPr>
        <w:t>Initial EPS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Percentage</w:t>
      </w:r>
      <w:r>
        <w:rPr>
          <w:rFonts w:ascii="Times New Roman" w:cs="Times New Roman" w:eastAsia="Times New Roman" w:hAnsi="Times New Roman"/>
          <w:sz w:val="22"/>
          <w:szCs w:val="22"/>
          <w:color w:val="auto"/>
        </w:rPr>
        <w:t>”), subject to modification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7" w:lineRule="exact"/>
        <w:rPr>
          <w:rFonts w:ascii="Times New Roman" w:cs="Times New Roman" w:eastAsia="Times New Roman" w:hAnsi="Times New Roman"/>
          <w:sz w:val="22"/>
          <w:szCs w:val="22"/>
          <w:color w:val="auto"/>
        </w:rPr>
      </w:pPr>
    </w:p>
    <w:p>
      <w:pPr>
        <w:ind w:left="1292" w:right="220" w:hanging="725"/>
        <w:spacing w:after="0" w:line="263" w:lineRule="auto"/>
        <w:tabs>
          <w:tab w:leader="none" w:pos="1079"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for an applicable year during the Performance Period falls below the lowest EPS level set forth in the Performance Matrix for the applicable year, the Initial EPS Percentage for such year during the Performance Period shall be 0%.</w:t>
      </w:r>
    </w:p>
    <w:p>
      <w:pPr>
        <w:spacing w:after="0" w:line="194" w:lineRule="exact"/>
        <w:rPr>
          <w:rFonts w:ascii="Times New Roman" w:cs="Times New Roman" w:eastAsia="Times New Roman" w:hAnsi="Times New Roman"/>
          <w:sz w:val="22"/>
          <w:szCs w:val="22"/>
          <w:color w:val="auto"/>
        </w:rPr>
      </w:pPr>
    </w:p>
    <w:p>
      <w:pPr>
        <w:jc w:val="both"/>
        <w:ind w:left="1292" w:hanging="644"/>
        <w:spacing w:after="0" w:line="249" w:lineRule="auto"/>
        <w:tabs>
          <w:tab w:leader="none" w:pos="1256" w:val="left"/>
        </w:tabs>
        <w:numPr>
          <w:ilvl w:val="2"/>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for an applicable year during the Performance Period is exactly equal to one of the levels set forth in the Performance Matrix, the Initial EPS Percentage for such year during the Performance Period shall be equal to the percentage set forth for such level in the Performance Matrix. If, upon the conclusion of the Performance Period, EPS for an applicable year during the Performance Period falls between two levels set forth in the Performance Matrix, the Initial EPS Percentage for such year during the Performance Period shall be based on straight-line mathematical interpolation between the percentages applicable to such levels but in no event will the Initial EPS Percentage for an applicable year during the Performance Period be greater than 200%.</w:t>
      </w:r>
    </w:p>
    <w:p>
      <w:pPr>
        <w:spacing w:after="0" w:line="208" w:lineRule="exact"/>
        <w:rPr>
          <w:rFonts w:ascii="Times New Roman" w:cs="Times New Roman" w:eastAsia="Times New Roman" w:hAnsi="Times New Roman"/>
          <w:sz w:val="22"/>
          <w:szCs w:val="22"/>
          <w:color w:val="auto"/>
        </w:rPr>
      </w:pPr>
    </w:p>
    <w:p>
      <w:pPr>
        <w:ind w:left="-8" w:firstLine="8"/>
        <w:spacing w:after="0" w:line="284" w:lineRule="auto"/>
        <w:tabs>
          <w:tab w:leader="none" w:pos="383"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 Performance Matrix</w:t>
      </w:r>
      <w:r>
        <w:rPr>
          <w:rFonts w:ascii="Times New Roman" w:cs="Times New Roman" w:eastAsia="Times New Roman" w:hAnsi="Times New Roman"/>
          <w:sz w:val="22"/>
          <w:szCs w:val="22"/>
          <w:color w:val="auto"/>
        </w:rPr>
        <w:t>. From 0% to 200% of the ROIC PSUs will be initially earned based on achievement of the ROIC performance goals during the Performance Period as follows:</w:t>
      </w:r>
    </w:p>
    <w:p>
      <w:pPr>
        <w:spacing w:after="0" w:line="192" w:lineRule="exact"/>
        <w:rPr>
          <w:sz w:val="20"/>
          <w:szCs w:val="20"/>
          <w:color w:val="auto"/>
        </w:rPr>
      </w:pPr>
    </w:p>
    <w:tbl>
      <w:tblPr>
        <w:tblLayout w:type="fixed"/>
        <w:tblInd w:w="42" w:type="dxa"/>
        <w:tblCellMar>
          <w:top w:w="0" w:type="dxa"/>
          <w:left w:w="0" w:type="dxa"/>
          <w:bottom w:w="0" w:type="dxa"/>
          <w:right w:w="0" w:type="dxa"/>
        </w:tblCellMar>
      </w:tblPr>
      <w:tr>
        <w:trPr>
          <w:trHeight w:val="480"/>
        </w:trPr>
        <w:tc>
          <w:tcPr>
            <w:tcW w:w="1200" w:type="dxa"/>
            <w:vAlign w:val="bottom"/>
            <w:tcBorders>
              <w:top w:val="single" w:sz="8" w:color="auto"/>
              <w:left w:val="single" w:sz="8" w:color="auto"/>
              <w:bottom w:val="single" w:sz="8" w:color="A6A6A6"/>
              <w:right w:val="single" w:sz="8" w:color="auto"/>
            </w:tcBorders>
            <w:shd w:val="clear" w:color="auto" w:fill="A6A6A6"/>
          </w:tcPr>
          <w:p>
            <w:pPr>
              <w:spacing w:after="0"/>
              <w:rPr>
                <w:sz w:val="24"/>
                <w:szCs w:val="24"/>
                <w:color w:val="auto"/>
              </w:rPr>
            </w:pPr>
          </w:p>
        </w:tc>
        <w:tc>
          <w:tcPr>
            <w:tcW w:w="3240" w:type="dxa"/>
            <w:vAlign w:val="bottom"/>
            <w:tcBorders>
              <w:top w:val="single" w:sz="8" w:color="auto"/>
              <w:bottom w:val="single" w:sz="8" w:color="auto"/>
              <w:right w:val="single" w:sz="8" w:color="A6A6A6"/>
            </w:tcBorders>
            <w:shd w:val="clear" w:color="auto" w:fill="A6A6A6"/>
          </w:tcPr>
          <w:p>
            <w:pPr>
              <w:spacing w:after="0"/>
              <w:rPr>
                <w:sz w:val="24"/>
                <w:szCs w:val="24"/>
                <w:color w:val="auto"/>
              </w:rPr>
            </w:pPr>
          </w:p>
        </w:tc>
        <w:tc>
          <w:tcPr>
            <w:tcW w:w="2580" w:type="dxa"/>
            <w:vAlign w:val="bottom"/>
            <w:tcBorders>
              <w:top w:val="single" w:sz="8" w:color="auto"/>
              <w:bottom w:val="single" w:sz="8" w:color="auto"/>
              <w:right w:val="single" w:sz="8" w:color="A6A6A6"/>
            </w:tcBorders>
            <w:shd w:val="clear" w:color="auto" w:fill="A6A6A6"/>
          </w:tcPr>
          <w:p>
            <w:pPr>
              <w:ind w:left="420"/>
              <w:spacing w:after="0"/>
              <w:rPr>
                <w:sz w:val="20"/>
                <w:szCs w:val="20"/>
                <w:color w:val="auto"/>
              </w:rPr>
            </w:pPr>
            <w:r>
              <w:rPr>
                <w:rFonts w:ascii="Times New Roman" w:cs="Times New Roman" w:eastAsia="Times New Roman" w:hAnsi="Times New Roman"/>
                <w:sz w:val="22"/>
                <w:szCs w:val="22"/>
                <w:b w:val="1"/>
                <w:bCs w:val="1"/>
                <w:color w:val="auto"/>
              </w:rPr>
              <w:t>ROIC Goal</w:t>
            </w:r>
          </w:p>
        </w:tc>
        <w:tc>
          <w:tcPr>
            <w:tcW w:w="2600" w:type="dxa"/>
            <w:vAlign w:val="bottom"/>
            <w:tcBorders>
              <w:top w:val="single" w:sz="8" w:color="auto"/>
              <w:bottom w:val="single" w:sz="8" w:color="auto"/>
              <w:right w:val="single" w:sz="8" w:color="auto"/>
            </w:tcBorders>
            <w:shd w:val="clear" w:color="auto" w:fill="A6A6A6"/>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00" w:type="dxa"/>
            <w:vAlign w:val="bottom"/>
            <w:tcBorders>
              <w:left w:val="single" w:sz="8" w:color="auto"/>
              <w:right w:val="single" w:sz="8" w:color="auto"/>
            </w:tcBorders>
            <w:shd w:val="clear" w:color="auto" w:fill="A6A6A6"/>
          </w:tcPr>
          <w:p>
            <w:pPr>
              <w:spacing w:after="0"/>
              <w:rPr>
                <w:sz w:val="23"/>
                <w:szCs w:val="23"/>
                <w:color w:val="auto"/>
              </w:rPr>
            </w:pPr>
          </w:p>
        </w:tc>
        <w:tc>
          <w:tcPr>
            <w:tcW w:w="324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Threshold</w:t>
            </w:r>
          </w:p>
        </w:tc>
        <w:tc>
          <w:tcPr>
            <w:tcW w:w="2580" w:type="dxa"/>
            <w:vAlign w:val="bottom"/>
            <w:tcBorders>
              <w:right w:val="single" w:sz="8" w:color="auto"/>
            </w:tcBorders>
            <w:shd w:val="clear" w:color="auto" w:fill="A6A6A6"/>
          </w:tcPr>
          <w:p>
            <w:pPr>
              <w:ind w:left="98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600" w:type="dxa"/>
            <w:vAlign w:val="bottom"/>
            <w:tcBorders>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1200" w:type="dxa"/>
            <w:vAlign w:val="bottom"/>
            <w:tcBorders>
              <w:left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Year</w:t>
            </w:r>
          </w:p>
        </w:tc>
        <w:tc>
          <w:tcPr>
            <w:tcW w:w="3240" w:type="dxa"/>
            <w:vAlign w:val="bottom"/>
            <w:tcBorders>
              <w:bottom w:val="single" w:sz="8" w:color="auto"/>
              <w:right w:val="single" w:sz="8" w:color="auto"/>
            </w:tcBorders>
            <w:shd w:val="clear" w:color="auto" w:fill="A6A6A6"/>
          </w:tcPr>
          <w:p>
            <w:pPr>
              <w:jc w:val="right"/>
              <w:ind w:right="1312"/>
              <w:spacing w:after="0"/>
              <w:rPr>
                <w:sz w:val="20"/>
                <w:szCs w:val="20"/>
                <w:color w:val="auto"/>
              </w:rPr>
            </w:pPr>
            <w:r>
              <w:rPr>
                <w:rFonts w:ascii="Times New Roman" w:cs="Times New Roman" w:eastAsia="Times New Roman" w:hAnsi="Times New Roman"/>
                <w:sz w:val="22"/>
                <w:szCs w:val="22"/>
                <w:b w:val="1"/>
                <w:bCs w:val="1"/>
                <w:color w:val="auto"/>
              </w:rPr>
              <w:t>40%</w:t>
            </w:r>
          </w:p>
        </w:tc>
        <w:tc>
          <w:tcPr>
            <w:tcW w:w="2580" w:type="dxa"/>
            <w:vAlign w:val="bottom"/>
            <w:tcBorders>
              <w:bottom w:val="single" w:sz="8" w:color="auto"/>
              <w:right w:val="single" w:sz="8" w:color="auto"/>
            </w:tcBorders>
            <w:shd w:val="clear" w:color="auto" w:fill="A6A6A6"/>
          </w:tcPr>
          <w:p>
            <w:pPr>
              <w:ind w:left="1000"/>
              <w:spacing w:after="0"/>
              <w:rPr>
                <w:sz w:val="20"/>
                <w:szCs w:val="20"/>
                <w:color w:val="auto"/>
              </w:rPr>
            </w:pPr>
            <w:r>
              <w:rPr>
                <w:rFonts w:ascii="Times New Roman" w:cs="Times New Roman" w:eastAsia="Times New Roman" w:hAnsi="Times New Roman"/>
                <w:sz w:val="22"/>
                <w:szCs w:val="22"/>
                <w:b w:val="1"/>
                <w:bCs w:val="1"/>
                <w:color w:val="auto"/>
              </w:rPr>
              <w:t>100%</w:t>
            </w:r>
          </w:p>
        </w:tc>
        <w:tc>
          <w:tcPr>
            <w:tcW w:w="2600" w:type="dxa"/>
            <w:vAlign w:val="bottom"/>
            <w:tcBorders>
              <w:bottom w:val="single" w:sz="8" w:color="auto"/>
              <w:right w:val="single" w:sz="8" w:color="auto"/>
            </w:tcBorders>
            <w:shd w:val="clear" w:color="auto" w:fill="A6A6A6"/>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Weighting</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2026</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2027</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Pre-Set</w:t>
            </w:r>
          </w:p>
        </w:tc>
        <w:tc>
          <w:tcPr>
            <w:tcW w:w="324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2028</w:t>
            </w:r>
          </w:p>
        </w:tc>
        <w:tc>
          <w:tcPr>
            <w:tcW w:w="324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32"/>
          </w:cols>
          <w:pgMar w:left="328" w:top="1440" w:right="339" w:bottom="1440" w:gutter="0" w:footer="0" w:header="0"/>
        </w:sectPr>
      </w:pPr>
    </w:p>
    <w:bookmarkStart w:id="271" w:name="page272"/>
    <w:bookmarkEnd w:id="271"/>
    <w:p>
      <w:pPr>
        <w:jc w:val="both"/>
        <w:ind w:firstLine="8"/>
        <w:spacing w:after="0" w:line="250" w:lineRule="auto"/>
        <w:tabs>
          <w:tab w:leader="none" w:pos="54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ROIC PSUs Earned</w:t>
      </w:r>
      <w:r>
        <w:rPr>
          <w:rFonts w:ascii="Times New Roman" w:cs="Times New Roman" w:eastAsia="Times New Roman" w:hAnsi="Times New Roman"/>
          <w:sz w:val="22"/>
          <w:szCs w:val="22"/>
          <w:color w:val="auto"/>
        </w:rPr>
        <w:t xml:space="preserve">. Following the Performance Period, on the Determination Date, the Committee shall determine whether and to what extent the ROIC performance goal has been satisfied for each applicable year during the Performance Period (for purposes of this Section 8, as described in the above matrix) and shall determine the percentage of the ROIC PSUs that shall become initially earned hereunder and under the Agreement based on the sum total of the weighted achievement for each applicable year during the Performance Period equal to the product of (i) the actual achievement of the ROIC performance goal for an applicable year during the Performance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relative weighting of such year (the “</w:t>
      </w:r>
      <w:r>
        <w:rPr>
          <w:rFonts w:ascii="Times New Roman" w:cs="Times New Roman" w:eastAsia="Times New Roman" w:hAnsi="Times New Roman"/>
          <w:sz w:val="22"/>
          <w:szCs w:val="22"/>
          <w:b w:val="1"/>
          <w:bCs w:val="1"/>
          <w:i w:val="1"/>
          <w:iCs w:val="1"/>
          <w:color w:val="auto"/>
        </w:rPr>
        <w:t>Initial ROIC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7" w:lineRule="exact"/>
        <w:rPr>
          <w:rFonts w:ascii="Times New Roman" w:cs="Times New Roman" w:eastAsia="Times New Roman" w:hAnsi="Times New Roman"/>
          <w:sz w:val="22"/>
          <w:szCs w:val="22"/>
          <w:color w:val="auto"/>
        </w:rPr>
      </w:pPr>
    </w:p>
    <w:p>
      <w:pPr>
        <w:ind w:left="1300" w:hanging="725"/>
        <w:spacing w:after="0" w:line="263" w:lineRule="auto"/>
        <w:tabs>
          <w:tab w:leader="none" w:pos="1222"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ROIC for an applicable year during the Performance Period falls below the lowest ROIC level set forth in the Performance Matrix for the applicable year, the Initial ROIC Percentage for such year during the Performance Period shall be 0%.</w:t>
      </w:r>
    </w:p>
    <w:p>
      <w:pPr>
        <w:spacing w:after="0" w:line="194" w:lineRule="exact"/>
        <w:rPr>
          <w:rFonts w:ascii="Times New Roman" w:cs="Times New Roman" w:eastAsia="Times New Roman" w:hAnsi="Times New Roman"/>
          <w:sz w:val="22"/>
          <w:szCs w:val="22"/>
          <w:color w:val="auto"/>
        </w:rPr>
      </w:pPr>
    </w:p>
    <w:p>
      <w:pPr>
        <w:ind w:left="1300" w:hanging="644"/>
        <w:spacing w:after="0" w:line="250" w:lineRule="auto"/>
        <w:tabs>
          <w:tab w:leader="none" w:pos="1223"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ROIC for an applicable year during the Performance Period is exactly equal to one of the levels set forth in the Performance Matrix, the Initial ROIC Percentage shall be equal to the percentage set forth for such level in the Performance Matrix. If, upon the conclusion of the Performance Period, ROIC for an applicable year during the Performance Period falls between two levels set forth in the Performance Matrix, the Initial ROIC Percentage shall be based on straight-line mathematical interpolation between the percentages applicable to such levels but in no event will the Initial ROIC Percentage for an applicable year during the Performance Period be greater than 200%.</w:t>
      </w:r>
    </w:p>
    <w:p>
      <w:pPr>
        <w:spacing w:after="0" w:line="207" w:lineRule="exact"/>
        <w:rPr>
          <w:rFonts w:ascii="Times New Roman" w:cs="Times New Roman" w:eastAsia="Times New Roman" w:hAnsi="Times New Roman"/>
          <w:sz w:val="22"/>
          <w:szCs w:val="22"/>
          <w:color w:val="auto"/>
        </w:rPr>
      </w:pPr>
    </w:p>
    <w:p>
      <w:pPr>
        <w:jc w:val="both"/>
        <w:ind w:right="20" w:firstLine="8"/>
        <w:spacing w:after="0" w:line="263" w:lineRule="auto"/>
        <w:tabs>
          <w:tab w:leader="none" w:pos="445"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Modifier Performance Matrix</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a percentage modifier (the “</w:t>
      </w:r>
      <w:r>
        <w:rPr>
          <w:rFonts w:ascii="Times New Roman" w:cs="Times New Roman" w:eastAsia="Times New Roman" w:hAnsi="Times New Roman"/>
          <w:sz w:val="22"/>
          <w:szCs w:val="22"/>
          <w:b w:val="1"/>
          <w:bCs w:val="1"/>
          <w:i w:val="1"/>
          <w:iCs w:val="1"/>
          <w:color w:val="auto"/>
        </w:rPr>
        <w:t>RTSR Percentage Modifier</w:t>
      </w:r>
      <w:r>
        <w:rPr>
          <w:rFonts w:ascii="Times New Roman" w:cs="Times New Roman" w:eastAsia="Times New Roman" w:hAnsi="Times New Roman"/>
          <w:sz w:val="22"/>
          <w:szCs w:val="22"/>
          <w:color w:val="auto"/>
        </w:rPr>
        <w:t>”) in accordance with the following table:</w:t>
      </w:r>
    </w:p>
    <w:p>
      <w:pPr>
        <w:spacing w:after="0" w:line="215" w:lineRule="exact"/>
        <w:rPr>
          <w:sz w:val="20"/>
          <w:szCs w:val="20"/>
          <w:color w:val="auto"/>
        </w:rPr>
      </w:pPr>
    </w:p>
    <w:tbl>
      <w:tblPr>
        <w:tblLayout w:type="fixed"/>
        <w:tblInd w:w="770" w:type="dxa"/>
        <w:tblCellMar>
          <w:top w:w="0" w:type="dxa"/>
          <w:left w:w="0" w:type="dxa"/>
          <w:bottom w:w="0" w:type="dxa"/>
          <w:right w:w="0" w:type="dxa"/>
        </w:tblCellMar>
      </w:tblPr>
      <w:tr>
        <w:trPr>
          <w:trHeight w:val="318"/>
        </w:trPr>
        <w:tc>
          <w:tcPr>
            <w:tcW w:w="47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Total Shareholder Return</w:t>
            </w:r>
          </w:p>
        </w:tc>
        <w:tc>
          <w:tcPr>
            <w:tcW w:w="4820" w:type="dxa"/>
            <w:vAlign w:val="bottom"/>
            <w:tcBorders>
              <w:top w:val="single" w:sz="8" w:color="auto"/>
              <w:bottom w:val="single" w:sz="8" w:color="auto"/>
              <w:right w:val="single" w:sz="8" w:color="auto"/>
            </w:tcBorders>
            <w:shd w:val="clear" w:color="auto" w:fill="BFBFBF"/>
          </w:tcPr>
          <w:p>
            <w:pPr>
              <w:ind w:left="1160"/>
              <w:spacing w:after="0"/>
              <w:rPr>
                <w:sz w:val="20"/>
                <w:szCs w:val="20"/>
                <w:color w:val="auto"/>
              </w:rPr>
            </w:pPr>
            <w:r>
              <w:rPr>
                <w:rFonts w:ascii="Times New Roman" w:cs="Times New Roman" w:eastAsia="Times New Roman" w:hAnsi="Times New Roman"/>
                <w:sz w:val="22"/>
                <w:szCs w:val="22"/>
                <w:b w:val="1"/>
                <w:bCs w:val="1"/>
                <w:color w:val="auto"/>
              </w:rPr>
              <w:t>RTSR Percentage Modifier</w:t>
            </w: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7"/>
              </w:rPr>
              <w:t>Ranked below or at 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90%</w:t>
            </w:r>
          </w:p>
        </w:tc>
      </w:tr>
      <w:tr>
        <w:trPr>
          <w:trHeight w:val="263"/>
        </w:trPr>
        <w:tc>
          <w:tcPr>
            <w:tcW w:w="47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96"/>
              </w:rPr>
              <w:t>Ranked above 25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 but below 75</w:t>
            </w:r>
            <w:r>
              <w:rPr>
                <w:rFonts w:ascii="Times New Roman" w:cs="Times New Roman" w:eastAsia="Times New Roman" w:hAnsi="Times New Roman"/>
                <w:sz w:val="28"/>
                <w:szCs w:val="28"/>
                <w:color w:val="auto"/>
                <w:w w:val="96"/>
                <w:vertAlign w:val="superscript"/>
              </w:rPr>
              <w:t>th</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91"/>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percentile</w:t>
            </w:r>
          </w:p>
        </w:tc>
        <w:tc>
          <w:tcPr>
            <w:tcW w:w="4820" w:type="dxa"/>
            <w:vAlign w:val="bottom"/>
            <w:tcBorders>
              <w:bottom w:val="single" w:sz="8" w:color="auto"/>
              <w:right w:val="single" w:sz="8" w:color="auto"/>
            </w:tcBorders>
          </w:tcPr>
          <w:p>
            <w:pPr>
              <w:spacing w:after="0"/>
              <w:rPr>
                <w:sz w:val="24"/>
                <w:szCs w:val="24"/>
                <w:color w:val="auto"/>
              </w:rPr>
            </w:pPr>
          </w:p>
        </w:tc>
      </w:tr>
      <w:tr>
        <w:trPr>
          <w:trHeight w:val="310"/>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6"/>
              </w:rPr>
              <w:t>Ranked at or above 75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110%</w:t>
            </w:r>
          </w:p>
        </w:tc>
      </w:tr>
    </w:tbl>
    <w:p>
      <w:pPr>
        <w:spacing w:after="0" w:line="31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2"/>
          <w:szCs w:val="22"/>
          <w:color w:val="auto"/>
        </w:rPr>
        <w:t>If, upon the conclusion of the Performance Period, RTSR performance for the Performance Period falls below the lowest RTSR performance level set forth in the Performance Matrix, the RTSR Percentage Modifier for the Performance Period will be 90%. If, upon the conclusion of the Performance Period, RTSR performance for the Performance Period is exactly equal to one of the levels set forth in the Performance Matrix, the RTSR Percentage Modifier for the Performance Period shall be equal to the percentage set forth opposite such level in the Performance Matrix. If, upon the conclusion of the Performance Period, RTSR performance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22" w:right="339" w:bottom="1440" w:gutter="0" w:footer="0" w:header="0"/>
        </w:sectPr>
      </w:pPr>
    </w:p>
    <w:bookmarkStart w:id="272" w:name="page273"/>
    <w:bookmarkEnd w:id="272"/>
    <w:p>
      <w:pPr>
        <w:ind w:right="20"/>
        <w:spacing w:after="0" w:line="271" w:lineRule="auto"/>
        <w:rPr>
          <w:sz w:val="20"/>
          <w:szCs w:val="20"/>
          <w:color w:val="auto"/>
        </w:rPr>
      </w:pPr>
      <w:r>
        <w:rPr>
          <w:rFonts w:ascii="Times New Roman" w:cs="Times New Roman" w:eastAsia="Times New Roman" w:hAnsi="Times New Roman"/>
          <w:sz w:val="22"/>
          <w:szCs w:val="22"/>
          <w:color w:val="auto"/>
        </w:rPr>
        <w:t>the Performance Period falls between two levels set forth in the Performance Matrix, the RTSR Percentage Modifier for the Performance Period shall be 100%.</w:t>
      </w:r>
    </w:p>
    <w:p>
      <w:pPr>
        <w:spacing w:after="0" w:line="185" w:lineRule="exact"/>
        <w:rPr>
          <w:sz w:val="20"/>
          <w:szCs w:val="20"/>
          <w:color w:val="auto"/>
        </w:rPr>
      </w:pPr>
    </w:p>
    <w:p>
      <w:pPr>
        <w:jc w:val="both"/>
        <w:ind w:firstLine="8"/>
        <w:spacing w:after="0" w:line="263" w:lineRule="auto"/>
        <w:tabs>
          <w:tab w:leader="none" w:pos="526"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Number of PSUs Earned</w:t>
      </w:r>
      <w:r>
        <w:rPr>
          <w:rFonts w:ascii="Times New Roman" w:cs="Times New Roman" w:eastAsia="Times New Roman" w:hAnsi="Times New Roman"/>
          <w:sz w:val="22"/>
          <w:szCs w:val="22"/>
          <w:color w:val="auto"/>
        </w:rPr>
        <w:t xml:space="preserve">. The total number of PSUs earned shall be a percentage of the PSUs (rounded down to the nearest whole number of PSUs) equal to the product of (A) 50% of the sum of the Initial EPS Percentage and the Initial ROIC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RTSR Percentage Modifier.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ILLUSTRATIVE EXAMPLE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illustration only, assume that:</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Initial EPS Percentage is achieved as follows:</w:t>
      </w: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540" w:type="dxa"/>
            <w:vAlign w:val="bottom"/>
            <w:tcBorders>
              <w:top w:val="single" w:sz="8" w:color="auto"/>
              <w:left w:val="single" w:sz="8" w:color="auto"/>
              <w:right w:val="single" w:sz="8" w:color="auto"/>
            </w:tcBorders>
            <w:vMerge w:val="restart"/>
            <w:shd w:val="clear" w:color="auto" w:fill="808080"/>
          </w:tcPr>
          <w:p>
            <w:pPr>
              <w:ind w:left="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Achievement of</w:t>
            </w:r>
          </w:p>
        </w:tc>
        <w:tc>
          <w:tcPr>
            <w:tcW w:w="154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84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Payout</w:t>
            </w: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2100" w:type="dxa"/>
            <w:vAlign w:val="bottom"/>
            <w:tcBorders>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EPS Goal</w:t>
            </w:r>
          </w:p>
        </w:tc>
        <w:tc>
          <w:tcPr>
            <w:tcW w:w="1540" w:type="dxa"/>
            <w:vAlign w:val="bottom"/>
            <w:tcBorders>
              <w:right w:val="single" w:sz="8" w:color="auto"/>
            </w:tcBorders>
            <w:vMerge w:val="continue"/>
            <w:shd w:val="clear" w:color="auto" w:fill="808080"/>
          </w:tcPr>
          <w:p>
            <w:pPr>
              <w:spacing w:after="0"/>
              <w:rPr>
                <w:sz w:val="11"/>
                <w:szCs w:val="11"/>
                <w:color w:val="auto"/>
              </w:rPr>
            </w:pPr>
          </w:p>
        </w:tc>
        <w:tc>
          <w:tcPr>
            <w:tcW w:w="1840" w:type="dxa"/>
            <w:vAlign w:val="bottom"/>
            <w:tcBorders>
              <w:right w:val="single" w:sz="8" w:color="auto"/>
            </w:tcBorders>
            <w:vMerge w:val="continue"/>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bottom w:val="single" w:sz="8" w:color="808080"/>
              <w:right w:val="single" w:sz="8" w:color="auto"/>
            </w:tcBorders>
            <w:shd w:val="clear" w:color="auto" w:fill="808080"/>
          </w:tcPr>
          <w:p>
            <w:pPr>
              <w:spacing w:after="0"/>
              <w:rPr>
                <w:sz w:val="11"/>
                <w:szCs w:val="11"/>
                <w:color w:val="auto"/>
              </w:rPr>
            </w:pPr>
          </w:p>
        </w:tc>
        <w:tc>
          <w:tcPr>
            <w:tcW w:w="2100" w:type="dxa"/>
            <w:vAlign w:val="bottom"/>
            <w:tcBorders>
              <w:bottom w:val="single" w:sz="8" w:color="808080"/>
              <w:right w:val="single" w:sz="8" w:color="auto"/>
            </w:tcBorders>
            <w:vMerge w:val="continue"/>
            <w:shd w:val="clear" w:color="auto" w:fill="808080"/>
          </w:tcPr>
          <w:p>
            <w:pPr>
              <w:spacing w:after="0"/>
              <w:rPr>
                <w:sz w:val="11"/>
                <w:szCs w:val="11"/>
                <w:color w:val="auto"/>
              </w:rPr>
            </w:pPr>
          </w:p>
        </w:tc>
        <w:tc>
          <w:tcPr>
            <w:tcW w:w="1540" w:type="dxa"/>
            <w:vAlign w:val="bottom"/>
            <w:tcBorders>
              <w:bottom w:val="single" w:sz="8" w:color="808080"/>
              <w:right w:val="single" w:sz="8" w:color="auto"/>
            </w:tcBorders>
            <w:shd w:val="clear" w:color="auto" w:fill="808080"/>
          </w:tcPr>
          <w:p>
            <w:pPr>
              <w:spacing w:after="0"/>
              <w:rPr>
                <w:sz w:val="11"/>
                <w:szCs w:val="11"/>
                <w:color w:val="auto"/>
              </w:rPr>
            </w:pPr>
          </w:p>
        </w:tc>
        <w:tc>
          <w:tcPr>
            <w:tcW w:w="1840" w:type="dxa"/>
            <w:vAlign w:val="bottom"/>
            <w:tcBorders>
              <w:bottom w:val="single" w:sz="8" w:color="808080"/>
              <w:right w:val="single" w:sz="8" w:color="auto"/>
            </w:tcBorders>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1</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2</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79%</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3</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840" w:type="dxa"/>
            <w:vAlign w:val="bottom"/>
            <w:tcBorders>
              <w:bottom w:val="single" w:sz="8" w:color="808080"/>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114.7%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Initial ROIC Percentage is achieved as follows:</w:t>
      </w:r>
    </w:p>
    <w:p>
      <w:pPr>
        <w:spacing w:after="0" w:line="281"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540" w:type="dxa"/>
            <w:vAlign w:val="bottom"/>
            <w:tcBorders>
              <w:top w:val="single" w:sz="8" w:color="auto"/>
              <w:left w:val="single" w:sz="8" w:color="auto"/>
              <w:right w:val="single" w:sz="8" w:color="auto"/>
            </w:tcBorders>
            <w:vMerge w:val="restart"/>
            <w:shd w:val="clear" w:color="auto" w:fill="808080"/>
          </w:tcPr>
          <w:p>
            <w:pPr>
              <w:ind w:left="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0" w:type="dxa"/>
            <w:vAlign w:val="bottom"/>
            <w:tcBorders>
              <w:top w:val="single" w:sz="8" w:color="auto"/>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Achievement of</w:t>
            </w:r>
          </w:p>
        </w:tc>
        <w:tc>
          <w:tcPr>
            <w:tcW w:w="146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820" w:type="dxa"/>
            <w:vAlign w:val="bottom"/>
            <w:tcBorders>
              <w:top w:val="single" w:sz="8" w:color="auto"/>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Payout</w:t>
            </w: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2200" w:type="dxa"/>
            <w:vAlign w:val="bottom"/>
            <w:tcBorders>
              <w:right w:val="single" w:sz="8" w:color="auto"/>
            </w:tcBorders>
            <w:vMerge w:val="restart"/>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ROIC Goal</w:t>
            </w:r>
          </w:p>
        </w:tc>
        <w:tc>
          <w:tcPr>
            <w:tcW w:w="1460" w:type="dxa"/>
            <w:vAlign w:val="bottom"/>
            <w:tcBorders>
              <w:right w:val="single" w:sz="8" w:color="auto"/>
            </w:tcBorders>
            <w:vMerge w:val="continue"/>
            <w:shd w:val="clear" w:color="auto" w:fill="808080"/>
          </w:tcPr>
          <w:p>
            <w:pPr>
              <w:spacing w:after="0"/>
              <w:rPr>
                <w:sz w:val="11"/>
                <w:szCs w:val="11"/>
                <w:color w:val="auto"/>
              </w:rPr>
            </w:pPr>
          </w:p>
        </w:tc>
        <w:tc>
          <w:tcPr>
            <w:tcW w:w="1820" w:type="dxa"/>
            <w:vAlign w:val="bottom"/>
            <w:tcBorders>
              <w:right w:val="single" w:sz="8" w:color="auto"/>
            </w:tcBorders>
            <w:vMerge w:val="continue"/>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bottom w:val="single" w:sz="8" w:color="808080"/>
              <w:right w:val="single" w:sz="8" w:color="auto"/>
            </w:tcBorders>
            <w:shd w:val="clear" w:color="auto" w:fill="808080"/>
          </w:tcPr>
          <w:p>
            <w:pPr>
              <w:spacing w:after="0"/>
              <w:rPr>
                <w:sz w:val="11"/>
                <w:szCs w:val="11"/>
                <w:color w:val="auto"/>
              </w:rPr>
            </w:pPr>
          </w:p>
        </w:tc>
        <w:tc>
          <w:tcPr>
            <w:tcW w:w="2200" w:type="dxa"/>
            <w:vAlign w:val="bottom"/>
            <w:tcBorders>
              <w:bottom w:val="single" w:sz="8" w:color="808080"/>
              <w:right w:val="single" w:sz="8" w:color="auto"/>
            </w:tcBorders>
            <w:vMerge w:val="continue"/>
            <w:shd w:val="clear" w:color="auto" w:fill="808080"/>
          </w:tcPr>
          <w:p>
            <w:pPr>
              <w:spacing w:after="0"/>
              <w:rPr>
                <w:sz w:val="11"/>
                <w:szCs w:val="11"/>
                <w:color w:val="auto"/>
              </w:rPr>
            </w:pPr>
          </w:p>
        </w:tc>
        <w:tc>
          <w:tcPr>
            <w:tcW w:w="1460" w:type="dxa"/>
            <w:vAlign w:val="bottom"/>
            <w:tcBorders>
              <w:bottom w:val="single" w:sz="8" w:color="808080"/>
              <w:right w:val="single" w:sz="8" w:color="auto"/>
            </w:tcBorders>
            <w:shd w:val="clear" w:color="auto" w:fill="808080"/>
          </w:tcPr>
          <w:p>
            <w:pPr>
              <w:spacing w:after="0"/>
              <w:rPr>
                <w:sz w:val="11"/>
                <w:szCs w:val="11"/>
                <w:color w:val="auto"/>
              </w:rPr>
            </w:pPr>
          </w:p>
        </w:tc>
        <w:tc>
          <w:tcPr>
            <w:tcW w:w="1820" w:type="dxa"/>
            <w:vAlign w:val="bottom"/>
            <w:tcBorders>
              <w:bottom w:val="single" w:sz="8" w:color="808080"/>
              <w:right w:val="single" w:sz="8" w:color="auto"/>
            </w:tcBorders>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1</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(below Threshold)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2</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 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Pre-Set Year 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820" w:type="dxa"/>
            <w:vAlign w:val="bottom"/>
            <w:tcBorders>
              <w:bottom w:val="single" w:sz="8" w:color="808080"/>
              <w:right w:val="single" w:sz="8" w:color="auto"/>
            </w:tcBorders>
            <w:shd w:val="clear" w:color="auto" w:fill="80808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75%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The RTSR Percentage Modifier is 110%.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such case, </w:t>
      </w:r>
      <w:r>
        <w:rPr>
          <w:rFonts w:ascii="Times New Roman" w:cs="Times New Roman" w:eastAsia="Times New Roman" w:hAnsi="Times New Roman"/>
          <w:sz w:val="22"/>
          <w:szCs w:val="22"/>
          <w:b w:val="1"/>
          <w:bCs w:val="1"/>
          <w:u w:val="single" w:color="auto"/>
          <w:color w:val="auto"/>
        </w:rPr>
        <w:t>104.34%</w:t>
      </w:r>
      <w:r>
        <w:rPr>
          <w:rFonts w:ascii="Times New Roman" w:cs="Times New Roman" w:eastAsia="Times New Roman" w:hAnsi="Times New Roman"/>
          <w:sz w:val="22"/>
          <w:szCs w:val="22"/>
          <w:color w:val="auto"/>
        </w:rPr>
        <w:t xml:space="preserve"> of the PSUs would be earned, calculated as follows: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(114.7% + 75%)</w:t>
      </w:r>
    </w:p>
    <w:p>
      <w:pPr>
        <w:spacing w:after="0" w:line="28" w:lineRule="exact"/>
        <w:rPr>
          <w:sz w:val="20"/>
          <w:szCs w:val="20"/>
          <w:color w:val="auto"/>
        </w:rPr>
      </w:pPr>
    </w:p>
    <w:p>
      <w:pPr>
        <w:ind w:left="380" w:hanging="372"/>
        <w:spacing w:after="0"/>
        <w:tabs>
          <w:tab w:leader="none" w:pos="38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110% = 104.34%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22" w:right="339" w:bottom="1440" w:gutter="0" w:footer="0" w:header="0"/>
        </w:sectPr>
      </w:pPr>
    </w:p>
    <w:bookmarkStart w:id="273" w:name="page274"/>
    <w:bookmarkEnd w:id="273"/>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840" w:type="dxa"/>
            <w:vAlign w:val="bottom"/>
            <w:tcBorders>
              <w:left w:val="single" w:sz="8" w:color="1F497D"/>
              <w:right w:val="single" w:sz="8" w:color="1F497D"/>
            </w:tcBorders>
            <w:shd w:val="clear" w:color="auto" w:fill="1F497D"/>
          </w:tcPr>
          <w:p>
            <w:pPr>
              <w:spacing w:after="0"/>
              <w:rPr>
                <w:sz w:val="22"/>
                <w:szCs w:val="22"/>
                <w:color w:val="auto"/>
              </w:rPr>
            </w:pPr>
          </w:p>
        </w:tc>
        <w:tc>
          <w:tcPr>
            <w:tcW w:w="960" w:type="dxa"/>
            <w:vAlign w:val="bottom"/>
            <w:tcBorders>
              <w:right w:val="single" w:sz="8" w:color="1F497D"/>
            </w:tcBorders>
            <w:shd w:val="clear" w:color="auto" w:fill="1F497D"/>
          </w:tcPr>
          <w:p>
            <w:pPr>
              <w:spacing w:after="0"/>
              <w:rPr>
                <w:sz w:val="22"/>
                <w:szCs w:val="22"/>
                <w:color w:val="auto"/>
              </w:rPr>
            </w:pPr>
          </w:p>
        </w:tc>
        <w:tc>
          <w:tcPr>
            <w:tcW w:w="3740" w:type="dxa"/>
            <w:vAlign w:val="bottom"/>
            <w:tcBorders>
              <w:right w:val="single" w:sz="8" w:color="1F497D"/>
            </w:tcBorders>
            <w:gridSpan w:val="2"/>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w w:val="98"/>
              </w:rPr>
              <w:t>S&amp;P SmallCap 600 Industrials (January 1, 2026)</w:t>
            </w:r>
          </w:p>
        </w:tc>
        <w:tc>
          <w:tcPr>
            <w:tcW w:w="2660" w:type="dxa"/>
            <w:vAlign w:val="bottom"/>
            <w:tcBorders>
              <w:right w:val="single" w:sz="8" w:color="1F497D"/>
            </w:tcBorders>
            <w:shd w:val="clear" w:color="auto" w:fill="1F497D"/>
          </w:tcPr>
          <w:p>
            <w:pPr>
              <w:spacing w:after="0"/>
              <w:rPr>
                <w:sz w:val="22"/>
                <w:szCs w:val="22"/>
                <w:color w:val="auto"/>
              </w:rPr>
            </w:pPr>
          </w:p>
        </w:tc>
        <w:tc>
          <w:tcPr>
            <w:tcW w:w="1040" w:type="dxa"/>
            <w:vAlign w:val="bottom"/>
            <w:shd w:val="clear" w:color="auto" w:fill="1F497D"/>
          </w:tcPr>
          <w:p>
            <w:pPr>
              <w:spacing w:after="0"/>
              <w:rPr>
                <w:sz w:val="22"/>
                <w:szCs w:val="22"/>
                <w:color w:val="auto"/>
              </w:rPr>
            </w:pPr>
          </w:p>
        </w:tc>
        <w:tc>
          <w:tcPr>
            <w:tcW w:w="20" w:type="dxa"/>
            <w:vAlign w:val="bottom"/>
          </w:tcPr>
          <w:p>
            <w:pPr>
              <w:spacing w:after="0"/>
              <w:rPr>
                <w:sz w:val="22"/>
                <w:szCs w:val="22"/>
                <w:color w:val="auto"/>
              </w:rPr>
            </w:pPr>
          </w:p>
        </w:tc>
      </w:tr>
      <w:tr>
        <w:trPr>
          <w:trHeight w:val="262"/>
        </w:trPr>
        <w:tc>
          <w:tcPr>
            <w:tcW w:w="2840" w:type="dxa"/>
            <w:vAlign w:val="bottom"/>
            <w:tcBorders>
              <w:left w:val="single" w:sz="8" w:color="1F497D"/>
              <w:bottom w:val="single" w:sz="8" w:color="1F497D"/>
              <w:right w:val="single" w:sz="8" w:color="1F497D"/>
            </w:tcBorders>
            <w:shd w:val="clear" w:color="auto" w:fill="1F497D"/>
          </w:tcPr>
          <w:p>
            <w:pPr>
              <w:ind w:left="2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780" w:type="dxa"/>
            <w:vAlign w:val="bottom"/>
            <w:tcBorders>
              <w:bottom w:val="single" w:sz="8" w:color="1F497D"/>
              <w:right w:val="single" w:sz="8" w:color="1F497D"/>
            </w:tcBorders>
            <w:shd w:val="clear" w:color="auto" w:fill="1F497D"/>
          </w:tcPr>
          <w:p>
            <w:pPr>
              <w:ind w:left="3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bottom w:val="single" w:sz="8" w:color="1F497D"/>
              <w:right w:val="single" w:sz="8" w:color="1F497D"/>
            </w:tcBorders>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bottom w:val="single" w:sz="8" w:color="1F497D"/>
              <w:right w:val="single" w:sz="8" w:color="1F497D"/>
            </w:tcBorders>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40" w:type="dxa"/>
            <w:vAlign w:val="bottom"/>
            <w:tcBorders>
              <w:bottom w:val="single" w:sz="8" w:color="1F497D"/>
            </w:tcBorders>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Ticker</w:t>
            </w:r>
          </w:p>
        </w:tc>
        <w:tc>
          <w:tcPr>
            <w:tcW w:w="20" w:type="dxa"/>
            <w:vAlign w:val="bottom"/>
          </w:tcPr>
          <w:p>
            <w:pPr>
              <w:spacing w:after="0"/>
              <w:rPr>
                <w:sz w:val="22"/>
                <w:szCs w:val="22"/>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AAR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AIR</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Franklin Electric Co.,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FELE</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NPK</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Gates Industrial Corporation plc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GTES</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OPENLANE,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OPLN</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Air Lease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Gibraltar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ROCK</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Pitney Bowes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Alamo 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ALG</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GVA</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AIN</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Griffon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GFF</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Primoris Services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PRIM</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Allegiant Travel Company</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ALGT</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Hayward Holdings,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6"/>
              </w:rPr>
              <w:t>HAYW</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Proto Labs,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PRLB</w:t>
            </w:r>
          </w:p>
        </w:tc>
        <w:tc>
          <w:tcPr>
            <w:tcW w:w="20" w:type="dxa"/>
            <w:vAlign w:val="bottom"/>
            <w:tcBorders>
              <w:bottom w:val="single" w:sz="8" w:color="auto"/>
            </w:tcBorders>
            <w:shd w:val="clear" w:color="auto" w:fill="000000"/>
          </w:tcPr>
          <w:p>
            <w:pPr>
              <w:spacing w:after="0"/>
              <w:rPr>
                <w:sz w:val="21"/>
                <w:szCs w:val="21"/>
                <w:color w:val="auto"/>
              </w:rPr>
            </w:pPr>
          </w:p>
        </w:tc>
      </w:tr>
      <w:tr>
        <w:trPr>
          <w:trHeight w:val="225"/>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Amentum Holdings,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AMTM</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HCSG</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Quanex Building Products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NX</w:t>
            </w:r>
          </w:p>
        </w:tc>
        <w:tc>
          <w:tcPr>
            <w:tcW w:w="20" w:type="dxa"/>
            <w:vAlign w:val="bottom"/>
            <w:shd w:val="clear" w:color="auto" w:fill="000000"/>
          </w:tcPr>
          <w:p>
            <w:pPr>
              <w:spacing w:after="0"/>
              <w:rPr>
                <w:sz w:val="19"/>
                <w:szCs w:val="19"/>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10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8"/>
              </w:rPr>
              <w:t>AMWD</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Heartland Express,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HTLD</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Resideo Technologies,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REZI</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Apogee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APOG</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Hertz Global Holdings,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HTZ</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Half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RHI</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ArcBest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ARCB</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HNI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HNI</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Rush Enterprises,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RUSH.A</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Arcosa,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ACA</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 Group,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HUBG</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RXO,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RXO</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Armstrong World Industries,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4"/>
              </w:rPr>
              <w:t>AWI</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Insperity,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NSP</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Schneider National,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SNDR</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Astec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ASTE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Insteel Industries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IIIN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SkyWest,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SKYW</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AZZ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AZZ</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Interface,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TILE</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Standex International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SXI</w:t>
            </w:r>
          </w:p>
        </w:tc>
        <w:tc>
          <w:tcPr>
            <w:tcW w:w="20" w:type="dxa"/>
            <w:vAlign w:val="bottom"/>
            <w:tcBorders>
              <w:bottom w:val="single" w:sz="8" w:color="auto"/>
            </w:tcBorders>
            <w:shd w:val="clear" w:color="auto" w:fill="000000"/>
          </w:tcPr>
          <w:p>
            <w:pPr>
              <w:spacing w:after="0"/>
              <w:rPr>
                <w:sz w:val="21"/>
                <w:szCs w:val="21"/>
                <w:color w:val="auto"/>
              </w:rPr>
            </w:pPr>
          </w:p>
        </w:tc>
      </w:tr>
      <w:tr>
        <w:trPr>
          <w:trHeight w:val="225"/>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Boise Cascade Company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BCC</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JBT Marel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JBTM</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 Country Airlines Holdings,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20" w:type="dxa"/>
            <w:vAlign w:val="bottom"/>
            <w:shd w:val="clear" w:color="auto" w:fill="000000"/>
          </w:tcPr>
          <w:p>
            <w:pPr>
              <w:spacing w:after="0"/>
              <w:rPr>
                <w:sz w:val="19"/>
                <w:szCs w:val="19"/>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0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Brady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JetBlue Airways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JBLU</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Sunrun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RUN</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Casella Waste Systems,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CWST</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Kadant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KAI</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Tennant Company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TNC</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CoreCivic,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CXW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Kennametal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KMT</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The GEO Group,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GEO</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CSG Systems International,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CSGS</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Korn Ferry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KFY</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Greenbrier Companies,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GBX</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CSW Industrials,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CSW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Lindsay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LNN</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Titan International, Inc.</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TWI</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Deluxe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DLX</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Liquidity Services,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LQDT</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Trinity Industries,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TRN</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DNOW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DNOW</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ManpowerGroup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UniFirst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UNF</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DXP Enterprises,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DXPE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Marten Transport, Ltd.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MRTN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Upwork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UPWK</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Enerpac Tool Group Corp.</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EPAC</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MasterBrand,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MBC</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Verra Mobility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VRRM</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Enpro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NPO</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Matson,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Vestis Corporation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VSTS</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Enviri Corporation</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NVRI</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Mercury Systems,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rPr>
              <w:t>MRCY</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Vicor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VICR</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ESCO Technologies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ESE</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MillerKnoll,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MLKN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Werner Enterprises,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WERN</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840" w:type="dxa"/>
            <w:vAlign w:val="bottom"/>
            <w:tcBorders>
              <w:left w:val="single" w:sz="8" w:color="auto"/>
              <w:bottom w:val="single" w:sz="8" w:color="E8ECF5"/>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Everus Construction Group,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ECG</w:t>
            </w:r>
          </w:p>
        </w:tc>
        <w:tc>
          <w:tcPr>
            <w:tcW w:w="278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Moog Inc.</w:t>
            </w:r>
          </w:p>
        </w:tc>
        <w:tc>
          <w:tcPr>
            <w:tcW w:w="960" w:type="dxa"/>
            <w:vAlign w:val="bottom"/>
            <w:tcBorders>
              <w:bottom w:val="single" w:sz="8" w:color="E8ECF5"/>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MOG.A</w:t>
            </w: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WillScot Holdings Corporation</w:t>
            </w:r>
          </w:p>
        </w:tc>
        <w:tc>
          <w:tcPr>
            <w:tcW w:w="1040" w:type="dxa"/>
            <w:vAlign w:val="bottom"/>
            <w:tcBorders>
              <w:bottom w:val="single" w:sz="8" w:color="E8ECF5"/>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7"/>
              </w:rPr>
              <w:t>WSC</w:t>
            </w:r>
          </w:p>
        </w:tc>
        <w:tc>
          <w:tcPr>
            <w:tcW w:w="20" w:type="dxa"/>
            <w:vAlign w:val="bottom"/>
            <w:tcBorders>
              <w:bottom w:val="single" w:sz="8" w:color="auto"/>
            </w:tcBorders>
            <w:shd w:val="clear" w:color="auto" w:fill="000000"/>
          </w:tcPr>
          <w:p>
            <w:pPr>
              <w:spacing w:after="0"/>
              <w:rPr>
                <w:sz w:val="21"/>
                <w:szCs w:val="21"/>
                <w:color w:val="auto"/>
              </w:rPr>
            </w:pPr>
          </w:p>
        </w:tc>
      </w:tr>
      <w:tr>
        <w:trPr>
          <w:trHeight w:val="243"/>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Federal Signal Corporation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FSS</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Mueller Water Products, Inc.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MWA</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Worthington Enterprises,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WOR</w:t>
            </w:r>
          </w:p>
        </w:tc>
        <w:tc>
          <w:tcPr>
            <w:tcW w:w="20" w:type="dxa"/>
            <w:vAlign w:val="bottom"/>
            <w:shd w:val="clear" w:color="auto" w:fill="000000"/>
          </w:tcPr>
          <w:p>
            <w:pPr>
              <w:spacing w:after="0"/>
              <w:rPr>
                <w:sz w:val="21"/>
                <w:szCs w:val="21"/>
                <w:color w:val="auto"/>
              </w:rPr>
            </w:pPr>
          </w:p>
        </w:tc>
      </w:tr>
      <w:tr>
        <w:trPr>
          <w:trHeight w:val="27"/>
        </w:trPr>
        <w:tc>
          <w:tcPr>
            <w:tcW w:w="284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25"/>
        </w:trPr>
        <w:tc>
          <w:tcPr>
            <w:tcW w:w="2840" w:type="dxa"/>
            <w:vAlign w:val="bottom"/>
            <w:tcBorders>
              <w:left w:val="single" w:sz="8" w:color="auto"/>
              <w:right w:val="single" w:sz="8" w:color="auto"/>
            </w:tcBorders>
            <w:shd w:val="clear" w:color="auto" w:fill="E8ECF5"/>
          </w:tcPr>
          <w:p>
            <w:pPr>
              <w:ind w:left="40"/>
              <w:spacing w:after="0"/>
              <w:rPr>
                <w:sz w:val="20"/>
                <w:szCs w:val="20"/>
                <w:color w:val="auto"/>
              </w:rPr>
            </w:pPr>
            <w:r>
              <w:rPr>
                <w:rFonts w:ascii="Times New Roman" w:cs="Times New Roman" w:eastAsia="Times New Roman" w:hAnsi="Times New Roman"/>
                <w:sz w:val="18"/>
                <w:szCs w:val="18"/>
                <w:color w:val="auto"/>
              </w:rPr>
              <w:t>Forward Air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FWRD</w:t>
            </w:r>
          </w:p>
        </w:tc>
        <w:tc>
          <w:tcPr>
            <w:tcW w:w="278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MYR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2660" w:type="dxa"/>
            <w:vAlign w:val="bottom"/>
            <w:tcBorders>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Zurn Elkay Water Solutions</w:t>
            </w:r>
          </w:p>
        </w:tc>
        <w:tc>
          <w:tcPr>
            <w:tcW w:w="1040" w:type="dxa"/>
            <w:vAlign w:val="bottom"/>
            <w:shd w:val="clear" w:color="auto" w:fill="E8ECF5"/>
          </w:tcPr>
          <w:p>
            <w:pPr>
              <w:jc w:val="center"/>
              <w:spacing w:after="0"/>
              <w:rPr>
                <w:sz w:val="20"/>
                <w:szCs w:val="20"/>
                <w:color w:val="auto"/>
              </w:rPr>
            </w:pPr>
            <w:r>
              <w:rPr>
                <w:rFonts w:ascii="Times New Roman" w:cs="Times New Roman" w:eastAsia="Times New Roman" w:hAnsi="Times New Roman"/>
                <w:sz w:val="18"/>
                <w:szCs w:val="18"/>
                <w:color w:val="auto"/>
                <w:w w:val="99"/>
              </w:rPr>
              <w:t>ZWS</w:t>
            </w:r>
          </w:p>
        </w:tc>
        <w:tc>
          <w:tcPr>
            <w:tcW w:w="20" w:type="dxa"/>
            <w:vAlign w:val="bottom"/>
            <w:shd w:val="clear" w:color="auto" w:fill="000000"/>
          </w:tcPr>
          <w:p>
            <w:pPr>
              <w:spacing w:after="0"/>
              <w:rPr>
                <w:sz w:val="19"/>
                <w:szCs w:val="19"/>
                <w:color w:val="auto"/>
              </w:rPr>
            </w:pPr>
          </w:p>
        </w:tc>
      </w:tr>
      <w:tr>
        <w:trPr>
          <w:trHeight w:val="241"/>
        </w:trPr>
        <w:tc>
          <w:tcPr>
            <w:tcW w:w="2840" w:type="dxa"/>
            <w:vAlign w:val="bottom"/>
            <w:tcBorders>
              <w:left w:val="single" w:sz="8" w:color="auto"/>
              <w:bottom w:val="single" w:sz="8" w:color="E8ECF5"/>
              <w:right w:val="single" w:sz="8" w:color="auto"/>
            </w:tcBorders>
            <w:shd w:val="clear" w:color="auto" w:fill="E8ECF5"/>
          </w:tcPr>
          <w:p>
            <w:pPr>
              <w:spacing w:after="0"/>
              <w:rPr>
                <w:sz w:val="20"/>
                <w:szCs w:val="20"/>
                <w:color w:val="auto"/>
              </w:rPr>
            </w:pPr>
          </w:p>
        </w:tc>
        <w:tc>
          <w:tcPr>
            <w:tcW w:w="960" w:type="dxa"/>
            <w:vAlign w:val="bottom"/>
            <w:tcBorders>
              <w:bottom w:val="single" w:sz="8" w:color="E8ECF5"/>
              <w:right w:val="single" w:sz="8" w:color="auto"/>
            </w:tcBorders>
            <w:shd w:val="clear" w:color="auto" w:fill="E8ECF5"/>
          </w:tcPr>
          <w:p>
            <w:pPr>
              <w:spacing w:after="0"/>
              <w:rPr>
                <w:sz w:val="20"/>
                <w:szCs w:val="20"/>
                <w:color w:val="auto"/>
              </w:rPr>
            </w:pPr>
          </w:p>
        </w:tc>
        <w:tc>
          <w:tcPr>
            <w:tcW w:w="2780" w:type="dxa"/>
            <w:vAlign w:val="bottom"/>
            <w:tcBorders>
              <w:bottom w:val="single" w:sz="8" w:color="E8ECF5"/>
              <w:right w:val="single" w:sz="8" w:color="auto"/>
            </w:tcBorders>
            <w:shd w:val="clear" w:color="auto" w:fill="E8ECF5"/>
          </w:tcPr>
          <w:p>
            <w:pPr>
              <w:spacing w:after="0"/>
              <w:rPr>
                <w:sz w:val="20"/>
                <w:szCs w:val="20"/>
                <w:color w:val="auto"/>
              </w:rPr>
            </w:pPr>
          </w:p>
        </w:tc>
        <w:tc>
          <w:tcPr>
            <w:tcW w:w="960" w:type="dxa"/>
            <w:vAlign w:val="bottom"/>
            <w:tcBorders>
              <w:bottom w:val="single" w:sz="8" w:color="E8ECF5"/>
              <w:right w:val="single" w:sz="8" w:color="auto"/>
            </w:tcBorders>
            <w:shd w:val="clear" w:color="auto" w:fill="E8ECF5"/>
          </w:tcPr>
          <w:p>
            <w:pPr>
              <w:spacing w:after="0"/>
              <w:rPr>
                <w:sz w:val="20"/>
                <w:szCs w:val="20"/>
                <w:color w:val="auto"/>
              </w:rPr>
            </w:pPr>
          </w:p>
        </w:tc>
        <w:tc>
          <w:tcPr>
            <w:tcW w:w="2660" w:type="dxa"/>
            <w:vAlign w:val="bottom"/>
            <w:tcBorders>
              <w:bottom w:val="single" w:sz="8" w:color="E8ECF5"/>
              <w:right w:val="single" w:sz="8" w:color="auto"/>
            </w:tcBorders>
            <w:shd w:val="clear" w:color="auto" w:fill="E8ECF5"/>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1040" w:type="dxa"/>
            <w:vAlign w:val="bottom"/>
            <w:tcBorders>
              <w:bottom w:val="single" w:sz="8" w:color="E8ECF5"/>
            </w:tcBorders>
            <w:shd w:val="clear" w:color="auto" w:fill="E8ECF5"/>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-5777230</wp:posOffset>
            </wp:positionV>
            <wp:extent cx="2383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60"/>
          </w:cols>
          <w:pgMar w:left="320" w:top="1418" w:right="319" w:bottom="1440" w:gutter="0" w:footer="0" w:header="0"/>
        </w:sectPr>
      </w:pPr>
    </w:p>
    <w:bookmarkStart w:id="274" w:name="page275"/>
    <w:bookmarkEnd w:id="27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twelve (12) months, or (b) if due to any medically determinable physical or mental impairment expected to result in death or last for a continuous period not less than twelve (12) months, Grantee has received income replacement benefits for a period of not less than three months under an accident and health plan sponsored by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64" w:lineRule="exact"/>
        <w:rPr>
          <w:sz w:val="20"/>
          <w:szCs w:val="20"/>
          <w:color w:val="auto"/>
        </w:rPr>
      </w:pPr>
    </w:p>
    <w:p>
      <w:pPr>
        <w:ind w:left="1160" w:hanging="504"/>
        <w:spacing w:after="0"/>
        <w:tabs>
          <w:tab w:leader="none" w:pos="116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5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180" w:lineRule="exact"/>
        <w:rPr>
          <w:sz w:val="20"/>
          <w:szCs w:val="20"/>
          <w:color w:val="auto"/>
        </w:rPr>
      </w:pPr>
    </w:p>
    <w:p>
      <w:pPr>
        <w:ind w:left="1080" w:hanging="424"/>
        <w:spacing w:after="0"/>
        <w:tabs>
          <w:tab w:leader="none" w:pos="108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4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 with a Subsidiary shall only include service provided by Grantee after such Subsidiary becomes a subsidiary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18"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UK Sub-Plan</w:t>
      </w:r>
      <w:r>
        <w:rPr>
          <w:rFonts w:ascii="Times New Roman" w:cs="Times New Roman" w:eastAsia="Times New Roman" w:hAnsi="Times New Roman"/>
          <w:sz w:val="22"/>
          <w:szCs w:val="22"/>
          <w:color w:val="auto"/>
        </w:rPr>
        <w:t>. Your grant of PSUs is being made pursuant to the UK Sub-Plan, which contains additional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govern your PSUs and participation in the Plan. Please review that document carefully.</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B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purposes of the Agreement, the definition of “Retirement” in Appendix B hereto shall not apply.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II.A.6(e) of the Agreement is hereby amended in its entirety to read as follows: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prior to the Settlement Date due to Grantee’s retirement,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8"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51"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 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2" w:lineRule="auto"/>
        <w:tabs>
          <w:tab w:leader="none" w:pos="1751"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219" w:lineRule="exact"/>
        <w:rPr>
          <w:rFonts w:ascii="Times New Roman" w:cs="Times New Roman" w:eastAsia="Times New Roman" w:hAnsi="Times New Roman"/>
          <w:sz w:val="22"/>
          <w:szCs w:val="22"/>
          <w:color w:val="auto"/>
        </w:rPr>
      </w:pPr>
    </w:p>
    <w:p>
      <w:pPr>
        <w:jc w:val="right"/>
        <w:ind w:left="1960" w:right="640" w:hanging="656"/>
        <w:spacing w:after="0" w:line="260" w:lineRule="auto"/>
        <w:tabs>
          <w:tab w:leader="none" w:pos="1797"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rPr>
          <w:sz w:val="20"/>
          <w:szCs w:val="20"/>
          <w:color w:val="auto"/>
        </w:rPr>
      </w:pPr>
      <w:r>
        <w:rPr>
          <w:rFonts w:ascii="Times New Roman" w:cs="Times New Roman" w:eastAsia="Times New Roman" w:hAnsi="Times New Roman"/>
          <w:sz w:val="22"/>
          <w:szCs w:val="22"/>
          <w:color w:val="auto"/>
        </w:rPr>
        <w:t>by Grantee,</w:t>
      </w:r>
    </w:p>
    <w:p>
      <w:pPr>
        <w:spacing w:after="0" w:line="15" w:lineRule="exact"/>
        <w:rPr>
          <w:sz w:val="20"/>
          <w:szCs w:val="20"/>
          <w:color w:val="auto"/>
        </w:rPr>
      </w:pPr>
    </w:p>
    <w:p>
      <w:pPr>
        <w:jc w:val="both"/>
        <w:ind w:left="660" w:right="660" w:hanging="381"/>
        <w:spacing w:after="0" w:line="245"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18" w:right="339" w:bottom="1440" w:gutter="0" w:footer="0" w:header="0"/>
        </w:sectPr>
      </w:pPr>
    </w:p>
    <w:bookmarkStart w:id="278" w:name="page279"/>
    <w:bookmarkEnd w:id="278"/>
    <w:p>
      <w:pPr>
        <w:jc w:val="both"/>
        <w:ind w:left="480"/>
        <w:spacing w:after="0" w:line="249" w:lineRule="auto"/>
        <w:rPr>
          <w:sz w:val="20"/>
          <w:szCs w:val="20"/>
          <w:color w:val="auto"/>
        </w:rPr>
      </w:pPr>
      <w:r>
        <w:rPr>
          <w:rFonts w:ascii="Times New Roman" w:cs="Times New Roman" w:eastAsia="Times New Roman" w:hAnsi="Times New Roman"/>
          <w:sz w:val="22"/>
          <w:szCs w:val="22"/>
          <w:color w:val="auto"/>
        </w:rPr>
        <w:t>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22" w:lineRule="exact"/>
        <w:rPr>
          <w:sz w:val="20"/>
          <w:szCs w:val="20"/>
          <w:color w:val="auto"/>
        </w:rPr>
      </w:pPr>
    </w:p>
    <w:p>
      <w:pPr>
        <w:jc w:val="both"/>
        <w:ind w:left="480"/>
        <w:spacing w:after="0" w:line="260" w:lineRule="auto"/>
        <w:rPr>
          <w:sz w:val="20"/>
          <w:szCs w:val="20"/>
          <w:color w:val="auto"/>
        </w:rPr>
      </w:pPr>
      <w:r>
        <w:rPr>
          <w:rFonts w:ascii="Times New Roman" w:cs="Times New Roman" w:eastAsia="Times New Roman" w:hAnsi="Times New Roman"/>
          <w:sz w:val="21"/>
          <w:szCs w:val="21"/>
          <w:color w:val="auto"/>
        </w:rPr>
        <w:t>Grantee acknowledges and agrees that the Company may increase the number of shares of Common Stock to be withheld by, or to be delivered to, the Company in order to satisfy any income tax or employees national insurance contributions required by applicable law to be withheld upon the issuance, vesting or delivery of any shares of Common Stock, dividends or dividend equivalent payments of any kind from any payments due to Grantee to such number of shares of Common Stock that has an aggregate fair market value sufficient to satisfy no more than the maximum statutory withholding obligations calculated on the basis of the aggregate fair market value of the shares of Common Stock underlying the vesting (or, as the case may be, vested) PSUs, provided that an amount equal to the difference between the aggregate fair market value of any such shares of Common Stock so withheld by, or delivered to, the Company and the statutory total tax withholding obligations (including any statutory withholding for social security contributions) is reimbursed to Grantee as soon as reasonably practicable following the remittance of any such statutory total tax withholdings to the relevant tax authorities.</w:t>
      </w:r>
    </w:p>
    <w:p>
      <w:pPr>
        <w:spacing w:after="0" w:line="214" w:lineRule="exact"/>
        <w:rPr>
          <w:sz w:val="20"/>
          <w:szCs w:val="20"/>
          <w:color w:val="auto"/>
        </w:rPr>
      </w:pPr>
    </w:p>
    <w:p>
      <w:pPr>
        <w:jc w:val="both"/>
        <w:ind w:left="48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08" w:lineRule="exact"/>
        <w:rPr>
          <w:sz w:val="20"/>
          <w:szCs w:val="20"/>
          <w:color w:val="auto"/>
        </w:rPr>
      </w:pPr>
    </w:p>
    <w:p>
      <w:pPr>
        <w:jc w:val="both"/>
        <w:ind w:left="480" w:right="20" w:hanging="428"/>
        <w:spacing w:after="0" w:line="257"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00" w:lineRule="exact"/>
        <w:rPr>
          <w:sz w:val="20"/>
          <w:szCs w:val="20"/>
          <w:color w:val="auto"/>
        </w:rPr>
      </w:pPr>
    </w:p>
    <w:p>
      <w:pPr>
        <w:ind w:left="480" w:right="20" w:hanging="401"/>
        <w:spacing w:after="0" w:line="271"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420"/>
          </w:cols>
          <w:pgMar w:left="500" w:top="1422" w:right="979" w:bottom="1440" w:gutter="0" w:footer="0" w:header="0"/>
        </w:sectPr>
      </w:pPr>
    </w:p>
    <w:bookmarkStart w:id="279" w:name="page280"/>
    <w:bookmarkEnd w:id="279"/>
    <w:p>
      <w:pPr>
        <w:jc w:val="both"/>
        <w:ind w:left="660" w:right="400"/>
        <w:spacing w:after="0" w:line="257" w:lineRule="auto"/>
        <w:rPr>
          <w:sz w:val="20"/>
          <w:szCs w:val="20"/>
          <w:color w:val="auto"/>
        </w:rPr>
      </w:pPr>
      <w:r>
        <w:rPr>
          <w:rFonts w:ascii="Times New Roman" w:cs="Times New Roman" w:eastAsia="Times New Roman" w:hAnsi="Times New Roman"/>
          <w:sz w:val="22"/>
          <w:szCs w:val="22"/>
          <w:color w:val="auto"/>
        </w:rPr>
        <w:t>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Whistleblower Protection. </w:t>
      </w:r>
      <w:r>
        <w:rPr>
          <w:rFonts w:ascii="Times New Roman" w:cs="Times New Roman" w:eastAsia="Times New Roman" w:hAnsi="Times New Roman"/>
          <w:sz w:val="21"/>
          <w:szCs w:val="21"/>
          <w:color w:val="auto"/>
        </w:rPr>
        <w:t>The last two sentences of Section II.B.3(b) are hereby amended in their entirety to read as follows:</w:t>
      </w:r>
    </w:p>
    <w:p>
      <w:pPr>
        <w:spacing w:after="0" w:line="262" w:lineRule="exact"/>
        <w:rPr>
          <w:sz w:val="20"/>
          <w:szCs w:val="20"/>
          <w:color w:val="auto"/>
        </w:rPr>
      </w:pPr>
    </w:p>
    <w:p>
      <w:pPr>
        <w:jc w:val="both"/>
        <w:ind w:left="660" w:right="380"/>
        <w:spacing w:after="0" w:line="247"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47" w:lineRule="exact"/>
        <w:rPr>
          <w:sz w:val="20"/>
          <w:szCs w:val="20"/>
          <w:color w:val="auto"/>
        </w:rPr>
      </w:pPr>
    </w:p>
    <w:p>
      <w:pPr>
        <w:jc w:val="both"/>
        <w:ind w:left="660" w:right="38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80"/>
          </w:cols>
          <w:pgMar w:left="320" w:top="1422" w:right="599" w:bottom="1440" w:gutter="0" w:footer="0" w:header="0"/>
        </w:sectPr>
      </w:pPr>
    </w:p>
    <w:bookmarkStart w:id="280" w:name="page281"/>
    <w:bookmarkEnd w:id="280"/>
    <w:p>
      <w:pPr>
        <w:ind w:left="1100" w:right="20" w:hanging="644"/>
        <w:spacing w:after="0" w:line="271" w:lineRule="auto"/>
        <w:tabs>
          <w:tab w:leader="none" w:pos="1013"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7" w:lineRule="exact"/>
        <w:rPr>
          <w:rFonts w:ascii="Times New Roman" w:cs="Times New Roman" w:eastAsia="Times New Roman" w:hAnsi="Times New Roman"/>
          <w:sz w:val="22"/>
          <w:szCs w:val="22"/>
          <w:color w:val="auto"/>
        </w:rPr>
      </w:pPr>
    </w:p>
    <w:p>
      <w:pPr>
        <w:ind w:left="1100" w:hanging="644"/>
        <w:spacing w:after="0" w:line="284" w:lineRule="auto"/>
        <w:tabs>
          <w:tab w:leader="none" w:pos="114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43" w:lineRule="exact"/>
        <w:rPr>
          <w:rFonts w:ascii="Times New Roman" w:cs="Times New Roman" w:eastAsia="Times New Roman" w:hAnsi="Times New Roman"/>
          <w:sz w:val="22"/>
          <w:szCs w:val="22"/>
          <w:color w:val="auto"/>
        </w:rPr>
      </w:pPr>
    </w:p>
    <w:p>
      <w:pPr>
        <w:ind w:left="1000" w:hanging="544"/>
        <w:spacing w:after="0"/>
        <w:tabs>
          <w:tab w:leader="none" w:pos="100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33" w:lineRule="exact"/>
        <w:rPr>
          <w:rFonts w:ascii="Times New Roman" w:cs="Times New Roman" w:eastAsia="Times New Roman" w:hAnsi="Times New Roman"/>
          <w:sz w:val="22"/>
          <w:szCs w:val="22"/>
          <w:color w:val="auto"/>
        </w:rPr>
      </w:pPr>
    </w:p>
    <w:p>
      <w:pPr>
        <w:ind w:left="1040" w:hanging="584"/>
        <w:spacing w:after="0"/>
        <w:tabs>
          <w:tab w:leader="none" w:pos="104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12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7" w:lineRule="exact"/>
        <w:rPr>
          <w:rFonts w:ascii="Times New Roman" w:cs="Times New Roman" w:eastAsia="Times New Roman" w:hAnsi="Times New Roman"/>
          <w:sz w:val="22"/>
          <w:szCs w:val="22"/>
          <w:color w:val="auto"/>
        </w:rPr>
      </w:pPr>
    </w:p>
    <w:p>
      <w:pPr>
        <w:ind w:left="1100" w:hanging="644"/>
        <w:spacing w:after="0" w:line="271" w:lineRule="auto"/>
        <w:tabs>
          <w:tab w:leader="none" w:pos="104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920" w:hanging="464"/>
        <w:spacing w:after="0"/>
        <w:tabs>
          <w:tab w:leader="none" w:pos="92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33" w:lineRule="exact"/>
        <w:rPr>
          <w:rFonts w:ascii="Times New Roman" w:cs="Times New Roman" w:eastAsia="Times New Roman" w:hAnsi="Times New Roman"/>
          <w:sz w:val="22"/>
          <w:szCs w:val="22"/>
          <w:color w:val="auto"/>
        </w:rPr>
      </w:pPr>
    </w:p>
    <w:p>
      <w:pPr>
        <w:ind w:left="980" w:hanging="524"/>
        <w:spacing w:after="0"/>
        <w:tabs>
          <w:tab w:leader="none" w:pos="98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19" w:lineRule="exact"/>
        <w:rPr>
          <w:rFonts w:ascii="Times New Roman" w:cs="Times New Roman" w:eastAsia="Times New Roman" w:hAnsi="Times New Roman"/>
          <w:sz w:val="22"/>
          <w:szCs w:val="22"/>
          <w:color w:val="auto"/>
        </w:rPr>
      </w:pPr>
    </w:p>
    <w:p>
      <w:pPr>
        <w:jc w:val="both"/>
        <w:ind w:left="1100" w:right="20" w:hanging="644"/>
        <w:spacing w:after="0" w:line="253" w:lineRule="auto"/>
        <w:tabs>
          <w:tab w:leader="none" w:pos="104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100" w:right="20" w:hanging="644"/>
        <w:spacing w:after="0" w:line="271" w:lineRule="auto"/>
        <w:tabs>
          <w:tab w:leader="none" w:pos="1141"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8" w:lineRule="exact"/>
        <w:rPr>
          <w:sz w:val="20"/>
          <w:szCs w:val="20"/>
          <w:color w:val="auto"/>
        </w:rPr>
      </w:pPr>
    </w:p>
    <w:p>
      <w:pPr>
        <w:ind w:left="480"/>
        <w:spacing w:after="0" w:line="271"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420"/>
          </w:cols>
          <w:pgMar w:left="500" w:top="1422" w:right="979" w:bottom="1440" w:gutter="0" w:footer="0" w:header="0"/>
        </w:sectPr>
      </w:pPr>
    </w:p>
    <w:bookmarkStart w:id="281" w:name="page282"/>
    <w:bookmarkEnd w:id="281"/>
    <w:p>
      <w:pPr>
        <w:ind w:left="660"/>
        <w:spacing w:after="0"/>
        <w:rPr>
          <w:sz w:val="20"/>
          <w:szCs w:val="20"/>
          <w:color w:val="auto"/>
        </w:rPr>
      </w:pPr>
      <w:r>
        <w:rPr>
          <w:rFonts w:ascii="Times New Roman" w:cs="Times New Roman" w:eastAsia="Times New Roman" w:hAnsi="Times New Roman"/>
          <w:sz w:val="22"/>
          <w:szCs w:val="22"/>
          <w:color w:val="auto"/>
        </w:rPr>
        <w:t>prevent Grantee in connection with activities which do not compete with the Company.</w:t>
      </w:r>
    </w:p>
    <w:p>
      <w:pPr>
        <w:spacing w:after="0" w:line="22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32"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5" w:lineRule="exact"/>
        <w:rPr>
          <w:sz w:val="20"/>
          <w:szCs w:val="20"/>
          <w:color w:val="auto"/>
        </w:rPr>
      </w:pPr>
    </w:p>
    <w:p>
      <w:pPr>
        <w:jc w:val="both"/>
        <w:ind w:left="1300" w:right="20" w:firstLine="4"/>
        <w:spacing w:after="0" w:line="255" w:lineRule="auto"/>
        <w:tabs>
          <w:tab w:leader="none" w:pos="1606"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means a person or entity that engages in any business engaged in by the Company,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that does so in a geographic area in which the Company engage(s) in that business, as evidenced on the Company’s website, in the marketing materials of the Company or by the books and records of the Company, and “engages” includes actively planning to engage in the business</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2"/>
          <w:szCs w:val="22"/>
          <w:color w:val="auto"/>
        </w:rPr>
      </w:pPr>
    </w:p>
    <w:p>
      <w:pPr>
        <w:jc w:val="both"/>
        <w:ind w:left="1300" w:firstLine="4"/>
        <w:spacing w:after="0" w:line="249" w:lineRule="auto"/>
        <w:tabs>
          <w:tab w:leader="none" w:pos="197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600"/>
          </w:cols>
          <w:pgMar w:left="320" w:top="1422" w:right="979" w:bottom="1440" w:gutter="0" w:footer="0" w:header="0"/>
        </w:sectPr>
      </w:pPr>
    </w:p>
    <w:bookmarkStart w:id="282" w:name="page283"/>
    <w:bookmarkEnd w:id="282"/>
    <w:p>
      <w:pPr>
        <w:jc w:val="both"/>
        <w:ind w:left="1300" w:right="640"/>
        <w:spacing w:after="0" w:line="256" w:lineRule="auto"/>
        <w:rPr>
          <w:sz w:val="20"/>
          <w:szCs w:val="20"/>
          <w:color w:val="auto"/>
        </w:rPr>
      </w:pPr>
      <w:r>
        <w:rPr>
          <w:rFonts w:ascii="Times New Roman" w:cs="Times New Roman" w:eastAsia="Times New Roman" w:hAnsi="Times New Roman"/>
          <w:sz w:val="22"/>
          <w:szCs w:val="22"/>
          <w:color w:val="auto"/>
        </w:rPr>
        <w:t>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2" w:lineRule="exact"/>
        <w:rPr>
          <w:sz w:val="20"/>
          <w:szCs w:val="20"/>
          <w:color w:val="auto"/>
        </w:rPr>
      </w:pPr>
    </w:p>
    <w:p>
      <w:pPr>
        <w:jc w:val="both"/>
        <w:ind w:left="1300" w:right="660" w:firstLine="4"/>
        <w:spacing w:after="0" w:line="259" w:lineRule="auto"/>
        <w:tabs>
          <w:tab w:leader="none" w:pos="188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6" w:lineRule="exact"/>
        <w:rPr>
          <w:rFonts w:ascii="Times New Roman" w:cs="Times New Roman" w:eastAsia="Times New Roman" w:hAnsi="Times New Roman"/>
          <w:sz w:val="22"/>
          <w:szCs w:val="22"/>
          <w:color w:val="auto"/>
        </w:rPr>
      </w:pPr>
    </w:p>
    <w:p>
      <w:pPr>
        <w:ind w:left="1300" w:right="660" w:firstLine="4"/>
        <w:spacing w:after="0" w:line="287" w:lineRule="auto"/>
        <w:tabs>
          <w:tab w:leader="none" w:pos="187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37"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76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Times New Roman" w:cs="Times New Roman" w:eastAsia="Times New Roman" w:hAnsi="Times New Roman"/>
          <w:sz w:val="22"/>
          <w:szCs w:val="22"/>
          <w:color w:val="auto"/>
        </w:rPr>
      </w:pPr>
    </w:p>
    <w:p>
      <w:pPr>
        <w:jc w:val="both"/>
        <w:ind w:left="1300" w:right="660" w:firstLine="4"/>
        <w:spacing w:after="0" w:line="265" w:lineRule="auto"/>
        <w:tabs>
          <w:tab w:leader="none" w:pos="176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60" w:firstLine="4"/>
        <w:spacing w:after="0" w:line="259" w:lineRule="auto"/>
        <w:tabs>
          <w:tab w:leader="none" w:pos="180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79" w:lineRule="exact"/>
        <w:rPr>
          <w:rFonts w:ascii="Times New Roman" w:cs="Times New Roman" w:eastAsia="Times New Roman" w:hAnsi="Times New Roman"/>
          <w:sz w:val="22"/>
          <w:szCs w:val="22"/>
          <w:color w:val="auto"/>
        </w:rPr>
      </w:pPr>
    </w:p>
    <w:p>
      <w:pPr>
        <w:jc w:val="both"/>
        <w:ind w:left="1300" w:right="640" w:firstLine="4"/>
        <w:spacing w:after="0" w:line="259" w:lineRule="auto"/>
        <w:tabs>
          <w:tab w:leader="none" w:pos="182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66" w:lineRule="exact"/>
        <w:rPr>
          <w:rFonts w:ascii="Times New Roman" w:cs="Times New Roman" w:eastAsia="Times New Roman" w:hAnsi="Times New Roman"/>
          <w:sz w:val="22"/>
          <w:szCs w:val="22"/>
          <w:color w:val="auto"/>
        </w:rPr>
      </w:pPr>
    </w:p>
    <w:p>
      <w:pPr>
        <w:jc w:val="both"/>
        <w:ind w:left="1300" w:right="660" w:firstLine="4"/>
        <w:spacing w:after="0" w:line="258" w:lineRule="auto"/>
        <w:tabs>
          <w:tab w:leader="none" w:pos="197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ind w:left="1300"/>
        <w:spacing w:after="0" w:line="295" w:lineRule="auto"/>
        <w:rPr>
          <w:sz w:val="20"/>
          <w:szCs w:val="20"/>
          <w:color w:val="auto"/>
        </w:rPr>
      </w:pPr>
      <w:r>
        <w:rPr>
          <w:rFonts w:ascii="Times New Roman" w:cs="Times New Roman" w:eastAsia="Times New Roman" w:hAnsi="Times New Roman"/>
          <w:sz w:val="21"/>
          <w:szCs w:val="21"/>
          <w:color w:val="auto"/>
        </w:rPr>
        <w:t>“The Company and Rieke Packaging Systems Limited (the “Grantee’s Employer”), (together the “Relevant TriMas Companies”) will process the Grantee’s personal data in connection with the Plan. For the purposes of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22" w:right="339" w:bottom="1440" w:gutter="0" w:footer="0" w:header="0"/>
        </w:sectPr>
      </w:pPr>
    </w:p>
    <w:bookmarkStart w:id="283" w:name="page284"/>
    <w:bookmarkEnd w:id="283"/>
    <w:p>
      <w:pPr>
        <w:ind w:left="1120"/>
        <w:spacing w:after="0" w:line="271" w:lineRule="auto"/>
        <w:rPr>
          <w:sz w:val="20"/>
          <w:szCs w:val="20"/>
          <w:color w:val="auto"/>
        </w:rPr>
      </w:pPr>
      <w:r>
        <w:rPr>
          <w:rFonts w:ascii="Times New Roman" w:cs="Times New Roman" w:eastAsia="Times New Roman" w:hAnsi="Times New Roman"/>
          <w:sz w:val="22"/>
          <w:szCs w:val="22"/>
          <w:color w:val="auto"/>
        </w:rPr>
        <w:t>protection legislation, the Relevant TriMas Companies will each act as independent controllers in relation to such personal data.</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3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780" w:hanging="332"/>
        <w:spacing w:after="0" w:line="284" w:lineRule="auto"/>
        <w:tabs>
          <w:tab w:leader="none" w:pos="17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43"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8"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20" w:lineRule="exact"/>
        <w:rPr>
          <w:sz w:val="20"/>
          <w:szCs w:val="20"/>
          <w:color w:val="auto"/>
        </w:rPr>
      </w:pPr>
    </w:p>
    <w:p>
      <w:pPr>
        <w:ind w:left="1780" w:right="20" w:hanging="332"/>
        <w:spacing w:after="0" w:line="271" w:lineRule="auto"/>
        <w:tabs>
          <w:tab w:leader="none" w:pos="17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22" w:right="339" w:bottom="1440" w:gutter="0" w:footer="0" w:header="0"/>
        </w:sectPr>
      </w:pPr>
    </w:p>
    <w:bookmarkStart w:id="284" w:name="page285"/>
    <w:bookmarkEnd w:id="284"/>
    <w:p>
      <w:pPr>
        <w:jc w:val="both"/>
        <w:ind w:left="1780" w:hanging="332"/>
        <w:spacing w:after="0" w:line="257" w:lineRule="auto"/>
        <w:tabs>
          <w:tab w:leader="none" w:pos="1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86" w:lineRule="exact"/>
        <w:rPr>
          <w:rFonts w:ascii="Times New Roman" w:cs="Times New Roman" w:eastAsia="Times New Roman" w:hAnsi="Times New Roman"/>
          <w:sz w:val="18"/>
          <w:szCs w:val="18"/>
          <w:color w:val="auto"/>
        </w:rPr>
      </w:pPr>
    </w:p>
    <w:p>
      <w:pPr>
        <w:ind w:left="1780" w:right="20" w:hanging="332"/>
        <w:spacing w:after="0" w:line="271" w:lineRule="auto"/>
        <w:tabs>
          <w:tab w:leader="none" w:pos="1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7" w:lineRule="auto"/>
        <w:tabs>
          <w:tab w:leader="none" w:pos="1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6"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80" w:hanging="332"/>
        <w:spacing w:after="0" w:line="263" w:lineRule="auto"/>
        <w:tabs>
          <w:tab w:leader="none" w:pos="177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Times New Roman" w:cs="Times New Roman" w:eastAsia="Times New Roman" w:hAnsi="Times New Roman"/>
          <w:sz w:val="18"/>
          <w:szCs w:val="18"/>
          <w:color w:val="auto"/>
        </w:rPr>
      </w:pPr>
    </w:p>
    <w:p>
      <w:pPr>
        <w:jc w:val="both"/>
        <w:ind w:left="1780" w:hanging="332"/>
        <w:spacing w:after="0" w:line="252" w:lineRule="auto"/>
        <w:tabs>
          <w:tab w:leader="none" w:pos="177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92"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Performance Stock Units Agreement between the Grantee and TriMas Corporation.</w:t>
      </w:r>
    </w:p>
    <w:p>
      <w:pPr>
        <w:spacing w:after="0" w:line="158"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37" w:lineRule="exact"/>
        <w:rPr>
          <w:sz w:val="20"/>
          <w:szCs w:val="20"/>
          <w:color w:val="auto"/>
        </w:rPr>
      </w:pPr>
    </w:p>
    <w:p>
      <w:pPr>
        <w:ind w:left="112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22" w:right="339" w:bottom="1440" w:gutter="0" w:footer="0" w:header="0"/>
        </w:sectPr>
      </w:pPr>
    </w:p>
    <w:bookmarkStart w:id="285" w:name="page286"/>
    <w:bookmarkEnd w:id="285"/>
    <w:p>
      <w:pPr>
        <w:jc w:val="both"/>
        <w:ind w:left="1120"/>
        <w:spacing w:after="0" w:line="25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1" w:lineRule="exact"/>
        <w:rPr>
          <w:sz w:val="20"/>
          <w:szCs w:val="20"/>
          <w:color w:val="auto"/>
        </w:rPr>
      </w:pPr>
    </w:p>
    <w:p>
      <w:pPr>
        <w:jc w:val="both"/>
        <w:ind w:left="1120"/>
        <w:spacing w:after="0" w:line="249" w:lineRule="auto"/>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www.netbenefits.fidelity.com and visiting the Plan &amp; Grant Documents section of the Grantee’s account.</w:t>
      </w:r>
    </w:p>
    <w:p>
      <w:pPr>
        <w:spacing w:after="0" w:line="195"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73" w:lineRule="exact"/>
        <w:rPr>
          <w:sz w:val="20"/>
          <w:szCs w:val="20"/>
          <w:color w:val="auto"/>
        </w:rPr>
      </w:pPr>
    </w:p>
    <w:p>
      <w:pPr>
        <w:ind w:left="1760" w:hanging="312"/>
        <w:spacing w:after="0"/>
        <w:tabs>
          <w:tab w:leader="none" w:pos="17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84" w:lineRule="auto"/>
        <w:tabs>
          <w:tab w:leader="none" w:pos="177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43"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60" w:hanging="312"/>
        <w:spacing w:after="0"/>
        <w:tabs>
          <w:tab w:leader="none" w:pos="17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80" w:hanging="332"/>
        <w:spacing w:after="0" w:line="263" w:lineRule="auto"/>
        <w:tabs>
          <w:tab w:leader="none" w:pos="177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67" w:lineRule="exact"/>
        <w:rPr>
          <w:rFonts w:ascii="Times New Roman" w:cs="Times New Roman" w:eastAsia="Times New Roman" w:hAnsi="Times New Roman"/>
          <w:sz w:val="18"/>
          <w:szCs w:val="18"/>
          <w:color w:val="auto"/>
        </w:rPr>
      </w:pPr>
    </w:p>
    <w:p>
      <w:pPr>
        <w:ind w:left="1780" w:hanging="332"/>
        <w:spacing w:after="0" w:line="271" w:lineRule="auto"/>
        <w:tabs>
          <w:tab w:leader="none" w:pos="177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22" w:right="339" w:bottom="1440" w:gutter="0" w:footer="0" w:header="0"/>
        </w:sectPr>
      </w:pPr>
    </w:p>
    <w:bookmarkStart w:id="286" w:name="page287"/>
    <w:bookmarkEnd w:id="286"/>
    <w:p>
      <w:pPr>
        <w:ind w:left="1780"/>
        <w:spacing w:after="0" w:line="271" w:lineRule="auto"/>
        <w:rPr>
          <w:sz w:val="20"/>
          <w:szCs w:val="20"/>
          <w:color w:val="auto"/>
        </w:rPr>
      </w:pPr>
      <w:r>
        <w:rPr>
          <w:rFonts w:ascii="Times New Roman" w:cs="Times New Roman" w:eastAsia="Times New Roman" w:hAnsi="Times New Roman"/>
          <w:sz w:val="22"/>
          <w:szCs w:val="22"/>
          <w:color w:val="auto"/>
        </w:rPr>
        <w:t>obligations, or in order to enforce or to protect its rights, property or safety, or that of its customers or other persons with whom it has a business relationship.</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37"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8" w:lineRule="exact"/>
        <w:rPr>
          <w:sz w:val="20"/>
          <w:szCs w:val="20"/>
          <w:color w:val="auto"/>
        </w:rPr>
      </w:pPr>
    </w:p>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31" w:lineRule="exact"/>
        <w:rPr>
          <w:sz w:val="20"/>
          <w:szCs w:val="20"/>
          <w:color w:val="auto"/>
        </w:rPr>
      </w:pPr>
    </w:p>
    <w:p>
      <w:pPr>
        <w:ind w:left="1780" w:right="20" w:hanging="332"/>
        <w:spacing w:after="0" w:line="271" w:lineRule="auto"/>
        <w:tabs>
          <w:tab w:leader="none" w:pos="17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78" w:lineRule="exact"/>
        <w:rPr>
          <w:rFonts w:ascii="Times New Roman" w:cs="Times New Roman" w:eastAsia="Times New Roman" w:hAnsi="Times New Roman"/>
          <w:sz w:val="18"/>
          <w:szCs w:val="18"/>
          <w:color w:val="auto"/>
        </w:rPr>
      </w:pPr>
    </w:p>
    <w:p>
      <w:pPr>
        <w:jc w:val="both"/>
        <w:ind w:left="1780" w:hanging="332"/>
        <w:spacing w:after="0" w:line="256" w:lineRule="auto"/>
        <w:tabs>
          <w:tab w:leader="none" w:pos="17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780" w:hanging="332"/>
        <w:spacing w:after="0" w:line="253" w:lineRule="auto"/>
        <w:tabs>
          <w:tab w:leader="none" w:pos="17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60"/>
          </w:cols>
          <w:pgMar w:left="500" w:top="1422" w:right="339" w:bottom="1440" w:gutter="0" w:footer="0" w:header="0"/>
        </w:sectPr>
      </w:pPr>
    </w:p>
    <w:bookmarkStart w:id="287" w:name="page288"/>
    <w:bookmarkEnd w:id="287"/>
    <w:p>
      <w:pPr>
        <w:jc w:val="both"/>
        <w:ind w:left="1960" w:hanging="332"/>
        <w:spacing w:after="0" w:line="256" w:lineRule="auto"/>
        <w:tabs>
          <w:tab w:leader="none" w:pos="19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https://ico.org.uk/concerns/).”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II.B.18 is added to the Agreement to read as follows:</w:t>
      </w:r>
    </w:p>
    <w:p>
      <w:pPr>
        <w:spacing w:after="0" w:line="251" w:lineRule="exact"/>
        <w:rPr>
          <w:sz w:val="20"/>
          <w:szCs w:val="20"/>
          <w:color w:val="auto"/>
        </w:rPr>
      </w:pPr>
    </w:p>
    <w:p>
      <w:pPr>
        <w:jc w:val="both"/>
        <w:ind w:left="1300" w:right="640"/>
        <w:spacing w:after="0" w:line="253"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22"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This California Addendum (“Addendum”) includes additional terms and conditions that govern the performance-based Restricted Stock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granted to you under the TriMas Corporation 2023 Equity and Incentive Compensation Plan (referred to as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40" w:firstLine="644"/>
        <w:spacing w:after="0" w:line="245" w:lineRule="auto"/>
        <w:tabs>
          <w:tab w:leader="none" w:pos="1936"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82" w:lineRule="exact"/>
        <w:rPr>
          <w:rFonts w:ascii="Times New Roman" w:cs="Times New Roman" w:eastAsia="Times New Roman" w:hAnsi="Times New Roman"/>
          <w:sz w:val="22"/>
          <w:szCs w:val="22"/>
          <w:color w:val="auto"/>
        </w:rPr>
      </w:pPr>
    </w:p>
    <w:p>
      <w:pPr>
        <w:jc w:val="both"/>
        <w:ind w:left="640" w:firstLine="644"/>
        <w:spacing w:after="0" w:line="238" w:lineRule="auto"/>
        <w:tabs>
          <w:tab w:leader="none" w:pos="193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PSUs or any clawback or recoupment of the Award for the disclosure of a trade secret if that disclosure (1) is made in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04" w:right="339" w:bottom="1440" w:gutter="0" w:footer="0" w:header="0"/>
        </w:sectPr>
      </w:pPr>
    </w:p>
    <w:bookmarkStart w:id="289" w:name="page290"/>
    <w:bookmarkEnd w:id="289"/>
    <w:p>
      <w:pPr>
        <w:jc w:val="both"/>
        <w:ind w:left="460"/>
        <w:spacing w:after="0" w:line="236" w:lineRule="auto"/>
        <w:rPr>
          <w:sz w:val="20"/>
          <w:szCs w:val="20"/>
          <w:color w:val="auto"/>
        </w:rPr>
      </w:pPr>
      <w:r>
        <w:rPr>
          <w:rFonts w:ascii="Times New Roman" w:cs="Times New Roman" w:eastAsia="Times New Roman" w:hAnsi="Times New Roman"/>
          <w:sz w:val="22"/>
          <w:szCs w:val="22"/>
          <w:color w:val="auto"/>
        </w:rPr>
        <w:t>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the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03" w:lineRule="exact"/>
        <w:rPr>
          <w:sz w:val="20"/>
          <w:szCs w:val="20"/>
          <w:color w:val="auto"/>
        </w:rPr>
      </w:pPr>
    </w:p>
    <w:p>
      <w:pPr>
        <w:jc w:val="both"/>
        <w:ind w:left="460" w:firstLine="644"/>
        <w:spacing w:after="0" w:line="239" w:lineRule="auto"/>
        <w:tabs>
          <w:tab w:leader="none" w:pos="175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408" w:right="339" w:bottom="1440" w:gutter="0" w:footer="0" w:header="0"/>
        </w:sectPr>
      </w:pPr>
    </w:p>
    <w:bookmarkStart w:id="290" w:name="page291"/>
    <w:bookmarkEnd w:id="290"/>
    <w:p>
      <w:pPr>
        <w:ind w:left="640"/>
        <w:spacing w:after="0"/>
        <w:rPr>
          <w:sz w:val="20"/>
          <w:szCs w:val="20"/>
          <w:color w:val="auto"/>
        </w:rPr>
      </w:pPr>
      <w:r>
        <w:rPr>
          <w:rFonts w:ascii="Times New Roman" w:cs="Times New Roman" w:eastAsia="Times New Roman" w:hAnsi="Times New Roman"/>
          <w:sz w:val="22"/>
          <w:szCs w:val="22"/>
          <w:color w:val="auto"/>
        </w:rPr>
        <w:t>period prior to the date of employment termination and with which Grantee was involved and/or oversaw.</w:t>
      </w:r>
    </w:p>
    <w:p>
      <w:pPr>
        <w:spacing w:after="0" w:line="202" w:lineRule="exact"/>
        <w:rPr>
          <w:sz w:val="20"/>
          <w:szCs w:val="20"/>
          <w:color w:val="auto"/>
        </w:rPr>
      </w:pPr>
    </w:p>
    <w:p>
      <w:pPr>
        <w:jc w:val="both"/>
        <w:ind w:left="640" w:firstLine="644"/>
        <w:spacing w:after="0" w:line="249" w:lineRule="auto"/>
        <w:tabs>
          <w:tab w:leader="none" w:pos="1935"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5"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300" w:firstLine="622"/>
        <w:spacing w:after="0" w:line="242" w:lineRule="auto"/>
        <w:tabs>
          <w:tab w:leader="none" w:pos="244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1" w:lineRule="exact"/>
        <w:rPr>
          <w:rFonts w:ascii="Times New Roman" w:cs="Times New Roman" w:eastAsia="Times New Roman" w:hAnsi="Times New Roman"/>
          <w:sz w:val="22"/>
          <w:szCs w:val="22"/>
          <w:color w:val="auto"/>
        </w:rPr>
      </w:pPr>
    </w:p>
    <w:p>
      <w:pPr>
        <w:jc w:val="both"/>
        <w:ind w:left="1300" w:firstLine="622"/>
        <w:spacing w:after="0" w:line="238" w:lineRule="auto"/>
        <w:tabs>
          <w:tab w:leader="none" w:pos="2589"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1"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08" w:right="339" w:bottom="1440" w:gutter="0" w:footer="0" w:header="0"/>
        </w:sectPr>
      </w:pPr>
    </w:p>
    <w:bookmarkStart w:id="291" w:name="page292"/>
    <w:bookmarkEnd w:id="291"/>
    <w:p>
      <w:pPr>
        <w:jc w:val="both"/>
        <w:ind w:left="480" w:firstLine="67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California Privacy Rights section of the Company’s Privacy Policy located at www.trimas.com/privacy-policy/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500" w:top="1404"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3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94" w:right="339" w:bottom="1440" w:gutter="0" w:footer="0" w:header="0"/>
        </w:sect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spacing w:after="0" w:line="203" w:lineRule="exact"/>
        <w:rPr>
          <w:sz w:val="20"/>
          <w:szCs w:val="20"/>
          <w:color w:val="auto"/>
        </w:rPr>
      </w:pPr>
    </w:p>
    <w:p>
      <w:pPr>
        <w:ind w:left="440" w:hanging="432"/>
        <w:spacing w:after="0"/>
        <w:tabs>
          <w:tab w:leader="none" w:pos="440"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19" w:lineRule="exact"/>
        <w:rPr>
          <w:rFonts w:ascii="Times New Roman" w:cs="Times New Roman" w:eastAsia="Times New Roman" w:hAnsi="Times New Roman"/>
          <w:sz w:val="22"/>
          <w:szCs w:val="22"/>
          <w:b w:val="1"/>
          <w:bCs w:val="1"/>
          <w:color w:val="auto"/>
        </w:rPr>
      </w:pPr>
    </w:p>
    <w:p>
      <w:pPr>
        <w:jc w:val="both"/>
        <w:ind w:firstLine="231"/>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7"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2"/>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60" w:firstLine="644"/>
        <w:spacing w:after="0" w:line="252" w:lineRule="auto"/>
        <w:tabs>
          <w:tab w:leader="none" w:pos="1953" w:val="left"/>
        </w:tabs>
        <w:numPr>
          <w:ilvl w:val="3"/>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94" w:right="339" w:bottom="1440" w:gutter="0" w:footer="0" w:header="0"/>
          <w:type w:val="continuous"/>
        </w:sectPr>
      </w:pPr>
    </w:p>
    <w:bookmarkStart w:id="293" w:name="page294"/>
    <w:bookmarkEnd w:id="293"/>
    <w:p>
      <w:pPr>
        <w:ind w:left="1720" w:hanging="636"/>
        <w:spacing w:after="0"/>
        <w:tabs>
          <w:tab w:leader="none" w:pos="172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1080" w:firstLine="652"/>
        <w:spacing w:after="0" w:line="239" w:lineRule="auto"/>
        <w:tabs>
          <w:tab w:leader="none" w:pos="2283"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0" w:lineRule="exact"/>
        <w:rPr>
          <w:rFonts w:ascii="Times New Roman" w:cs="Times New Roman" w:eastAsia="Times New Roman" w:hAnsi="Times New Roman"/>
          <w:sz w:val="22"/>
          <w:szCs w:val="22"/>
          <w:color w:val="auto"/>
        </w:rPr>
      </w:pPr>
    </w:p>
    <w:p>
      <w:pPr>
        <w:jc w:val="both"/>
        <w:ind w:left="1080" w:firstLine="652"/>
        <w:spacing w:after="0" w:line="245" w:lineRule="auto"/>
        <w:tabs>
          <w:tab w:leader="none" w:pos="2221"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2" w:lineRule="exact"/>
        <w:rPr>
          <w:rFonts w:ascii="Times New Roman" w:cs="Times New Roman" w:eastAsia="Times New Roman" w:hAnsi="Times New Roman"/>
          <w:sz w:val="22"/>
          <w:szCs w:val="22"/>
          <w:color w:val="auto"/>
        </w:rPr>
      </w:pPr>
    </w:p>
    <w:p>
      <w:pPr>
        <w:jc w:val="both"/>
        <w:ind w:left="1080" w:firstLine="652"/>
        <w:spacing w:after="0"/>
        <w:tabs>
          <w:tab w:leader="none" w:pos="2322"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86" w:lineRule="exact"/>
        <w:rPr>
          <w:rFonts w:ascii="Times New Roman" w:cs="Times New Roman" w:eastAsia="Times New Roman" w:hAnsi="Times New Roman"/>
          <w:sz w:val="22"/>
          <w:szCs w:val="22"/>
          <w:color w:val="auto"/>
        </w:rPr>
      </w:pPr>
    </w:p>
    <w:p>
      <w:pPr>
        <w:jc w:val="both"/>
        <w:ind w:left="1080" w:firstLine="652"/>
        <w:spacing w:after="0" w:line="245" w:lineRule="auto"/>
        <w:tabs>
          <w:tab w:leader="none" w:pos="2310"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68" w:lineRule="exact"/>
        <w:rPr>
          <w:rFonts w:ascii="Times New Roman" w:cs="Times New Roman" w:eastAsia="Times New Roman" w:hAnsi="Times New Roman"/>
          <w:sz w:val="22"/>
          <w:szCs w:val="22"/>
          <w:color w:val="auto"/>
        </w:rPr>
      </w:pPr>
    </w:p>
    <w:p>
      <w:pPr>
        <w:jc w:val="both"/>
        <w:ind w:left="1080" w:firstLine="652"/>
        <w:spacing w:after="0" w:line="252" w:lineRule="auto"/>
        <w:tabs>
          <w:tab w:leader="none" w:pos="2223"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such unvested Restricted Stock Units shall vest in accordance with this Section II.A.1(b)(v):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04" w:right="339" w:bottom="1440" w:gutter="0" w:footer="0" w:header="0"/>
        </w:sectPr>
      </w:pPr>
    </w:p>
    <w:bookmarkStart w:id="294" w:name="page295"/>
    <w:bookmarkEnd w:id="294"/>
    <w:p>
      <w:pPr>
        <w:jc w:val="both"/>
        <w:ind w:left="1980" w:firstLine="643"/>
        <w:spacing w:after="0" w:line="239" w:lineRule="auto"/>
        <w:tabs>
          <w:tab w:leader="none" w:pos="3293"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all of the Restricted Stock Units subject to this Award, and while Grantee is continuously a Service Provider, a Change in Control occurs, then the Restricted Stock Units subject to this Award that have not already vested as of the date of the Change in Control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94" w:lineRule="exact"/>
        <w:rPr>
          <w:rFonts w:ascii="Times New Roman" w:cs="Times New Roman" w:eastAsia="Times New Roman" w:hAnsi="Times New Roman"/>
          <w:sz w:val="22"/>
          <w:szCs w:val="22"/>
          <w:color w:val="auto"/>
        </w:rPr>
      </w:pPr>
    </w:p>
    <w:p>
      <w:pPr>
        <w:jc w:val="both"/>
        <w:ind w:left="1980" w:firstLine="643"/>
        <w:spacing w:after="0" w:line="237" w:lineRule="auto"/>
        <w:tabs>
          <w:tab w:leader="none" w:pos="3165"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(4) if Grantee holding the Replaced Award is subject to U.S. federal income tax under the Code, the tax consequences of which to such Grantee under the Code are not less favorable to such Grantee than the tax consequences of the Replaced Award, and (5)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87" w:lineRule="exact"/>
        <w:rPr>
          <w:rFonts w:ascii="Times New Roman" w:cs="Times New Roman" w:eastAsia="Times New Roman" w:hAnsi="Times New Roman"/>
          <w:sz w:val="22"/>
          <w:szCs w:val="22"/>
          <w:color w:val="auto"/>
        </w:rPr>
      </w:pPr>
    </w:p>
    <w:p>
      <w:pPr>
        <w:jc w:val="both"/>
        <w:ind w:left="1980" w:firstLine="643"/>
        <w:spacing w:after="0" w:line="260" w:lineRule="auto"/>
        <w:tabs>
          <w:tab w:leader="none" w:pos="3136" w:val="left"/>
        </w:tabs>
        <w:numPr>
          <w:ilvl w:val="1"/>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and its Subsidiaries (or any of their successors) (as applicable, the “Successor”), or</w:t>
      </w:r>
    </w:p>
    <w:p>
      <w:pPr>
        <w:jc w:val="both"/>
        <w:ind w:left="1980" w:hanging="5"/>
        <w:spacing w:after="0" w:line="236" w:lineRule="auto"/>
        <w:tabs>
          <w:tab w:leader="none" w:pos="231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Retirement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08" w:right="339" w:bottom="1440" w:gutter="0" w:footer="0" w:header="0"/>
        </w:sectPr>
      </w:pPr>
    </w:p>
    <w:bookmarkStart w:id="295" w:name="page296"/>
    <w:bookmarkEnd w:id="295"/>
    <w:p>
      <w:pPr>
        <w:jc w:val="both"/>
        <w:ind w:left="1980" w:firstLine="643"/>
        <w:spacing w:after="0" w:line="244" w:lineRule="auto"/>
        <w:tabs>
          <w:tab w:leader="none" w:pos="3221"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86" w:lineRule="exact"/>
        <w:rPr>
          <w:sz w:val="20"/>
          <w:szCs w:val="20"/>
          <w:color w:val="auto"/>
        </w:rPr>
      </w:pPr>
    </w:p>
    <w:p>
      <w:pPr>
        <w:jc w:val="both"/>
        <w:ind w:left="440"/>
        <w:spacing w:after="0" w:line="244"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3" w:lineRule="exact"/>
        <w:rPr>
          <w:sz w:val="20"/>
          <w:szCs w:val="20"/>
          <w:color w:val="auto"/>
        </w:rPr>
      </w:pPr>
    </w:p>
    <w:p>
      <w:pPr>
        <w:ind w:left="600" w:hanging="380"/>
        <w:spacing w:after="0"/>
        <w:tabs>
          <w:tab w:leader="none" w:pos="600" w:val="left"/>
        </w:tabs>
        <w:numPr>
          <w:ilvl w:val="0"/>
          <w:numId w:val="3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440" w:firstLine="259"/>
        <w:spacing w:after="0" w:line="252" w:lineRule="auto"/>
        <w:tabs>
          <w:tab w:leader="none" w:pos="1206"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61" w:lineRule="exact"/>
        <w:rPr>
          <w:rFonts w:ascii="Times New Roman" w:cs="Times New Roman" w:eastAsia="Times New Roman" w:hAnsi="Times New Roman"/>
          <w:sz w:val="22"/>
          <w:szCs w:val="22"/>
          <w:color w:val="auto"/>
        </w:rPr>
      </w:pPr>
    </w:p>
    <w:p>
      <w:pPr>
        <w:ind w:left="440" w:firstLine="306"/>
        <w:spacing w:after="0" w:line="275" w:lineRule="auto"/>
        <w:tabs>
          <w:tab w:leader="none" w:pos="1313" w:val="left"/>
        </w:tabs>
        <w:numPr>
          <w:ilvl w:val="2"/>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39" w:lineRule="exact"/>
        <w:rPr>
          <w:rFonts w:ascii="Times New Roman" w:cs="Times New Roman" w:eastAsia="Times New Roman" w:hAnsi="Times New Roman"/>
          <w:sz w:val="22"/>
          <w:szCs w:val="22"/>
          <w:color w:val="auto"/>
        </w:rPr>
      </w:pPr>
    </w:p>
    <w:p>
      <w:pPr>
        <w:jc w:val="both"/>
        <w:ind w:left="1080" w:firstLine="571"/>
        <w:spacing w:after="0" w:line="244" w:lineRule="auto"/>
        <w:tabs>
          <w:tab w:leader="none" w:pos="2157" w:val="left"/>
        </w:tabs>
        <w:numPr>
          <w:ilvl w:val="3"/>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86" w:lineRule="exact"/>
        <w:rPr>
          <w:rFonts w:ascii="Times New Roman" w:cs="Times New Roman" w:eastAsia="Times New Roman" w:hAnsi="Times New Roman"/>
          <w:sz w:val="22"/>
          <w:szCs w:val="22"/>
          <w:color w:val="auto"/>
        </w:rPr>
      </w:pPr>
    </w:p>
    <w:p>
      <w:pPr>
        <w:jc w:val="both"/>
        <w:ind w:left="1080" w:firstLine="571"/>
        <w:spacing w:after="0" w:line="238" w:lineRule="auto"/>
        <w:tabs>
          <w:tab w:leader="none" w:pos="2150" w:val="left"/>
        </w:tabs>
        <w:numPr>
          <w:ilvl w:val="3"/>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II.A.1(b)(v)(A)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85" w:lineRule="exact"/>
        <w:rPr>
          <w:rFonts w:ascii="Times New Roman" w:cs="Times New Roman" w:eastAsia="Times New Roman" w:hAnsi="Times New Roman"/>
          <w:sz w:val="22"/>
          <w:szCs w:val="22"/>
          <w:color w:val="auto"/>
        </w:rPr>
      </w:pPr>
    </w:p>
    <w:p>
      <w:pPr>
        <w:jc w:val="both"/>
        <w:ind w:left="1080" w:firstLine="571"/>
        <w:spacing w:after="0" w:line="244" w:lineRule="auto"/>
        <w:tabs>
          <w:tab w:leader="none" w:pos="2200" w:val="left"/>
        </w:tabs>
        <w:numPr>
          <w:ilvl w:val="3"/>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II.A.1(b)(v)(C) (and have not previously been settled) on the date of Grantee’s “separation from service” with the Company and its Subsidiaries (determined in accordance with Section 409A(a)(2)(A)(i) of the Code) within two years following the occurrence of a Change in Control that constitutes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08" w:right="339" w:bottom="1440" w:gutter="0" w:footer="0" w:header="0"/>
        </w:sectPr>
      </w:pPr>
    </w:p>
    <w:bookmarkStart w:id="296" w:name="page297"/>
    <w:bookmarkEnd w:id="296"/>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sz w:val="20"/>
          <w:szCs w:val="20"/>
          <w:color w:val="auto"/>
        </w:rPr>
      </w:pPr>
    </w:p>
    <w:p>
      <w:pPr>
        <w:jc w:val="both"/>
        <w:ind w:left="-220" w:firstLine="449"/>
        <w:spacing w:after="0" w:line="239" w:lineRule="auto"/>
        <w:tabs>
          <w:tab w:leader="none" w:pos="603" w:val="left"/>
        </w:tabs>
        <w:numPr>
          <w:ilvl w:val="1"/>
          <w:numId w:val="3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9" w:lineRule="exact"/>
        <w:rPr>
          <w:rFonts w:ascii="Times New Roman" w:cs="Times New Roman" w:eastAsia="Times New Roman" w:hAnsi="Times New Roman"/>
          <w:sz w:val="22"/>
          <w:szCs w:val="22"/>
          <w:b w:val="1"/>
          <w:bCs w:val="1"/>
          <w:color w:val="auto"/>
        </w:rPr>
      </w:pPr>
    </w:p>
    <w:p>
      <w:pPr>
        <w:ind w:left="-220" w:right="20" w:firstLine="467"/>
        <w:spacing w:after="0" w:line="262" w:lineRule="auto"/>
        <w:tabs>
          <w:tab w:leader="none" w:pos="630" w:val="left"/>
        </w:tabs>
        <w:numPr>
          <w:ilvl w:val="3"/>
          <w:numId w:val="3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rFonts w:ascii="Times New Roman" w:cs="Times New Roman" w:eastAsia="Times New Roman" w:hAnsi="Times New Roman"/>
          <w:sz w:val="22"/>
          <w:szCs w:val="22"/>
          <w:b w:val="1"/>
          <w:bCs w:val="1"/>
          <w:color w:val="auto"/>
        </w:rPr>
      </w:pPr>
    </w:p>
    <w:p>
      <w:pPr>
        <w:ind w:left="-220" w:firstLine="440"/>
        <w:spacing w:after="0" w:line="275" w:lineRule="auto"/>
        <w:tabs>
          <w:tab w:leader="none" w:pos="590" w:val="left"/>
        </w:tabs>
        <w:numPr>
          <w:ilvl w:val="2"/>
          <w:numId w:val="3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35" w:lineRule="exact"/>
        <w:rPr>
          <w:rFonts w:ascii="Times New Roman" w:cs="Times New Roman" w:eastAsia="Times New Roman" w:hAnsi="Times New Roman"/>
          <w:sz w:val="22"/>
          <w:szCs w:val="22"/>
          <w:b w:val="1"/>
          <w:bCs w:val="1"/>
          <w:color w:val="auto"/>
        </w:rPr>
      </w:pPr>
    </w:p>
    <w:p>
      <w:pPr>
        <w:ind w:left="420" w:hanging="416"/>
        <w:spacing w:after="0"/>
        <w:tabs>
          <w:tab w:leader="none" w:pos="420" w:val="left"/>
        </w:tabs>
        <w:numPr>
          <w:ilvl w:val="0"/>
          <w:numId w:val="3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220" w:firstLine="494"/>
        <w:spacing w:after="0" w:line="245" w:lineRule="auto"/>
        <w:tabs>
          <w:tab w:leader="none" w:pos="671" w:val="left"/>
        </w:tabs>
        <w:numPr>
          <w:ilvl w:val="4"/>
          <w:numId w:val="3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8" w:lineRule="exact"/>
        <w:rPr>
          <w:rFonts w:ascii="Times New Roman" w:cs="Times New Roman" w:eastAsia="Times New Roman" w:hAnsi="Times New Roman"/>
          <w:sz w:val="22"/>
          <w:szCs w:val="22"/>
          <w:b w:val="1"/>
          <w:bCs w:val="1"/>
          <w:color w:val="auto"/>
        </w:rPr>
      </w:pPr>
    </w:p>
    <w:p>
      <w:pPr>
        <w:jc w:val="both"/>
        <w:ind w:left="-220" w:firstLine="593"/>
        <w:spacing w:after="0" w:line="238" w:lineRule="auto"/>
        <w:tabs>
          <w:tab w:leader="none" w:pos="819" w:val="left"/>
        </w:tabs>
        <w:numPr>
          <w:ilvl w:val="5"/>
          <w:numId w:val="3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408" w:right="339" w:bottom="1440" w:gutter="0" w:footer="0" w:header="0"/>
        </w:sectPr>
      </w:pPr>
    </w:p>
    <w:bookmarkStart w:id="297" w:name="page298"/>
    <w:bookmarkEnd w:id="297"/>
    <w:p>
      <w:pPr>
        <w:jc w:val="both"/>
        <w:spacing w:after="0" w:line="243" w:lineRule="auto"/>
        <w:rPr>
          <w:sz w:val="20"/>
          <w:szCs w:val="20"/>
          <w:color w:val="auto"/>
        </w:rPr>
      </w:pPr>
      <w:r>
        <w:rPr>
          <w:rFonts w:ascii="Times New Roman" w:cs="Times New Roman" w:eastAsia="Times New Roman" w:hAnsi="Times New Roman"/>
          <w:sz w:val="22"/>
          <w:szCs w:val="22"/>
          <w:color w:val="auto"/>
        </w:rPr>
        <w:t>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3" w:lineRule="exact"/>
        <w:rPr>
          <w:sz w:val="20"/>
          <w:szCs w:val="20"/>
          <w:color w:val="auto"/>
        </w:rPr>
      </w:pPr>
    </w:p>
    <w:p>
      <w:pPr>
        <w:ind w:left="820" w:hanging="380"/>
        <w:spacing w:after="0"/>
        <w:tabs>
          <w:tab w:leader="none" w:pos="820" w:val="left"/>
        </w:tabs>
        <w:numPr>
          <w:ilvl w:val="0"/>
          <w:numId w:val="3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06" w:lineRule="exact"/>
        <w:rPr>
          <w:rFonts w:ascii="Times New Roman" w:cs="Times New Roman" w:eastAsia="Times New Roman" w:hAnsi="Times New Roman"/>
          <w:sz w:val="22"/>
          <w:szCs w:val="22"/>
          <w:b w:val="1"/>
          <w:bCs w:val="1"/>
          <w:color w:val="auto"/>
        </w:rPr>
      </w:pPr>
    </w:p>
    <w:p>
      <w:pPr>
        <w:jc w:val="both"/>
        <w:ind w:left="660" w:firstLine="259"/>
        <w:spacing w:after="0" w:line="239" w:lineRule="auto"/>
        <w:tabs>
          <w:tab w:leader="none" w:pos="1426"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 agreement or arrangement)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80" w:lineRule="exact"/>
        <w:rPr>
          <w:rFonts w:ascii="Times New Roman" w:cs="Times New Roman" w:eastAsia="Times New Roman" w:hAnsi="Times New Roman"/>
          <w:sz w:val="22"/>
          <w:szCs w:val="22"/>
          <w:color w:val="auto"/>
        </w:rPr>
      </w:pPr>
    </w:p>
    <w:p>
      <w:pPr>
        <w:jc w:val="both"/>
        <w:ind w:left="660" w:firstLine="327"/>
        <w:spacing w:after="0" w:line="237" w:lineRule="auto"/>
        <w:tabs>
          <w:tab w:leader="none" w:pos="1573" w:val="left"/>
        </w:tabs>
        <w:numPr>
          <w:ilvl w:val="2"/>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298" w:name="page299"/>
    <w:bookmarkEnd w:id="298"/>
    <w:p>
      <w:pPr>
        <w:jc w:val="both"/>
        <w:ind w:left="440"/>
        <w:spacing w:after="0" w:line="249" w:lineRule="auto"/>
        <w:rPr>
          <w:sz w:val="20"/>
          <w:szCs w:val="20"/>
          <w:color w:val="auto"/>
        </w:rPr>
      </w:pPr>
      <w:r>
        <w:rPr>
          <w:rFonts w:ascii="Times New Roman" w:cs="Times New Roman" w:eastAsia="Times New Roman" w:hAnsi="Times New Roman"/>
          <w:sz w:val="21"/>
          <w:szCs w:val="21"/>
          <w:color w:val="auto"/>
        </w:rPr>
        <w:t>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8" w:lineRule="exact"/>
        <w:rPr>
          <w:sz w:val="20"/>
          <w:szCs w:val="20"/>
          <w:color w:val="auto"/>
        </w:rPr>
      </w:pPr>
    </w:p>
    <w:p>
      <w:pPr>
        <w:ind w:left="1100" w:hanging="448"/>
        <w:spacing w:after="0"/>
        <w:tabs>
          <w:tab w:leader="none" w:pos="110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080" w:hanging="208"/>
        <w:spacing w:after="0" w:line="239" w:lineRule="auto"/>
        <w:tabs>
          <w:tab w:leader="none" w:pos="1289"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0" w:lineRule="exact"/>
        <w:rPr>
          <w:rFonts w:ascii="Times New Roman" w:cs="Times New Roman" w:eastAsia="Times New Roman" w:hAnsi="Times New Roman"/>
          <w:sz w:val="22"/>
          <w:szCs w:val="22"/>
          <w:color w:val="auto"/>
        </w:rPr>
      </w:pPr>
    </w:p>
    <w:p>
      <w:pPr>
        <w:jc w:val="both"/>
        <w:ind w:left="1080" w:firstLine="337"/>
        <w:spacing w:after="0" w:line="244" w:lineRule="auto"/>
        <w:tabs>
          <w:tab w:leader="none" w:pos="2011" w:val="left"/>
        </w:tabs>
        <w:numPr>
          <w:ilvl w:val="2"/>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08" w:right="339" w:bottom="1440" w:gutter="0" w:footer="0" w:header="0"/>
        </w:sectPr>
      </w:pPr>
    </w:p>
    <w:bookmarkStart w:id="299" w:name="page300"/>
    <w:bookmarkEnd w:id="299"/>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68" w:lineRule="exact"/>
        <w:rPr>
          <w:sz w:val="20"/>
          <w:szCs w:val="20"/>
          <w:color w:val="auto"/>
        </w:rPr>
      </w:pPr>
    </w:p>
    <w:p>
      <w:pPr>
        <w:jc w:val="both"/>
        <w:ind w:left="1080" w:hanging="112"/>
        <w:spacing w:after="0"/>
        <w:tabs>
          <w:tab w:leader="none" w:pos="1554" w:val="left"/>
        </w:tabs>
        <w:numPr>
          <w:ilvl w:val="2"/>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72" w:lineRule="exact"/>
        <w:rPr>
          <w:rFonts w:ascii="Times New Roman" w:cs="Times New Roman" w:eastAsia="Times New Roman" w:hAnsi="Times New Roman"/>
          <w:sz w:val="22"/>
          <w:szCs w:val="22"/>
          <w:color w:val="auto"/>
        </w:rPr>
      </w:pPr>
    </w:p>
    <w:p>
      <w:pPr>
        <w:jc w:val="both"/>
        <w:ind w:left="440" w:firstLine="354"/>
        <w:spacing w:after="0" w:line="245" w:lineRule="auto"/>
        <w:tabs>
          <w:tab w:leader="none" w:pos="1407"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82" w:lineRule="exact"/>
        <w:rPr>
          <w:rFonts w:ascii="Times New Roman" w:cs="Times New Roman" w:eastAsia="Times New Roman" w:hAnsi="Times New Roman"/>
          <w:sz w:val="22"/>
          <w:szCs w:val="22"/>
          <w:color w:val="auto"/>
        </w:rPr>
      </w:pPr>
    </w:p>
    <w:p>
      <w:pPr>
        <w:ind w:left="1100" w:hanging="448"/>
        <w:spacing w:after="0"/>
        <w:tabs>
          <w:tab w:leader="none" w:pos="110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080" w:firstLine="622"/>
        <w:spacing w:after="0" w:line="232" w:lineRule="auto"/>
        <w:tabs>
          <w:tab w:leader="none" w:pos="2186" w:val="left"/>
        </w:tabs>
        <w:numPr>
          <w:ilvl w:val="3"/>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64" w:lineRule="exact"/>
        <w:rPr>
          <w:rFonts w:ascii="Times New Roman" w:cs="Times New Roman" w:eastAsia="Times New Roman" w:hAnsi="Times New Roman"/>
          <w:sz w:val="22"/>
          <w:szCs w:val="22"/>
          <w:color w:val="auto"/>
        </w:rPr>
      </w:pPr>
    </w:p>
    <w:p>
      <w:pPr>
        <w:jc w:val="both"/>
        <w:ind w:left="1080" w:firstLine="622"/>
        <w:spacing w:after="0" w:line="237" w:lineRule="auto"/>
        <w:tabs>
          <w:tab w:leader="none" w:pos="2286" w:val="left"/>
        </w:tabs>
        <w:numPr>
          <w:ilvl w:val="3"/>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75" w:lineRule="exact"/>
        <w:rPr>
          <w:rFonts w:ascii="Times New Roman" w:cs="Times New Roman" w:eastAsia="Times New Roman" w:hAnsi="Times New Roman"/>
          <w:sz w:val="22"/>
          <w:szCs w:val="22"/>
          <w:color w:val="auto"/>
        </w:rPr>
      </w:pPr>
    </w:p>
    <w:p>
      <w:pPr>
        <w:jc w:val="both"/>
        <w:ind w:left="1080" w:firstLine="622"/>
        <w:spacing w:after="0" w:line="233" w:lineRule="auto"/>
        <w:tabs>
          <w:tab w:leader="none" w:pos="2427" w:val="left"/>
        </w:tabs>
        <w:numPr>
          <w:ilvl w:val="3"/>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08" w:right="339" w:bottom="1440" w:gutter="0" w:footer="0" w:header="0"/>
        </w:sectPr>
      </w:pPr>
    </w:p>
    <w:bookmarkStart w:id="300" w:name="page301"/>
    <w:bookmarkEnd w:id="300"/>
    <w:p>
      <w:pPr>
        <w:jc w:val="both"/>
        <w:ind w:left="1080"/>
        <w:spacing w:after="0" w:line="230" w:lineRule="auto"/>
        <w:rPr>
          <w:sz w:val="20"/>
          <w:szCs w:val="20"/>
          <w:color w:val="auto"/>
        </w:rPr>
      </w:pPr>
      <w:r>
        <w:rPr>
          <w:rFonts w:ascii="Times New Roman" w:cs="Times New Roman" w:eastAsia="Times New Roman" w:hAnsi="Times New Roman"/>
          <w:sz w:val="22"/>
          <w:szCs w:val="22"/>
          <w:color w:val="auto"/>
        </w:rPr>
        <w:t>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63" w:lineRule="exact"/>
        <w:rPr>
          <w:sz w:val="20"/>
          <w:szCs w:val="20"/>
          <w:color w:val="auto"/>
        </w:rPr>
      </w:pPr>
    </w:p>
    <w:p>
      <w:pPr>
        <w:jc w:val="both"/>
        <w:ind w:left="420" w:firstLine="644"/>
        <w:spacing w:after="0" w:line="249" w:lineRule="auto"/>
        <w:tabs>
          <w:tab w:leader="none" w:pos="1503"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5" w:lineRule="exact"/>
        <w:rPr>
          <w:rFonts w:ascii="Times New Roman" w:cs="Times New Roman" w:eastAsia="Times New Roman" w:hAnsi="Times New Roman"/>
          <w:sz w:val="22"/>
          <w:szCs w:val="22"/>
          <w:color w:val="auto"/>
        </w:rPr>
      </w:pPr>
    </w:p>
    <w:p>
      <w:pPr>
        <w:jc w:val="both"/>
        <w:ind w:left="420" w:firstLine="644"/>
        <w:spacing w:after="0" w:line="238" w:lineRule="auto"/>
        <w:tabs>
          <w:tab w:leader="none" w:pos="1540"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81" w:lineRule="exact"/>
        <w:rPr>
          <w:rFonts w:ascii="Times New Roman" w:cs="Times New Roman" w:eastAsia="Times New Roman" w:hAnsi="Times New Roman"/>
          <w:sz w:val="22"/>
          <w:szCs w:val="22"/>
          <w:color w:val="auto"/>
        </w:rPr>
      </w:pPr>
    </w:p>
    <w:p>
      <w:pPr>
        <w:ind w:left="420" w:firstLine="644"/>
        <w:spacing w:after="0" w:line="262" w:lineRule="auto"/>
        <w:tabs>
          <w:tab w:leader="none" w:pos="1688"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63" w:lineRule="exact"/>
        <w:rPr>
          <w:rFonts w:ascii="Times New Roman" w:cs="Times New Roman" w:eastAsia="Times New Roman" w:hAnsi="Times New Roman"/>
          <w:sz w:val="22"/>
          <w:szCs w:val="22"/>
          <w:color w:val="auto"/>
        </w:rPr>
      </w:pPr>
    </w:p>
    <w:p>
      <w:pPr>
        <w:jc w:val="both"/>
        <w:ind w:left="-220" w:firstLine="485"/>
        <w:spacing w:after="0" w:line="242" w:lineRule="auto"/>
        <w:tabs>
          <w:tab w:leader="none" w:pos="657" w:val="left"/>
        </w:tabs>
        <w:numPr>
          <w:ilvl w:val="0"/>
          <w:numId w:val="3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08" w:right="339" w:bottom="1440" w:gutter="0" w:footer="0" w:header="0"/>
        </w:sectPr>
      </w:pPr>
    </w:p>
    <w:bookmarkStart w:id="301" w:name="page302"/>
    <w:bookmarkEnd w:id="301"/>
    <w:p>
      <w:pPr>
        <w:jc w:val="both"/>
        <w:ind w:left="-220" w:firstLine="530"/>
        <w:spacing w:after="0" w:line="244" w:lineRule="auto"/>
        <w:tabs>
          <w:tab w:leader="none" w:pos="725" w:val="left"/>
        </w:tabs>
        <w:numPr>
          <w:ilvl w:val="1"/>
          <w:numId w:val="3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2" w:lineRule="exact"/>
        <w:rPr>
          <w:rFonts w:ascii="Times New Roman" w:cs="Times New Roman" w:eastAsia="Times New Roman" w:hAnsi="Times New Roman"/>
          <w:sz w:val="22"/>
          <w:szCs w:val="22"/>
          <w:b w:val="1"/>
          <w:bCs w:val="1"/>
          <w:color w:val="auto"/>
        </w:rPr>
      </w:pPr>
    </w:p>
    <w:p>
      <w:pPr>
        <w:jc w:val="both"/>
        <w:ind w:left="-220" w:firstLine="449"/>
        <w:spacing w:after="0" w:line="245" w:lineRule="auto"/>
        <w:tabs>
          <w:tab w:leader="none" w:pos="603" w:val="left"/>
        </w:tabs>
        <w:numPr>
          <w:ilvl w:val="0"/>
          <w:numId w:val="3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2" w:lineRule="exact"/>
        <w:rPr>
          <w:rFonts w:ascii="Times New Roman" w:cs="Times New Roman" w:eastAsia="Times New Roman" w:hAnsi="Times New Roman"/>
          <w:sz w:val="22"/>
          <w:szCs w:val="22"/>
          <w:b w:val="1"/>
          <w:bCs w:val="1"/>
          <w:color w:val="auto"/>
        </w:rPr>
      </w:pPr>
    </w:p>
    <w:p>
      <w:pPr>
        <w:jc w:val="both"/>
        <w:ind w:left="-220" w:firstLine="561"/>
        <w:spacing w:after="0" w:line="246" w:lineRule="auto"/>
        <w:tabs>
          <w:tab w:leader="none" w:pos="765" w:val="left"/>
        </w:tabs>
        <w:numPr>
          <w:ilvl w:val="2"/>
          <w:numId w:val="3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80" w:lineRule="exact"/>
        <w:rPr>
          <w:rFonts w:ascii="Times New Roman" w:cs="Times New Roman" w:eastAsia="Times New Roman" w:hAnsi="Times New Roman"/>
          <w:sz w:val="22"/>
          <w:szCs w:val="22"/>
          <w:b w:val="1"/>
          <w:bCs w:val="1"/>
          <w:color w:val="auto"/>
        </w:rPr>
      </w:pPr>
    </w:p>
    <w:p>
      <w:pPr>
        <w:jc w:val="both"/>
        <w:ind w:left="-220" w:firstLine="584"/>
        <w:spacing w:after="0" w:line="246" w:lineRule="auto"/>
        <w:tabs>
          <w:tab w:leader="none" w:pos="806" w:val="left"/>
        </w:tabs>
        <w:numPr>
          <w:ilvl w:val="3"/>
          <w:numId w:val="3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80" w:lineRule="exact"/>
        <w:rPr>
          <w:rFonts w:ascii="Times New Roman" w:cs="Times New Roman" w:eastAsia="Times New Roman" w:hAnsi="Times New Roman"/>
          <w:sz w:val="22"/>
          <w:szCs w:val="22"/>
          <w:b w:val="1"/>
          <w:bCs w:val="1"/>
          <w:color w:val="auto"/>
        </w:rPr>
      </w:pPr>
    </w:p>
    <w:p>
      <w:pPr>
        <w:jc w:val="both"/>
        <w:ind w:left="-220" w:firstLine="746"/>
        <w:spacing w:after="0" w:line="245" w:lineRule="auto"/>
        <w:tabs>
          <w:tab w:leader="none" w:pos="1049" w:val="left"/>
        </w:tabs>
        <w:numPr>
          <w:ilvl w:val="4"/>
          <w:numId w:val="3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9" w:lineRule="exact"/>
        <w:rPr>
          <w:sz w:val="20"/>
          <w:szCs w:val="20"/>
          <w:color w:val="auto"/>
        </w:rPr>
      </w:pPr>
    </w:p>
    <w:p>
      <w:pPr>
        <w:jc w:val="both"/>
        <w:ind w:left="-220" w:firstLine="494"/>
        <w:spacing w:after="0" w:line="244" w:lineRule="auto"/>
        <w:tabs>
          <w:tab w:leader="none" w:pos="779" w:val="left"/>
        </w:tabs>
        <w:numPr>
          <w:ilvl w:val="1"/>
          <w:numId w:val="3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rFonts w:ascii="Times New Roman" w:cs="Times New Roman" w:eastAsia="Times New Roman" w:hAnsi="Times New Roman"/>
          <w:sz w:val="22"/>
          <w:szCs w:val="22"/>
          <w:b w:val="1"/>
          <w:bCs w:val="1"/>
          <w:color w:val="auto"/>
        </w:rPr>
      </w:pPr>
    </w:p>
    <w:p>
      <w:pPr>
        <w:ind w:left="700" w:hanging="480"/>
        <w:spacing w:after="0"/>
        <w:tabs>
          <w:tab w:leader="none" w:pos="700" w:val="left"/>
        </w:tabs>
        <w:numPr>
          <w:ilvl w:val="0"/>
          <w:numId w:val="3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440" w:right="20" w:firstLine="227"/>
        <w:spacing w:after="0" w:line="282" w:lineRule="auto"/>
        <w:tabs>
          <w:tab w:leader="none" w:pos="1141" w:val="left"/>
        </w:tabs>
        <w:numPr>
          <w:ilvl w:val="2"/>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48" w:lineRule="exact"/>
        <w:rPr>
          <w:rFonts w:ascii="Times New Roman" w:cs="Times New Roman" w:eastAsia="Times New Roman" w:hAnsi="Times New Roman"/>
          <w:sz w:val="21"/>
          <w:szCs w:val="21"/>
          <w:color w:val="auto"/>
        </w:rPr>
      </w:pPr>
    </w:p>
    <w:p>
      <w:pPr>
        <w:jc w:val="both"/>
        <w:ind w:left="440" w:firstLine="266"/>
        <w:spacing w:after="0" w:line="244" w:lineRule="auto"/>
        <w:tabs>
          <w:tab w:leader="none" w:pos="1232" w:val="left"/>
        </w:tabs>
        <w:numPr>
          <w:ilvl w:val="3"/>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04" w:right="339" w:bottom="1440" w:gutter="0" w:footer="0" w:header="0"/>
        </w:sectPr>
      </w:pPr>
    </w:p>
    <w:bookmarkStart w:id="302" w:name="page303"/>
    <w:bookmarkEnd w:id="302"/>
    <w:p>
      <w:pPr>
        <w:ind w:left="440" w:firstLine="348"/>
        <w:spacing w:after="0" w:line="258" w:lineRule="auto"/>
        <w:tabs>
          <w:tab w:leader="none" w:pos="1384" w:val="left"/>
        </w:tabs>
        <w:numPr>
          <w:ilvl w:val="4"/>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71" w:lineRule="exact"/>
        <w:rPr>
          <w:rFonts w:ascii="Times New Roman" w:cs="Times New Roman" w:eastAsia="Times New Roman" w:hAnsi="Times New Roman"/>
          <w:sz w:val="22"/>
          <w:szCs w:val="22"/>
          <w:color w:val="auto"/>
        </w:rPr>
      </w:pPr>
    </w:p>
    <w:p>
      <w:pPr>
        <w:ind w:left="1120" w:hanging="468"/>
        <w:spacing w:after="0"/>
        <w:tabs>
          <w:tab w:leader="none" w:pos="1120" w:val="left"/>
        </w:tabs>
        <w:numPr>
          <w:ilvl w:val="2"/>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left="440" w:firstLine="231"/>
        <w:spacing w:after="0" w:line="250" w:lineRule="auto"/>
        <w:tabs>
          <w:tab w:leader="none" w:pos="1151" w:val="left"/>
        </w:tabs>
        <w:numPr>
          <w:ilvl w:val="2"/>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67" w:lineRule="exact"/>
        <w:rPr>
          <w:rFonts w:ascii="Times New Roman" w:cs="Times New Roman" w:eastAsia="Times New Roman" w:hAnsi="Times New Roman"/>
          <w:sz w:val="22"/>
          <w:szCs w:val="22"/>
          <w:color w:val="auto"/>
        </w:rPr>
      </w:pPr>
    </w:p>
    <w:p>
      <w:pPr>
        <w:ind w:left="440" w:right="20" w:firstLine="216"/>
        <w:spacing w:after="0" w:line="271" w:lineRule="auto"/>
        <w:tabs>
          <w:tab w:leader="none" w:pos="1096"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44" w:lineRule="exact"/>
        <w:rPr>
          <w:rFonts w:ascii="Times New Roman" w:cs="Times New Roman" w:eastAsia="Times New Roman" w:hAnsi="Times New Roman"/>
          <w:sz w:val="22"/>
          <w:szCs w:val="22"/>
          <w:color w:val="auto"/>
        </w:rPr>
      </w:pPr>
    </w:p>
    <w:p>
      <w:pPr>
        <w:ind w:left="1120" w:hanging="468"/>
        <w:spacing w:after="0"/>
        <w:tabs>
          <w:tab w:leader="none" w:pos="1120"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440" w:firstLine="212"/>
        <w:spacing w:after="0" w:line="261" w:lineRule="auto"/>
        <w:tabs>
          <w:tab w:leader="none" w:pos="1124"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70" w:lineRule="exact"/>
        <w:rPr>
          <w:rFonts w:ascii="Times New Roman" w:cs="Times New Roman" w:eastAsia="Times New Roman" w:hAnsi="Times New Roman"/>
          <w:sz w:val="21"/>
          <w:szCs w:val="21"/>
          <w:color w:val="auto"/>
        </w:rPr>
      </w:pPr>
    </w:p>
    <w:p>
      <w:pPr>
        <w:jc w:val="both"/>
        <w:ind w:left="440" w:firstLine="264"/>
        <w:spacing w:after="0" w:line="241" w:lineRule="auto"/>
        <w:tabs>
          <w:tab w:leader="none" w:pos="1180" w:val="left"/>
        </w:tabs>
        <w:numPr>
          <w:ilvl w:val="2"/>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6" w:lineRule="exact"/>
        <w:rPr>
          <w:rFonts w:ascii="Times New Roman" w:cs="Times New Roman" w:eastAsia="Times New Roman" w:hAnsi="Times New Roman"/>
          <w:sz w:val="22"/>
          <w:szCs w:val="22"/>
          <w:color w:val="auto"/>
        </w:rPr>
      </w:pPr>
    </w:p>
    <w:p>
      <w:pPr>
        <w:jc w:val="both"/>
        <w:ind w:left="440" w:firstLine="311"/>
        <w:spacing w:after="0" w:line="241" w:lineRule="auto"/>
        <w:tabs>
          <w:tab w:leader="none" w:pos="1275" w:val="left"/>
        </w:tabs>
        <w:numPr>
          <w:ilvl w:val="3"/>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(including Appendix B), 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72" w:lineRule="exact"/>
        <w:rPr>
          <w:rFonts w:ascii="Times New Roman" w:cs="Times New Roman" w:eastAsia="Times New Roman" w:hAnsi="Times New Roman"/>
          <w:sz w:val="22"/>
          <w:szCs w:val="22"/>
          <w:color w:val="auto"/>
        </w:rPr>
      </w:pPr>
    </w:p>
    <w:p>
      <w:pPr>
        <w:ind w:left="700" w:hanging="480"/>
        <w:spacing w:after="0"/>
        <w:tabs>
          <w:tab w:leader="none" w:pos="700" w:val="left"/>
        </w:tabs>
        <w:numPr>
          <w:ilvl w:val="0"/>
          <w:numId w:val="3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440" w:firstLine="644"/>
        <w:spacing w:after="0" w:line="241" w:lineRule="auto"/>
        <w:tabs>
          <w:tab w:leader="none" w:pos="1571" w:val="left"/>
        </w:tabs>
        <w:numPr>
          <w:ilvl w:val="5"/>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408" w:right="339" w:bottom="1440" w:gutter="0" w:footer="0" w:header="0"/>
        </w:sectPr>
      </w:pPr>
    </w:p>
    <w:bookmarkStart w:id="303" w:name="page304"/>
    <w:bookmarkEnd w:id="303"/>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64" w:lineRule="exact"/>
        <w:rPr>
          <w:sz w:val="20"/>
          <w:szCs w:val="20"/>
          <w:color w:val="auto"/>
        </w:rPr>
      </w:pPr>
    </w:p>
    <w:p>
      <w:pPr>
        <w:jc w:val="both"/>
        <w:ind w:left="660" w:firstLine="644"/>
        <w:spacing w:after="0" w:line="244" w:lineRule="auto"/>
        <w:tabs>
          <w:tab w:leader="none" w:pos="1776" w:val="left"/>
        </w:tabs>
        <w:numPr>
          <w:ilvl w:val="4"/>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2" w:lineRule="exact"/>
        <w:rPr>
          <w:rFonts w:ascii="Times New Roman" w:cs="Times New Roman" w:eastAsia="Times New Roman" w:hAnsi="Times New Roman"/>
          <w:sz w:val="22"/>
          <w:szCs w:val="22"/>
          <w:color w:val="auto"/>
        </w:rPr>
      </w:pPr>
    </w:p>
    <w:p>
      <w:pPr>
        <w:jc w:val="both"/>
        <w:ind w:firstLine="494"/>
        <w:spacing w:after="0" w:line="244" w:lineRule="auto"/>
        <w:tabs>
          <w:tab w:leader="none" w:pos="999" w:val="left"/>
        </w:tabs>
        <w:numPr>
          <w:ilvl w:val="2"/>
          <w:numId w:val="3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2" w:lineRule="exact"/>
        <w:rPr>
          <w:rFonts w:ascii="Times New Roman" w:cs="Times New Roman" w:eastAsia="Times New Roman" w:hAnsi="Times New Roman"/>
          <w:sz w:val="22"/>
          <w:szCs w:val="22"/>
          <w:b w:val="1"/>
          <w:bCs w:val="1"/>
          <w:color w:val="auto"/>
        </w:rPr>
      </w:pPr>
    </w:p>
    <w:p>
      <w:pPr>
        <w:jc w:val="both"/>
        <w:ind w:firstLine="467"/>
        <w:spacing w:after="0" w:line="245" w:lineRule="auto"/>
        <w:tabs>
          <w:tab w:leader="none" w:pos="958" w:val="left"/>
        </w:tabs>
        <w:numPr>
          <w:ilvl w:val="1"/>
          <w:numId w:val="3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2" w:lineRule="exact"/>
        <w:rPr>
          <w:rFonts w:ascii="Times New Roman" w:cs="Times New Roman" w:eastAsia="Times New Roman" w:hAnsi="Times New Roman"/>
          <w:sz w:val="22"/>
          <w:szCs w:val="22"/>
          <w:b w:val="1"/>
          <w:bCs w:val="1"/>
          <w:color w:val="auto"/>
        </w:rPr>
      </w:pPr>
    </w:p>
    <w:p>
      <w:pPr>
        <w:jc w:val="both"/>
        <w:ind w:firstLine="449"/>
        <w:spacing w:after="0" w:line="249" w:lineRule="auto"/>
        <w:tabs>
          <w:tab w:leader="none" w:pos="931" w:val="left"/>
        </w:tabs>
        <w:numPr>
          <w:ilvl w:val="0"/>
          <w:numId w:val="3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 BY LAW, EACH</w:t>
      </w:r>
    </w:p>
    <w:p>
      <w:pPr>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PARTY WAIVES ANY RIGHT TO TRIAL BY JURY WITH RESPECT TO ANY PROCEEDING ARISING OUT OF OR RELATING TO THIS AGREEMENT.</w:t>
      </w:r>
    </w:p>
    <w:p>
      <w:pPr>
        <w:spacing w:after="0" w:line="164"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3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40" w:firstLine="644"/>
        <w:spacing w:after="0" w:line="250" w:lineRule="auto"/>
        <w:tabs>
          <w:tab w:leader="none" w:pos="1864" w:val="left"/>
        </w:tabs>
        <w:numPr>
          <w:ilvl w:val="3"/>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304" w:name="page305"/>
    <w:bookmarkEnd w:id="304"/>
    <w:p>
      <w:pPr>
        <w:jc w:val="both"/>
        <w:ind w:left="420"/>
        <w:spacing w:after="0" w:line="237" w:lineRule="auto"/>
        <w:rPr>
          <w:sz w:val="20"/>
          <w:szCs w:val="20"/>
          <w:color w:val="auto"/>
        </w:rPr>
      </w:pPr>
      <w:r>
        <w:rPr>
          <w:rFonts w:ascii="Times New Roman" w:cs="Times New Roman" w:eastAsia="Times New Roman" w:hAnsi="Times New Roman"/>
          <w:sz w:val="22"/>
          <w:szCs w:val="22"/>
          <w:color w:val="auto"/>
        </w:rPr>
        <w:t>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88" w:lineRule="exact"/>
        <w:rPr>
          <w:sz w:val="20"/>
          <w:szCs w:val="20"/>
          <w:color w:val="auto"/>
        </w:rPr>
      </w:pPr>
    </w:p>
    <w:p>
      <w:pPr>
        <w:jc w:val="both"/>
        <w:ind w:left="420" w:firstLine="644"/>
        <w:spacing w:after="0" w:line="244" w:lineRule="auto"/>
        <w:tabs>
          <w:tab w:leader="none" w:pos="1568"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8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08" w:right="339" w:bottom="1440" w:gutter="0" w:footer="0" w:header="0"/>
        </w:sectPr>
      </w:pPr>
    </w:p>
    <w:bookmarkStart w:id="305" w:name="page306"/>
    <w:bookmarkEnd w:id="305"/>
    <w:p>
      <w:pPr>
        <w:ind w:firstLine="648"/>
        <w:spacing w:after="0" w:line="258"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6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J. Snyder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08" w:right="33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8" w:right="339" w:bottom="1440" w:gutter="0" w:footer="0" w:header="0"/>
          <w:type w:val="continuous"/>
        </w:sectPr>
      </w:pPr>
    </w:p>
    <w:bookmarkStart w:id="306" w:name="page307"/>
    <w:bookmarkEnd w:id="306"/>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16" w:lineRule="exact"/>
        <w:rPr>
          <w:sz w:val="20"/>
          <w:szCs w:val="20"/>
          <w:color w:val="auto"/>
        </w:rPr>
      </w:pPr>
    </w:p>
    <w:p>
      <w:pPr>
        <w:jc w:val="both"/>
        <w:ind w:left="100"/>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9" w:lineRule="exact"/>
        <w:rPr>
          <w:sz w:val="20"/>
          <w:szCs w:val="20"/>
          <w:color w:val="auto"/>
        </w:rPr>
      </w:pPr>
    </w:p>
    <w:p>
      <w:pPr>
        <w:jc w:val="both"/>
        <w:ind w:left="10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twelve (12) months, or (b) if due to any medically determinable physical or mental impairment expected to result in death or last for a continuous period not less than twelve (12) months, Grantee has received income replacement benefits for a period of not less than three months under an accident and health plan sponsored by the Company.</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1260" w:hanging="504"/>
        <w:spacing w:after="0"/>
        <w:tabs>
          <w:tab w:leader="none" w:pos="126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33" w:lineRule="exact"/>
        <w:rPr>
          <w:rFonts w:ascii="Times New Roman" w:cs="Times New Roman" w:eastAsia="Times New Roman" w:hAnsi="Times New Roman"/>
          <w:sz w:val="22"/>
          <w:szCs w:val="22"/>
          <w:color w:val="auto"/>
        </w:rPr>
      </w:pPr>
    </w:p>
    <w:p>
      <w:pPr>
        <w:ind w:left="1400" w:hanging="644"/>
        <w:spacing w:after="0" w:line="258" w:lineRule="auto"/>
        <w:tabs>
          <w:tab w:leader="none" w:pos="1355"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71" w:lineRule="exact"/>
        <w:rPr>
          <w:rFonts w:ascii="Times New Roman" w:cs="Times New Roman" w:eastAsia="Times New Roman" w:hAnsi="Times New Roman"/>
          <w:sz w:val="22"/>
          <w:szCs w:val="22"/>
          <w:color w:val="auto"/>
        </w:rPr>
      </w:pPr>
    </w:p>
    <w:p>
      <w:pPr>
        <w:ind w:left="1200" w:hanging="444"/>
        <w:spacing w:after="0"/>
        <w:tabs>
          <w:tab w:leader="none" w:pos="1200"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45"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4" w:lineRule="exact"/>
        <w:rPr>
          <w:sz w:val="20"/>
          <w:szCs w:val="20"/>
          <w:color w:val="auto"/>
        </w:rPr>
      </w:pPr>
    </w:p>
    <w:p>
      <w:pPr>
        <w:ind w:left="10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04" w:right="339" w:bottom="1440" w:gutter="0" w:footer="0" w:header="0"/>
        </w:sectPr>
      </w:pPr>
    </w:p>
    <w:bookmarkStart w:id="307" w:name="page308"/>
    <w:bookmarkEnd w:id="307"/>
    <w:p>
      <w:pPr>
        <w:ind w:left="1120" w:hanging="464"/>
        <w:spacing w:after="0"/>
        <w:tabs>
          <w:tab w:leader="none" w:pos="112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6"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192"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0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19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 with a Subsidiary shall only include service provided by Grantee after such Subsidiary becomes a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08"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33"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4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For purposes of the Agreement, the definition of “Retirement” in Appendix A hereto shall not apply. Further,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the capitalized term “Retirement” in the Agreement is hereby amended to read as “retirement”.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37" w:lineRule="exact"/>
        <w:rPr>
          <w:sz w:val="20"/>
          <w:szCs w:val="20"/>
          <w:color w:val="auto"/>
        </w:rPr>
      </w:pPr>
    </w:p>
    <w:p>
      <w:pPr>
        <w:jc w:val="both"/>
        <w:ind w:left="660" w:right="240"/>
        <w:spacing w:after="0" w:line="243"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04" w:right="339" w:bottom="1440" w:gutter="0" w:footer="0" w:header="0"/>
        </w:sectPr>
      </w:pPr>
    </w:p>
    <w:bookmarkStart w:id="309" w:name="page310"/>
    <w:bookmarkEnd w:id="309"/>
    <w:p>
      <w:pPr>
        <w:jc w:val="both"/>
        <w:ind w:left="660"/>
        <w:spacing w:after="0"/>
        <w:rPr>
          <w:sz w:val="20"/>
          <w:szCs w:val="20"/>
          <w:color w:val="auto"/>
        </w:rPr>
      </w:pPr>
      <w:r>
        <w:rPr>
          <w:rFonts w:ascii="Times New Roman" w:cs="Times New Roman" w:eastAsia="Times New Roman" w:hAnsi="Times New Roman"/>
          <w:sz w:val="22"/>
          <w:szCs w:val="22"/>
          <w:color w:val="auto"/>
        </w:rPr>
        <w:t>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33" w:lineRule="exact"/>
        <w:rPr>
          <w:sz w:val="20"/>
          <w:szCs w:val="20"/>
          <w:color w:val="auto"/>
        </w:rPr>
      </w:pPr>
    </w:p>
    <w:p>
      <w:pPr>
        <w:ind w:left="1960" w:right="400" w:hanging="656"/>
        <w:spacing w:after="0" w:line="244" w:lineRule="auto"/>
        <w:tabs>
          <w:tab w:leader="none" w:pos="1751"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199" w:lineRule="exact"/>
        <w:rPr>
          <w:rFonts w:ascii="Times New Roman" w:cs="Times New Roman" w:eastAsia="Times New Roman" w:hAnsi="Times New Roman"/>
          <w:sz w:val="22"/>
          <w:szCs w:val="22"/>
          <w:color w:val="auto"/>
        </w:rPr>
      </w:pPr>
    </w:p>
    <w:p>
      <w:pPr>
        <w:ind w:left="1960" w:right="400" w:hanging="656"/>
        <w:spacing w:after="0"/>
        <w:tabs>
          <w:tab w:leader="none" w:pos="1797"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5" w:lineRule="exact"/>
        <w:rPr>
          <w:sz w:val="20"/>
          <w:szCs w:val="20"/>
          <w:color w:val="auto"/>
        </w:rPr>
      </w:pPr>
    </w:p>
    <w:p>
      <w:pPr>
        <w:jc w:val="both"/>
        <w:ind w:left="660" w:right="400" w:hanging="381"/>
        <w:spacing w:after="0" w:line="236"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320" w:top="1408" w:right="579" w:bottom="1440" w:gutter="0" w:footer="0" w:header="0"/>
        </w:sectPr>
      </w:pPr>
    </w:p>
    <w:bookmarkStart w:id="310" w:name="page311"/>
    <w:bookmarkEnd w:id="310"/>
    <w:p>
      <w:pPr>
        <w:ind w:left="660" w:right="400"/>
        <w:spacing w:after="0" w:line="258" w:lineRule="auto"/>
        <w:rPr>
          <w:sz w:val="20"/>
          <w:szCs w:val="20"/>
          <w:color w:val="auto"/>
        </w:rPr>
      </w:pPr>
      <w:r>
        <w:rPr>
          <w:rFonts w:ascii="Times New Roman" w:cs="Times New Roman" w:eastAsia="Times New Roman" w:hAnsi="Times New Roman"/>
          <w:sz w:val="22"/>
          <w:szCs w:val="22"/>
          <w:color w:val="auto"/>
        </w:rPr>
        <w:t>make such other arrangements, by which Grantee hereby agrees to be bound, so as to ensure that the amount notified to Grantee is discharged in full.</w:t>
      </w:r>
    </w:p>
    <w:p>
      <w:pPr>
        <w:spacing w:after="0" w:line="19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Grantee acknowledges and agrees that the Company may increase the number of shares of Common Stock to be withheld by, or to be delivered to, the Company in order to satisfy any income tax or employees national insurance contributions required by applicable law to be withheld upon the issuance, vesting or delivery of any shares of Common Stock, dividends or dividend equivalent payments of any kind from any payments due to Grantee to such number of shares of Common Stock that has an aggregate fair market value sufficient to satisfy no more than the maximum statutory withholding obligations calculated on the basis of the aggregate fair market value of the shares of Common Stock underlying the vesting (or, as the case may be, vested) RSUs,provided that an amount equal to the difference between the aggregate fair market value of any such shares of Common Stock so withheld by, or delivered to, the Company and the statutory total tax withholding obligations (including any statutory withholding for social security contributions) is reimbursed to Grantee as soon as reasonably practicable following the remittance of any such statutory total tax withholdings to the relevant tax authorities.</w:t>
      </w:r>
    </w:p>
    <w:p>
      <w:pPr>
        <w:spacing w:after="0" w:line="210" w:lineRule="exact"/>
        <w:rPr>
          <w:sz w:val="20"/>
          <w:szCs w:val="20"/>
          <w:color w:val="auto"/>
        </w:rPr>
      </w:pPr>
    </w:p>
    <w:p>
      <w:pPr>
        <w:jc w:val="both"/>
        <w:ind w:left="660" w:hanging="393"/>
        <w:spacing w:after="0" w:line="253" w:lineRule="auto"/>
        <w:rPr>
          <w:sz w:val="20"/>
          <w:szCs w:val="20"/>
          <w:color w:val="auto"/>
        </w:rPr>
      </w:pPr>
      <w:r>
        <w:rPr>
          <w:rFonts w:ascii="Times New Roman" w:cs="Times New Roman" w:eastAsia="Times New Roman" w:hAnsi="Times New Roman"/>
          <w:sz w:val="21"/>
          <w:szCs w:val="21"/>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w:t>
      </w:r>
    </w:p>
    <w:p>
      <w:pPr>
        <w:spacing w:after="0" w:line="3" w:lineRule="exact"/>
        <w:rPr>
          <w:sz w:val="20"/>
          <w:szCs w:val="20"/>
          <w:color w:val="auto"/>
        </w:rPr>
      </w:pPr>
    </w:p>
    <w:p>
      <w:pPr>
        <w:ind w:left="660" w:hanging="4"/>
        <w:spacing w:after="0" w:line="248" w:lineRule="auto"/>
        <w:tabs>
          <w:tab w:leader="none" w:pos="933"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as determined by the Company, in which case Grantee will be taken to have forfeited the right to be issued the number of shares of Common Stock so withheld in order to make good the amounts due under (i) above.</w:t>
      </w:r>
    </w:p>
    <w:p>
      <w:pPr>
        <w:spacing w:after="0" w:line="196" w:lineRule="exact"/>
        <w:rPr>
          <w:sz w:val="20"/>
          <w:szCs w:val="20"/>
          <w:color w:val="auto"/>
        </w:rPr>
      </w:pPr>
    </w:p>
    <w:p>
      <w:pPr>
        <w:jc w:val="both"/>
        <w:ind w:left="660" w:hanging="424"/>
        <w:spacing w:after="0" w:line="250"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5" w:lineRule="exact"/>
        <w:rPr>
          <w:sz w:val="20"/>
          <w:szCs w:val="20"/>
          <w:color w:val="auto"/>
        </w:rPr>
      </w:pPr>
    </w:p>
    <w:p>
      <w:pPr>
        <w:jc w:val="both"/>
        <w:ind w:left="660" w:hanging="408"/>
        <w:spacing w:after="0" w:line="244"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Whistleblower Protection. </w:t>
      </w:r>
      <w:r>
        <w:rPr>
          <w:rFonts w:ascii="Times New Roman" w:cs="Times New Roman" w:eastAsia="Times New Roman" w:hAnsi="Times New Roman"/>
          <w:sz w:val="21"/>
          <w:szCs w:val="21"/>
          <w:color w:val="auto"/>
        </w:rPr>
        <w:t>The last two sentences of Section II.B.3(b) are hereby amended in their entirety to read as follows:</w:t>
      </w:r>
    </w:p>
    <w:p>
      <w:pPr>
        <w:spacing w:after="0" w:line="249" w:lineRule="exact"/>
        <w:rPr>
          <w:sz w:val="20"/>
          <w:szCs w:val="20"/>
          <w:color w:val="auto"/>
        </w:rPr>
      </w:pPr>
    </w:p>
    <w:p>
      <w:pPr>
        <w:jc w:val="both"/>
        <w:ind w:left="660" w:right="420"/>
        <w:spacing w:after="0" w:line="244"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0"/>
          </w:cols>
          <w:pgMar w:left="320" w:top="1408" w:right="579" w:bottom="1440" w:gutter="0" w:footer="0" w:header="0"/>
        </w:sectPr>
      </w:pPr>
    </w:p>
    <w:bookmarkStart w:id="311" w:name="page312"/>
    <w:bookmarkEnd w:id="311"/>
    <w:p>
      <w:pPr>
        <w:jc w:val="both"/>
        <w:ind w:left="660" w:right="20"/>
        <w:spacing w:after="0" w:line="250" w:lineRule="auto"/>
        <w:rPr>
          <w:sz w:val="20"/>
          <w:szCs w:val="20"/>
          <w:color w:val="auto"/>
        </w:rPr>
      </w:pPr>
      <w:r>
        <w:rPr>
          <w:rFonts w:ascii="Times New Roman" w:cs="Times New Roman" w:eastAsia="Times New Roman" w:hAnsi="Times New Roman"/>
          <w:sz w:val="21"/>
          <w:szCs w:val="21"/>
          <w:color w:val="auto"/>
        </w:rPr>
        <w:t>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33" w:lineRule="exact"/>
        <w:rPr>
          <w:sz w:val="20"/>
          <w:szCs w:val="20"/>
          <w:color w:val="auto"/>
        </w:rPr>
      </w:pPr>
    </w:p>
    <w:p>
      <w:pPr>
        <w:jc w:val="both"/>
        <w:ind w:left="660" w:hanging="330"/>
        <w:spacing w:after="0" w:line="24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20" w:lineRule="exact"/>
        <w:rPr>
          <w:sz w:val="20"/>
          <w:szCs w:val="20"/>
          <w:color w:val="auto"/>
        </w:rPr>
      </w:pPr>
    </w:p>
    <w:p>
      <w:pPr>
        <w:ind w:left="1280" w:right="20" w:hanging="644"/>
        <w:spacing w:after="0" w:line="258" w:lineRule="auto"/>
        <w:tabs>
          <w:tab w:leader="none" w:pos="119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71" w:lineRule="exact"/>
        <w:rPr>
          <w:rFonts w:ascii="Times New Roman" w:cs="Times New Roman" w:eastAsia="Times New Roman" w:hAnsi="Times New Roman"/>
          <w:sz w:val="22"/>
          <w:szCs w:val="22"/>
          <w:color w:val="auto"/>
        </w:rPr>
      </w:pPr>
    </w:p>
    <w:p>
      <w:pPr>
        <w:ind w:left="1280" w:hanging="644"/>
        <w:spacing w:after="0" w:line="258" w:lineRule="auto"/>
        <w:tabs>
          <w:tab w:leader="none" w:pos="1322"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8" w:lineRule="exact"/>
        <w:rPr>
          <w:rFonts w:ascii="Times New Roman" w:cs="Times New Roman" w:eastAsia="Times New Roman" w:hAnsi="Times New Roman"/>
          <w:sz w:val="22"/>
          <w:szCs w:val="22"/>
          <w:color w:val="auto"/>
        </w:rPr>
      </w:pPr>
    </w:p>
    <w:p>
      <w:pPr>
        <w:ind w:left="1180" w:hanging="544"/>
        <w:spacing w:after="0"/>
        <w:tabs>
          <w:tab w:leader="none" w:pos="11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06"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00"/>
          </w:cols>
          <w:pgMar w:left="320" w:top="1408" w:right="979" w:bottom="1440" w:gutter="0" w:footer="0" w:header="0"/>
        </w:sectPr>
      </w:pPr>
    </w:p>
    <w:bookmarkStart w:id="312" w:name="page313"/>
    <w:bookmarkEnd w:id="312"/>
    <w:p>
      <w:pPr>
        <w:ind w:left="1160" w:hanging="524"/>
        <w:spacing w:after="0"/>
        <w:tabs>
          <w:tab w:leader="none" w:pos="116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06"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280" w:right="20" w:hanging="644"/>
        <w:spacing w:after="0" w:line="258" w:lineRule="auto"/>
        <w:tabs>
          <w:tab w:leader="none" w:pos="130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71" w:lineRule="exact"/>
        <w:rPr>
          <w:rFonts w:ascii="Times New Roman" w:cs="Times New Roman" w:eastAsia="Times New Roman" w:hAnsi="Times New Roman"/>
          <w:sz w:val="22"/>
          <w:szCs w:val="22"/>
          <w:color w:val="auto"/>
        </w:rPr>
      </w:pPr>
    </w:p>
    <w:p>
      <w:pPr>
        <w:ind w:left="1280" w:hanging="644"/>
        <w:spacing w:after="0" w:line="258" w:lineRule="auto"/>
        <w:tabs>
          <w:tab w:leader="none" w:pos="122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8"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06" w:lineRule="exact"/>
        <w:rPr>
          <w:rFonts w:ascii="Times New Roman" w:cs="Times New Roman" w:eastAsia="Times New Roman" w:hAnsi="Times New Roman"/>
          <w:sz w:val="22"/>
          <w:szCs w:val="22"/>
          <w:color w:val="auto"/>
        </w:rPr>
      </w:pPr>
    </w:p>
    <w:p>
      <w:pPr>
        <w:jc w:val="both"/>
        <w:ind w:left="1280" w:right="20" w:hanging="644"/>
        <w:spacing w:after="0" w:line="243" w:lineRule="auto"/>
        <w:tabs>
          <w:tab w:leader="none" w:pos="12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7" w:lineRule="exact"/>
        <w:rPr>
          <w:rFonts w:ascii="Times New Roman" w:cs="Times New Roman" w:eastAsia="Times New Roman" w:hAnsi="Times New Roman"/>
          <w:sz w:val="22"/>
          <w:szCs w:val="22"/>
          <w:color w:val="auto"/>
        </w:rPr>
      </w:pPr>
    </w:p>
    <w:p>
      <w:pPr>
        <w:ind w:left="1280" w:right="20" w:hanging="644"/>
        <w:spacing w:after="0" w:line="258" w:lineRule="auto"/>
        <w:tabs>
          <w:tab w:leader="none" w:pos="132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7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6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33" w:lineRule="exact"/>
        <w:rPr>
          <w:sz w:val="20"/>
          <w:szCs w:val="20"/>
          <w:color w:val="auto"/>
        </w:rPr>
      </w:pPr>
    </w:p>
    <w:p>
      <w:pPr>
        <w:ind w:left="1300" w:right="20"/>
        <w:spacing w:after="0" w:line="299" w:lineRule="auto"/>
        <w:rPr>
          <w:sz w:val="20"/>
          <w:szCs w:val="20"/>
          <w:color w:val="auto"/>
        </w:rPr>
      </w:pPr>
      <w:r>
        <w:rPr>
          <w:rFonts w:ascii="Times New Roman" w:cs="Times New Roman" w:eastAsia="Times New Roman" w:hAnsi="Times New Roman"/>
          <w:sz w:val="21"/>
          <w:szCs w:val="21"/>
          <w:color w:val="auto"/>
        </w:rPr>
        <w:t>“(1)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means (A) during the Grantee’s employment with the Company, the Company and any and all direct and indirect subsidiary, parent, affiliated or related companies of the Company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600"/>
          </w:cols>
          <w:pgMar w:left="320" w:top="1408" w:right="979" w:bottom="1440" w:gutter="0" w:footer="0" w:header="0"/>
        </w:sectPr>
      </w:pPr>
    </w:p>
    <w:bookmarkStart w:id="313" w:name="page314"/>
    <w:bookmarkEnd w:id="313"/>
    <w:p>
      <w:pPr>
        <w:jc w:val="both"/>
        <w:ind w:left="1120"/>
        <w:spacing w:after="0" w:line="243" w:lineRule="auto"/>
        <w:rPr>
          <w:sz w:val="20"/>
          <w:szCs w:val="20"/>
          <w:color w:val="auto"/>
        </w:rPr>
      </w:pPr>
      <w:r>
        <w:rPr>
          <w:rFonts w:ascii="Times New Roman" w:cs="Times New Roman" w:eastAsia="Times New Roman" w:hAnsi="Times New Roman"/>
          <w:sz w:val="22"/>
          <w:szCs w:val="22"/>
          <w:color w:val="auto"/>
        </w:rPr>
        <w:t>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0" w:lineRule="exact"/>
        <w:rPr>
          <w:sz w:val="20"/>
          <w:szCs w:val="20"/>
          <w:color w:val="auto"/>
        </w:rPr>
      </w:pPr>
    </w:p>
    <w:p>
      <w:pPr>
        <w:jc w:val="both"/>
        <w:ind w:left="1120" w:firstLine="4"/>
        <w:spacing w:after="0" w:line="245" w:lineRule="auto"/>
        <w:tabs>
          <w:tab w:leader="none" w:pos="1696"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82" w:lineRule="exact"/>
        <w:rPr>
          <w:rFonts w:ascii="Times New Roman" w:cs="Times New Roman" w:eastAsia="Times New Roman" w:hAnsi="Times New Roman"/>
          <w:sz w:val="22"/>
          <w:szCs w:val="22"/>
          <w:color w:val="auto"/>
        </w:rPr>
      </w:pPr>
    </w:p>
    <w:p>
      <w:pPr>
        <w:jc w:val="both"/>
        <w:ind w:left="1120" w:firstLine="4"/>
        <w:spacing w:after="0" w:line="238" w:lineRule="auto"/>
        <w:tabs>
          <w:tab w:leader="none" w:pos="179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3" w:lineRule="exact"/>
        <w:rPr>
          <w:rFonts w:ascii="Times New Roman" w:cs="Times New Roman" w:eastAsia="Times New Roman" w:hAnsi="Times New Roman"/>
          <w:sz w:val="22"/>
          <w:szCs w:val="22"/>
          <w:color w:val="auto"/>
        </w:rPr>
      </w:pPr>
    </w:p>
    <w:p>
      <w:pPr>
        <w:jc w:val="both"/>
        <w:ind w:left="1120" w:right="20" w:firstLine="4"/>
        <w:spacing w:after="0" w:line="252" w:lineRule="auto"/>
        <w:tabs>
          <w:tab w:leader="none" w:pos="170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1" w:lineRule="exact"/>
        <w:rPr>
          <w:rFonts w:ascii="Times New Roman" w:cs="Times New Roman" w:eastAsia="Times New Roman" w:hAnsi="Times New Roman"/>
          <w:sz w:val="22"/>
          <w:szCs w:val="22"/>
          <w:color w:val="auto"/>
        </w:rPr>
      </w:pPr>
    </w:p>
    <w:p>
      <w:pPr>
        <w:ind w:left="1120" w:right="20" w:firstLine="4"/>
        <w:spacing w:after="0" w:line="275" w:lineRule="auto"/>
        <w:tabs>
          <w:tab w:leader="none" w:pos="1696"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35" w:lineRule="exact"/>
        <w:rPr>
          <w:rFonts w:ascii="Times New Roman" w:cs="Times New Roman" w:eastAsia="Times New Roman" w:hAnsi="Times New Roman"/>
          <w:sz w:val="22"/>
          <w:szCs w:val="22"/>
          <w:color w:val="auto"/>
        </w:rPr>
      </w:pPr>
    </w:p>
    <w:p>
      <w:pPr>
        <w:jc w:val="both"/>
        <w:ind w:left="1120" w:right="20" w:firstLine="4"/>
        <w:spacing w:after="0" w:line="252" w:lineRule="auto"/>
        <w:tabs>
          <w:tab w:leader="none" w:pos="158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420"/>
          </w:cols>
          <w:pgMar w:left="500" w:top="1408" w:right="979" w:bottom="1440" w:gutter="0" w:footer="0" w:header="0"/>
        </w:sectPr>
      </w:pPr>
    </w:p>
    <w:bookmarkStart w:id="314" w:name="page315"/>
    <w:bookmarkEnd w:id="314"/>
    <w:p>
      <w:pPr>
        <w:ind w:left="1300" w:right="660"/>
        <w:spacing w:after="0" w:line="258" w:lineRule="auto"/>
        <w:rPr>
          <w:sz w:val="20"/>
          <w:szCs w:val="20"/>
          <w:color w:val="auto"/>
        </w:rPr>
      </w:pPr>
      <w:r>
        <w:rPr>
          <w:rFonts w:ascii="Times New Roman" w:cs="Times New Roman" w:eastAsia="Times New Roman" w:hAnsi="Times New Roman"/>
          <w:sz w:val="22"/>
          <w:szCs w:val="22"/>
          <w:color w:val="auto"/>
        </w:rPr>
        <w:t>the negotiation for the same) with the Company and with whom Grantee had significant contact in the course of Grantee’s employment with the Company.</w:t>
      </w:r>
    </w:p>
    <w:p>
      <w:pPr>
        <w:spacing w:after="0" w:line="168" w:lineRule="exact"/>
        <w:rPr>
          <w:sz w:val="20"/>
          <w:szCs w:val="20"/>
          <w:color w:val="auto"/>
        </w:rPr>
      </w:pPr>
    </w:p>
    <w:p>
      <w:pPr>
        <w:jc w:val="both"/>
        <w:ind w:left="1300" w:right="660" w:firstLine="4"/>
        <w:spacing w:after="0" w:line="252" w:lineRule="auto"/>
        <w:tabs>
          <w:tab w:leader="none" w:pos="176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60" w:firstLine="4"/>
        <w:spacing w:after="0" w:line="252" w:lineRule="auto"/>
        <w:tabs>
          <w:tab w:leader="none" w:pos="180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61" w:lineRule="exact"/>
        <w:rPr>
          <w:rFonts w:ascii="Times New Roman" w:cs="Times New Roman" w:eastAsia="Times New Roman" w:hAnsi="Times New Roman"/>
          <w:sz w:val="22"/>
          <w:szCs w:val="22"/>
          <w:color w:val="auto"/>
        </w:rPr>
      </w:pPr>
    </w:p>
    <w:p>
      <w:pPr>
        <w:jc w:val="both"/>
        <w:ind w:left="1300" w:right="640" w:firstLine="4"/>
        <w:spacing w:after="0" w:line="252" w:lineRule="auto"/>
        <w:tabs>
          <w:tab w:leader="none" w:pos="1822"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61" w:lineRule="exact"/>
        <w:rPr>
          <w:rFonts w:ascii="Times New Roman" w:cs="Times New Roman" w:eastAsia="Times New Roman" w:hAnsi="Times New Roman"/>
          <w:sz w:val="22"/>
          <w:szCs w:val="22"/>
          <w:color w:val="auto"/>
        </w:rPr>
      </w:pPr>
    </w:p>
    <w:p>
      <w:pPr>
        <w:jc w:val="both"/>
        <w:ind w:left="1300" w:right="660" w:firstLine="4"/>
        <w:spacing w:after="0" w:line="245" w:lineRule="auto"/>
        <w:tabs>
          <w:tab w:leader="none" w:pos="197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19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19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08" w:right="339" w:bottom="1440" w:gutter="0" w:footer="0" w:header="0"/>
        </w:sectPr>
      </w:pPr>
    </w:p>
    <w:bookmarkStart w:id="315" w:name="page316"/>
    <w:bookmarkEnd w:id="315"/>
    <w:p>
      <w:pPr>
        <w:ind w:left="1760" w:hanging="312"/>
        <w:spacing w:after="0"/>
        <w:tabs>
          <w:tab w:leader="none" w:pos="17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06"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192"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06" w:lineRule="exact"/>
        <w:rPr>
          <w:rFonts w:ascii="Times New Roman" w:cs="Times New Roman" w:eastAsia="Times New Roman" w:hAnsi="Times New Roman"/>
          <w:sz w:val="18"/>
          <w:szCs w:val="18"/>
          <w:color w:val="auto"/>
        </w:rPr>
      </w:pPr>
    </w:p>
    <w:p>
      <w:pPr>
        <w:ind w:left="1780" w:hanging="332"/>
        <w:spacing w:after="0" w:line="258" w:lineRule="auto"/>
        <w:tabs>
          <w:tab w:leader="none" w:pos="177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44" w:lineRule="exact"/>
        <w:rPr>
          <w:rFonts w:ascii="Times New Roman" w:cs="Times New Roman" w:eastAsia="Times New Roman" w:hAnsi="Times New Roman"/>
          <w:sz w:val="18"/>
          <w:szCs w:val="18"/>
          <w:color w:val="auto"/>
        </w:rPr>
      </w:pPr>
    </w:p>
    <w:p>
      <w:pPr>
        <w:ind w:left="1780" w:hanging="332"/>
        <w:spacing w:after="0" w:line="258" w:lineRule="auto"/>
        <w:tabs>
          <w:tab w:leader="none" w:pos="177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45" w:lineRule="exact"/>
        <w:rPr>
          <w:sz w:val="20"/>
          <w:szCs w:val="20"/>
          <w:color w:val="auto"/>
        </w:rPr>
      </w:pPr>
    </w:p>
    <w:p>
      <w:pPr>
        <w:ind w:left="1120"/>
        <w:spacing w:after="0" w:line="271"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06" w:lineRule="exact"/>
        <w:rPr>
          <w:sz w:val="20"/>
          <w:szCs w:val="20"/>
          <w:color w:val="auto"/>
        </w:rPr>
      </w:pPr>
    </w:p>
    <w:p>
      <w:pPr>
        <w:ind w:left="1780" w:right="20" w:hanging="332"/>
        <w:spacing w:after="0" w:line="258" w:lineRule="auto"/>
        <w:tabs>
          <w:tab w:leader="none" w:pos="177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71" w:lineRule="exact"/>
        <w:rPr>
          <w:rFonts w:ascii="Times New Roman" w:cs="Times New Roman" w:eastAsia="Times New Roman" w:hAnsi="Times New Roman"/>
          <w:sz w:val="18"/>
          <w:szCs w:val="18"/>
          <w:color w:val="auto"/>
        </w:rPr>
      </w:pPr>
    </w:p>
    <w:p>
      <w:pPr>
        <w:jc w:val="both"/>
        <w:ind w:left="1780" w:hanging="332"/>
        <w:spacing w:after="0" w:line="250" w:lineRule="auto"/>
        <w:tabs>
          <w:tab w:leader="none" w:pos="177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67" w:lineRule="exact"/>
        <w:rPr>
          <w:rFonts w:ascii="Times New Roman" w:cs="Times New Roman" w:eastAsia="Times New Roman" w:hAnsi="Times New Roman"/>
          <w:sz w:val="18"/>
          <w:szCs w:val="18"/>
          <w:color w:val="auto"/>
        </w:rPr>
      </w:pPr>
    </w:p>
    <w:p>
      <w:pPr>
        <w:ind w:left="1780" w:right="20" w:hanging="332"/>
        <w:spacing w:after="0" w:line="258" w:lineRule="auto"/>
        <w:tabs>
          <w:tab w:leader="none" w:pos="177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71" w:lineRule="exact"/>
        <w:rPr>
          <w:rFonts w:ascii="Times New Roman" w:cs="Times New Roman" w:eastAsia="Times New Roman" w:hAnsi="Times New Roman"/>
          <w:sz w:val="18"/>
          <w:szCs w:val="18"/>
          <w:color w:val="auto"/>
        </w:rPr>
      </w:pPr>
    </w:p>
    <w:p>
      <w:pPr>
        <w:jc w:val="both"/>
        <w:ind w:left="1780" w:hanging="332"/>
        <w:spacing w:after="0" w:line="250" w:lineRule="auto"/>
        <w:tabs>
          <w:tab w:leader="none" w:pos="177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67"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06"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500" w:top="1408" w:right="339" w:bottom="1440" w:gutter="0" w:footer="0" w:header="0"/>
        </w:sectPr>
      </w:pPr>
    </w:p>
    <w:bookmarkStart w:id="316" w:name="page317"/>
    <w:bookmarkEnd w:id="316"/>
    <w:p>
      <w:pPr>
        <w:jc w:val="both"/>
        <w:ind w:left="1780" w:hanging="332"/>
        <w:spacing w:after="0" w:line="250" w:lineRule="auto"/>
        <w:tabs>
          <w:tab w:leader="none" w:pos="177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Times New Roman" w:cs="Times New Roman" w:eastAsia="Times New Roman" w:hAnsi="Times New Roman"/>
          <w:sz w:val="18"/>
          <w:szCs w:val="18"/>
          <w:color w:val="auto"/>
        </w:rPr>
      </w:pPr>
    </w:p>
    <w:p>
      <w:pPr>
        <w:jc w:val="both"/>
        <w:ind w:left="1780" w:hanging="332"/>
        <w:spacing w:after="0" w:line="244" w:lineRule="auto"/>
        <w:tabs>
          <w:tab w:leader="none" w:pos="177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86" w:lineRule="exact"/>
        <w:rPr>
          <w:rFonts w:ascii="Times New Roman" w:cs="Times New Roman" w:eastAsia="Times New Roman" w:hAnsi="Times New Roman"/>
          <w:sz w:val="18"/>
          <w:szCs w:val="18"/>
          <w:color w:val="auto"/>
        </w:rPr>
      </w:pPr>
    </w:p>
    <w:p>
      <w:pPr>
        <w:ind w:left="1780" w:hanging="332"/>
        <w:spacing w:after="0" w:line="258" w:lineRule="auto"/>
        <w:tabs>
          <w:tab w:leader="none" w:pos="177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72" w:lineRule="exact"/>
        <w:rPr>
          <w:sz w:val="20"/>
          <w:szCs w:val="20"/>
          <w:color w:val="auto"/>
        </w:rPr>
      </w:pPr>
    </w:p>
    <w:p>
      <w:pPr>
        <w:jc w:val="both"/>
        <w:ind w:left="1120" w:right="20"/>
        <w:spacing w:after="0" w:line="258"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jc w:val="both"/>
        <w:ind w:left="1120" w:right="20"/>
        <w:spacing w:after="0" w:line="258"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8" w:lineRule="exact"/>
        <w:rPr>
          <w:sz w:val="20"/>
          <w:szCs w:val="20"/>
          <w:color w:val="auto"/>
        </w:rPr>
      </w:pPr>
    </w:p>
    <w:p>
      <w:pPr>
        <w:jc w:val="both"/>
        <w:ind w:left="1120"/>
        <w:spacing w:after="0" w:line="241"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90" w:lineRule="exact"/>
        <w:rPr>
          <w:sz w:val="20"/>
          <w:szCs w:val="20"/>
          <w:color w:val="auto"/>
        </w:rPr>
      </w:pPr>
    </w:p>
    <w:p>
      <w:pPr>
        <w:jc w:val="both"/>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www.netbenefits.fidelity.com and visiting the Plan &amp; Grant Documents section of the Grantee’s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060"/>
          </w:cols>
          <w:pgMar w:left="500" w:top="1408" w:right="339" w:bottom="1440" w:gutter="0" w:footer="0" w:header="0"/>
        </w:sectPr>
      </w:pPr>
    </w:p>
    <w:bookmarkStart w:id="317" w:name="page318"/>
    <w:bookmarkEnd w:id="317"/>
    <w:p>
      <w:pPr>
        <w:jc w:val="both"/>
        <w:ind w:left="1120"/>
        <w:spacing w:after="0" w:line="250"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68" w:lineRule="exact"/>
        <w:rPr>
          <w:sz w:val="20"/>
          <w:szCs w:val="20"/>
          <w:color w:val="auto"/>
        </w:rPr>
      </w:pPr>
    </w:p>
    <w:p>
      <w:pPr>
        <w:ind w:left="1760" w:hanging="312"/>
        <w:spacing w:after="0"/>
        <w:tabs>
          <w:tab w:leader="none" w:pos="17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19" w:lineRule="exact"/>
        <w:rPr>
          <w:rFonts w:ascii="Times New Roman" w:cs="Times New Roman" w:eastAsia="Times New Roman" w:hAnsi="Times New Roman"/>
          <w:sz w:val="18"/>
          <w:szCs w:val="18"/>
          <w:color w:val="auto"/>
        </w:rPr>
      </w:pPr>
    </w:p>
    <w:p>
      <w:pPr>
        <w:ind w:left="1780" w:right="20" w:hanging="332"/>
        <w:spacing w:after="0" w:line="258" w:lineRule="auto"/>
        <w:tabs>
          <w:tab w:leader="none" w:pos="177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8"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06" w:lineRule="exact"/>
        <w:rPr>
          <w:sz w:val="20"/>
          <w:szCs w:val="20"/>
          <w:color w:val="auto"/>
        </w:rPr>
      </w:pPr>
    </w:p>
    <w:p>
      <w:pPr>
        <w:ind w:left="1760" w:hanging="312"/>
        <w:spacing w:after="0"/>
        <w:tabs>
          <w:tab w:leader="none" w:pos="17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80" w:hanging="332"/>
        <w:spacing w:after="0" w:line="244" w:lineRule="auto"/>
        <w:tabs>
          <w:tab w:leader="none" w:pos="177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6" w:lineRule="exact"/>
        <w:rPr>
          <w:rFonts w:ascii="Times New Roman" w:cs="Times New Roman" w:eastAsia="Times New Roman" w:hAnsi="Times New Roman"/>
          <w:sz w:val="18"/>
          <w:szCs w:val="18"/>
          <w:color w:val="auto"/>
        </w:rPr>
      </w:pPr>
    </w:p>
    <w:p>
      <w:pPr>
        <w:jc w:val="both"/>
        <w:ind w:left="1780" w:hanging="332"/>
        <w:spacing w:after="0" w:line="244" w:lineRule="auto"/>
        <w:tabs>
          <w:tab w:leader="none" w:pos="177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10"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44" w:lineRule="exact"/>
        <w:rPr>
          <w:sz w:val="20"/>
          <w:szCs w:val="20"/>
          <w:color w:val="auto"/>
        </w:rPr>
      </w:pPr>
    </w:p>
    <w:p>
      <w:pPr>
        <w:jc w:val="both"/>
        <w:ind w:left="1120"/>
        <w:spacing w:after="0" w:line="250"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6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18" w:lineRule="exact"/>
        <w:rPr>
          <w:sz w:val="20"/>
          <w:szCs w:val="20"/>
          <w:color w:val="auto"/>
        </w:rPr>
      </w:pPr>
    </w:p>
    <w:p>
      <w:pPr>
        <w:ind w:left="1780" w:right="20" w:hanging="332"/>
        <w:spacing w:after="0" w:line="258" w:lineRule="auto"/>
        <w:tabs>
          <w:tab w:leader="none" w:pos="177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60"/>
          </w:cols>
          <w:pgMar w:left="500" w:top="1408" w:right="339" w:bottom="1440" w:gutter="0" w:footer="0" w:header="0"/>
        </w:sectPr>
      </w:pPr>
    </w:p>
    <w:bookmarkStart w:id="318" w:name="page319"/>
    <w:bookmarkEnd w:id="318"/>
    <w:p>
      <w:pPr>
        <w:jc w:val="both"/>
        <w:ind w:left="1960" w:hanging="332"/>
        <w:spacing w:after="0" w:line="243" w:lineRule="auto"/>
        <w:tabs>
          <w:tab w:leader="none" w:pos="195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77" w:lineRule="exact"/>
        <w:rPr>
          <w:rFonts w:ascii="Times New Roman" w:cs="Times New Roman" w:eastAsia="Times New Roman" w:hAnsi="Times New Roman"/>
          <w:sz w:val="18"/>
          <w:szCs w:val="18"/>
          <w:color w:val="auto"/>
        </w:rPr>
      </w:pPr>
    </w:p>
    <w:p>
      <w:pPr>
        <w:jc w:val="both"/>
        <w:ind w:left="1960" w:hanging="332"/>
        <w:spacing w:after="0" w:line="244" w:lineRule="auto"/>
        <w:tabs>
          <w:tab w:leader="none" w:pos="195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86" w:lineRule="exact"/>
        <w:rPr>
          <w:rFonts w:ascii="Times New Roman" w:cs="Times New Roman" w:eastAsia="Times New Roman" w:hAnsi="Times New Roman"/>
          <w:sz w:val="18"/>
          <w:szCs w:val="18"/>
          <w:color w:val="auto"/>
        </w:rPr>
      </w:pPr>
    </w:p>
    <w:p>
      <w:pPr>
        <w:jc w:val="both"/>
        <w:ind w:left="1960" w:hanging="332"/>
        <w:spacing w:after="0"/>
        <w:tabs>
          <w:tab w:leader="none" w:pos="195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6" w:lineRule="exact"/>
        <w:rPr>
          <w:rFonts w:ascii="Times New Roman" w:cs="Times New Roman" w:eastAsia="Times New Roman" w:hAnsi="Times New Roman"/>
          <w:sz w:val="18"/>
          <w:szCs w:val="18"/>
          <w:color w:val="auto"/>
        </w:rPr>
      </w:pPr>
    </w:p>
    <w:p>
      <w:pPr>
        <w:jc w:val="both"/>
        <w:ind w:left="1960" w:hanging="332"/>
        <w:spacing w:after="0" w:line="248" w:lineRule="auto"/>
        <w:tabs>
          <w:tab w:leader="none" w:pos="195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69" w:lineRule="exact"/>
        <w:rPr>
          <w:sz w:val="20"/>
          <w:szCs w:val="20"/>
          <w:color w:val="auto"/>
        </w:rPr>
      </w:pPr>
    </w:p>
    <w:p>
      <w:pPr>
        <w:jc w:val="both"/>
        <w:ind w:left="1300"/>
        <w:spacing w:after="0" w:line="243" w:lineRule="auto"/>
        <w:rPr>
          <w:sz w:val="20"/>
          <w:szCs w:val="20"/>
          <w:color w:val="auto"/>
        </w:rPr>
      </w:pPr>
      <w:r>
        <w:rPr>
          <w:rFonts w:ascii="Times New Roman" w:cs="Times New Roman" w:eastAsia="Times New Roman" w:hAnsi="Times New Roman"/>
          <w:sz w:val="22"/>
          <w:szCs w:val="22"/>
          <w:color w:val="auto"/>
        </w:rPr>
        <w:t>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https://ico.org.uk/concerns/).”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37" w:lineRule="exact"/>
        <w:rPr>
          <w:sz w:val="20"/>
          <w:szCs w:val="20"/>
          <w:color w:val="auto"/>
        </w:rPr>
      </w:pPr>
    </w:p>
    <w:p>
      <w:pPr>
        <w:jc w:val="both"/>
        <w:ind w:left="1300" w:right="640"/>
        <w:spacing w:after="0" w:line="243"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08" w:right="33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California Addendum (“Addendum”) includes additional terms and conditions that govern the Restricted Stock Units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33"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left="640" w:firstLine="644"/>
        <w:spacing w:after="0" w:line="237" w:lineRule="auto"/>
        <w:tabs>
          <w:tab w:leader="none" w:pos="1936"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75" w:lineRule="exact"/>
        <w:rPr>
          <w:rFonts w:ascii="Times New Roman" w:cs="Times New Roman" w:eastAsia="Times New Roman" w:hAnsi="Times New Roman"/>
          <w:sz w:val="22"/>
          <w:szCs w:val="22"/>
          <w:color w:val="auto"/>
        </w:rPr>
      </w:pPr>
    </w:p>
    <w:p>
      <w:pPr>
        <w:jc w:val="both"/>
        <w:ind w:left="640" w:firstLine="644"/>
        <w:spacing w:after="0" w:line="239" w:lineRule="auto"/>
        <w:tabs>
          <w:tab w:leader="none" w:pos="1935"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04" w:right="339" w:bottom="1440" w:gutter="0" w:footer="0" w:header="0"/>
        </w:sectPr>
      </w:pPr>
    </w:p>
    <w:bookmarkStart w:id="320" w:name="page321"/>
    <w:bookmarkEnd w:id="320"/>
    <w:p>
      <w:pPr>
        <w:jc w:val="both"/>
        <w:ind w:left="460"/>
        <w:spacing w:after="0" w:line="237" w:lineRule="auto"/>
        <w:rPr>
          <w:sz w:val="20"/>
          <w:szCs w:val="20"/>
          <w:color w:val="auto"/>
        </w:rPr>
      </w:pPr>
      <w:r>
        <w:rPr>
          <w:rFonts w:ascii="Times New Roman" w:cs="Times New Roman" w:eastAsia="Times New Roman" w:hAnsi="Times New Roman"/>
          <w:sz w:val="21"/>
          <w:szCs w:val="21"/>
          <w:color w:val="auto"/>
        </w:rPr>
        <w:t>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95" w:lineRule="exact"/>
        <w:rPr>
          <w:sz w:val="20"/>
          <w:szCs w:val="20"/>
          <w:color w:val="auto"/>
        </w:rPr>
      </w:pPr>
    </w:p>
    <w:p>
      <w:pPr>
        <w:jc w:val="both"/>
        <w:ind w:left="460" w:firstLine="644"/>
        <w:spacing w:after="0" w:line="229" w:lineRule="auto"/>
        <w:tabs>
          <w:tab w:leader="none" w:pos="1756"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500" w:top="1408" w:right="339" w:bottom="1440" w:gutter="0" w:footer="0" w:header="0"/>
        </w:sectPr>
      </w:pPr>
    </w:p>
    <w:bookmarkStart w:id="321" w:name="page322"/>
    <w:bookmarkEnd w:id="321"/>
    <w:p>
      <w:pPr>
        <w:jc w:val="both"/>
        <w:ind w:left="640" w:firstLine="644"/>
        <w:spacing w:after="0" w:line="245" w:lineRule="auto"/>
        <w:tabs>
          <w:tab w:leader="none" w:pos="1935"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82"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300" w:firstLine="622"/>
        <w:spacing w:after="0"/>
        <w:tabs>
          <w:tab w:leader="none" w:pos="2440" w:val="left"/>
        </w:tabs>
        <w:numPr>
          <w:ilvl w:val="1"/>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6" w:lineRule="exact"/>
        <w:rPr>
          <w:rFonts w:ascii="Times New Roman" w:cs="Times New Roman" w:eastAsia="Times New Roman" w:hAnsi="Times New Roman"/>
          <w:sz w:val="22"/>
          <w:szCs w:val="22"/>
          <w:color w:val="auto"/>
        </w:rPr>
      </w:pPr>
    </w:p>
    <w:p>
      <w:pPr>
        <w:jc w:val="both"/>
        <w:ind w:left="1300" w:firstLine="622"/>
        <w:spacing w:after="0" w:line="237" w:lineRule="auto"/>
        <w:tabs>
          <w:tab w:leader="none" w:pos="2589" w:val="left"/>
        </w:tabs>
        <w:numPr>
          <w:ilvl w:val="1"/>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94" w:lineRule="exact"/>
        <w:rPr>
          <w:rFonts w:ascii="Times New Roman" w:cs="Times New Roman" w:eastAsia="Times New Roman" w:hAnsi="Times New Roman"/>
          <w:sz w:val="22"/>
          <w:szCs w:val="22"/>
          <w:color w:val="auto"/>
        </w:rPr>
      </w:pPr>
    </w:p>
    <w:p>
      <w:pPr>
        <w:ind w:left="640" w:firstLine="644"/>
        <w:spacing w:after="0" w:line="262" w:lineRule="auto"/>
        <w:tabs>
          <w:tab w:leader="none" w:pos="1885"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33" w:lineRule="exact"/>
        <w:rPr>
          <w:sz w:val="20"/>
          <w:szCs w:val="20"/>
          <w:color w:val="auto"/>
        </w:rPr>
      </w:pPr>
    </w:p>
    <w:p>
      <w:pPr>
        <w:jc w:val="both"/>
        <w:ind w:firstLine="594"/>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California Privacy Rights section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04" w:right="339" w:bottom="1440" w:gutter="0" w:footer="0" w:header="0"/>
        </w:sectPr>
      </w:pPr>
    </w:p>
    <w:bookmarkStart w:id="322" w:name="page323"/>
    <w:bookmarkEnd w:id="322"/>
    <w:p>
      <w:pPr>
        <w:spacing w:after="0" w:line="258" w:lineRule="auto"/>
        <w:rPr>
          <w:sz w:val="20"/>
          <w:szCs w:val="20"/>
          <w:color w:val="auto"/>
        </w:rPr>
      </w:pPr>
      <w:r>
        <w:rPr>
          <w:rFonts w:ascii="Times New Roman" w:cs="Times New Roman" w:eastAsia="Times New Roman" w:hAnsi="Times New Roman"/>
          <w:sz w:val="22"/>
          <w:szCs w:val="22"/>
          <w:color w:val="auto"/>
        </w:rPr>
        <w:t>Company’s Privacy Policy located at www.trimas.com/privacy-policy/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20" w:top="1408" w:right="35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4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94" w:right="33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680" w:space="720"/>
            <w:col w:w="4840"/>
          </w:cols>
          <w:pgMar w:left="320" w:top="94" w:right="339" w:bottom="1440" w:gutter="0" w:footer="0" w:header="0"/>
          <w:type w:val="continuous"/>
        </w:sectPr>
      </w:pPr>
    </w:p>
    <w:p>
      <w:pPr>
        <w:spacing w:after="0" w:line="230" w:lineRule="exact"/>
        <w:rPr>
          <w:sz w:val="20"/>
          <w:szCs w:val="20"/>
          <w:color w:val="auto"/>
        </w:rPr>
      </w:pPr>
    </w:p>
    <w:p>
      <w:pPr>
        <w:ind w:left="440" w:hanging="432"/>
        <w:spacing w:after="0"/>
        <w:tabs>
          <w:tab w:leader="none" w:pos="440" w:val="left"/>
        </w:tabs>
        <w:numPr>
          <w:ilvl w:val="0"/>
          <w:numId w:val="4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b w:val="1"/>
          <w:bCs w:val="1"/>
          <w:color w:val="auto"/>
        </w:rPr>
      </w:pPr>
    </w:p>
    <w:p>
      <w:pPr>
        <w:jc w:val="both"/>
        <w:ind w:firstLine="231"/>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72"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2"/>
          <w:numId w:val="4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60" w:firstLine="644"/>
        <w:spacing w:after="0" w:line="252" w:lineRule="auto"/>
        <w:tabs>
          <w:tab w:leader="none" w:pos="1953" w:val="left"/>
        </w:tabs>
        <w:numPr>
          <w:ilvl w:val="3"/>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94" w:right="339" w:bottom="1440" w:gutter="0" w:footer="0" w:header="0"/>
          <w:type w:val="continuous"/>
        </w:sectPr>
      </w:pPr>
    </w:p>
    <w:bookmarkStart w:id="324" w:name="page325"/>
    <w:bookmarkEnd w:id="324"/>
    <w:p>
      <w:pPr>
        <w:spacing w:after="0" w:line="200" w:lineRule="exact"/>
        <w:rPr>
          <w:sz w:val="20"/>
          <w:szCs w:val="20"/>
          <w:color w:val="auto"/>
        </w:rPr>
      </w:pPr>
    </w:p>
    <w:p>
      <w:pPr>
        <w:spacing w:after="0" w:line="224" w:lineRule="exact"/>
        <w:rPr>
          <w:sz w:val="20"/>
          <w:szCs w:val="20"/>
          <w:color w:val="auto"/>
        </w:rPr>
      </w:pPr>
    </w:p>
    <w:p>
      <w:pPr>
        <w:ind w:left="1720" w:hanging="636"/>
        <w:spacing w:after="0"/>
        <w:tabs>
          <w:tab w:leader="none" w:pos="172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1080" w:firstLine="652"/>
        <w:spacing w:after="0" w:line="239" w:lineRule="auto"/>
        <w:tabs>
          <w:tab w:leader="none" w:pos="2283"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0" w:lineRule="exact"/>
        <w:rPr>
          <w:rFonts w:ascii="Times New Roman" w:cs="Times New Roman" w:eastAsia="Times New Roman" w:hAnsi="Times New Roman"/>
          <w:sz w:val="22"/>
          <w:szCs w:val="22"/>
          <w:color w:val="auto"/>
        </w:rPr>
      </w:pPr>
    </w:p>
    <w:p>
      <w:pPr>
        <w:jc w:val="both"/>
        <w:ind w:left="1080" w:firstLine="652"/>
        <w:spacing w:after="0" w:line="245" w:lineRule="auto"/>
        <w:tabs>
          <w:tab w:leader="none" w:pos="2221"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2" w:lineRule="exact"/>
        <w:rPr>
          <w:rFonts w:ascii="Times New Roman" w:cs="Times New Roman" w:eastAsia="Times New Roman" w:hAnsi="Times New Roman"/>
          <w:sz w:val="22"/>
          <w:szCs w:val="22"/>
          <w:color w:val="auto"/>
        </w:rPr>
      </w:pPr>
    </w:p>
    <w:p>
      <w:pPr>
        <w:jc w:val="both"/>
        <w:ind w:left="1080" w:firstLine="652"/>
        <w:spacing w:after="0"/>
        <w:tabs>
          <w:tab w:leader="none" w:pos="2322"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86" w:lineRule="exact"/>
        <w:rPr>
          <w:rFonts w:ascii="Times New Roman" w:cs="Times New Roman" w:eastAsia="Times New Roman" w:hAnsi="Times New Roman"/>
          <w:sz w:val="22"/>
          <w:szCs w:val="22"/>
          <w:color w:val="auto"/>
        </w:rPr>
      </w:pPr>
    </w:p>
    <w:p>
      <w:pPr>
        <w:jc w:val="both"/>
        <w:ind w:left="1080" w:firstLine="652"/>
        <w:spacing w:after="0" w:line="245" w:lineRule="auto"/>
        <w:tabs>
          <w:tab w:leader="none" w:pos="2310"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68" w:lineRule="exact"/>
        <w:rPr>
          <w:rFonts w:ascii="Times New Roman" w:cs="Times New Roman" w:eastAsia="Times New Roman" w:hAnsi="Times New Roman"/>
          <w:sz w:val="22"/>
          <w:szCs w:val="22"/>
          <w:color w:val="auto"/>
        </w:rPr>
      </w:pPr>
    </w:p>
    <w:p>
      <w:pPr>
        <w:jc w:val="both"/>
        <w:ind w:left="1080" w:firstLine="652"/>
        <w:spacing w:after="0" w:line="252" w:lineRule="auto"/>
        <w:tabs>
          <w:tab w:leader="none" w:pos="2223"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such unvested Restricted Stock Units shall vest in accordance with this Section II.A.1(b)(v):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40" w:right="339" w:bottom="1440" w:gutter="0" w:footer="0" w:header="0"/>
        </w:sectPr>
      </w:pPr>
    </w:p>
    <w:bookmarkStart w:id="325" w:name="page326"/>
    <w:bookmarkEnd w:id="325"/>
    <w:p>
      <w:pPr>
        <w:jc w:val="both"/>
        <w:ind w:left="1980" w:firstLine="643"/>
        <w:spacing w:after="0" w:line="239" w:lineRule="auto"/>
        <w:tabs>
          <w:tab w:leader="none" w:pos="3293"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all of the Restricted Stock Units subject to this Award, and while Grantee is continuously a Service Provider, a Change in Control occurs, then the Restricted Stock Units subject to this Award that have not already vested as of the date of the Change in Control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94" w:lineRule="exact"/>
        <w:rPr>
          <w:rFonts w:ascii="Times New Roman" w:cs="Times New Roman" w:eastAsia="Times New Roman" w:hAnsi="Times New Roman"/>
          <w:sz w:val="22"/>
          <w:szCs w:val="22"/>
          <w:color w:val="auto"/>
        </w:rPr>
      </w:pPr>
    </w:p>
    <w:p>
      <w:pPr>
        <w:jc w:val="both"/>
        <w:ind w:left="1980" w:firstLine="643"/>
        <w:spacing w:after="0" w:line="237" w:lineRule="auto"/>
        <w:tabs>
          <w:tab w:leader="none" w:pos="3165"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(4) if Grantee holding the Replaced Award is subject to U.S. federal income tax under the Code, the tax consequences of which to such Grantee under the Code are not less favorable to such Grantee than the tax consequences of the Replaced Award, and (5)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87" w:lineRule="exact"/>
        <w:rPr>
          <w:rFonts w:ascii="Times New Roman" w:cs="Times New Roman" w:eastAsia="Times New Roman" w:hAnsi="Times New Roman"/>
          <w:sz w:val="22"/>
          <w:szCs w:val="22"/>
          <w:color w:val="auto"/>
        </w:rPr>
      </w:pPr>
    </w:p>
    <w:p>
      <w:pPr>
        <w:jc w:val="both"/>
        <w:ind w:left="1980" w:firstLine="643"/>
        <w:spacing w:after="0" w:line="260" w:lineRule="auto"/>
        <w:tabs>
          <w:tab w:leader="none" w:pos="3136"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and its Subsidiaries (or any of their successors) (as applicable, the “Successor”), or</w:t>
      </w:r>
    </w:p>
    <w:p>
      <w:pPr>
        <w:jc w:val="both"/>
        <w:ind w:left="1980" w:hanging="5"/>
        <w:spacing w:after="0" w:line="236" w:lineRule="auto"/>
        <w:tabs>
          <w:tab w:leader="none" w:pos="231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Retirement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08" w:right="339" w:bottom="1440" w:gutter="0" w:footer="0" w:header="0"/>
        </w:sectPr>
      </w:pPr>
    </w:p>
    <w:bookmarkStart w:id="326" w:name="page327"/>
    <w:bookmarkEnd w:id="326"/>
    <w:p>
      <w:pPr>
        <w:jc w:val="both"/>
        <w:ind w:left="1980" w:firstLine="643"/>
        <w:spacing w:after="0" w:line="244" w:lineRule="auto"/>
        <w:tabs>
          <w:tab w:leader="none" w:pos="3221"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86" w:lineRule="exact"/>
        <w:rPr>
          <w:sz w:val="20"/>
          <w:szCs w:val="20"/>
          <w:color w:val="auto"/>
        </w:rPr>
      </w:pPr>
    </w:p>
    <w:p>
      <w:pPr>
        <w:jc w:val="both"/>
        <w:ind w:left="440"/>
        <w:spacing w:after="0" w:line="244"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3" w:lineRule="exact"/>
        <w:rPr>
          <w:sz w:val="20"/>
          <w:szCs w:val="20"/>
          <w:color w:val="auto"/>
        </w:rPr>
      </w:pPr>
    </w:p>
    <w:p>
      <w:pPr>
        <w:ind w:left="600" w:hanging="380"/>
        <w:spacing w:after="0"/>
        <w:tabs>
          <w:tab w:leader="none" w:pos="600" w:val="left"/>
        </w:tabs>
        <w:numPr>
          <w:ilvl w:val="0"/>
          <w:numId w:val="4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440" w:firstLine="259"/>
        <w:spacing w:after="0" w:line="252" w:lineRule="auto"/>
        <w:tabs>
          <w:tab w:leader="none" w:pos="1206"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61" w:lineRule="exact"/>
        <w:rPr>
          <w:rFonts w:ascii="Times New Roman" w:cs="Times New Roman" w:eastAsia="Times New Roman" w:hAnsi="Times New Roman"/>
          <w:sz w:val="22"/>
          <w:szCs w:val="22"/>
          <w:color w:val="auto"/>
        </w:rPr>
      </w:pPr>
    </w:p>
    <w:p>
      <w:pPr>
        <w:ind w:left="440" w:firstLine="306"/>
        <w:spacing w:after="0" w:line="275" w:lineRule="auto"/>
        <w:tabs>
          <w:tab w:leader="none" w:pos="1313"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39" w:lineRule="exact"/>
        <w:rPr>
          <w:rFonts w:ascii="Times New Roman" w:cs="Times New Roman" w:eastAsia="Times New Roman" w:hAnsi="Times New Roman"/>
          <w:sz w:val="22"/>
          <w:szCs w:val="22"/>
          <w:color w:val="auto"/>
        </w:rPr>
      </w:pPr>
    </w:p>
    <w:p>
      <w:pPr>
        <w:jc w:val="both"/>
        <w:ind w:left="1080" w:firstLine="571"/>
        <w:spacing w:after="0" w:line="244" w:lineRule="auto"/>
        <w:tabs>
          <w:tab w:leader="none" w:pos="2157" w:val="left"/>
        </w:tabs>
        <w:numPr>
          <w:ilvl w:val="3"/>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86" w:lineRule="exact"/>
        <w:rPr>
          <w:rFonts w:ascii="Times New Roman" w:cs="Times New Roman" w:eastAsia="Times New Roman" w:hAnsi="Times New Roman"/>
          <w:sz w:val="22"/>
          <w:szCs w:val="22"/>
          <w:color w:val="auto"/>
        </w:rPr>
      </w:pPr>
    </w:p>
    <w:p>
      <w:pPr>
        <w:jc w:val="both"/>
        <w:ind w:left="1080" w:firstLine="571"/>
        <w:spacing w:after="0" w:line="238" w:lineRule="auto"/>
        <w:tabs>
          <w:tab w:leader="none" w:pos="2150" w:val="left"/>
        </w:tabs>
        <w:numPr>
          <w:ilvl w:val="3"/>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II.A.1(b)(v)(A)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85" w:lineRule="exact"/>
        <w:rPr>
          <w:rFonts w:ascii="Times New Roman" w:cs="Times New Roman" w:eastAsia="Times New Roman" w:hAnsi="Times New Roman"/>
          <w:sz w:val="22"/>
          <w:szCs w:val="22"/>
          <w:color w:val="auto"/>
        </w:rPr>
      </w:pPr>
    </w:p>
    <w:p>
      <w:pPr>
        <w:jc w:val="both"/>
        <w:ind w:left="1080" w:firstLine="571"/>
        <w:spacing w:after="0" w:line="244" w:lineRule="auto"/>
        <w:tabs>
          <w:tab w:leader="none" w:pos="2200" w:val="left"/>
        </w:tabs>
        <w:numPr>
          <w:ilvl w:val="3"/>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II.A.1(b)(v)(C) (and have not previously been settled) on the date of Grantee’s “separation from service” with the Company and its Subsidiaries (determined in accordance with Section 409A(a)(2)(A)(i) of the Code) within two years following the occurrence of a Change in Control that constitutes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08" w:right="339" w:bottom="1440" w:gutter="0" w:footer="0" w:header="0"/>
        </w:sectPr>
      </w:pPr>
    </w:p>
    <w:bookmarkStart w:id="327" w:name="page328"/>
    <w:bookmarkEnd w:id="327"/>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sz w:val="20"/>
          <w:szCs w:val="20"/>
          <w:color w:val="auto"/>
        </w:rPr>
      </w:pPr>
    </w:p>
    <w:p>
      <w:pPr>
        <w:jc w:val="both"/>
        <w:ind w:left="-220" w:firstLine="449"/>
        <w:spacing w:after="0" w:line="239" w:lineRule="auto"/>
        <w:tabs>
          <w:tab w:leader="none" w:pos="603" w:val="left"/>
        </w:tabs>
        <w:numPr>
          <w:ilvl w:val="1"/>
          <w:numId w:val="4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9" w:lineRule="exact"/>
        <w:rPr>
          <w:rFonts w:ascii="Times New Roman" w:cs="Times New Roman" w:eastAsia="Times New Roman" w:hAnsi="Times New Roman"/>
          <w:sz w:val="22"/>
          <w:szCs w:val="22"/>
          <w:b w:val="1"/>
          <w:bCs w:val="1"/>
          <w:color w:val="auto"/>
        </w:rPr>
      </w:pPr>
    </w:p>
    <w:p>
      <w:pPr>
        <w:ind w:left="-220" w:right="20" w:firstLine="467"/>
        <w:spacing w:after="0" w:line="262" w:lineRule="auto"/>
        <w:tabs>
          <w:tab w:leader="none" w:pos="630" w:val="left"/>
        </w:tabs>
        <w:numPr>
          <w:ilvl w:val="3"/>
          <w:numId w:val="4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rFonts w:ascii="Times New Roman" w:cs="Times New Roman" w:eastAsia="Times New Roman" w:hAnsi="Times New Roman"/>
          <w:sz w:val="22"/>
          <w:szCs w:val="22"/>
          <w:b w:val="1"/>
          <w:bCs w:val="1"/>
          <w:color w:val="auto"/>
        </w:rPr>
      </w:pPr>
    </w:p>
    <w:p>
      <w:pPr>
        <w:ind w:left="-220" w:firstLine="440"/>
        <w:spacing w:after="0" w:line="275" w:lineRule="auto"/>
        <w:tabs>
          <w:tab w:leader="none" w:pos="590" w:val="left"/>
        </w:tabs>
        <w:numPr>
          <w:ilvl w:val="2"/>
          <w:numId w:val="4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35" w:lineRule="exact"/>
        <w:rPr>
          <w:rFonts w:ascii="Times New Roman" w:cs="Times New Roman" w:eastAsia="Times New Roman" w:hAnsi="Times New Roman"/>
          <w:sz w:val="22"/>
          <w:szCs w:val="22"/>
          <w:b w:val="1"/>
          <w:bCs w:val="1"/>
          <w:color w:val="auto"/>
        </w:rPr>
      </w:pPr>
    </w:p>
    <w:p>
      <w:pPr>
        <w:ind w:left="420" w:hanging="416"/>
        <w:spacing w:after="0"/>
        <w:tabs>
          <w:tab w:leader="none" w:pos="420" w:val="left"/>
        </w:tabs>
        <w:numPr>
          <w:ilvl w:val="0"/>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220" w:firstLine="494"/>
        <w:spacing w:after="0" w:line="245" w:lineRule="auto"/>
        <w:tabs>
          <w:tab w:leader="none" w:pos="671" w:val="left"/>
        </w:tabs>
        <w:numPr>
          <w:ilvl w:val="4"/>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8" w:lineRule="exact"/>
        <w:rPr>
          <w:rFonts w:ascii="Times New Roman" w:cs="Times New Roman" w:eastAsia="Times New Roman" w:hAnsi="Times New Roman"/>
          <w:sz w:val="22"/>
          <w:szCs w:val="22"/>
          <w:b w:val="1"/>
          <w:bCs w:val="1"/>
          <w:color w:val="auto"/>
        </w:rPr>
      </w:pPr>
    </w:p>
    <w:p>
      <w:pPr>
        <w:jc w:val="both"/>
        <w:ind w:left="-220" w:firstLine="593"/>
        <w:spacing w:after="0" w:line="238" w:lineRule="auto"/>
        <w:tabs>
          <w:tab w:leader="none" w:pos="819" w:val="left"/>
        </w:tabs>
        <w:numPr>
          <w:ilvl w:val="5"/>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408" w:right="339" w:bottom="1440" w:gutter="0" w:footer="0" w:header="0"/>
        </w:sectPr>
      </w:pPr>
    </w:p>
    <w:bookmarkStart w:id="328" w:name="page329"/>
    <w:bookmarkEnd w:id="328"/>
    <w:p>
      <w:pPr>
        <w:jc w:val="both"/>
        <w:spacing w:after="0" w:line="243" w:lineRule="auto"/>
        <w:rPr>
          <w:sz w:val="20"/>
          <w:szCs w:val="20"/>
          <w:color w:val="auto"/>
        </w:rPr>
      </w:pPr>
      <w:r>
        <w:rPr>
          <w:rFonts w:ascii="Times New Roman" w:cs="Times New Roman" w:eastAsia="Times New Roman" w:hAnsi="Times New Roman"/>
          <w:sz w:val="22"/>
          <w:szCs w:val="22"/>
          <w:color w:val="auto"/>
        </w:rPr>
        <w:t>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3" w:lineRule="exact"/>
        <w:rPr>
          <w:sz w:val="20"/>
          <w:szCs w:val="20"/>
          <w:color w:val="auto"/>
        </w:rPr>
      </w:pPr>
    </w:p>
    <w:p>
      <w:pPr>
        <w:ind w:left="820" w:hanging="380"/>
        <w:spacing w:after="0"/>
        <w:tabs>
          <w:tab w:leader="none" w:pos="820" w:val="left"/>
        </w:tabs>
        <w:numPr>
          <w:ilvl w:val="0"/>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06" w:lineRule="exact"/>
        <w:rPr>
          <w:rFonts w:ascii="Times New Roman" w:cs="Times New Roman" w:eastAsia="Times New Roman" w:hAnsi="Times New Roman"/>
          <w:sz w:val="22"/>
          <w:szCs w:val="22"/>
          <w:b w:val="1"/>
          <w:bCs w:val="1"/>
          <w:color w:val="auto"/>
        </w:rPr>
      </w:pPr>
    </w:p>
    <w:p>
      <w:pPr>
        <w:jc w:val="both"/>
        <w:ind w:left="660" w:firstLine="259"/>
        <w:spacing w:after="0" w:line="239" w:lineRule="auto"/>
        <w:tabs>
          <w:tab w:leader="none" w:pos="1426"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 agreement or arrangement)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80" w:lineRule="exact"/>
        <w:rPr>
          <w:rFonts w:ascii="Times New Roman" w:cs="Times New Roman" w:eastAsia="Times New Roman" w:hAnsi="Times New Roman"/>
          <w:sz w:val="22"/>
          <w:szCs w:val="22"/>
          <w:color w:val="auto"/>
        </w:rPr>
      </w:pPr>
    </w:p>
    <w:p>
      <w:pPr>
        <w:jc w:val="both"/>
        <w:ind w:left="660" w:firstLine="327"/>
        <w:spacing w:after="0" w:line="237" w:lineRule="auto"/>
        <w:tabs>
          <w:tab w:leader="none" w:pos="1573" w:val="left"/>
        </w:tabs>
        <w:numPr>
          <w:ilvl w:val="2"/>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329" w:name="page330"/>
    <w:bookmarkEnd w:id="329"/>
    <w:p>
      <w:pPr>
        <w:jc w:val="both"/>
        <w:ind w:left="440"/>
        <w:spacing w:after="0" w:line="249" w:lineRule="auto"/>
        <w:rPr>
          <w:sz w:val="20"/>
          <w:szCs w:val="20"/>
          <w:color w:val="auto"/>
        </w:rPr>
      </w:pPr>
      <w:r>
        <w:rPr>
          <w:rFonts w:ascii="Times New Roman" w:cs="Times New Roman" w:eastAsia="Times New Roman" w:hAnsi="Times New Roman"/>
          <w:sz w:val="21"/>
          <w:szCs w:val="21"/>
          <w:color w:val="auto"/>
        </w:rPr>
        <w:t>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8" w:lineRule="exact"/>
        <w:rPr>
          <w:sz w:val="20"/>
          <w:szCs w:val="20"/>
          <w:color w:val="auto"/>
        </w:rPr>
      </w:pPr>
    </w:p>
    <w:p>
      <w:pPr>
        <w:ind w:left="1100" w:hanging="448"/>
        <w:spacing w:after="0"/>
        <w:tabs>
          <w:tab w:leader="none" w:pos="110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080" w:hanging="208"/>
        <w:spacing w:after="0" w:line="239" w:lineRule="auto"/>
        <w:tabs>
          <w:tab w:leader="none" w:pos="1289"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0" w:lineRule="exact"/>
        <w:rPr>
          <w:rFonts w:ascii="Times New Roman" w:cs="Times New Roman" w:eastAsia="Times New Roman" w:hAnsi="Times New Roman"/>
          <w:sz w:val="22"/>
          <w:szCs w:val="22"/>
          <w:color w:val="auto"/>
        </w:rPr>
      </w:pPr>
    </w:p>
    <w:p>
      <w:pPr>
        <w:jc w:val="both"/>
        <w:ind w:left="1080" w:firstLine="337"/>
        <w:spacing w:after="0" w:line="244" w:lineRule="auto"/>
        <w:tabs>
          <w:tab w:leader="none" w:pos="2011" w:val="left"/>
        </w:tabs>
        <w:numPr>
          <w:ilvl w:val="2"/>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08" w:right="339" w:bottom="1440" w:gutter="0" w:footer="0" w:header="0"/>
        </w:sectPr>
      </w:pPr>
    </w:p>
    <w:bookmarkStart w:id="330" w:name="page331"/>
    <w:bookmarkEnd w:id="330"/>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68" w:lineRule="exact"/>
        <w:rPr>
          <w:sz w:val="20"/>
          <w:szCs w:val="20"/>
          <w:color w:val="auto"/>
        </w:rPr>
      </w:pPr>
    </w:p>
    <w:p>
      <w:pPr>
        <w:jc w:val="both"/>
        <w:ind w:left="1080" w:hanging="112"/>
        <w:spacing w:after="0"/>
        <w:tabs>
          <w:tab w:leader="none" w:pos="1554" w:val="left"/>
        </w:tabs>
        <w:numPr>
          <w:ilvl w:val="2"/>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72" w:lineRule="exact"/>
        <w:rPr>
          <w:rFonts w:ascii="Times New Roman" w:cs="Times New Roman" w:eastAsia="Times New Roman" w:hAnsi="Times New Roman"/>
          <w:sz w:val="22"/>
          <w:szCs w:val="22"/>
          <w:color w:val="auto"/>
        </w:rPr>
      </w:pPr>
    </w:p>
    <w:p>
      <w:pPr>
        <w:jc w:val="both"/>
        <w:ind w:left="440" w:firstLine="354"/>
        <w:spacing w:after="0" w:line="245" w:lineRule="auto"/>
        <w:tabs>
          <w:tab w:leader="none" w:pos="1407" w:val="left"/>
        </w:tabs>
        <w:numPr>
          <w:ilvl w:val="1"/>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82" w:lineRule="exact"/>
        <w:rPr>
          <w:rFonts w:ascii="Times New Roman" w:cs="Times New Roman" w:eastAsia="Times New Roman" w:hAnsi="Times New Roman"/>
          <w:sz w:val="22"/>
          <w:szCs w:val="22"/>
          <w:color w:val="auto"/>
        </w:rPr>
      </w:pPr>
    </w:p>
    <w:p>
      <w:pPr>
        <w:ind w:left="1100" w:hanging="448"/>
        <w:spacing w:after="0"/>
        <w:tabs>
          <w:tab w:leader="none" w:pos="1100"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6" w:lineRule="exact"/>
        <w:rPr>
          <w:rFonts w:ascii="Times New Roman" w:cs="Times New Roman" w:eastAsia="Times New Roman" w:hAnsi="Times New Roman"/>
          <w:sz w:val="22"/>
          <w:szCs w:val="22"/>
          <w:color w:val="auto"/>
        </w:rPr>
      </w:pPr>
    </w:p>
    <w:p>
      <w:pPr>
        <w:jc w:val="both"/>
        <w:ind w:left="1080" w:firstLine="622"/>
        <w:spacing w:after="0" w:line="242" w:lineRule="auto"/>
        <w:tabs>
          <w:tab w:leader="none" w:pos="2186" w:val="left"/>
        </w:tabs>
        <w:numPr>
          <w:ilvl w:val="3"/>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1" w:lineRule="exact"/>
        <w:rPr>
          <w:rFonts w:ascii="Times New Roman" w:cs="Times New Roman" w:eastAsia="Times New Roman" w:hAnsi="Times New Roman"/>
          <w:sz w:val="22"/>
          <w:szCs w:val="22"/>
          <w:color w:val="auto"/>
        </w:rPr>
      </w:pPr>
    </w:p>
    <w:p>
      <w:pPr>
        <w:jc w:val="both"/>
        <w:ind w:left="1080" w:firstLine="622"/>
        <w:spacing w:after="0" w:line="245" w:lineRule="auto"/>
        <w:tabs>
          <w:tab w:leader="none" w:pos="2286" w:val="left"/>
        </w:tabs>
        <w:numPr>
          <w:ilvl w:val="3"/>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82" w:lineRule="exact"/>
        <w:rPr>
          <w:rFonts w:ascii="Times New Roman" w:cs="Times New Roman" w:eastAsia="Times New Roman" w:hAnsi="Times New Roman"/>
          <w:sz w:val="22"/>
          <w:szCs w:val="22"/>
          <w:color w:val="auto"/>
        </w:rPr>
      </w:pPr>
    </w:p>
    <w:p>
      <w:pPr>
        <w:jc w:val="both"/>
        <w:ind w:left="1080" w:firstLine="622"/>
        <w:spacing w:after="0" w:line="245" w:lineRule="auto"/>
        <w:tabs>
          <w:tab w:leader="none" w:pos="2427" w:val="left"/>
        </w:tabs>
        <w:numPr>
          <w:ilvl w:val="3"/>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08" w:right="339" w:bottom="1440" w:gutter="0" w:footer="0" w:header="0"/>
        </w:sectPr>
      </w:pPr>
    </w:p>
    <w:bookmarkStart w:id="331" w:name="page332"/>
    <w:bookmarkEnd w:id="331"/>
    <w:p>
      <w:pPr>
        <w:jc w:val="both"/>
        <w:ind w:left="1080"/>
        <w:spacing w:after="0" w:line="238" w:lineRule="auto"/>
        <w:rPr>
          <w:sz w:val="20"/>
          <w:szCs w:val="20"/>
          <w:color w:val="auto"/>
        </w:rPr>
      </w:pPr>
      <w:r>
        <w:rPr>
          <w:rFonts w:ascii="Times New Roman" w:cs="Times New Roman" w:eastAsia="Times New Roman" w:hAnsi="Times New Roman"/>
          <w:sz w:val="22"/>
          <w:szCs w:val="22"/>
          <w:color w:val="auto"/>
        </w:rPr>
        <w:t>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95" w:lineRule="exact"/>
        <w:rPr>
          <w:sz w:val="20"/>
          <w:szCs w:val="20"/>
          <w:color w:val="auto"/>
        </w:rPr>
      </w:pPr>
    </w:p>
    <w:p>
      <w:pPr>
        <w:jc w:val="both"/>
        <w:ind w:left="420" w:firstLine="644"/>
        <w:spacing w:after="0" w:line="245" w:lineRule="auto"/>
        <w:tabs>
          <w:tab w:leader="none" w:pos="1503"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8" w:lineRule="exact"/>
        <w:rPr>
          <w:rFonts w:ascii="Times New Roman" w:cs="Times New Roman" w:eastAsia="Times New Roman" w:hAnsi="Times New Roman"/>
          <w:sz w:val="22"/>
          <w:szCs w:val="22"/>
          <w:color w:val="auto"/>
        </w:rPr>
      </w:pPr>
    </w:p>
    <w:p>
      <w:pPr>
        <w:jc w:val="both"/>
        <w:ind w:left="420" w:firstLine="644"/>
        <w:spacing w:after="0" w:line="238" w:lineRule="auto"/>
        <w:tabs>
          <w:tab w:leader="none" w:pos="154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81" w:lineRule="exact"/>
        <w:rPr>
          <w:rFonts w:ascii="Times New Roman" w:cs="Times New Roman" w:eastAsia="Times New Roman" w:hAnsi="Times New Roman"/>
          <w:sz w:val="22"/>
          <w:szCs w:val="22"/>
          <w:color w:val="auto"/>
        </w:rPr>
      </w:pPr>
    </w:p>
    <w:p>
      <w:pPr>
        <w:ind w:left="420" w:firstLine="644"/>
        <w:spacing w:after="0" w:line="275" w:lineRule="auto"/>
        <w:tabs>
          <w:tab w:leader="none" w:pos="1688"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5" w:lineRule="exact"/>
        <w:rPr>
          <w:rFonts w:ascii="Times New Roman" w:cs="Times New Roman" w:eastAsia="Times New Roman" w:hAnsi="Times New Roman"/>
          <w:sz w:val="22"/>
          <w:szCs w:val="22"/>
          <w:color w:val="auto"/>
        </w:rPr>
      </w:pPr>
    </w:p>
    <w:p>
      <w:pPr>
        <w:jc w:val="both"/>
        <w:ind w:left="-220" w:firstLine="485"/>
        <w:spacing w:after="0" w:line="245" w:lineRule="auto"/>
        <w:tabs>
          <w:tab w:leader="none" w:pos="657" w:val="left"/>
        </w:tabs>
        <w:numPr>
          <w:ilvl w:val="0"/>
          <w:numId w:val="4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08" w:right="339" w:bottom="1440" w:gutter="0" w:footer="0" w:header="0"/>
        </w:sectPr>
      </w:pPr>
    </w:p>
    <w:bookmarkStart w:id="332" w:name="page333"/>
    <w:bookmarkEnd w:id="332"/>
    <w:p>
      <w:pPr>
        <w:spacing w:after="0" w:line="258" w:lineRule="auto"/>
        <w:rPr>
          <w:sz w:val="20"/>
          <w:szCs w:val="20"/>
          <w:color w:val="auto"/>
        </w:rPr>
      </w:pPr>
      <w:r>
        <w:rPr>
          <w:rFonts w:ascii="Times New Roman" w:cs="Times New Roman" w:eastAsia="Times New Roman" w:hAnsi="Times New Roman"/>
          <w:sz w:val="22"/>
          <w:szCs w:val="22"/>
          <w:color w:val="auto"/>
        </w:rPr>
        <w:t>Section 409A of the Code (which amendment may be retroactive to the extent permitted by Section 409A of the Code and may be made by the Company without the consent of Grantee).</w:t>
      </w:r>
    </w:p>
    <w:p>
      <w:pPr>
        <w:spacing w:after="0" w:line="168" w:lineRule="exact"/>
        <w:rPr>
          <w:sz w:val="20"/>
          <w:szCs w:val="20"/>
          <w:color w:val="auto"/>
        </w:rPr>
      </w:pPr>
    </w:p>
    <w:p>
      <w:pPr>
        <w:jc w:val="both"/>
        <w:ind w:firstLine="530"/>
        <w:spacing w:after="0" w:line="241" w:lineRule="auto"/>
        <w:tabs>
          <w:tab w:leader="none" w:pos="945" w:val="left"/>
        </w:tabs>
        <w:numPr>
          <w:ilvl w:val="1"/>
          <w:numId w:val="4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87" w:lineRule="exact"/>
        <w:rPr>
          <w:rFonts w:ascii="Times New Roman" w:cs="Times New Roman" w:eastAsia="Times New Roman" w:hAnsi="Times New Roman"/>
          <w:sz w:val="22"/>
          <w:szCs w:val="22"/>
          <w:b w:val="1"/>
          <w:bCs w:val="1"/>
          <w:color w:val="auto"/>
        </w:rPr>
      </w:pPr>
    </w:p>
    <w:p>
      <w:pPr>
        <w:jc w:val="both"/>
        <w:ind w:firstLine="449"/>
        <w:spacing w:after="0" w:line="245" w:lineRule="auto"/>
        <w:tabs>
          <w:tab w:leader="none" w:pos="823" w:val="left"/>
        </w:tabs>
        <w:numPr>
          <w:ilvl w:val="0"/>
          <w:numId w:val="4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8" w:lineRule="exact"/>
        <w:rPr>
          <w:rFonts w:ascii="Times New Roman" w:cs="Times New Roman" w:eastAsia="Times New Roman" w:hAnsi="Times New Roman"/>
          <w:sz w:val="22"/>
          <w:szCs w:val="22"/>
          <w:b w:val="1"/>
          <w:bCs w:val="1"/>
          <w:color w:val="auto"/>
        </w:rPr>
      </w:pPr>
    </w:p>
    <w:p>
      <w:pPr>
        <w:jc w:val="both"/>
        <w:ind w:firstLine="561"/>
        <w:spacing w:after="0" w:line="252" w:lineRule="auto"/>
        <w:tabs>
          <w:tab w:leader="none" w:pos="985" w:val="left"/>
        </w:tabs>
        <w:numPr>
          <w:ilvl w:val="2"/>
          <w:numId w:val="4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1" w:lineRule="exact"/>
        <w:rPr>
          <w:rFonts w:ascii="Times New Roman" w:cs="Times New Roman" w:eastAsia="Times New Roman" w:hAnsi="Times New Roman"/>
          <w:sz w:val="22"/>
          <w:szCs w:val="22"/>
          <w:b w:val="1"/>
          <w:bCs w:val="1"/>
          <w:color w:val="auto"/>
        </w:rPr>
      </w:pPr>
    </w:p>
    <w:p>
      <w:pPr>
        <w:jc w:val="both"/>
        <w:ind w:firstLine="584"/>
        <w:spacing w:after="0" w:line="252" w:lineRule="auto"/>
        <w:tabs>
          <w:tab w:leader="none" w:pos="1026" w:val="left"/>
        </w:tabs>
        <w:numPr>
          <w:ilvl w:val="3"/>
          <w:numId w:val="4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75" w:lineRule="exact"/>
        <w:rPr>
          <w:rFonts w:ascii="Times New Roman" w:cs="Times New Roman" w:eastAsia="Times New Roman" w:hAnsi="Times New Roman"/>
          <w:sz w:val="22"/>
          <w:szCs w:val="22"/>
          <w:b w:val="1"/>
          <w:bCs w:val="1"/>
          <w:color w:val="auto"/>
        </w:rPr>
      </w:pPr>
    </w:p>
    <w:p>
      <w:pPr>
        <w:jc w:val="both"/>
        <w:ind w:firstLine="746"/>
        <w:spacing w:after="0" w:line="245" w:lineRule="auto"/>
        <w:tabs>
          <w:tab w:leader="none" w:pos="1269" w:val="left"/>
        </w:tabs>
        <w:numPr>
          <w:ilvl w:val="4"/>
          <w:numId w:val="4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9" w:lineRule="exact"/>
        <w:rPr>
          <w:sz w:val="20"/>
          <w:szCs w:val="20"/>
          <w:color w:val="auto"/>
        </w:rPr>
      </w:pPr>
    </w:p>
    <w:p>
      <w:pPr>
        <w:jc w:val="both"/>
        <w:ind w:firstLine="494"/>
        <w:spacing w:after="0" w:line="244" w:lineRule="auto"/>
        <w:tabs>
          <w:tab w:leader="none" w:pos="999" w:val="left"/>
        </w:tabs>
        <w:numPr>
          <w:ilvl w:val="1"/>
          <w:numId w:val="4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4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660" w:right="20" w:firstLine="227"/>
        <w:spacing w:after="0" w:line="282" w:lineRule="auto"/>
        <w:tabs>
          <w:tab w:leader="none" w:pos="1361" w:val="left"/>
        </w:tabs>
        <w:numPr>
          <w:ilvl w:val="2"/>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333" w:name="page334"/>
    <w:bookmarkEnd w:id="333"/>
    <w:p>
      <w:pPr>
        <w:jc w:val="both"/>
        <w:ind w:left="440" w:firstLine="266"/>
        <w:spacing w:after="0" w:line="250" w:lineRule="auto"/>
        <w:tabs>
          <w:tab w:leader="none" w:pos="1232" w:val="left"/>
        </w:tabs>
        <w:numPr>
          <w:ilvl w:val="4"/>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7" w:lineRule="exact"/>
        <w:rPr>
          <w:rFonts w:ascii="Times New Roman" w:cs="Times New Roman" w:eastAsia="Times New Roman" w:hAnsi="Times New Roman"/>
          <w:sz w:val="22"/>
          <w:szCs w:val="22"/>
          <w:color w:val="auto"/>
        </w:rPr>
      </w:pPr>
    </w:p>
    <w:p>
      <w:pPr>
        <w:ind w:left="440" w:firstLine="348"/>
        <w:spacing w:after="0" w:line="271" w:lineRule="auto"/>
        <w:tabs>
          <w:tab w:leader="none" w:pos="1384" w:val="left"/>
        </w:tabs>
        <w:numPr>
          <w:ilvl w:val="5"/>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44" w:lineRule="exact"/>
        <w:rPr>
          <w:rFonts w:ascii="Times New Roman" w:cs="Times New Roman" w:eastAsia="Times New Roman" w:hAnsi="Times New Roman"/>
          <w:sz w:val="22"/>
          <w:szCs w:val="22"/>
          <w:color w:val="auto"/>
        </w:rPr>
      </w:pPr>
    </w:p>
    <w:p>
      <w:pPr>
        <w:ind w:left="1120" w:hanging="468"/>
        <w:spacing w:after="0"/>
        <w:tabs>
          <w:tab w:leader="none" w:pos="1120" w:val="left"/>
        </w:tabs>
        <w:numPr>
          <w:ilvl w:val="3"/>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left="440" w:firstLine="231"/>
        <w:spacing w:after="0" w:line="250" w:lineRule="auto"/>
        <w:tabs>
          <w:tab w:leader="none" w:pos="1151" w:val="left"/>
        </w:tabs>
        <w:numPr>
          <w:ilvl w:val="3"/>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1" w:lineRule="exact"/>
        <w:rPr>
          <w:rFonts w:ascii="Times New Roman" w:cs="Times New Roman" w:eastAsia="Times New Roman" w:hAnsi="Times New Roman"/>
          <w:sz w:val="22"/>
          <w:szCs w:val="22"/>
          <w:color w:val="auto"/>
        </w:rPr>
      </w:pPr>
    </w:p>
    <w:p>
      <w:pPr>
        <w:ind w:left="440" w:right="20" w:firstLine="216"/>
        <w:spacing w:after="0" w:line="258" w:lineRule="auto"/>
        <w:tabs>
          <w:tab w:leader="none" w:pos="1096"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ind w:left="1120" w:hanging="468"/>
        <w:spacing w:after="0"/>
        <w:tabs>
          <w:tab w:leader="none" w:pos="112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440" w:firstLine="212"/>
        <w:spacing w:after="0" w:line="261" w:lineRule="auto"/>
        <w:tabs>
          <w:tab w:leader="none" w:pos="1124" w:val="left"/>
        </w:tabs>
        <w:numPr>
          <w:ilvl w:val="1"/>
          <w:numId w:val="4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70" w:lineRule="exact"/>
        <w:rPr>
          <w:rFonts w:ascii="Times New Roman" w:cs="Times New Roman" w:eastAsia="Times New Roman" w:hAnsi="Times New Roman"/>
          <w:sz w:val="21"/>
          <w:szCs w:val="21"/>
          <w:color w:val="auto"/>
        </w:rPr>
      </w:pPr>
    </w:p>
    <w:p>
      <w:pPr>
        <w:jc w:val="both"/>
        <w:ind w:left="440" w:firstLine="264"/>
        <w:spacing w:after="0" w:line="241" w:lineRule="auto"/>
        <w:tabs>
          <w:tab w:leader="none" w:pos="1180" w:val="left"/>
        </w:tabs>
        <w:numPr>
          <w:ilvl w:val="3"/>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6" w:lineRule="exact"/>
        <w:rPr>
          <w:rFonts w:ascii="Times New Roman" w:cs="Times New Roman" w:eastAsia="Times New Roman" w:hAnsi="Times New Roman"/>
          <w:sz w:val="22"/>
          <w:szCs w:val="22"/>
          <w:color w:val="auto"/>
        </w:rPr>
      </w:pPr>
    </w:p>
    <w:p>
      <w:pPr>
        <w:jc w:val="both"/>
        <w:ind w:left="440" w:firstLine="241"/>
        <w:spacing w:after="0" w:line="241" w:lineRule="auto"/>
        <w:tabs>
          <w:tab w:leader="none" w:pos="1134" w:val="left"/>
        </w:tabs>
        <w:numPr>
          <w:ilvl w:val="2"/>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86" w:lineRule="exact"/>
        <w:rPr>
          <w:rFonts w:ascii="Times New Roman" w:cs="Times New Roman" w:eastAsia="Times New Roman" w:hAnsi="Times New Roman"/>
          <w:sz w:val="22"/>
          <w:szCs w:val="22"/>
          <w:color w:val="auto"/>
        </w:rPr>
      </w:pPr>
    </w:p>
    <w:p>
      <w:pPr>
        <w:ind w:left="700" w:hanging="480"/>
        <w:spacing w:after="0"/>
        <w:tabs>
          <w:tab w:leader="none" w:pos="700" w:val="left"/>
        </w:tabs>
        <w:numPr>
          <w:ilvl w:val="0"/>
          <w:numId w:val="4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408" w:right="339" w:bottom="1440" w:gutter="0" w:footer="0" w:header="0"/>
        </w:sectPr>
      </w:pPr>
    </w:p>
    <w:bookmarkStart w:id="334" w:name="page335"/>
    <w:bookmarkEnd w:id="334"/>
    <w:p>
      <w:pPr>
        <w:jc w:val="both"/>
        <w:ind w:firstLine="494"/>
        <w:spacing w:after="0" w:line="244" w:lineRule="auto"/>
        <w:tabs>
          <w:tab w:leader="none" w:pos="999" w:val="left"/>
        </w:tabs>
        <w:numPr>
          <w:ilvl w:val="2"/>
          <w:numId w:val="4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2" w:lineRule="exact"/>
        <w:rPr>
          <w:rFonts w:ascii="Times New Roman" w:cs="Times New Roman" w:eastAsia="Times New Roman" w:hAnsi="Times New Roman"/>
          <w:sz w:val="22"/>
          <w:szCs w:val="22"/>
          <w:b w:val="1"/>
          <w:bCs w:val="1"/>
          <w:color w:val="auto"/>
        </w:rPr>
      </w:pPr>
    </w:p>
    <w:p>
      <w:pPr>
        <w:jc w:val="both"/>
        <w:ind w:firstLine="467"/>
        <w:spacing w:after="0" w:line="245" w:lineRule="auto"/>
        <w:tabs>
          <w:tab w:leader="none" w:pos="958" w:val="left"/>
        </w:tabs>
        <w:numPr>
          <w:ilvl w:val="1"/>
          <w:numId w:val="4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2" w:lineRule="exact"/>
        <w:rPr>
          <w:rFonts w:ascii="Times New Roman" w:cs="Times New Roman" w:eastAsia="Times New Roman" w:hAnsi="Times New Roman"/>
          <w:sz w:val="22"/>
          <w:szCs w:val="22"/>
          <w:b w:val="1"/>
          <w:bCs w:val="1"/>
          <w:color w:val="auto"/>
        </w:rPr>
      </w:pPr>
    </w:p>
    <w:p>
      <w:pPr>
        <w:jc w:val="both"/>
        <w:ind w:firstLine="449"/>
        <w:spacing w:after="0" w:line="249" w:lineRule="auto"/>
        <w:tabs>
          <w:tab w:leader="none" w:pos="931" w:val="left"/>
        </w:tabs>
        <w:numPr>
          <w:ilvl w:val="0"/>
          <w:numId w:val="4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 BY LAW, EACH</w:t>
      </w: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PARTY WAIVES ANY RIGHT TO TRIAL BY JURY WITH RESPECT TO ANY PROCEEDING ARISING OUT OF OR RELATING TO THIS AGREEMENT.</w:t>
      </w:r>
    </w:p>
    <w:p>
      <w:pPr>
        <w:spacing w:after="0" w:line="187"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4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40" w:firstLine="644"/>
        <w:spacing w:after="0" w:line="238" w:lineRule="auto"/>
        <w:tabs>
          <w:tab w:leader="none" w:pos="1864" w:val="left"/>
        </w:tabs>
        <w:numPr>
          <w:ilvl w:val="3"/>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335" w:name="page336"/>
    <w:bookmarkEnd w:id="335"/>
    <w:p>
      <w:pPr>
        <w:jc w:val="both"/>
        <w:ind w:left="420"/>
        <w:spacing w:after="0" w:line="239" w:lineRule="auto"/>
        <w:rPr>
          <w:sz w:val="20"/>
          <w:szCs w:val="20"/>
          <w:color w:val="auto"/>
        </w:rPr>
      </w:pPr>
      <w:r>
        <w:rPr>
          <w:rFonts w:ascii="Times New Roman" w:cs="Times New Roman" w:eastAsia="Times New Roman" w:hAnsi="Times New Roman"/>
          <w:sz w:val="22"/>
          <w:szCs w:val="22"/>
          <w:color w:val="auto"/>
        </w:rPr>
        <w:t>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4" w:lineRule="exact"/>
        <w:rPr>
          <w:sz w:val="20"/>
          <w:szCs w:val="20"/>
          <w:color w:val="auto"/>
        </w:rPr>
      </w:pPr>
    </w:p>
    <w:p>
      <w:pPr>
        <w:jc w:val="both"/>
        <w:ind w:left="420" w:firstLine="644"/>
        <w:spacing w:after="0" w:line="244" w:lineRule="auto"/>
        <w:tabs>
          <w:tab w:leader="none" w:pos="1568"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08" w:right="339" w:bottom="1440" w:gutter="0" w:footer="0" w:header="0"/>
        </w:sectPr>
      </w:pPr>
    </w:p>
    <w:bookmarkStart w:id="336" w:name="page337"/>
    <w:bookmarkEnd w:id="336"/>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J. Snyder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type w:val="continuous"/>
        </w:sectPr>
      </w:pPr>
    </w:p>
    <w:bookmarkStart w:id="337" w:name="page338"/>
    <w:bookmarkEnd w:id="337"/>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29" w:lineRule="exact"/>
        <w:rPr>
          <w:sz w:val="20"/>
          <w:szCs w:val="20"/>
          <w:color w:val="auto"/>
        </w:rPr>
      </w:pPr>
    </w:p>
    <w:p>
      <w:pPr>
        <w:jc w:val="both"/>
        <w:ind w:left="10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1"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twelve (12) months, or (b) if due to any medically determinable physical or mental impairment expected to result in death or last for a continuous period not less than twelve (12) months, Grantee has received income replacement benefits for a period of not less than three months under an accident and health plan sponsored by the Company.</w:t>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jc w:val="both"/>
        <w:ind w:left="1400" w:hanging="644"/>
        <w:spacing w:after="0" w:line="244" w:lineRule="auto"/>
        <w:tabs>
          <w:tab w:leader="none" w:pos="1452"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213" w:lineRule="exact"/>
        <w:rPr>
          <w:rFonts w:ascii="Times New Roman" w:cs="Times New Roman" w:eastAsia="Times New Roman" w:hAnsi="Times New Roman"/>
          <w:sz w:val="22"/>
          <w:szCs w:val="22"/>
          <w:color w:val="auto"/>
        </w:rPr>
      </w:pPr>
    </w:p>
    <w:p>
      <w:pPr>
        <w:ind w:left="1400" w:hanging="644"/>
        <w:spacing w:after="0" w:line="258" w:lineRule="auto"/>
        <w:tabs>
          <w:tab w:leader="none" w:pos="1355"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98" w:lineRule="exact"/>
        <w:rPr>
          <w:rFonts w:ascii="Times New Roman" w:cs="Times New Roman" w:eastAsia="Times New Roman" w:hAnsi="Times New Roman"/>
          <w:sz w:val="22"/>
          <w:szCs w:val="22"/>
          <w:color w:val="auto"/>
        </w:rPr>
      </w:pPr>
    </w:p>
    <w:p>
      <w:pPr>
        <w:ind w:left="1400" w:right="20" w:hanging="644"/>
        <w:spacing w:after="0" w:line="258" w:lineRule="auto"/>
        <w:tabs>
          <w:tab w:leader="none" w:pos="1214"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Grantee to another primary office more than 50 miles from the current office location, which reassignment is not otherwise approved by the Board.</w:t>
      </w:r>
    </w:p>
    <w:p>
      <w:pPr>
        <w:spacing w:after="0" w:line="185"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338" w:name="page339"/>
    <w:bookmarkEnd w:id="338"/>
    <w:p>
      <w:pPr>
        <w:ind w:left="660"/>
        <w:spacing w:after="0"/>
        <w:rPr>
          <w:sz w:val="20"/>
          <w:szCs w:val="20"/>
          <w:color w:val="auto"/>
        </w:rPr>
      </w:pPr>
      <w:r>
        <w:rPr>
          <w:rFonts w:ascii="Times New Roman" w:cs="Times New Roman" w:eastAsia="Times New Roman" w:hAnsi="Times New Roman"/>
          <w:sz w:val="22"/>
          <w:szCs w:val="22"/>
          <w:color w:val="auto"/>
        </w:rPr>
        <w:t>Reason if Cause exists or Grantee has violated Section II.B.3 of the Agreement at the time of such termination.</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140" w:lineRule="exact"/>
        <w:rPr>
          <w:sz w:val="20"/>
          <w:szCs w:val="20"/>
          <w:color w:val="auto"/>
        </w:rPr>
      </w:pPr>
    </w:p>
    <w:p>
      <w:pPr>
        <w:ind w:left="1120" w:hanging="464"/>
        <w:spacing w:after="0"/>
        <w:tabs>
          <w:tab w:leader="none" w:pos="112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06"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0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 with a Subsidiary shall only include service provided by Grantee after such Subsidiary becomes a subsidiary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08" w:right="339" w:bottom="1440" w:gutter="0" w:footer="0" w:header="0"/>
        </w:sectPr>
      </w:pPr>
    </w:p>
    <w:bookmarkStart w:id="339" w:name="page340"/>
    <w:bookmarkEnd w:id="339"/>
    <w:p>
      <w:pPr>
        <w:ind w:left="9580"/>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Board of Directors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(the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69" w:lineRule="exact"/>
        <w:rPr>
          <w:sz w:val="20"/>
          <w:szCs w:val="20"/>
          <w:color w:val="auto"/>
        </w:rPr>
      </w:pPr>
    </w:p>
    <w:p>
      <w:pPr>
        <w:ind w:left="360" w:hanging="352"/>
        <w:spacing w:after="0"/>
        <w:tabs>
          <w:tab w:leader="none" w:pos="360" w:val="left"/>
        </w:tabs>
        <w:numPr>
          <w:ilvl w:val="0"/>
          <w:numId w:val="4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122" w:right="33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[specify Grantee’s name]</w:t>
      </w:r>
    </w:p>
    <w:p>
      <w:pPr>
        <w:spacing w:after="0" w:line="173" w:lineRule="exact"/>
        <w:rPr>
          <w:sz w:val="20"/>
          <w:szCs w:val="20"/>
          <w:color w:val="auto"/>
        </w:rPr>
      </w:pPr>
    </w:p>
    <w:p>
      <w:pPr>
        <w:sectPr>
          <w:pgSz w:w="11900" w:h="16838" w:orient="portrait"/>
          <w:cols w:equalWidth="0" w:num="2">
            <w:col w:w="5280" w:space="720"/>
            <w:col w:w="52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21"/>
          <w:szCs w:val="21"/>
          <w:color w:val="auto"/>
        </w:rPr>
        <w:t>As of [enter date]</w:t>
      </w:r>
    </w:p>
    <w:p>
      <w:pPr>
        <w:spacing w:after="0" w:line="173" w:lineRule="exact"/>
        <w:rPr>
          <w:sz w:val="20"/>
          <w:szCs w:val="20"/>
          <w:color w:val="auto"/>
        </w:rPr>
      </w:pPr>
    </w:p>
    <w:p>
      <w:pPr>
        <w:sectPr>
          <w:pgSz w:w="11900" w:h="16838" w:orient="portrait"/>
          <w:cols w:equalWidth="0" w:num="2">
            <w:col w:w="5280" w:space="720"/>
            <w:col w:w="52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21"/>
          <w:szCs w:val="21"/>
          <w:color w:val="auto"/>
        </w:rPr>
        <w:t>[grant date]</w:t>
      </w:r>
    </w:p>
    <w:p>
      <w:pPr>
        <w:spacing w:after="0" w:line="173" w:lineRule="exact"/>
        <w:rPr>
          <w:sz w:val="20"/>
          <w:szCs w:val="20"/>
          <w:color w:val="auto"/>
        </w:rPr>
      </w:pPr>
    </w:p>
    <w:p>
      <w:pPr>
        <w:sectPr>
          <w:pgSz w:w="11900" w:h="16838" w:orient="portrait"/>
          <w:cols w:equalWidth="0" w:num="2">
            <w:col w:w="5280" w:space="720"/>
            <w:col w:w="5240"/>
          </w:cols>
          <w:pgMar w:left="320" w:top="122"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0" w:lineRule="exact"/>
        <w:rPr>
          <w:sz w:val="20"/>
          <w:szCs w:val="20"/>
          <w:color w:val="auto"/>
        </w:rPr>
      </w:pPr>
    </w:p>
    <w:p>
      <w:pPr>
        <w:sectPr>
          <w:pgSz w:w="11900" w:h="16838" w:orient="portrait"/>
          <w:cols w:equalWidth="0" w:num="2">
            <w:col w:w="5280" w:space="720"/>
            <w:col w:w="5240"/>
          </w:cols>
          <w:pgMar w:left="320" w:top="122" w:right="339" w:bottom="1440" w:gutter="0" w:footer="0" w:header="0"/>
          <w:type w:val="continuous"/>
        </w:sectPr>
      </w:pPr>
    </w:p>
    <w:p>
      <w:pPr>
        <w:spacing w:after="0" w:line="230" w:lineRule="exact"/>
        <w:rPr>
          <w:sz w:val="20"/>
          <w:szCs w:val="20"/>
          <w:color w:val="auto"/>
        </w:rPr>
      </w:pPr>
    </w:p>
    <w:p>
      <w:pPr>
        <w:ind w:left="440" w:hanging="432"/>
        <w:spacing w:after="0"/>
        <w:tabs>
          <w:tab w:leader="none" w:pos="440" w:val="left"/>
        </w:tabs>
        <w:numPr>
          <w:ilvl w:val="0"/>
          <w:numId w:val="4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sz w:val="20"/>
          <w:szCs w:val="20"/>
          <w:color w:val="auto"/>
        </w:rPr>
      </w:pPr>
    </w:p>
    <w:p>
      <w:pPr>
        <w:jc w:val="both"/>
        <w:ind w:firstLine="8"/>
        <w:spacing w:after="0" w:line="244" w:lineRule="auto"/>
        <w:tabs>
          <w:tab w:leader="none" w:pos="439" w:val="left"/>
        </w:tabs>
        <w:numPr>
          <w:ilvl w:val="0"/>
          <w:numId w:val="4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72"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4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580" w:firstLine="643"/>
        <w:spacing w:after="0" w:line="252" w:lineRule="auto"/>
        <w:tabs>
          <w:tab w:leader="none" w:pos="1954" w:val="left"/>
        </w:tabs>
        <w:numPr>
          <w:ilvl w:val="2"/>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such Vesting Date. In particular, this Award is subject to Section 18(c) of the Plan.</w:t>
      </w:r>
    </w:p>
    <w:p>
      <w:pPr>
        <w:sectPr>
          <w:pgSz w:w="11900" w:h="16838" w:orient="portrait"/>
          <w:cols w:equalWidth="0" w:num="1">
            <w:col w:w="11240"/>
          </w:cols>
          <w:pgMar w:left="320" w:top="122" w:right="339" w:bottom="1440" w:gutter="0" w:footer="0" w:header="0"/>
          <w:type w:val="continuous"/>
        </w:sectPr>
      </w:pPr>
    </w:p>
    <w:bookmarkStart w:id="340" w:name="page341"/>
    <w:bookmarkEnd w:id="340"/>
    <w:p>
      <w:pPr>
        <w:jc w:val="both"/>
        <w:ind w:left="360" w:firstLine="643"/>
        <w:spacing w:after="0" w:line="242" w:lineRule="auto"/>
        <w:tabs>
          <w:tab w:leader="none" w:pos="1732"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Any unvested Restricted Stock Units subject to this Award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canceled and forfeited if Grantee terminates as a Service Provider, or if Grantee’s status as a Service Provider is terminated by the Company, for any reason before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83" w:lineRule="exact"/>
        <w:rPr>
          <w:rFonts w:ascii="Times New Roman" w:cs="Times New Roman" w:eastAsia="Times New Roman" w:hAnsi="Times New Roman"/>
          <w:sz w:val="22"/>
          <w:szCs w:val="22"/>
          <w:color w:val="auto"/>
        </w:rPr>
      </w:pPr>
    </w:p>
    <w:p>
      <w:pPr>
        <w:jc w:val="both"/>
        <w:ind w:left="360" w:firstLine="643"/>
        <w:spacing w:after="0" w:line="241" w:lineRule="auto"/>
        <w:tabs>
          <w:tab w:leader="none" w:pos="1734"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 Definition</w:t>
      </w:r>
      <w:r>
        <w:rPr>
          <w:rFonts w:ascii="Times New Roman" w:cs="Times New Roman" w:eastAsia="Times New Roman" w:hAnsi="Times New Roman"/>
          <w:sz w:val="22"/>
          <w:szCs w:val="22"/>
          <w:color w:val="auto"/>
        </w:rPr>
        <w:t>. For purposes of this Agreement, “Disability” (and similar terms) means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1" w:lineRule="exact"/>
        <w:rPr>
          <w:rFonts w:ascii="Times New Roman" w:cs="Times New Roman" w:eastAsia="Times New Roman" w:hAnsi="Times New Roman"/>
          <w:sz w:val="22"/>
          <w:szCs w:val="22"/>
          <w:color w:val="auto"/>
        </w:rPr>
      </w:pPr>
    </w:p>
    <w:p>
      <w:pPr>
        <w:ind w:left="1080" w:firstLine="652"/>
        <w:spacing w:after="0" w:line="258" w:lineRule="auto"/>
        <w:tabs>
          <w:tab w:leader="none" w:pos="2223"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225" w:lineRule="exact"/>
        <w:rPr>
          <w:rFonts w:ascii="Times New Roman" w:cs="Times New Roman" w:eastAsia="Times New Roman" w:hAnsi="Times New Roman"/>
          <w:sz w:val="22"/>
          <w:szCs w:val="22"/>
          <w:color w:val="auto"/>
        </w:rPr>
      </w:pPr>
    </w:p>
    <w:p>
      <w:pPr>
        <w:ind w:left="1080" w:right="20" w:firstLine="652"/>
        <w:spacing w:after="0" w:line="258" w:lineRule="auto"/>
        <w:tabs>
          <w:tab w:leader="none" w:pos="229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239" w:lineRule="exact"/>
        <w:rPr>
          <w:rFonts w:ascii="Times New Roman" w:cs="Times New Roman" w:eastAsia="Times New Roman" w:hAnsi="Times New Roman"/>
          <w:sz w:val="22"/>
          <w:szCs w:val="22"/>
          <w:color w:val="auto"/>
        </w:rPr>
      </w:pPr>
    </w:p>
    <w:p>
      <w:pPr>
        <w:jc w:val="both"/>
        <w:ind w:left="1080" w:firstLine="652"/>
        <w:spacing w:after="0" w:line="244" w:lineRule="auto"/>
        <w:tabs>
          <w:tab w:leader="none" w:pos="2309"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41" w:lineRule="exact"/>
        <w:rPr>
          <w:sz w:val="20"/>
          <w:szCs w:val="20"/>
          <w:color w:val="auto"/>
        </w:rPr>
      </w:pPr>
    </w:p>
    <w:p>
      <w:pPr>
        <w:jc w:val="both"/>
        <w:ind w:left="440"/>
        <w:spacing w:after="0" w:line="238"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18" w:right="339" w:bottom="1440" w:gutter="0" w:footer="0" w:header="0"/>
        </w:sectPr>
      </w:pPr>
    </w:p>
    <w:bookmarkStart w:id="341" w:name="page342"/>
    <w:bookmarkEnd w:id="341"/>
    <w:p>
      <w:pPr>
        <w:jc w:val="both"/>
        <w:ind w:left="572" w:firstLine="643"/>
        <w:spacing w:after="0" w:line="252" w:lineRule="auto"/>
        <w:tabs>
          <w:tab w:leader="none" w:pos="1944" w:val="left"/>
        </w:tabs>
        <w:numPr>
          <w:ilvl w:val="3"/>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Definition</w:t>
      </w:r>
      <w:r>
        <w:rPr>
          <w:rFonts w:ascii="Times New Roman" w:cs="Times New Roman" w:eastAsia="Times New Roman" w:hAnsi="Times New Roman"/>
          <w:sz w:val="22"/>
          <w:szCs w:val="22"/>
          <w:color w:val="auto"/>
        </w:rPr>
        <w:t>. For purposes of this Agreement, “Retirement” means termination of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as a Service Provider with the consent of the Committee after attaining age 55 and five years of service with the Company and its Subsidiaries.</w:t>
      </w:r>
    </w:p>
    <w:p>
      <w:pPr>
        <w:spacing w:after="0" w:line="175" w:lineRule="exact"/>
        <w:rPr>
          <w:rFonts w:ascii="Times New Roman" w:cs="Times New Roman" w:eastAsia="Times New Roman" w:hAnsi="Times New Roman"/>
          <w:sz w:val="22"/>
          <w:szCs w:val="22"/>
          <w:color w:val="auto"/>
        </w:rPr>
      </w:pPr>
    </w:p>
    <w:p>
      <w:pPr>
        <w:ind w:left="592" w:hanging="376"/>
        <w:spacing w:after="0"/>
        <w:tabs>
          <w:tab w:leader="none" w:pos="592" w:val="left"/>
        </w:tabs>
        <w:numPr>
          <w:ilvl w:val="0"/>
          <w:numId w:val="4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652" w:firstLine="644"/>
        <w:spacing w:after="0" w:line="252" w:lineRule="auto"/>
        <w:tabs>
          <w:tab w:leader="none" w:pos="1945" w:val="left"/>
        </w:tabs>
        <w:numPr>
          <w:ilvl w:val="4"/>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thirty (30) days following) the Vesting Date, the Company shall issue Grantee one share of Common Stock for each vested Restricted Stock Unit.</w:t>
      </w:r>
    </w:p>
    <w:p>
      <w:pPr>
        <w:spacing w:after="0" w:line="161" w:lineRule="exact"/>
        <w:rPr>
          <w:rFonts w:ascii="Times New Roman" w:cs="Times New Roman" w:eastAsia="Times New Roman" w:hAnsi="Times New Roman"/>
          <w:sz w:val="22"/>
          <w:szCs w:val="22"/>
          <w:color w:val="auto"/>
        </w:rPr>
      </w:pPr>
    </w:p>
    <w:p>
      <w:pPr>
        <w:jc w:val="both"/>
        <w:ind w:left="572" w:firstLine="643"/>
        <w:spacing w:after="0" w:line="244" w:lineRule="auto"/>
        <w:tabs>
          <w:tab w:leader="none" w:pos="1944" w:val="left"/>
        </w:tabs>
        <w:numPr>
          <w:ilvl w:val="3"/>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72" w:lineRule="exact"/>
        <w:rPr>
          <w:rFonts w:ascii="Times New Roman" w:cs="Times New Roman" w:eastAsia="Times New Roman" w:hAnsi="Times New Roman"/>
          <w:sz w:val="22"/>
          <w:szCs w:val="22"/>
          <w:color w:val="auto"/>
        </w:rPr>
      </w:pPr>
    </w:p>
    <w:p>
      <w:pPr>
        <w:jc w:val="both"/>
        <w:ind w:left="72" w:firstLine="238"/>
        <w:spacing w:after="0" w:line="239" w:lineRule="auto"/>
        <w:tabs>
          <w:tab w:leader="none" w:pos="706" w:val="left"/>
        </w:tabs>
        <w:numPr>
          <w:ilvl w:val="1"/>
          <w:numId w:val="4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9" w:lineRule="exact"/>
        <w:rPr>
          <w:rFonts w:ascii="Times New Roman" w:cs="Times New Roman" w:eastAsia="Times New Roman" w:hAnsi="Times New Roman"/>
          <w:sz w:val="22"/>
          <w:szCs w:val="22"/>
          <w:b w:val="1"/>
          <w:bCs w:val="1"/>
          <w:color w:val="auto"/>
        </w:rPr>
      </w:pPr>
    </w:p>
    <w:p>
      <w:pPr>
        <w:ind w:left="72" w:right="20" w:firstLine="265"/>
        <w:spacing w:after="0" w:line="262" w:lineRule="auto"/>
        <w:tabs>
          <w:tab w:leader="none" w:pos="747" w:val="left"/>
        </w:tabs>
        <w:numPr>
          <w:ilvl w:val="2"/>
          <w:numId w:val="4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50" w:lineRule="exact"/>
        <w:rPr>
          <w:sz w:val="20"/>
          <w:szCs w:val="20"/>
          <w:color w:val="auto"/>
        </w:rPr>
      </w:pPr>
    </w:p>
    <w:p>
      <w:pPr>
        <w:ind w:left="-8" w:right="20" w:firstLine="224"/>
        <w:spacing w:after="0" w:line="275" w:lineRule="auto"/>
        <w:tabs>
          <w:tab w:leader="none" w:pos="586" w:val="left"/>
        </w:tabs>
        <w:numPr>
          <w:ilvl w:val="1"/>
          <w:numId w:val="4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covered by this Award will be subject to adjustment as provided in Section 11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35" w:lineRule="exact"/>
        <w:rPr>
          <w:rFonts w:ascii="Times New Roman" w:cs="Times New Roman" w:eastAsia="Times New Roman" w:hAnsi="Times New Roman"/>
          <w:sz w:val="22"/>
          <w:szCs w:val="22"/>
          <w:b w:val="1"/>
          <w:bCs w:val="1"/>
          <w:color w:val="auto"/>
        </w:rPr>
      </w:pPr>
    </w:p>
    <w:p>
      <w:pPr>
        <w:ind w:left="412" w:hanging="412"/>
        <w:spacing w:after="0"/>
        <w:tabs>
          <w:tab w:leader="none" w:pos="412" w:val="left"/>
        </w:tabs>
        <w:numPr>
          <w:ilvl w:val="0"/>
          <w:numId w:val="4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8" w:firstLine="237"/>
        <w:spacing w:after="0" w:line="249" w:lineRule="auto"/>
        <w:tabs>
          <w:tab w:leader="none" w:pos="613" w:val="left"/>
        </w:tabs>
        <w:numPr>
          <w:ilvl w:val="2"/>
          <w:numId w:val="4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418" w:right="339" w:bottom="1440" w:gutter="0" w:footer="0" w:header="0"/>
        </w:sectPr>
      </w:pPr>
    </w:p>
    <w:bookmarkStart w:id="342" w:name="page343"/>
    <w:bookmarkEnd w:id="342"/>
    <w:p>
      <w:pPr>
        <w:jc w:val="both"/>
        <w:ind w:left="-220" w:firstLine="244"/>
        <w:spacing w:after="0" w:line="252" w:lineRule="auto"/>
        <w:tabs>
          <w:tab w:leader="none" w:pos="414" w:val="left"/>
        </w:tabs>
        <w:numPr>
          <w:ilvl w:val="0"/>
          <w:numId w:val="4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is responsible for the payment of any and all taxes that arise with respect to this Award. Grantee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 sufficient funds to satisfy any applicable taxes arising in connection with the vesting of the Restricted Stock Units (or other applicable events) under this Award.</w:t>
      </w:r>
    </w:p>
    <w:p>
      <w:pPr>
        <w:spacing w:after="0" w:line="175" w:lineRule="exact"/>
        <w:rPr>
          <w:rFonts w:ascii="Times New Roman" w:cs="Times New Roman" w:eastAsia="Times New Roman" w:hAnsi="Times New Roman"/>
          <w:sz w:val="22"/>
          <w:szCs w:val="22"/>
          <w:b w:val="1"/>
          <w:bCs w:val="1"/>
          <w:color w:val="auto"/>
        </w:rPr>
      </w:pPr>
    </w:p>
    <w:p>
      <w:pPr>
        <w:jc w:val="both"/>
        <w:ind w:left="-220" w:firstLine="251"/>
        <w:spacing w:after="0" w:line="245" w:lineRule="auto"/>
        <w:tabs>
          <w:tab w:leader="none" w:pos="428" w:val="left"/>
        </w:tabs>
        <w:numPr>
          <w:ilvl w:val="0"/>
          <w:numId w:val="4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Grantee and the Company agree that any disagreement, dispute, controversy, or claim arising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rFonts w:ascii="Times New Roman" w:cs="Times New Roman" w:eastAsia="Times New Roman" w:hAnsi="Times New Roman"/>
          <w:sz w:val="22"/>
          <w:szCs w:val="22"/>
          <w:b w:val="1"/>
          <w:bCs w:val="1"/>
          <w:color w:val="auto"/>
        </w:rPr>
      </w:pPr>
    </w:p>
    <w:p>
      <w:pPr>
        <w:jc w:val="both"/>
        <w:ind w:left="440" w:firstLine="644"/>
        <w:spacing w:after="0" w:line="252" w:lineRule="auto"/>
        <w:tabs>
          <w:tab w:leader="none" w:pos="1733" w:val="left"/>
        </w:tabs>
        <w:numPr>
          <w:ilvl w:val="2"/>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Negotiation</w:t>
      </w:r>
      <w:r>
        <w:rPr>
          <w:rFonts w:ascii="Times New Roman" w:cs="Times New Roman" w:eastAsia="Times New Roman" w:hAnsi="Times New Roman"/>
          <w:sz w:val="22"/>
          <w:szCs w:val="22"/>
          <w:color w:val="auto"/>
        </w:rPr>
        <w:t>. Grantee and the Company will use their best efforts to settle the dispute, claim, question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61" w:lineRule="exact"/>
        <w:rPr>
          <w:rFonts w:ascii="Times New Roman" w:cs="Times New Roman" w:eastAsia="Times New Roman" w:hAnsi="Times New Roman"/>
          <w:sz w:val="22"/>
          <w:szCs w:val="22"/>
          <w:color w:val="auto"/>
        </w:rPr>
      </w:pPr>
    </w:p>
    <w:p>
      <w:pPr>
        <w:jc w:val="both"/>
        <w:ind w:left="360" w:firstLine="643"/>
        <w:spacing w:after="0" w:line="244" w:lineRule="auto"/>
        <w:tabs>
          <w:tab w:leader="none" w:pos="1732" w:val="left"/>
        </w:tabs>
        <w:numPr>
          <w:ilvl w:val="1"/>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If Grantee and the Company do not reach a solution within a period of 30 days from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2" w:lineRule="exact"/>
        <w:rPr>
          <w:rFonts w:ascii="Times New Roman" w:cs="Times New Roman" w:eastAsia="Times New Roman" w:hAnsi="Times New Roman"/>
          <w:sz w:val="22"/>
          <w:szCs w:val="22"/>
          <w:color w:val="auto"/>
        </w:rPr>
      </w:pPr>
    </w:p>
    <w:p>
      <w:pPr>
        <w:jc w:val="both"/>
        <w:ind w:left="1080" w:firstLine="652"/>
        <w:spacing w:after="0" w:line="242" w:lineRule="auto"/>
        <w:tabs>
          <w:tab w:leader="none" w:pos="2209" w:val="left"/>
        </w:tabs>
        <w:numPr>
          <w:ilvl w:val="3"/>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Arbitrator</w:t>
      </w:r>
      <w:r>
        <w:rPr>
          <w:rFonts w:ascii="Times New Roman" w:cs="Times New Roman" w:eastAsia="Times New Roman" w:hAnsi="Times New Roman"/>
          <w:sz w:val="22"/>
          <w:szCs w:val="22"/>
          <w:color w:val="auto"/>
        </w:rPr>
        <w:t>. The arbitration will be conducted by one arbitrator skilled in the arbitration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71" w:lineRule="exact"/>
        <w:rPr>
          <w:rFonts w:ascii="Times New Roman" w:cs="Times New Roman" w:eastAsia="Times New Roman" w:hAnsi="Times New Roman"/>
          <w:sz w:val="22"/>
          <w:szCs w:val="22"/>
          <w:color w:val="auto"/>
        </w:rPr>
      </w:pPr>
    </w:p>
    <w:p>
      <w:pPr>
        <w:ind w:left="2200" w:hanging="468"/>
        <w:spacing w:after="0"/>
        <w:tabs>
          <w:tab w:leader="none" w:pos="2200" w:val="left"/>
        </w:tabs>
        <w:numPr>
          <w:ilvl w:val="3"/>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The arbitration will be conducted in Oakland County, Michigan.</w:t>
      </w:r>
    </w:p>
    <w:p>
      <w:pPr>
        <w:spacing w:after="0" w:line="206" w:lineRule="exact"/>
        <w:rPr>
          <w:rFonts w:ascii="Times New Roman" w:cs="Times New Roman" w:eastAsia="Times New Roman" w:hAnsi="Times New Roman"/>
          <w:sz w:val="22"/>
          <w:szCs w:val="22"/>
          <w:color w:val="auto"/>
        </w:rPr>
      </w:pPr>
    </w:p>
    <w:p>
      <w:pPr>
        <w:jc w:val="both"/>
        <w:ind w:left="1080" w:firstLine="652"/>
        <w:spacing w:after="0" w:line="244" w:lineRule="auto"/>
        <w:tabs>
          <w:tab w:leader="none" w:pos="2209" w:val="left"/>
        </w:tabs>
        <w:numPr>
          <w:ilvl w:val="3"/>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At any oral hearing of evidence in connection with the arbitration, each party or its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2" w:lineRule="exact"/>
        <w:rPr>
          <w:rFonts w:ascii="Times New Roman" w:cs="Times New Roman" w:eastAsia="Times New Roman" w:hAnsi="Times New Roman"/>
          <w:sz w:val="22"/>
          <w:szCs w:val="22"/>
          <w:color w:val="auto"/>
        </w:rPr>
      </w:pPr>
    </w:p>
    <w:p>
      <w:pPr>
        <w:ind w:left="1080" w:firstLine="652"/>
        <w:spacing w:after="0" w:line="275" w:lineRule="auto"/>
        <w:tabs>
          <w:tab w:leader="none" w:pos="2209" w:val="left"/>
        </w:tabs>
        <w:numPr>
          <w:ilvl w:val="3"/>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Decision</w:t>
      </w:r>
      <w:r>
        <w:rPr>
          <w:rFonts w:ascii="Times New Roman" w:cs="Times New Roman" w:eastAsia="Times New Roman" w:hAnsi="Times New Roman"/>
          <w:sz w:val="22"/>
          <w:szCs w:val="22"/>
          <w:color w:val="auto"/>
        </w:rPr>
        <w:t>. Any decision or award of the arbitrator is final and binding on the parties to the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parties agree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18" w:right="339" w:bottom="1440" w:gutter="0" w:footer="0" w:header="0"/>
        </w:sectPr>
      </w:pPr>
    </w:p>
    <w:bookmarkStart w:id="343" w:name="page344"/>
    <w:bookmarkEnd w:id="343"/>
    <w:p>
      <w:pPr>
        <w:ind w:left="1300"/>
        <w:spacing w:after="0" w:line="271" w:lineRule="auto"/>
        <w:rPr>
          <w:sz w:val="20"/>
          <w:szCs w:val="20"/>
          <w:color w:val="auto"/>
        </w:rPr>
      </w:pPr>
      <w:r>
        <w:rPr>
          <w:rFonts w:ascii="Times New Roman" w:cs="Times New Roman" w:eastAsia="Times New Roman" w:hAnsi="Times New Roman"/>
          <w:sz w:val="22"/>
          <w:szCs w:val="22"/>
          <w:color w:val="auto"/>
        </w:rPr>
        <w:t>arbitration award may be enforced against the parties to the arbitration proceeding or their assets wherever they may be found and that a judgment upon the arbitration award may be entered in any court having jurisdiction.</w:t>
      </w:r>
    </w:p>
    <w:p>
      <w:pPr>
        <w:spacing w:after="0" w:line="140" w:lineRule="exact"/>
        <w:rPr>
          <w:sz w:val="20"/>
          <w:szCs w:val="20"/>
          <w:color w:val="auto"/>
        </w:rPr>
      </w:pPr>
    </w:p>
    <w:p>
      <w:pPr>
        <w:ind w:left="1300" w:firstLine="652"/>
        <w:spacing w:after="0" w:line="299" w:lineRule="auto"/>
        <w:tabs>
          <w:tab w:leader="none" w:pos="2510"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Power</w:t>
      </w:r>
      <w:r>
        <w:rPr>
          <w:rFonts w:ascii="Times New Roman" w:cs="Times New Roman" w:eastAsia="Times New Roman" w:hAnsi="Times New Roman"/>
          <w:sz w:val="21"/>
          <w:szCs w:val="21"/>
          <w:color w:val="auto"/>
        </w:rPr>
        <w:t>. Nothing contained in this Agreement may be deemed to give the arbitrator any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right to alter, change, amend, modify, add to, or subtract from any of the provisions of this Agreement.</w:t>
      </w:r>
    </w:p>
    <w:p>
      <w:pPr>
        <w:spacing w:after="0" w:line="11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73" w:lineRule="exact"/>
        <w:rPr>
          <w:sz w:val="20"/>
          <w:szCs w:val="20"/>
          <w:color w:val="auto"/>
        </w:rPr>
      </w:pPr>
    </w:p>
    <w:p>
      <w:pPr>
        <w:jc w:val="both"/>
        <w:ind w:firstLine="278"/>
        <w:spacing w:after="0" w:line="242" w:lineRule="auto"/>
        <w:tabs>
          <w:tab w:leader="none" w:pos="702" w:val="left"/>
        </w:tabs>
        <w:numPr>
          <w:ilvl w:val="2"/>
          <w:numId w:val="4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83" w:lineRule="exact"/>
        <w:rPr>
          <w:rFonts w:ascii="Times New Roman" w:cs="Times New Roman" w:eastAsia="Times New Roman" w:hAnsi="Times New Roman"/>
          <w:sz w:val="22"/>
          <w:szCs w:val="22"/>
          <w:b w:val="1"/>
          <w:bCs w:val="1"/>
          <w:color w:val="auto"/>
        </w:rPr>
      </w:pPr>
    </w:p>
    <w:p>
      <w:pPr>
        <w:jc w:val="both"/>
        <w:ind w:firstLine="305"/>
        <w:spacing w:after="0" w:line="246" w:lineRule="auto"/>
        <w:tabs>
          <w:tab w:leader="none" w:pos="756" w:val="left"/>
        </w:tabs>
        <w:numPr>
          <w:ilvl w:val="4"/>
          <w:numId w:val="4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of the Company, which are hereby expressly reserved.</w:t>
      </w:r>
    </w:p>
    <w:p>
      <w:pPr>
        <w:spacing w:after="0" w:line="180" w:lineRule="exact"/>
        <w:rPr>
          <w:rFonts w:ascii="Times New Roman" w:cs="Times New Roman" w:eastAsia="Times New Roman" w:hAnsi="Times New Roman"/>
          <w:sz w:val="22"/>
          <w:szCs w:val="22"/>
          <w:b w:val="1"/>
          <w:bCs w:val="1"/>
          <w:color w:val="auto"/>
        </w:rPr>
      </w:pPr>
    </w:p>
    <w:p>
      <w:pPr>
        <w:jc w:val="both"/>
        <w:ind w:firstLine="231"/>
        <w:spacing w:after="0" w:line="245" w:lineRule="auto"/>
        <w:tabs>
          <w:tab w:leader="none" w:pos="607" w:val="left"/>
        </w:tabs>
        <w:numPr>
          <w:ilvl w:val="1"/>
          <w:numId w:val="4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the application of any provision hereof to any person or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8" w:lineRule="exact"/>
        <w:rPr>
          <w:rFonts w:ascii="Times New Roman" w:cs="Times New Roman" w:eastAsia="Times New Roman" w:hAnsi="Times New Roman"/>
          <w:sz w:val="22"/>
          <w:szCs w:val="22"/>
          <w:b w:val="1"/>
          <w:bCs w:val="1"/>
          <w:color w:val="auto"/>
        </w:rPr>
      </w:pPr>
    </w:p>
    <w:p>
      <w:pPr>
        <w:ind w:firstLine="291"/>
        <w:spacing w:after="0" w:line="275" w:lineRule="auto"/>
        <w:tabs>
          <w:tab w:leader="none" w:pos="729" w:val="left"/>
        </w:tabs>
        <w:numPr>
          <w:ilvl w:val="3"/>
          <w:numId w:val="4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 with the laws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conflict of law provisions.</w:t>
      </w:r>
    </w:p>
    <w:p>
      <w:pPr>
        <w:spacing w:after="0" w:line="135" w:lineRule="exact"/>
        <w:rPr>
          <w:rFonts w:ascii="Times New Roman" w:cs="Times New Roman" w:eastAsia="Times New Roman" w:hAnsi="Times New Roman"/>
          <w:sz w:val="22"/>
          <w:szCs w:val="22"/>
          <w:b w:val="1"/>
          <w:bCs w:val="1"/>
          <w:color w:val="auto"/>
        </w:rPr>
      </w:pPr>
    </w:p>
    <w:p>
      <w:pPr>
        <w:jc w:val="both"/>
        <w:ind w:right="20" w:firstLine="224"/>
        <w:spacing w:after="0" w:line="244" w:lineRule="auto"/>
        <w:tabs>
          <w:tab w:leader="none" w:pos="594" w:val="left"/>
        </w:tabs>
        <w:numPr>
          <w:ilvl w:val="1"/>
          <w:numId w:val="4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44" w:name="page345"/>
    <w:bookmarkEnd w:id="344"/>
    <w:p>
      <w:pPr>
        <w:jc w:val="both"/>
        <w:ind w:firstLine="251"/>
        <w:spacing w:after="0" w:line="265" w:lineRule="auto"/>
        <w:tabs>
          <w:tab w:leader="none" w:pos="648"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is applicable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8" w:lineRule="exact"/>
        <w:rPr>
          <w:rFonts w:ascii="Times New Roman" w:cs="Times New Roman" w:eastAsia="Times New Roman" w:hAnsi="Times New Roman"/>
          <w:sz w:val="21"/>
          <w:szCs w:val="21"/>
          <w:b w:val="1"/>
          <w:bCs w:val="1"/>
          <w:color w:val="auto"/>
        </w:rPr>
      </w:pPr>
    </w:p>
    <w:p>
      <w:pPr>
        <w:jc w:val="both"/>
        <w:ind w:firstLine="264"/>
        <w:spacing w:after="0" w:line="245" w:lineRule="auto"/>
        <w:tabs>
          <w:tab w:leader="none" w:pos="783" w:val="left"/>
        </w:tabs>
        <w:numPr>
          <w:ilvl w:val="1"/>
          <w:numId w:val="4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345" w:name="page346"/>
    <w:bookmarkEnd w:id="345"/>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J. Snyder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type w:val="continuous"/>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Snyder, certify that:</w:t>
      </w:r>
    </w:p>
    <w:p>
      <w:pPr>
        <w:spacing w:after="0" w:line="225" w:lineRule="exact"/>
        <w:rPr>
          <w:sz w:val="20"/>
          <w:szCs w:val="20"/>
          <w:color w:val="auto"/>
        </w:rPr>
      </w:pPr>
    </w:p>
    <w:p>
      <w:pPr>
        <w:ind w:left="320" w:hanging="312"/>
        <w:spacing w:after="0"/>
        <w:tabs>
          <w:tab w:leader="none" w:pos="32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J. Snyder</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Swart, certify that:</w:t>
      </w:r>
    </w:p>
    <w:p>
      <w:pPr>
        <w:spacing w:after="0" w:line="225" w:lineRule="exact"/>
        <w:rPr>
          <w:sz w:val="20"/>
          <w:szCs w:val="20"/>
          <w:color w:val="auto"/>
        </w:rPr>
      </w:pPr>
    </w:p>
    <w:p>
      <w:pPr>
        <w:ind w:left="320" w:hanging="312"/>
        <w:spacing w:after="0"/>
        <w:tabs>
          <w:tab w:leader="none" w:pos="3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PAUL A.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Paul A. Swart</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2026 as filed with the Securities and Exchange Commission on the date hereof (the “Report”), I, Thomas J. Snyder,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J. Snyder</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2026 as filed with the Securities and Exchange Commission on the date hereof (the “Report”), I, Paul A. Swart,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PAUL A.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Paul A. Swart</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6032BB"/>
    <w:multiLevelType w:val="hybridMultilevel"/>
    <w:lvl w:ilvl="0">
      <w:lvlJc w:val="left"/>
      <w:lvlText w:val="☒"/>
      <w:numFmt w:val="bullet"/>
      <w:start w:val="1"/>
    </w:lvl>
  </w:abstractNum>
  <w:abstractNum w:abstractNumId="1">
    <w:nsid w:val="44344C22"/>
    <w:multiLevelType w:val="hybridMultilevel"/>
    <w:lvl w:ilvl="0">
      <w:lvlJc w:val="left"/>
      <w:lvlText w:val="☐"/>
      <w:numFmt w:val="bullet"/>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1)"/>
      <w:numFmt w:val="lowerLetter"/>
      <w:start w:val="1"/>
    </w:lvl>
  </w:abstractNum>
  <w:abstractNum w:abstractNumId="5">
    <w:nsid w:val="30AADFDA"/>
    <w:multiLevelType w:val="hybridMultilevel"/>
    <w:lvl w:ilvl="0">
      <w:lvlJc w:val="left"/>
      <w:lvlText w:val="(%1)"/>
      <w:numFmt w:val="lowerLetter"/>
      <w:start w:val="1"/>
    </w:lvl>
  </w:abstractNum>
  <w:abstractNum w:abstractNumId="6">
    <w:nsid w:val="30EADA61"/>
    <w:multiLevelType w:val="hybridMultilevel"/>
    <w:lvl w:ilvl="0">
      <w:lvlJc w:val="left"/>
      <w:lvlText w:val="(%1)"/>
      <w:numFmt w:val="lowerLetter"/>
      <w:start w:val="1"/>
    </w:lvl>
  </w:abstractNum>
  <w:abstractNum w:abstractNumId="7">
    <w:nsid w:val="27179C0B"/>
    <w:multiLevelType w:val="hybridMultilevel"/>
    <w:lvl w:ilvl="0">
      <w:lvlJc w:val="left"/>
      <w:lvlText w:val="(%1)"/>
      <w:numFmt w:val="lowerLetter"/>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1)"/>
      <w:numFmt w:val="lowerLetter"/>
      <w:start w:val="1"/>
    </w:lvl>
  </w:abstractNum>
  <w:abstractNum w:abstractNumId="10">
    <w:nsid w:val="53280662"/>
    <w:multiLevelType w:val="hybridMultilevel"/>
    <w:lvl w:ilvl="0">
      <w:lvlJc w:val="left"/>
      <w:lvlText w:val="(%1)"/>
      <w:numFmt w:val="lowerLetter"/>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1)"/>
      <w:numFmt w:val="decimal"/>
      <w:start w:val="1"/>
    </w:lvl>
  </w:abstractNum>
  <w:abstractNum w:abstractNumId="15">
    <w:nsid w:val="5953172F"/>
    <w:multiLevelType w:val="hybridMultilevel"/>
    <w:lvl w:ilvl="0">
      <w:lvlJc w:val="left"/>
      <w:lvlText w:val="(%1)"/>
      <w:numFmt w:val="decimal"/>
      <w:start w:val="1"/>
    </w:lvl>
  </w:abstractNum>
  <w:abstractNum w:abstractNumId="16">
    <w:nsid w:val="27EDFE3A"/>
    <w:multiLevelType w:val="hybridMultilevel"/>
    <w:lvl w:ilvl="0">
      <w:lvlJc w:val="left"/>
      <w:lvlText w:val="%1"/>
      <w:numFmt w:val="decimal"/>
      <w:start w:val="101"/>
    </w:lvl>
  </w:abstractNum>
  <w:abstractNum w:abstractNumId="17">
    <w:nsid w:val="52AC7DFF"/>
    <w:multiLevelType w:val="hybridMultilevel"/>
    <w:lvl w:ilvl="0">
      <w:lvlJc w:val="left"/>
      <w:lvlText w:val="*"/>
      <w:numFmt w:val="bullet"/>
      <w:start w:val="1"/>
    </w:lvl>
    <w:lvl w:ilvl="1">
      <w:lvlJc w:val="left"/>
      <w:lvlText w:val="%2"/>
      <w:numFmt w:val="decimal"/>
      <w:start w:val="104"/>
    </w:lvl>
  </w:abstractNum>
  <w:abstractNum w:abstractNumId="18">
    <w:nsid w:val="C4C3AF"/>
    <w:multiLevelType w:val="hybridMultilevel"/>
    <w:lvl w:ilvl="0">
      <w:lvlJc w:val="left"/>
      <w:lvlText w:val="**"/>
      <w:numFmt w:val="bullet"/>
      <w:start w:val="1"/>
    </w:lvl>
    <w:lvl w:ilvl="1">
      <w:lvlJc w:val="left"/>
      <w:lvlText w:val="%2"/>
      <w:numFmt w:val="decimal"/>
      <w:start w:val="1"/>
    </w:lvl>
  </w:abstractNum>
  <w:abstractNum w:abstractNumId="19">
    <w:nsid w:val="44380727"/>
    <w:multiLevelType w:val="hybridMultilevel"/>
    <w:lvl w:ilvl="0">
      <w:lvlJc w:val="left"/>
      <w:lvlText w:val="(%1)"/>
      <w:numFmt w:val="lowerLetter"/>
      <w:start w:val="1"/>
    </w:lvl>
  </w:abstractNum>
  <w:abstractNum w:abstractNumId="20">
    <w:nsid w:val="6C053B16"/>
    <w:multiLevelType w:val="hybridMultilevel"/>
    <w:lvl w:ilvl="0">
      <w:lvlJc w:val="left"/>
      <w:lvlText w:val="(%1)"/>
      <w:numFmt w:val="lowerLetter"/>
      <w:start w:val="2"/>
    </w:lvl>
  </w:abstractNum>
  <w:abstractNum w:abstractNumId="21">
    <w:nsid w:val="4F294393"/>
    <w:multiLevelType w:val="hybridMultilevel"/>
    <w:lvl w:ilvl="0">
      <w:lvlJc w:val="left"/>
      <w:lvlText w:val="(%1)"/>
      <w:numFmt w:val="lowerLetter"/>
      <w:start w:val="1"/>
    </w:lvl>
  </w:abstractNum>
  <w:abstractNum w:abstractNumId="22">
    <w:nsid w:val="5243BFAC"/>
    <w:multiLevelType w:val="hybridMultilevel"/>
    <w:lvl w:ilvl="0">
      <w:lvlJc w:val="left"/>
      <w:lvlText w:val="(%1)"/>
      <w:numFmt w:val="lowerLetter"/>
      <w:start w:val="1"/>
    </w:lvl>
  </w:abstractNum>
  <w:abstractNum w:abstractNumId="23">
    <w:nsid w:val="425EB207"/>
    <w:multiLevelType w:val="hybridMultilevel"/>
    <w:lvl w:ilvl="0">
      <w:lvlJc w:val="left"/>
      <w:lvlText w:val="(%1)"/>
      <w:numFmt w:val="lowerLetter"/>
      <w:start w:val="2"/>
    </w:lvl>
  </w:abstractNum>
  <w:abstractNum w:abstractNumId="24">
    <w:nsid w:val="334A6F1F"/>
    <w:multiLevelType w:val="hybridMultilevel"/>
    <w:lvl w:ilvl="0">
      <w:lvlJc w:val="left"/>
      <w:lvlText w:val="(%1)"/>
      <w:numFmt w:val="lowerLetter"/>
      <w:start w:val="1"/>
    </w:lvl>
  </w:abstractNum>
  <w:abstractNum w:abstractNumId="25">
    <w:nsid w:val="2E5B12B8"/>
    <w:multiLevelType w:val="hybridMultilevel"/>
    <w:lvl w:ilvl="0">
      <w:lvlJc w:val="left"/>
      <w:lvlText w:val="(%1)"/>
      <w:numFmt w:val="lowerLetter"/>
      <w:start w:val="5"/>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1)"/>
      <w:numFmt w:val="lowerLetter"/>
      <w:start w:val="2"/>
    </w:lvl>
  </w:abstractNum>
  <w:abstractNum w:abstractNumId="28">
    <w:nsid w:val="56C28E34"/>
    <w:multiLevelType w:val="hybridMultilevel"/>
    <w:lvl w:ilvl="0">
      <w:lvlJc w:val="left"/>
      <w:lvlText w:val="(%1)"/>
      <w:numFmt w:val="lowerLetter"/>
      <w:start w:val="2"/>
    </w:lvl>
  </w:abstractNum>
  <w:abstractNum w:abstractNumId="29">
    <w:nsid w:val="13916F2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0">
    <w:nsid w:val="435D38D"/>
    <w:multiLevelType w:val="hybridMultilevel"/>
    <w:lvl w:ilvl="0">
      <w:lvlJc w:val="left"/>
      <w:lvlText w:val="(%1)"/>
      <w:numFmt w:val="lowerRoman"/>
      <w:start w:val="3"/>
    </w:lvl>
    <w:lvl w:ilvl="1">
      <w:lvlJc w:val="left"/>
      <w:lvlText w:val="(%2)"/>
      <w:numFmt w:val="lowerRoman"/>
      <w:start w:val="4"/>
    </w:lvl>
  </w:abstractNum>
  <w:abstractNum w:abstractNumId="31">
    <w:nsid w:val="822C0EF"/>
    <w:multiLevelType w:val="hybridMultilevel"/>
    <w:lvl w:ilvl="0">
      <w:lvlJc w:val="left"/>
      <w:lvlText w:val="(%1)"/>
      <w:numFmt w:val="lowerLetter"/>
      <w:start w:val="2"/>
    </w:lvl>
  </w:abstractNum>
  <w:abstractNum w:abstractNumId="32">
    <w:nsid w:val="57C5BB4F"/>
    <w:multiLevelType w:val="hybridMultilevel"/>
    <w:lvl w:ilvl="0">
      <w:lvlJc w:val="left"/>
      <w:lvlText w:val="(%1)"/>
      <w:numFmt w:val="decimal"/>
      <w:start w:val="1"/>
    </w:lvl>
  </w:abstractNum>
  <w:abstractNum w:abstractNumId="33">
    <w:nsid w:val="1803D089"/>
    <w:multiLevelType w:val="hybridMultilevel"/>
    <w:lvl w:ilvl="0">
      <w:lvlJc w:val="left"/>
      <w:lvlText w:val="(%1)"/>
      <w:numFmt w:val="decimal"/>
      <w:start w:val="2"/>
    </w:lvl>
  </w:abstractNum>
  <w:abstractNum w:abstractNumId="34">
    <w:nsid w:val="4F3A06D4"/>
    <w:multiLevelType w:val="hybridMultilevel"/>
    <w:lvl w:ilvl="0">
      <w:lvlJc w:val="left"/>
      <w:lvlText w:val="(%1)"/>
      <w:numFmt w:val="decimal"/>
      <w:start w:val="1"/>
    </w:lvl>
  </w:abstractNum>
  <w:abstractNum w:abstractNumId="35">
    <w:nsid w:val="59A377B6"/>
    <w:multiLevelType w:val="hybridMultilevel"/>
    <w:lvl w:ilvl="0">
      <w:lvlJc w:val="left"/>
      <w:lvlText w:val="(%1)"/>
      <w:numFmt w:val="decimal"/>
      <w:start w:val="1"/>
    </w:lvl>
  </w:abstractNum>
  <w:abstractNum w:abstractNumId="36">
    <w:nsid w:val="48AEB063"/>
    <w:multiLevelType w:val="hybridMultilevel"/>
    <w:lvl w:ilvl="0">
      <w:lvlJc w:val="left"/>
      <w:lvlText w:val="(%1)"/>
      <w:numFmt w:val="decimal"/>
      <w:start w:val="1"/>
    </w:lvl>
  </w:abstractNum>
  <w:abstractNum w:abstractNumId="37">
    <w:nsid w:val="24E135"/>
    <w:multiLevelType w:val="hybridMultilevel"/>
    <w:lvl w:ilvl="0">
      <w:lvlJc w:val="left"/>
      <w:lvlText w:val="(%1)"/>
      <w:numFmt w:val="decimal"/>
      <w:start w:val="3"/>
    </w:lvl>
  </w:abstractNum>
  <w:abstractNum w:abstractNumId="38">
    <w:nsid w:val="BB13C1"/>
    <w:multiLevelType w:val="hybridMultilevel"/>
    <w:lvl w:ilvl="0">
      <w:lvlJc w:val="left"/>
      <w:lvlText w:val="(%1)"/>
      <w:numFmt w:val="lowerLetter"/>
      <w:start w:val="3"/>
    </w:lvl>
  </w:abstractNum>
  <w:abstractNum w:abstractNumId="39">
    <w:nsid w:val="271210C7"/>
    <w:multiLevelType w:val="hybridMultilevel"/>
    <w:lvl w:ilvl="0">
      <w:lvlJc w:val="left"/>
      <w:lvlText w:val="(%1)"/>
      <w:numFmt w:val="lowerLetter"/>
      <w:start w:val="9"/>
    </w:lvl>
  </w:abstractNum>
  <w:abstractNum w:abstractNumId="40">
    <w:nsid w:val="217B22E4"/>
    <w:multiLevelType w:val="hybridMultilevel"/>
    <w:lvl w:ilvl="0">
      <w:lvlJc w:val="left"/>
      <w:lvlText w:val="(%1)"/>
      <w:numFmt w:val="lowerLetter"/>
      <w:start w:val="1"/>
    </w:lvl>
  </w:abstractNum>
  <w:abstractNum w:abstractNumId="41">
    <w:nsid w:val="53E31A24"/>
    <w:multiLevelType w:val="hybridMultilevel"/>
    <w:lvl w:ilvl="0">
      <w:lvlJc w:val="left"/>
      <w:lvlText w:val="(%1)"/>
      <w:numFmt w:val="lowerLetter"/>
      <w:start w:val="5"/>
    </w:lvl>
  </w:abstractNum>
  <w:abstractNum w:abstractNumId="42">
    <w:nsid w:val="6DC45E83"/>
    <w:multiLevelType w:val="hybridMultilevel"/>
    <w:lvl w:ilvl="0">
      <w:lvlJc w:val="left"/>
      <w:lvlText w:val="(%1)"/>
      <w:numFmt w:val="lowerLetter"/>
      <w:start w:val="1"/>
    </w:lvl>
  </w:abstractNum>
  <w:abstractNum w:abstractNumId="43">
    <w:nsid w:val="17304A67"/>
    <w:multiLevelType w:val="hybridMultilevel"/>
    <w:lvl w:ilvl="0">
      <w:lvlJc w:val="left"/>
      <w:lvlText w:val="(%1)"/>
      <w:numFmt w:val="lowerLetter"/>
      <w:start w:val="5"/>
    </w:lvl>
  </w:abstractNum>
  <w:abstractNum w:abstractNumId="44">
    <w:nsid w:val="2BB180D8"/>
    <w:multiLevelType w:val="hybridMultilevel"/>
    <w:lvl w:ilvl="0">
      <w:lvlJc w:val="left"/>
      <w:lvlText w:val="(%1)"/>
      <w:numFmt w:val="lowerLetter"/>
      <w:start w:val="12"/>
    </w:lvl>
  </w:abstractNum>
  <w:abstractNum w:abstractNumId="45">
    <w:nsid w:val="556B69ED"/>
    <w:multiLevelType w:val="hybridMultilevel"/>
    <w:lvl w:ilvl="0">
      <w:lvlJc w:val="left"/>
      <w:lvlText w:val="(%1)"/>
      <w:numFmt w:val="lowerRoman"/>
      <w:start w:val="1"/>
    </w:lvl>
  </w:abstractNum>
  <w:abstractNum w:abstractNumId="46">
    <w:nsid w:val="70836196"/>
    <w:multiLevelType w:val="hybridMultilevel"/>
    <w:lvl w:ilvl="0">
      <w:lvlJc w:val="left"/>
      <w:lvlText w:val="(%1)"/>
      <w:numFmt w:val="lowerLetter"/>
      <w:start w:val="2"/>
    </w:lvl>
  </w:abstractNum>
  <w:abstractNum w:abstractNumId="47">
    <w:nsid w:val="539F7F12"/>
    <w:multiLevelType w:val="hybridMultilevel"/>
    <w:lvl w:ilvl="0">
      <w:lvlJc w:val="left"/>
      <w:lvlText w:val="(%1)"/>
      <w:numFmt w:val="lowerLetter"/>
      <w:start w:val="1"/>
    </w:lvl>
  </w:abstractNum>
  <w:abstractNum w:abstractNumId="48">
    <w:nsid w:val="2817E7EC"/>
    <w:multiLevelType w:val="hybridMultilevel"/>
    <w:lvl w:ilvl="0">
      <w:lvlJc w:val="left"/>
      <w:lvlText w:val="(%1)"/>
      <w:numFmt w:val="lowerLetter"/>
      <w:start w:val="1"/>
    </w:lvl>
  </w:abstractNum>
  <w:abstractNum w:abstractNumId="49">
    <w:nsid w:val="71482545"/>
    <w:multiLevelType w:val="hybridMultilevel"/>
    <w:lvl w:ilvl="0">
      <w:lvlJc w:val="left"/>
      <w:lvlText w:val="(%1)"/>
      <w:numFmt w:val="lowerLetter"/>
      <w:start w:val="2"/>
    </w:lvl>
  </w:abstractNum>
  <w:abstractNum w:abstractNumId="50">
    <w:nsid w:val="17D78639"/>
    <w:multiLevelType w:val="hybridMultilevel"/>
    <w:lvl w:ilvl="0">
      <w:lvlJc w:val="left"/>
      <w:lvlText w:val="(%1)"/>
      <w:numFmt w:val="lowerRoman"/>
      <w:start w:val="6"/>
    </w:lvl>
  </w:abstractNum>
  <w:abstractNum w:abstractNumId="51">
    <w:nsid w:val="141D2302"/>
    <w:multiLevelType w:val="hybridMultilevel"/>
    <w:lvl w:ilvl="0">
      <w:lvlJc w:val="left"/>
      <w:lvlText w:val="%1"/>
      <w:numFmt w:val="lowerLetter"/>
      <w:start w:val="1"/>
    </w:lvl>
    <w:lvl w:ilvl="1">
      <w:lvlJc w:val="left"/>
      <w:lvlText w:val="(%2)"/>
      <w:numFmt w:val="lowerLetter"/>
      <w:start w:val="1"/>
    </w:lvl>
  </w:abstractNum>
  <w:abstractNum w:abstractNumId="52">
    <w:nsid w:val="407168D8"/>
    <w:multiLevelType w:val="hybridMultilevel"/>
    <w:lvl w:ilvl="0">
      <w:lvlJc w:val="left"/>
      <w:lvlText w:val="(%1)"/>
      <w:numFmt w:val="lowerLetter"/>
      <w:start w:val="11"/>
    </w:lvl>
    <w:lvl w:ilvl="1">
      <w:lvlJc w:val="left"/>
      <w:lvlText w:val="%2"/>
      <w:numFmt w:val="lowerLetter"/>
      <w:start w:val="1"/>
    </w:lvl>
  </w:abstractNum>
  <w:abstractNum w:abstractNumId="53">
    <w:nsid w:val="6A1B45E5"/>
    <w:multiLevelType w:val="hybridMultilevel"/>
    <w:lvl w:ilvl="0">
      <w:lvlJc w:val="left"/>
      <w:lvlText w:val="(%1)"/>
      <w:numFmt w:val="lowerLetter"/>
      <w:start w:val="6"/>
    </w:lvl>
  </w:abstractNum>
  <w:abstractNum w:abstractNumId="54">
    <w:nsid w:val="567BD50A"/>
    <w:multiLevelType w:val="hybridMultilevel"/>
    <w:lvl w:ilvl="0">
      <w:lvlJc w:val="left"/>
      <w:lvlText w:val="(%1)"/>
      <w:numFmt w:val="lowerLetter"/>
      <w:start w:val="1"/>
    </w:lvl>
  </w:abstractNum>
  <w:abstractNum w:abstractNumId="55">
    <w:nsid w:val="73BBD7F8"/>
    <w:multiLevelType w:val="hybridMultilevel"/>
    <w:lvl w:ilvl="0">
      <w:lvlJc w:val="left"/>
      <w:lvlText w:val="(%1)"/>
      <w:numFmt w:val="lowerLetter"/>
      <w:start w:val="4"/>
    </w:lvl>
  </w:abstractNum>
  <w:abstractNum w:abstractNumId="56">
    <w:nsid w:val="1876589D"/>
    <w:multiLevelType w:val="hybridMultilevel"/>
    <w:lvl w:ilvl="0">
      <w:lvlJc w:val="left"/>
      <w:lvlText w:val="(%1)"/>
      <w:numFmt w:val="lowerLetter"/>
      <w:start w:val="1"/>
    </w:lvl>
  </w:abstractNum>
  <w:abstractNum w:abstractNumId="57">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decimal"/>
      <w:start w:val="1"/>
    </w:lvl>
  </w:abstractNum>
  <w:abstractNum w:abstractNumId="58">
    <w:nsid w:val="5A606509"/>
    <w:multiLevelType w:val="hybridMultilevel"/>
    <w:lvl w:ilvl="0">
      <w:lvlJc w:val="left"/>
      <w:lvlText w:val="(%1)"/>
      <w:numFmt w:val="lowerRoman"/>
      <w:start w:val="2"/>
    </w:lvl>
  </w:abstractNum>
  <w:abstractNum w:abstractNumId="59">
    <w:nsid w:val="6F38E6D1"/>
    <w:multiLevelType w:val="hybridMultilevel"/>
    <w:lvl w:ilvl="0">
      <w:lvlJc w:val="left"/>
      <w:lvlText w:val="(%1)"/>
      <w:numFmt w:val="lowerLetter"/>
      <w:start w:val="1"/>
    </w:lvl>
    <w:lvl w:ilvl="1">
      <w:lvlJc w:val="left"/>
      <w:lvlText w:val="(%2)"/>
      <w:numFmt w:val="lowerRoman"/>
      <w:start w:val="1"/>
    </w:lvl>
  </w:abstractNum>
  <w:abstractNum w:abstractNumId="60">
    <w:nsid w:val="46111BA5"/>
    <w:multiLevelType w:val="hybridMultilevel"/>
    <w:lvl w:ilvl="0">
      <w:lvlJc w:val="left"/>
      <w:lvlText w:val="(%1)"/>
      <w:numFmt w:val="lowerLetter"/>
      <w:start w:val="3"/>
    </w:lvl>
  </w:abstractNum>
  <w:abstractNum w:abstractNumId="61">
    <w:nsid w:val="5E963896"/>
    <w:multiLevelType w:val="hybridMultilevel"/>
    <w:lvl w:ilvl="0">
      <w:lvlJc w:val="left"/>
      <w:lvlText w:val="(%1)"/>
      <w:numFmt w:val="lowerLetter"/>
      <w:start w:val="1"/>
    </w:lvl>
  </w:abstractNum>
  <w:abstractNum w:abstractNumId="62">
    <w:nsid w:val="775BA7C1"/>
    <w:multiLevelType w:val="hybridMultilevel"/>
    <w:lvl w:ilvl="0">
      <w:lvlJc w:val="left"/>
      <w:lvlText w:val="(%1)"/>
      <w:numFmt w:val="lowerLetter"/>
      <w:start w:val="5"/>
    </w:lvl>
  </w:abstractNum>
  <w:abstractNum w:abstractNumId="63">
    <w:nsid w:val="1DD6D6F4"/>
    <w:multiLevelType w:val="hybridMultilevel"/>
    <w:lvl w:ilvl="0">
      <w:lvlJc w:val="left"/>
      <w:lvlText w:val="(%1)"/>
      <w:numFmt w:val="lowerRoman"/>
      <w:start w:val="2"/>
    </w:lvl>
  </w:abstractNum>
  <w:abstractNum w:abstractNumId="64">
    <w:nsid w:val="769A091F"/>
    <w:multiLevelType w:val="hybridMultilevel"/>
    <w:lvl w:ilvl="0">
      <w:lvlJc w:val="left"/>
      <w:lvlText w:val="(%1)"/>
      <w:numFmt w:val="lowerLetter"/>
      <w:start w:val="1"/>
    </w:lvl>
  </w:abstractNum>
  <w:abstractNum w:abstractNumId="65">
    <w:nsid w:val="4695AE95"/>
    <w:multiLevelType w:val="hybridMultilevel"/>
    <w:lvl w:ilvl="0">
      <w:lvlJc w:val="left"/>
      <w:lvlText w:val="(%1)"/>
      <w:numFmt w:val="lowerLetter"/>
      <w:start w:val="2"/>
    </w:lvl>
  </w:abstractNum>
  <w:abstractNum w:abstractNumId="66">
    <w:nsid w:val="777A4EAA"/>
    <w:multiLevelType w:val="hybridMultilevel"/>
    <w:lvl w:ilvl="0">
      <w:lvlJc w:val="left"/>
      <w:lvlText w:val="(%1)"/>
      <w:numFmt w:val="lowerLetter"/>
      <w:start w:val="1"/>
    </w:lvl>
  </w:abstractNum>
  <w:abstractNum w:abstractNumId="67">
    <w:nsid w:val="3F48B982"/>
    <w:multiLevelType w:val="hybridMultilevel"/>
    <w:lvl w:ilvl="0">
      <w:lvlJc w:val="left"/>
      <w:lvlText w:val="(%1)"/>
      <w:numFmt w:val="lowerLetter"/>
      <w:start w:val="1"/>
    </w:lvl>
  </w:abstractNum>
  <w:abstractNum w:abstractNumId="68">
    <w:nsid w:val="46BA8FCA"/>
    <w:multiLevelType w:val="hybridMultilevel"/>
    <w:lvl w:ilvl="0">
      <w:lvlJc w:val="left"/>
      <w:lvlText w:val="(%1)"/>
      <w:numFmt w:val="lowerLetter"/>
      <w:start w:val="3"/>
    </w:lvl>
  </w:abstractNum>
  <w:abstractNum w:abstractNumId="69">
    <w:nsid w:val="7835626C"/>
    <w:multiLevelType w:val="hybridMultilevel"/>
    <w:lvl w:ilvl="0">
      <w:lvlJc w:val="left"/>
      <w:lvlText w:val="(%1)"/>
      <w:numFmt w:val="lowerLetter"/>
      <w:start w:val="1"/>
    </w:lvl>
  </w:abstractNum>
  <w:abstractNum w:abstractNumId="70">
    <w:nsid w:val="665ACA49"/>
    <w:multiLevelType w:val="hybridMultilevel"/>
    <w:lvl w:ilvl="0">
      <w:lvlJc w:val="left"/>
      <w:lvlText w:val="(%1)"/>
      <w:numFmt w:val="lowerRoman"/>
      <w:start w:val="1"/>
    </w:lvl>
  </w:abstractNum>
  <w:abstractNum w:abstractNumId="71">
    <w:nsid w:val="6835B2AE"/>
    <w:multiLevelType w:val="hybridMultilevel"/>
    <w:lvl w:ilvl="0">
      <w:lvlJc w:val="left"/>
      <w:lvlText w:val="%1"/>
      <w:numFmt w:val="lowerRoman"/>
      <w:start w:val="1"/>
    </w:lvl>
    <w:lvl w:ilvl="1">
      <w:lvlJc w:val="left"/>
      <w:lvlText w:val="(%2)"/>
      <w:numFmt w:val="lowerLetter"/>
      <w:start w:val="2"/>
    </w:lvl>
  </w:abstractNum>
  <w:abstractNum w:abstractNumId="72">
    <w:nsid w:val="4C187C90"/>
    <w:multiLevelType w:val="hybridMultilevel"/>
    <w:lvl w:ilvl="0">
      <w:lvlJc w:val="left"/>
      <w:lvlText w:val="(%1)"/>
      <w:numFmt w:val="lowerRoman"/>
      <w:start w:val="1"/>
    </w:lvl>
    <w:lvl w:ilvl="1">
      <w:lvlJc w:val="left"/>
      <w:lvlText w:val="%2"/>
      <w:numFmt w:val="lowerLetter"/>
      <w:start w:val="1"/>
    </w:lvl>
  </w:abstractNum>
  <w:abstractNum w:abstractNumId="73">
    <w:nsid w:val="541F28CD"/>
    <w:multiLevelType w:val="hybridMultilevel"/>
    <w:lvl w:ilvl="0">
      <w:lvlJc w:val="left"/>
      <w:lvlText w:val="(%1)"/>
      <w:numFmt w:val="lowerRoman"/>
      <w:start w:val="5"/>
    </w:lvl>
  </w:abstractNum>
  <w:abstractNum w:abstractNumId="74">
    <w:nsid w:val="7F65FD16"/>
    <w:multiLevelType w:val="hybridMultilevel"/>
    <w:lvl w:ilvl="0">
      <w:lvlJc w:val="left"/>
      <w:lvlText w:val="(%1)"/>
      <w:numFmt w:val="lowerLetter"/>
      <w:start w:val="1"/>
    </w:lvl>
  </w:abstractNum>
  <w:abstractNum w:abstractNumId="75">
    <w:nsid w:val="77C9FD68"/>
    <w:multiLevelType w:val="hybridMultilevel"/>
    <w:lvl w:ilvl="0">
      <w:lvlJc w:val="left"/>
      <w:lvlText w:val="(%1)"/>
      <w:numFmt w:val="lowerLetter"/>
      <w:start w:val="5"/>
    </w:lvl>
  </w:abstractNum>
  <w:abstractNum w:abstractNumId="76">
    <w:nsid w:val="298A92BA"/>
    <w:multiLevelType w:val="hybridMultilevel"/>
    <w:lvl w:ilvl="0">
      <w:lvlJc w:val="left"/>
      <w:lvlText w:val="(%1)"/>
      <w:numFmt w:val="lowerLetter"/>
      <w:start w:val="1"/>
    </w:lvl>
  </w:abstractNum>
  <w:abstractNum w:abstractNumId="77">
    <w:nsid w:val="6FE95EAC"/>
    <w:multiLevelType w:val="hybridMultilevel"/>
    <w:lvl w:ilvl="0">
      <w:lvlJc w:val="left"/>
      <w:lvlText w:val="%1"/>
      <w:numFmt w:val="lowerLetter"/>
      <w:start w:val="1"/>
    </w:lvl>
    <w:lvl w:ilvl="1">
      <w:lvlJc w:val="left"/>
      <w:lvlText w:val="(%2)"/>
      <w:numFmt w:val="lowerLetter"/>
      <w:start w:val="2"/>
    </w:lvl>
  </w:abstractNum>
  <w:abstractNum w:abstractNumId="78">
    <w:nsid w:val="4B697C7A"/>
    <w:multiLevelType w:val="hybridMultilevel"/>
    <w:lvl w:ilvl="0">
      <w:lvlJc w:val="left"/>
      <w:lvlText w:val="(%1)"/>
      <w:numFmt w:val="lowerLetter"/>
      <w:start w:val="61"/>
    </w:lvl>
    <w:lvl w:ilvl="1">
      <w:lvlJc w:val="left"/>
      <w:lvlText w:val="%2"/>
      <w:numFmt w:val="lowerLetter"/>
      <w:start w:val="1"/>
    </w:lvl>
  </w:abstractNum>
  <w:abstractNum w:abstractNumId="79">
    <w:nsid w:val="51A27AA6"/>
    <w:multiLevelType w:val="hybridMultilevel"/>
    <w:lvl w:ilvl="0">
      <w:lvlJc w:val="left"/>
      <w:lvlText w:val="(%1)"/>
      <w:numFmt w:val="lowerLetter"/>
      <w:start w:val="3"/>
    </w:lvl>
  </w:abstractNum>
  <w:abstractNum w:abstractNumId="80">
    <w:nsid w:val="613183F2"/>
    <w:multiLevelType w:val="hybridMultilevel"/>
    <w:lvl w:ilvl="0">
      <w:lvlJc w:val="left"/>
      <w:lvlText w:val="(%1)"/>
      <w:numFmt w:val="lowerLetter"/>
      <w:start w:val="6"/>
    </w:lvl>
  </w:abstractNum>
  <w:abstractNum w:abstractNumId="81">
    <w:nsid w:val="634102B4"/>
    <w:multiLevelType w:val="hybridMultilevel"/>
    <w:lvl w:ilvl="0">
      <w:lvlJc w:val="left"/>
      <w:lvlText w:val="(%1)"/>
      <w:numFmt w:val="lowerLetter"/>
      <w:start w:val="7"/>
    </w:lvl>
  </w:abstractNum>
  <w:abstractNum w:abstractNumId="82">
    <w:nsid w:val="65BF9DA8"/>
    <w:multiLevelType w:val="hybridMultilevel"/>
    <w:lvl w:ilvl="0">
      <w:lvlJc w:val="left"/>
      <w:lvlText w:val="%1"/>
      <w:numFmt w:val="lowerLetter"/>
      <w:start w:val="1"/>
    </w:lvl>
    <w:lvl w:ilvl="1">
      <w:lvlJc w:val="left"/>
      <w:lvlText w:val="(%2)"/>
      <w:numFmt w:val="lowerLetter"/>
      <w:start w:val="10"/>
    </w:lvl>
  </w:abstractNum>
  <w:abstractNum w:abstractNumId="83">
    <w:nsid w:val="21A2ECCA"/>
    <w:multiLevelType w:val="hybridMultilevel"/>
    <w:lvl w:ilvl="0">
      <w:lvlJc w:val="left"/>
      <w:lvlText w:val="(%1)"/>
      <w:numFmt w:val="lowerLetter"/>
      <w:start w:val="8"/>
    </w:lvl>
    <w:lvl w:ilvl="1">
      <w:lvlJc w:val="left"/>
      <w:lvlText w:val="(%2)"/>
      <w:numFmt w:val="lowerLetter"/>
      <w:start w:val="11"/>
    </w:lvl>
  </w:abstractNum>
  <w:abstractNum w:abstractNumId="84">
    <w:nsid w:val="4D5C4899"/>
    <w:multiLevelType w:val="hybridMultilevel"/>
    <w:lvl w:ilvl="0">
      <w:lvlJc w:val="left"/>
      <w:lvlText w:val="(%1)"/>
      <w:numFmt w:val="lowerLetter"/>
      <w:start w:val="12"/>
    </w:lvl>
  </w:abstractNum>
  <w:abstractNum w:abstractNumId="85">
    <w:nsid w:val="3C3B72B2"/>
    <w:multiLevelType w:val="hybridMultilevel"/>
    <w:lvl w:ilvl="0">
      <w:lvlJc w:val="left"/>
      <w:lvlText w:val="(%1)"/>
      <w:numFmt w:val="lowerLetter"/>
      <w:start w:val="1"/>
    </w:lvl>
  </w:abstractNum>
  <w:abstractNum w:abstractNumId="86">
    <w:nsid w:val="155EC4C2"/>
    <w:multiLevelType w:val="hybridMultilevel"/>
    <w:lvl w:ilvl="0">
      <w:lvlJc w:val="left"/>
      <w:lvlText w:val="(%1)"/>
      <w:numFmt w:val="lowerLetter"/>
      <w:start w:val="3"/>
    </w:lvl>
  </w:abstractNum>
  <w:abstractNum w:abstractNumId="87">
    <w:nsid w:val="65D2A137"/>
    <w:multiLevelType w:val="hybridMultilevel"/>
    <w:lvl w:ilvl="0">
      <w:lvlJc w:val="left"/>
      <w:lvlText w:val="%1"/>
      <w:numFmt w:val="lowerRoman"/>
      <w:start w:val="1"/>
    </w:lvl>
    <w:lvl w:ilvl="1">
      <w:lvlJc w:val="left"/>
      <w:lvlText w:val="(%2)"/>
      <w:numFmt w:val="lowerLetter"/>
      <w:start w:val="1"/>
    </w:lvl>
  </w:abstractNum>
  <w:abstractNum w:abstractNumId="88">
    <w:nsid w:val="6EBB1F2A"/>
    <w:multiLevelType w:val="hybridMultilevel"/>
    <w:lvl w:ilvl="0">
      <w:lvlJc w:val="left"/>
      <w:lvlText w:val="(%1)"/>
      <w:numFmt w:val="lowerRoman"/>
      <w:start w:val="1"/>
    </w:lvl>
    <w:lvl w:ilvl="1">
      <w:lvlJc w:val="left"/>
      <w:lvlText w:val="%2"/>
      <w:numFmt w:val="lowerLetter"/>
      <w:start w:val="1"/>
    </w:lvl>
  </w:abstractNum>
  <w:abstractNum w:abstractNumId="89">
    <w:nsid w:val="6FBF29CB"/>
    <w:multiLevelType w:val="hybridMultilevel"/>
    <w:lvl w:ilvl="0">
      <w:lvlJc w:val="left"/>
      <w:lvlText w:val="(%1)"/>
      <w:numFmt w:val="lowerRoman"/>
      <w:start w:val="3"/>
    </w:lvl>
  </w:abstractNum>
  <w:abstractNum w:abstractNumId="90">
    <w:nsid w:val="550B8808"/>
    <w:multiLevelType w:val="hybridMultilevel"/>
    <w:lvl w:ilvl="0">
      <w:lvlJc w:val="left"/>
      <w:lvlText w:val="(%1)"/>
      <w:numFmt w:val="lowerLetter"/>
      <w:start w:val="4"/>
    </w:lvl>
  </w:abstractNum>
  <w:abstractNum w:abstractNumId="91">
    <w:nsid w:val="34CC3ACF"/>
    <w:multiLevelType w:val="hybridMultilevel"/>
    <w:lvl w:ilvl="0">
      <w:lvlJc w:val="left"/>
      <w:lvlText w:val="(%1)"/>
      <w:numFmt w:val="lowerLetter"/>
      <w:start w:val="1"/>
    </w:lvl>
  </w:abstractNum>
  <w:abstractNum w:abstractNumId="92">
    <w:nsid w:val="4E556261"/>
    <w:multiLevelType w:val="hybridMultilevel"/>
    <w:lvl w:ilvl="0">
      <w:lvlJc w:val="left"/>
      <w:lvlText w:val="(%1)"/>
      <w:numFmt w:val="lowerLetter"/>
      <w:start w:val="3"/>
    </w:lvl>
  </w:abstractNum>
  <w:abstractNum w:abstractNumId="93">
    <w:nsid w:val="4C672FC9"/>
    <w:multiLevelType w:val="hybridMultilevel"/>
    <w:lvl w:ilvl="0">
      <w:lvlJc w:val="left"/>
      <w:lvlText w:val="(%1)"/>
      <w:numFmt w:val="lowerLetter"/>
      <w:start w:val="1"/>
    </w:lvl>
  </w:abstractNum>
  <w:abstractNum w:abstractNumId="94">
    <w:nsid w:val="52A311C3"/>
    <w:multiLevelType w:val="hybridMultilevel"/>
    <w:lvl w:ilvl="0">
      <w:lvlJc w:val="left"/>
      <w:lvlText w:val="(%1)"/>
      <w:numFmt w:val="lowerLetter"/>
      <w:start w:val="1"/>
    </w:lvl>
  </w:abstractNum>
  <w:abstractNum w:abstractNumId="95">
    <w:nsid w:val="44EF6B80"/>
    <w:multiLevelType w:val="hybridMultilevel"/>
    <w:lvl w:ilvl="0">
      <w:lvlJc w:val="left"/>
      <w:lvlText w:val="(%1)"/>
      <w:numFmt w:val="lowerLetter"/>
      <w:start w:val="1"/>
    </w:lvl>
  </w:abstractNum>
  <w:abstractNum w:abstractNumId="96">
    <w:nsid w:val="12FCDE5E"/>
    <w:multiLevelType w:val="hybridMultilevel"/>
    <w:lvl w:ilvl="0">
      <w:lvlJc w:val="left"/>
      <w:lvlText w:val="(%1)"/>
      <w:numFmt w:val="lowerLetter"/>
      <w:start w:val="3"/>
    </w:lvl>
  </w:abstractNum>
  <w:abstractNum w:abstractNumId="97">
    <w:nsid w:val="4A1D606E"/>
    <w:multiLevelType w:val="hybridMultilevel"/>
    <w:lvl w:ilvl="0">
      <w:lvlJc w:val="left"/>
      <w:lvlText w:val="(%1)"/>
      <w:numFmt w:val="lowerLetter"/>
      <w:start w:val="1"/>
    </w:lvl>
  </w:abstractNum>
  <w:abstractNum w:abstractNumId="98">
    <w:nsid w:val="4382503"/>
    <w:multiLevelType w:val="hybridMultilevel"/>
    <w:lvl w:ilvl="0">
      <w:lvlJc w:val="left"/>
      <w:lvlText w:val="(%1)"/>
      <w:numFmt w:val="lowerLetter"/>
      <w:start w:val="2"/>
    </w:lvl>
  </w:abstractNum>
  <w:abstractNum w:abstractNumId="99">
    <w:nsid w:val="59B76E28"/>
    <w:multiLevelType w:val="hybridMultilevel"/>
    <w:lvl w:ilvl="0">
      <w:lvlJc w:val="left"/>
      <w:lvlText w:val="(%1)"/>
      <w:numFmt w:val="lowerRoman"/>
      <w:start w:val="1"/>
    </w:lvl>
  </w:abstractNum>
  <w:abstractNum w:abstractNumId="100">
    <w:nsid w:val="4252C2DA"/>
    <w:multiLevelType w:val="hybridMultilevel"/>
    <w:lvl w:ilvl="0">
      <w:lvlJc w:val="left"/>
      <w:lvlText w:val="(%1)"/>
      <w:numFmt w:val="lowerRoman"/>
      <w:start w:val="2"/>
    </w:lvl>
  </w:abstractNum>
  <w:abstractNum w:abstractNumId="101">
    <w:nsid w:val="6A92EF4C"/>
    <w:multiLevelType w:val="hybridMultilevel"/>
    <w:lvl w:ilvl="0">
      <w:lvlJc w:val="left"/>
      <w:lvlText w:val="(%1)"/>
      <w:numFmt w:val="lowerRoman"/>
      <w:start w:val="10"/>
    </w:lvl>
  </w:abstractNum>
  <w:abstractNum w:abstractNumId="102">
    <w:nsid w:val="41ED20D7"/>
    <w:multiLevelType w:val="hybridMultilevel"/>
    <w:lvl w:ilvl="0">
      <w:lvlJc w:val="left"/>
      <w:lvlText w:val="(%1)"/>
      <w:numFmt w:val="lowerLetter"/>
      <w:start w:val="2"/>
    </w:lvl>
  </w:abstractNum>
  <w:abstractNum w:abstractNumId="103">
    <w:nsid w:val="E6B3F6A"/>
    <w:multiLevelType w:val="hybridMultilevel"/>
    <w:lvl w:ilvl="0">
      <w:lvlJc w:val="left"/>
      <w:lvlText w:val="(%1)"/>
      <w:numFmt w:val="lowerLetter"/>
      <w:start w:val="6"/>
    </w:lvl>
  </w:abstractNum>
  <w:abstractNum w:abstractNumId="104">
    <w:nsid w:val="3EB21819"/>
    <w:multiLevelType w:val="hybridMultilevel"/>
    <w:lvl w:ilvl="0">
      <w:lvlJc w:val="left"/>
      <w:lvlText w:val="%1"/>
      <w:numFmt w:val="lowerRoman"/>
      <w:start w:val="1"/>
    </w:lvl>
    <w:lvl w:ilvl="1">
      <w:lvlJc w:val="left"/>
      <w:lvlText w:val="(%2)"/>
      <w:numFmt w:val="lowerLetter"/>
      <w:start w:val="1"/>
    </w:lvl>
  </w:abstractNum>
  <w:abstractNum w:abstractNumId="105">
    <w:nsid w:val="41531DED"/>
    <w:multiLevelType w:val="hybridMultilevel"/>
    <w:lvl w:ilvl="0">
      <w:lvlJc w:val="left"/>
      <w:lvlText w:val="(%1)"/>
      <w:numFmt w:val="lowerRoman"/>
      <w:start w:val="1"/>
    </w:lvl>
    <w:lvl w:ilvl="1">
      <w:lvlJc w:val="left"/>
      <w:lvlText w:val="%2"/>
      <w:numFmt w:val="lowerLetter"/>
      <w:start w:val="1"/>
    </w:lvl>
  </w:abstractNum>
  <w:abstractNum w:abstractNumId="106">
    <w:nsid w:val="6353CD2"/>
    <w:multiLevelType w:val="hybridMultilevel"/>
    <w:lvl w:ilvl="0">
      <w:lvlJc w:val="left"/>
      <w:lvlText w:val="(%1)"/>
      <w:numFmt w:val="lowerLetter"/>
      <w:start w:val="2"/>
    </w:lvl>
  </w:abstractNum>
  <w:abstractNum w:abstractNumId="107">
    <w:nsid w:val="683CAAD3"/>
    <w:multiLevelType w:val="hybridMultilevel"/>
    <w:lvl w:ilvl="0">
      <w:lvlJc w:val="left"/>
      <w:lvlText w:val="(%1)"/>
      <w:numFmt w:val="lowerLetter"/>
      <w:start w:val="4"/>
    </w:lvl>
  </w:abstractNum>
  <w:abstractNum w:abstractNumId="108">
    <w:nsid w:val="313C7C99"/>
    <w:multiLevelType w:val="hybridMultilevel"/>
    <w:lvl w:ilvl="0">
      <w:lvlJc w:val="left"/>
      <w:lvlText w:val="(%1)"/>
      <w:numFmt w:val="lowerLetter"/>
      <w:start w:val="1"/>
    </w:lvl>
  </w:abstractNum>
  <w:abstractNum w:abstractNumId="109">
    <w:nsid w:val="519EB94C"/>
    <w:multiLevelType w:val="hybridMultilevel"/>
    <w:lvl w:ilvl="0">
      <w:lvlJc w:val="left"/>
      <w:lvlText w:val="(%1)"/>
      <w:numFmt w:val="lowerLetter"/>
      <w:start w:val="2"/>
    </w:lvl>
  </w:abstractNum>
  <w:abstractNum w:abstractNumId="110">
    <w:nsid w:val="39DF2579"/>
    <w:multiLevelType w:val="hybridMultilevel"/>
    <w:lvl w:ilvl="0">
      <w:lvlJc w:val="left"/>
      <w:lvlText w:val="(%1)"/>
      <w:numFmt w:val="lowerLetter"/>
      <w:start w:val="1"/>
    </w:lvl>
  </w:abstractNum>
  <w:abstractNum w:abstractNumId="111">
    <w:nsid w:val="126E008B"/>
    <w:multiLevelType w:val="hybridMultilevel"/>
    <w:lvl w:ilvl="0">
      <w:lvlJc w:val="left"/>
      <w:lvlText w:val="(%1)"/>
      <w:numFmt w:val="lowerLetter"/>
      <w:start w:val="2"/>
    </w:lvl>
  </w:abstractNum>
  <w:abstractNum w:abstractNumId="112">
    <w:nsid w:val="34DFBC00"/>
    <w:multiLevelType w:val="hybridMultilevel"/>
    <w:lvl w:ilvl="0">
      <w:lvlJc w:val="left"/>
      <w:lvlText w:val="(%1)"/>
      <w:numFmt w:val="lowerRoman"/>
      <w:start w:val="1"/>
    </w:lvl>
    <w:lvl w:ilvl="1">
      <w:lvlJc w:val="left"/>
      <w:lvlText w:val="(%2)"/>
      <w:numFmt w:val="upperLetter"/>
      <w:start w:val="1"/>
    </w:lvl>
  </w:abstractNum>
  <w:abstractNum w:abstractNumId="113">
    <w:nsid w:val="1F9EC322"/>
    <w:multiLevelType w:val="hybridMultilevel"/>
    <w:lvl w:ilvl="0">
      <w:lvlJc w:val="left"/>
      <w:lvlText w:val="(%1)"/>
      <w:numFmt w:val="lowerRoman"/>
      <w:start w:val="2"/>
    </w:lvl>
  </w:abstractNum>
  <w:abstractNum w:abstractNumId="114">
    <w:nsid w:val="3410ED56"/>
    <w:multiLevelType w:val="hybridMultilevel"/>
    <w:lvl w:ilvl="0">
      <w:lvlJc w:val="left"/>
      <w:lvlText w:val="(%1)"/>
      <w:numFmt w:val="lowerLetter"/>
      <w:start w:val="7"/>
    </w:lvl>
  </w:abstractNum>
  <w:abstractNum w:abstractNumId="115">
    <w:nsid w:val="23C049A"/>
    <w:multiLevelType w:val="hybridMultilevel"/>
    <w:lvl w:ilvl="0">
      <w:lvlJc w:val="left"/>
      <w:lvlText w:val="%1"/>
      <w:numFmt w:val="lowerRoman"/>
      <w:start w:val="1"/>
    </w:lvl>
    <w:lvl w:ilvl="1">
      <w:lvlJc w:val="left"/>
      <w:lvlText w:val="(%2)"/>
      <w:numFmt w:val="lowerLetter"/>
      <w:start w:val="10"/>
    </w:lvl>
    <w:lvl w:ilvl="2">
      <w:lvlJc w:val="left"/>
      <w:lvlText w:val="%3"/>
      <w:numFmt w:val="upperLetter"/>
      <w:start w:val="1"/>
    </w:lvl>
  </w:abstractNum>
  <w:abstractNum w:abstractNumId="116">
    <w:nsid w:val="5BDA35D4"/>
    <w:multiLevelType w:val="hybridMultilevel"/>
    <w:lvl w:ilvl="0">
      <w:lvlJc w:val="left"/>
      <w:lvlText w:val="(%1)"/>
      <w:numFmt w:val="lowerRoman"/>
      <w:start w:val="1"/>
    </w:lvl>
    <w:lvl w:ilvl="1">
      <w:lvlJc w:val="left"/>
      <w:lvlText w:val="(%2)"/>
      <w:numFmt w:val="lowerLetter"/>
      <w:start w:val="11"/>
    </w:lvl>
    <w:lvl w:ilvl="2">
      <w:lvlJc w:val="left"/>
      <w:lvlText w:val="(%3)"/>
      <w:numFmt w:val="upperLetter"/>
      <w:start w:val="1"/>
    </w:lvl>
  </w:abstractNum>
  <w:abstractNum w:abstractNumId="117">
    <w:nsid w:val="496FB218"/>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18">
    <w:nsid w:val="680EA5D1"/>
    <w:multiLevelType w:val="hybridMultilevel"/>
    <w:lvl w:ilvl="0">
      <w:lvlJc w:val="left"/>
      <w:lvlText w:val="(%1)"/>
      <w:numFmt w:val="lowerRoman"/>
      <w:start w:val="4"/>
    </w:lvl>
  </w:abstractNum>
  <w:abstractNum w:abstractNumId="119">
    <w:nsid w:val="4A9554FE"/>
    <w:multiLevelType w:val="hybridMultilevel"/>
    <w:lvl w:ilvl="0">
      <w:lvlJc w:val="left"/>
      <w:lvlText w:val="(%1)"/>
      <w:numFmt w:val="lowerRoman"/>
      <w:start w:val="1"/>
    </w:lvl>
  </w:abstractNum>
  <w:abstractNum w:abstractNumId="120">
    <w:nsid w:val="392EDBE4"/>
    <w:multiLevelType w:val="hybridMultilevel"/>
    <w:lvl w:ilvl="0">
      <w:lvlJc w:val="left"/>
      <w:lvlText w:val="(%1)"/>
      <w:numFmt w:val="lowerLetter"/>
      <w:start w:val="1"/>
    </w:lvl>
  </w:abstractNum>
  <w:abstractNum w:abstractNumId="121">
    <w:nsid w:val="3D1A2DD9"/>
    <w:multiLevelType w:val="hybridMultilevel"/>
    <w:lvl w:ilvl="0">
      <w:lvlJc w:val="left"/>
      <w:lvlText w:val="(%1)"/>
      <w:numFmt w:val="lowerLetter"/>
      <w:start w:val="2"/>
    </w:lvl>
  </w:abstractNum>
  <w:abstractNum w:abstractNumId="122">
    <w:nsid w:val="7F618FCD"/>
    <w:multiLevelType w:val="hybridMultilevel"/>
    <w:lvl w:ilvl="0">
      <w:lvlJc w:val="left"/>
      <w:lvlText w:val="(%1)"/>
      <w:numFmt w:val="lowerLetter"/>
      <w:start w:val="4"/>
    </w:lvl>
  </w:abstractNum>
  <w:abstractNum w:abstractNumId="123">
    <w:nsid w:val="7843E45"/>
    <w:multiLevelType w:val="hybridMultilevel"/>
    <w:lvl w:ilvl="0">
      <w:lvlJc w:val="left"/>
      <w:lvlText w:val="(%1)"/>
      <w:numFmt w:val="lowerLetter"/>
      <w:start w:val="1"/>
    </w:lvl>
  </w:abstractNum>
  <w:abstractNum w:abstractNumId="124">
    <w:nsid w:val="9815DA3"/>
    <w:multiLevelType w:val="hybridMultilevel"/>
    <w:lvl w:ilvl="0">
      <w:lvlJc w:val="left"/>
      <w:lvlText w:val="(%1)"/>
      <w:numFmt w:val="lowerLetter"/>
      <w:start w:val="2"/>
    </w:lvl>
  </w:abstractNum>
  <w:abstractNum w:abstractNumId="125">
    <w:nsid w:val="5204A191"/>
    <w:multiLevelType w:val="hybridMultilevel"/>
    <w:lvl w:ilvl="0">
      <w:lvlJc w:val="left"/>
      <w:lvlText w:val="(%1)"/>
      <w:numFmt w:val="lowerLetter"/>
      <w:start w:val="1"/>
    </w:lvl>
  </w:abstractNum>
  <w:abstractNum w:abstractNumId="126">
    <w:nsid w:val="4C73A9C6"/>
    <w:multiLevelType w:val="hybridMultilevel"/>
    <w:lvl w:ilvl="0">
      <w:lvlJc w:val="left"/>
      <w:lvlText w:val="%1"/>
      <w:numFmt w:val="upperLetter"/>
      <w:start w:val="1"/>
    </w:lvl>
    <w:lvl w:ilvl="1">
      <w:lvlJc w:val="left"/>
      <w:lvlText w:val="(%2)"/>
      <w:numFmt w:val="lowerLetter"/>
      <w:start w:val="1"/>
    </w:lvl>
  </w:abstractNum>
  <w:abstractNum w:abstractNumId="127">
    <w:nsid w:val="1C7E3C01"/>
    <w:multiLevelType w:val="hybridMultilevel"/>
    <w:lvl w:ilvl="0">
      <w:lvlJc w:val="left"/>
      <w:lvlText w:val="(%1)"/>
      <w:numFmt w:val="upperLetter"/>
      <w:start w:val="2"/>
    </w:lvl>
    <w:lvl w:ilvl="1">
      <w:lvlJc w:val="left"/>
      <w:lvlText w:val="(%2)"/>
      <w:numFmt w:val="lowerLetter"/>
      <w:start w:val="2"/>
    </w:lvl>
  </w:abstractNum>
  <w:abstractNum w:abstractNumId="128">
    <w:nsid w:val="1C2201FF"/>
    <w:multiLevelType w:val="hybridMultilevel"/>
    <w:lvl w:ilvl="0">
      <w:lvlJc w:val="left"/>
      <w:lvlText w:val="(%1)"/>
      <w:numFmt w:val="lowerLetter"/>
      <w:start w:val="4"/>
    </w:lvl>
  </w:abstractNum>
  <w:abstractNum w:abstractNumId="129">
    <w:nsid w:val="50ABCEC9"/>
    <w:multiLevelType w:val="hybridMultilevel"/>
    <w:lvl w:ilvl="0">
      <w:lvlJc w:val="left"/>
      <w:lvlText w:val="(%1)"/>
      <w:numFmt w:val="lowerLetter"/>
      <w:start w:val="1"/>
    </w:lvl>
  </w:abstractNum>
  <w:abstractNum w:abstractNumId="130">
    <w:nsid w:val="7635AA2A"/>
    <w:multiLevelType w:val="hybridMultilevel"/>
    <w:lvl w:ilvl="0">
      <w:lvlJc w:val="left"/>
      <w:lvlText w:val="%1"/>
      <w:numFmt w:val="lowerLetter"/>
      <w:start w:val="1"/>
    </w:lvl>
    <w:lvl w:ilvl="1">
      <w:lvlJc w:val="left"/>
      <w:lvlText w:val="(%2)"/>
      <w:numFmt w:val="lowerLetter"/>
      <w:start w:val="5"/>
    </w:lvl>
  </w:abstractNum>
  <w:abstractNum w:abstractNumId="131">
    <w:nsid w:val="5E74C4D9"/>
    <w:multiLevelType w:val="hybridMultilevel"/>
    <w:lvl w:ilvl="0">
      <w:lvlJc w:val="left"/>
      <w:lvlText w:val="(%1)"/>
      <w:numFmt w:val="lowerLetter"/>
      <w:start w:val="4"/>
    </w:lvl>
    <w:lvl w:ilvl="1">
      <w:lvlJc w:val="left"/>
      <w:lvlText w:val="(%2)"/>
      <w:numFmt w:val="lowerLetter"/>
      <w:start w:val="6"/>
    </w:lvl>
  </w:abstractNum>
  <w:abstractNum w:abstractNumId="132">
    <w:nsid w:val="3B3EBE15"/>
    <w:multiLevelType w:val="hybridMultilevel"/>
    <w:lvl w:ilvl="0">
      <w:lvlJc w:val="left"/>
      <w:lvlText w:val="(%1)"/>
      <w:numFmt w:val="lowerLetter"/>
      <w:start w:val="11"/>
    </w:lvl>
  </w:abstractNum>
  <w:abstractNum w:abstractNumId="133">
    <w:nsid w:val="3822CB01"/>
    <w:multiLevelType w:val="hybridMultilevel"/>
    <w:lvl w:ilvl="0">
      <w:lvlJc w:val="left"/>
      <w:lvlText w:val="(%1)"/>
      <w:numFmt w:val="lowerLetter"/>
      <w:start w:val="1"/>
    </w:lvl>
  </w:abstractNum>
  <w:abstractNum w:abstractNumId="134">
    <w:nsid w:val="6CE00443"/>
    <w:multiLevelType w:val="hybridMultilevel"/>
    <w:lvl w:ilvl="0">
      <w:lvlJc w:val="left"/>
      <w:lvlText w:val="(%1)"/>
      <w:numFmt w:val="lowerLetter"/>
      <w:start w:val="2"/>
    </w:lvl>
  </w:abstractNum>
  <w:abstractNum w:abstractNumId="135">
    <w:nsid w:val="79F0D62F"/>
    <w:multiLevelType w:val="hybridMultilevel"/>
    <w:lvl w:ilvl="0">
      <w:lvlJc w:val="left"/>
      <w:lvlText w:val="(%1)"/>
      <w:numFmt w:val="lowerLetter"/>
      <w:start w:val="4"/>
    </w:lvl>
  </w:abstractNum>
  <w:abstractNum w:abstractNumId="136">
    <w:nsid w:val="7975E8EE"/>
    <w:multiLevelType w:val="hybridMultilevel"/>
    <w:lvl w:ilvl="0">
      <w:lvlJc w:val="left"/>
      <w:lvlText w:val="(%1)"/>
      <w:numFmt w:val="lowerLetter"/>
      <w:start w:val="1"/>
    </w:lvl>
  </w:abstractNum>
  <w:abstractNum w:abstractNumId="137">
    <w:nsid w:val="73154115"/>
    <w:multiLevelType w:val="hybridMultilevel"/>
    <w:lvl w:ilvl="0">
      <w:lvlJc w:val="left"/>
      <w:lvlText w:val="(%1)"/>
      <w:numFmt w:val="lowerLetter"/>
      <w:start w:val="3"/>
    </w:lvl>
  </w:abstractNum>
  <w:abstractNum w:abstractNumId="138">
    <w:nsid w:val="622D8102"/>
    <w:multiLevelType w:val="hybridMultilevel"/>
    <w:lvl w:ilvl="0">
      <w:lvlJc w:val="left"/>
      <w:lvlText w:val="(%1)"/>
      <w:numFmt w:val="lowerLetter"/>
      <w:start w:val="1"/>
    </w:lvl>
  </w:abstractNum>
  <w:abstractNum w:abstractNumId="139">
    <w:nsid w:val="2AB26587"/>
    <w:multiLevelType w:val="hybridMultilevel"/>
    <w:lvl w:ilvl="0">
      <w:lvlJc w:val="left"/>
      <w:lvlText w:val="(%1)"/>
      <w:numFmt w:val="lowerLetter"/>
      <w:start w:val="1"/>
    </w:lvl>
  </w:abstractNum>
  <w:abstractNum w:abstractNumId="140">
    <w:nsid w:val="44B3FA61"/>
    <w:multiLevelType w:val="hybridMultilevel"/>
    <w:lvl w:ilvl="0">
      <w:lvlJc w:val="left"/>
      <w:lvlText w:val="(%1)"/>
      <w:numFmt w:val="lowerLetter"/>
      <w:start w:val="3"/>
    </w:lvl>
  </w:abstractNum>
  <w:abstractNum w:abstractNumId="141">
    <w:nsid w:val="1C0CA67C"/>
    <w:multiLevelType w:val="hybridMultilevel"/>
    <w:lvl w:ilvl="0">
      <w:lvlJc w:val="left"/>
      <w:lvlText w:val="(%1)"/>
      <w:numFmt w:val="lowerLetter"/>
      <w:start w:val="1"/>
    </w:lvl>
  </w:abstractNum>
  <w:abstractNum w:abstractNumId="142">
    <w:nsid w:val="3D206613"/>
    <w:multiLevelType w:val="hybridMultilevel"/>
    <w:lvl w:ilvl="0">
      <w:lvlJc w:val="left"/>
      <w:lvlText w:val="(%1)"/>
      <w:numFmt w:val="lowerLetter"/>
      <w:start w:val="61"/>
    </w:lvl>
  </w:abstractNum>
  <w:abstractNum w:abstractNumId="143">
    <w:nsid w:val="7993B662"/>
    <w:multiLevelType w:val="hybridMultilevel"/>
    <w:lvl w:ilvl="0">
      <w:lvlJc w:val="left"/>
      <w:lvlText w:val="(%1)"/>
      <w:numFmt w:val="lowerLetter"/>
      <w:start w:val="3"/>
    </w:lvl>
  </w:abstractNum>
  <w:abstractNum w:abstractNumId="144">
    <w:nsid w:val="3BAB699E"/>
    <w:multiLevelType w:val="hybridMultilevel"/>
    <w:lvl w:ilvl="0">
      <w:lvlJc w:val="left"/>
      <w:lvlText w:val="(%1)"/>
      <w:numFmt w:val="lowerLetter"/>
      <w:start w:val="1"/>
    </w:lvl>
  </w:abstractNum>
  <w:abstractNum w:abstractNumId="145">
    <w:nsid w:val="71315369"/>
    <w:multiLevelType w:val="hybridMultilevel"/>
    <w:lvl w:ilvl="0">
      <w:lvlJc w:val="left"/>
      <w:lvlText w:val="(%1)"/>
      <w:numFmt w:val="lowerLetter"/>
      <w:start w:val="2"/>
    </w:lvl>
  </w:abstractNum>
  <w:abstractNum w:abstractNumId="146">
    <w:nsid w:val="7BCFBAFC"/>
    <w:multiLevelType w:val="hybridMultilevel"/>
    <w:lvl w:ilvl="0">
      <w:lvlJc w:val="left"/>
      <w:lvlText w:val="(%1)"/>
      <w:numFmt w:val="lowerLetter"/>
      <w:start w:val="1"/>
    </w:lvl>
  </w:abstractNum>
  <w:abstractNum w:abstractNumId="147">
    <w:nsid w:val="17859F72"/>
    <w:multiLevelType w:val="hybridMultilevel"/>
    <w:lvl w:ilvl="0">
      <w:lvlJc w:val="left"/>
      <w:lvlText w:val="(%1)"/>
      <w:numFmt w:val="lowerLetter"/>
      <w:start w:val="1"/>
    </w:lvl>
  </w:abstractNum>
  <w:abstractNum w:abstractNumId="148">
    <w:nsid w:val="3AA10581"/>
    <w:multiLevelType w:val="hybridMultilevel"/>
    <w:lvl w:ilvl="0">
      <w:lvlJc w:val="left"/>
      <w:lvlText w:val="(%1)"/>
      <w:numFmt w:val="lowerLetter"/>
      <w:start w:val="2"/>
    </w:lvl>
  </w:abstractNum>
  <w:abstractNum w:abstractNumId="149">
    <w:nsid w:val="63DE60CD"/>
    <w:multiLevelType w:val="hybridMultilevel"/>
    <w:lvl w:ilvl="0">
      <w:lvlJc w:val="left"/>
      <w:lvlText w:val="(%1)"/>
      <w:numFmt w:val="lowerLetter"/>
      <w:start w:val="1"/>
    </w:lvl>
  </w:abstractNum>
  <w:abstractNum w:abstractNumId="150">
    <w:nsid w:val="621AF471"/>
    <w:multiLevelType w:val="hybridMultilevel"/>
    <w:lvl w:ilvl="0">
      <w:lvlJc w:val="left"/>
      <w:lvlText w:val="(%1)"/>
      <w:numFmt w:val="lowerLetter"/>
      <w:start w:val="1"/>
    </w:lvl>
  </w:abstractNum>
  <w:abstractNum w:abstractNumId="151">
    <w:nsid w:val="73CFE165"/>
    <w:multiLevelType w:val="hybridMultilevel"/>
    <w:lvl w:ilvl="0">
      <w:lvlJc w:val="left"/>
      <w:lvlText w:val="(%1)"/>
      <w:numFmt w:val="lowerLetter"/>
      <w:start w:val="2"/>
    </w:lvl>
  </w:abstractNum>
  <w:abstractNum w:abstractNumId="152">
    <w:nsid w:val="20F88EA6"/>
    <w:multiLevelType w:val="hybridMultilevel"/>
    <w:lvl w:ilvl="0">
      <w:lvlJc w:val="left"/>
      <w:lvlText w:val="(%1)"/>
      <w:numFmt w:val="lowerLetter"/>
      <w:start w:val="1"/>
    </w:lvl>
  </w:abstractNum>
  <w:abstractNum w:abstractNumId="153">
    <w:nsid w:val="617C843E"/>
    <w:multiLevelType w:val="hybridMultilevel"/>
    <w:lvl w:ilvl="0">
      <w:lvlJc w:val="left"/>
      <w:lvlText w:val="(%1)"/>
      <w:numFmt w:val="lowerLetter"/>
      <w:start w:val="2"/>
    </w:lvl>
  </w:abstractNum>
  <w:abstractNum w:abstractNumId="154">
    <w:nsid w:val="7B541FAB"/>
    <w:multiLevelType w:val="hybridMultilevel"/>
    <w:lvl w:ilvl="0">
      <w:lvlJc w:val="left"/>
      <w:lvlText w:val="(%1)"/>
      <w:numFmt w:val="lowerLetter"/>
      <w:start w:val="1"/>
    </w:lvl>
  </w:abstractNum>
  <w:abstractNum w:abstractNumId="155">
    <w:nsid w:val="2A79EC49"/>
    <w:multiLevelType w:val="hybridMultilevel"/>
    <w:lvl w:ilvl="0">
      <w:lvlJc w:val="left"/>
      <w:lvlText w:val="(%1)"/>
      <w:numFmt w:val="lowerLetter"/>
      <w:start w:val="9"/>
    </w:lvl>
  </w:abstractNum>
  <w:abstractNum w:abstractNumId="156">
    <w:nsid w:val="338125CF"/>
    <w:multiLevelType w:val="hybridMultilevel"/>
    <w:lvl w:ilvl="0">
      <w:lvlJc w:val="left"/>
      <w:lvlText w:val="(%1)"/>
      <w:numFmt w:val="lowerLetter"/>
      <w:start w:val="1"/>
    </w:lvl>
  </w:abstractNum>
  <w:abstractNum w:abstractNumId="157">
    <w:nsid w:val="47C7C971"/>
    <w:multiLevelType w:val="hybridMultilevel"/>
    <w:lvl w:ilvl="0">
      <w:lvlJc w:val="left"/>
      <w:lvlText w:val="%1"/>
      <w:numFmt w:val="lowerRoman"/>
      <w:start w:val="1"/>
    </w:lvl>
    <w:lvl w:ilvl="1">
      <w:lvlJc w:val="left"/>
      <w:lvlText w:val="(%2)"/>
      <w:numFmt w:val="lowerLetter"/>
      <w:start w:val="1"/>
    </w:lvl>
  </w:abstractNum>
  <w:abstractNum w:abstractNumId="158">
    <w:nsid w:val="46F8284B"/>
    <w:multiLevelType w:val="hybridMultilevel"/>
    <w:lvl w:ilvl="0">
      <w:lvlJc w:val="left"/>
      <w:lvlText w:val="(%1)"/>
      <w:numFmt w:val="lowerRoman"/>
      <w:start w:val="1"/>
    </w:lvl>
    <w:lvl w:ilvl="1">
      <w:lvlJc w:val="left"/>
      <w:lvlText w:val="%2"/>
      <w:numFmt w:val="lowerLetter"/>
      <w:start w:val="1"/>
    </w:lvl>
  </w:abstractNum>
  <w:abstractNum w:abstractNumId="159">
    <w:nsid w:val="4FA327CE"/>
    <w:multiLevelType w:val="hybridMultilevel"/>
    <w:lvl w:ilvl="0">
      <w:lvlJc w:val="left"/>
      <w:lvlText w:val="(%1)"/>
      <w:numFmt w:val="lowerLetter"/>
      <w:start w:val="1"/>
    </w:lvl>
  </w:abstractNum>
  <w:abstractNum w:abstractNumId="160">
    <w:nsid w:val="1873983A"/>
    <w:multiLevelType w:val="hybridMultilevel"/>
    <w:lvl w:ilvl="0">
      <w:lvlJc w:val="left"/>
      <w:lvlText w:val="(%1)"/>
      <w:numFmt w:val="lowerLetter"/>
      <w:start w:val="3"/>
    </w:lvl>
    <w:lvl w:ilvl="1">
      <w:lvlJc w:val="left"/>
      <w:lvlText w:val="(%2)"/>
      <w:numFmt w:val="lowerLetter"/>
      <w:start w:val="9"/>
    </w:lvl>
  </w:abstractNum>
  <w:abstractNum w:abstractNumId="161">
    <w:nsid w:val="3D2DD275"/>
    <w:multiLevelType w:val="hybridMultilevel"/>
    <w:lvl w:ilvl="0">
      <w:lvlJc w:val="left"/>
      <w:lvlText w:val="(%1)"/>
      <w:numFmt w:val="lowerLetter"/>
      <w:start w:val="1"/>
    </w:lvl>
  </w:abstractNum>
  <w:abstractNum w:abstractNumId="162">
    <w:nsid w:val="2E17ECA7"/>
    <w:multiLevelType w:val="hybridMultilevel"/>
    <w:lvl w:ilvl="0">
      <w:lvlJc w:val="left"/>
      <w:lvlText w:val="(%1)"/>
      <w:numFmt w:val="lowerLetter"/>
      <w:start w:val="4"/>
    </w:lvl>
  </w:abstractNum>
  <w:abstractNum w:abstractNumId="163">
    <w:nsid w:val="53B2564F"/>
    <w:multiLevelType w:val="hybridMultilevel"/>
    <w:lvl w:ilvl="0">
      <w:lvlJc w:val="left"/>
      <w:lvlText w:val="(%1)"/>
      <w:numFmt w:val="lowerLetter"/>
      <w:start w:val="1"/>
    </w:lvl>
  </w:abstractNum>
  <w:abstractNum w:abstractNumId="164">
    <w:nsid w:val="75509D76"/>
    <w:multiLevelType w:val="hybridMultilevel"/>
    <w:lvl w:ilvl="0">
      <w:lvlJc w:val="left"/>
      <w:lvlText w:val="(%1)"/>
      <w:numFmt w:val="lowerLetter"/>
      <w:start w:val="1"/>
    </w:lvl>
  </w:abstractNum>
  <w:abstractNum w:abstractNumId="165">
    <w:nsid w:val="1AF7F0EA"/>
    <w:multiLevelType w:val="hybridMultilevel"/>
    <w:lvl w:ilvl="0">
      <w:lvlJc w:val="left"/>
      <w:lvlText w:val="(%1)"/>
      <w:numFmt w:val="lowerLetter"/>
      <w:start w:val="1"/>
    </w:lvl>
  </w:abstractNum>
  <w:abstractNum w:abstractNumId="166">
    <w:nsid w:val="4DA32C7E"/>
    <w:multiLevelType w:val="hybridMultilevel"/>
    <w:lvl w:ilvl="0">
      <w:lvlJc w:val="left"/>
      <w:lvlText w:val="(%1)"/>
      <w:numFmt w:val="lowerLetter"/>
      <w:start w:val="1"/>
    </w:lvl>
  </w:abstractNum>
  <w:abstractNum w:abstractNumId="167">
    <w:nsid w:val="6EC68664"/>
    <w:multiLevelType w:val="hybridMultilevel"/>
    <w:lvl w:ilvl="0">
      <w:lvlJc w:val="left"/>
      <w:lvlText w:val="(%1)"/>
      <w:numFmt w:val="lowerLetter"/>
      <w:start w:val="2"/>
    </w:lvl>
  </w:abstractNum>
  <w:abstractNum w:abstractNumId="168">
    <w:nsid w:val="E0D31FF"/>
    <w:multiLevelType w:val="hybridMultilevel"/>
    <w:lvl w:ilvl="0">
      <w:lvlJc w:val="left"/>
      <w:lvlText w:val="%1"/>
      <w:numFmt w:val="lowerLetter"/>
      <w:start w:val="1"/>
    </w:lvl>
    <w:lvl w:ilvl="1">
      <w:lvlJc w:val="left"/>
      <w:lvlText w:val="(%2)"/>
      <w:numFmt w:val="lowerLetter"/>
      <w:start w:val="1"/>
    </w:lvl>
  </w:abstractNum>
  <w:abstractNum w:abstractNumId="169">
    <w:nsid w:val="2FD0AD81"/>
    <w:multiLevelType w:val="hybridMultilevel"/>
    <w:lvl w:ilvl="0">
      <w:lvlJc w:val="left"/>
      <w:lvlText w:val="(%1)"/>
      <w:numFmt w:val="lowerLetter"/>
      <w:start w:val="9"/>
    </w:lvl>
    <w:lvl w:ilvl="1">
      <w:lvlJc w:val="left"/>
      <w:lvlText w:val="%2"/>
      <w:numFmt w:val="lowerLetter"/>
      <w:start w:val="1"/>
    </w:lvl>
  </w:abstractNum>
  <w:abstractNum w:abstractNumId="170">
    <w:nsid w:val="1978EBEB"/>
    <w:multiLevelType w:val="hybridMultilevel"/>
    <w:lvl w:ilvl="0">
      <w:lvlJc w:val="left"/>
      <w:lvlText w:val="(%1)"/>
      <w:numFmt w:val="lowerRoman"/>
      <w:start w:val="2"/>
    </w:lvl>
  </w:abstractNum>
  <w:abstractNum w:abstractNumId="171">
    <w:nsid w:val="52C12C61"/>
    <w:multiLevelType w:val="hybridMultilevel"/>
    <w:lvl w:ilvl="0">
      <w:lvlJc w:val="left"/>
      <w:lvlText w:val="(%1)"/>
      <w:numFmt w:val="lowerRoman"/>
      <w:start w:val="10"/>
    </w:lvl>
  </w:abstractNum>
  <w:abstractNum w:abstractNumId="172">
    <w:nsid w:val="4BDD53FD"/>
    <w:multiLevelType w:val="hybridMultilevel"/>
    <w:lvl w:ilvl="0">
      <w:lvlJc w:val="left"/>
      <w:lvlText w:val="%1"/>
      <w:numFmt w:val="upperLetter"/>
      <w:start w:val="1"/>
    </w:lvl>
    <w:lvl w:ilvl="1">
      <w:lvlJc w:val="left"/>
      <w:lvlText w:val="(%2)"/>
      <w:numFmt w:val="lowerRoman"/>
      <w:start w:val="19"/>
    </w:lvl>
    <w:lvl w:ilvl="2">
      <w:lvlJc w:val="left"/>
      <w:lvlText w:val="%3"/>
      <w:numFmt w:val="lowerLetter"/>
      <w:start w:val="1"/>
    </w:lvl>
  </w:abstractNum>
  <w:abstractNum w:abstractNumId="173">
    <w:nsid w:val="569951FE"/>
    <w:multiLevelType w:val="hybridMultilevel"/>
    <w:lvl w:ilvl="0">
      <w:lvlJc w:val="left"/>
      <w:lvlText w:val="(%1)"/>
      <w:numFmt w:val="upperLetter"/>
      <w:start w:val="2"/>
    </w:lvl>
    <w:lvl w:ilvl="1">
      <w:lvlJc w:val="left"/>
      <w:lvlText w:val="(%2)"/>
      <w:numFmt w:val="lowerRoman"/>
      <w:start w:val="22"/>
    </w:lvl>
    <w:lvl w:ilvl="2">
      <w:lvlJc w:val="left"/>
      <w:lvlText w:val="(%3)"/>
      <w:numFmt w:val="lowerLetter"/>
      <w:start w:val="2"/>
    </w:lvl>
  </w:abstractNum>
  <w:abstractNum w:abstractNumId="174">
    <w:nsid w:val="4C54E2C3"/>
    <w:multiLevelType w:val="hybridMultilevel"/>
    <w:lvl w:ilvl="0">
      <w:lvlJc w:val="left"/>
      <w:lvlText w:val="%1"/>
      <w:numFmt w:val="lowerLetter"/>
      <w:start w:val="1"/>
    </w:lvl>
    <w:lvl w:ilvl="1">
      <w:lvlJc w:val="left"/>
      <w:lvlText w:val="(%2)"/>
      <w:numFmt w:val="lowerLetter"/>
      <w:start w:val="1"/>
    </w:lvl>
  </w:abstractNum>
  <w:abstractNum w:abstractNumId="175">
    <w:nsid w:val="788BD9B"/>
    <w:multiLevelType w:val="hybridMultilevel"/>
    <w:lvl w:ilvl="0">
      <w:lvlJc w:val="left"/>
      <w:lvlText w:val="(%1)"/>
      <w:numFmt w:val="lowerLetter"/>
      <w:start w:val="35"/>
    </w:lvl>
    <w:lvl w:ilvl="1">
      <w:lvlJc w:val="left"/>
      <w:lvlText w:val="(%2)"/>
      <w:numFmt w:val="lowerLetter"/>
      <w:start w:val="7"/>
    </w:lvl>
  </w:abstractNum>
  <w:abstractNum w:abstractNumId="176">
    <w:nsid w:val="47CAA567"/>
    <w:multiLevelType w:val="hybridMultilevel"/>
    <w:lvl w:ilvl="0">
      <w:lvlJc w:val="left"/>
      <w:lvlText w:val="(%1)"/>
      <w:numFmt w:val="lowerLetter"/>
      <w:start w:val="10"/>
    </w:lvl>
  </w:abstractNum>
  <w:abstractNum w:abstractNumId="177">
    <w:nsid w:val="48249DBF"/>
    <w:multiLevelType w:val="hybridMultilevel"/>
    <w:lvl w:ilvl="0">
      <w:lvlJc w:val="left"/>
      <w:lvlText w:val="(%1)"/>
      <w:numFmt w:val="lowerLetter"/>
      <w:start w:val="22"/>
    </w:lvl>
  </w:abstractNum>
  <w:abstractNum w:abstractNumId="178">
    <w:nsid w:val="1F0E5D0D"/>
    <w:multiLevelType w:val="hybridMultilevel"/>
    <w:lvl w:ilvl="0">
      <w:lvlJc w:val="left"/>
      <w:lvlText w:val="(%1)"/>
      <w:numFmt w:val="lowerLetter"/>
      <w:start w:val="1"/>
    </w:lvl>
  </w:abstractNum>
  <w:abstractNum w:abstractNumId="179">
    <w:nsid w:val="26BAAE9"/>
    <w:multiLevelType w:val="hybridMultilevel"/>
    <w:lvl w:ilvl="0">
      <w:lvlJc w:val="left"/>
      <w:lvlText w:val="(%1)"/>
      <w:numFmt w:val="lowerLetter"/>
      <w:start w:val="4"/>
    </w:lvl>
  </w:abstractNum>
  <w:abstractNum w:abstractNumId="180">
    <w:nsid w:val="2C02FE8C"/>
    <w:multiLevelType w:val="hybridMultilevel"/>
    <w:lvl w:ilvl="0">
      <w:lvlJc w:val="left"/>
      <w:lvlText w:val="(%1)"/>
      <w:numFmt w:val="lowerLetter"/>
      <w:start w:val="1"/>
    </w:lvl>
  </w:abstractNum>
  <w:abstractNum w:abstractNumId="181">
    <w:nsid w:val="129517E"/>
    <w:multiLevelType w:val="hybridMultilevel"/>
    <w:lvl w:ilvl="0">
      <w:lvlJc w:val="left"/>
      <w:lvlText w:val="(%1)"/>
      <w:numFmt w:val="lowerLetter"/>
      <w:start w:val="8"/>
    </w:lvl>
  </w:abstractNum>
  <w:abstractNum w:abstractNumId="182">
    <w:nsid w:val="763B8C4E"/>
    <w:multiLevelType w:val="hybridMultilevel"/>
    <w:lvl w:ilvl="0">
      <w:lvlJc w:val="left"/>
      <w:lvlText w:val="(%1)"/>
      <w:numFmt w:val="lowerLetter"/>
      <w:start w:val="20"/>
    </w:lvl>
  </w:abstractNum>
  <w:abstractNum w:abstractNumId="183">
    <w:nsid w:val="4CFB8D32"/>
    <w:multiLevelType w:val="hybridMultilevel"/>
    <w:lvl w:ilvl="0">
      <w:lvlJc w:val="left"/>
      <w:lvlText w:val="(%1)"/>
      <w:numFmt w:val="lowerLetter"/>
      <w:start w:val="1"/>
    </w:lvl>
  </w:abstractNum>
  <w:abstractNum w:abstractNumId="184">
    <w:nsid w:val="62A5D5BD"/>
    <w:multiLevelType w:val="hybridMultilevel"/>
    <w:lvl w:ilvl="0">
      <w:lvlJc w:val="left"/>
      <w:lvlText w:val="(%1)"/>
      <w:numFmt w:val="lowerLetter"/>
      <w:start w:val="9"/>
    </w:lvl>
  </w:abstractNum>
  <w:abstractNum w:abstractNumId="185">
    <w:nsid w:val="718FABF9"/>
    <w:multiLevelType w:val="hybridMultilevel"/>
    <w:lvl w:ilvl="0">
      <w:lvlJc w:val="left"/>
      <w:lvlText w:val="(%1)"/>
      <w:numFmt w:val="lowerLetter"/>
      <w:start w:val="1"/>
    </w:lvl>
  </w:abstractNum>
  <w:abstractNum w:abstractNumId="186">
    <w:nsid w:val="7775797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87">
    <w:nsid w:val="1626FB8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88">
    <w:nsid w:val="3957756A"/>
    <w:multiLevelType w:val="hybridMultilevel"/>
    <w:lvl w:ilvl="0">
      <w:lvlJc w:val="left"/>
      <w:lvlText w:val="(%1)"/>
      <w:numFmt w:val="lowerLetter"/>
      <w:start w:val="2"/>
    </w:lvl>
  </w:abstractNum>
  <w:abstractNum w:abstractNumId="189">
    <w:nsid w:val="3E6DA1C7"/>
    <w:multiLevelType w:val="hybridMultilevel"/>
    <w:lvl w:ilvl="0">
      <w:lvlJc w:val="left"/>
      <w:lvlText w:val="(%1)"/>
      <w:numFmt w:val="lowerRoman"/>
      <w:start w:val="4"/>
    </w:lvl>
  </w:abstractNum>
  <w:abstractNum w:abstractNumId="190">
    <w:nsid w:val="65CA235B"/>
    <w:multiLevelType w:val="hybridMultilevel"/>
    <w:lvl w:ilvl="0">
      <w:lvlJc w:val="left"/>
      <w:lvlText w:val="(%1)"/>
      <w:numFmt w:val="lowerRoman"/>
      <w:start w:val="9"/>
    </w:lvl>
  </w:abstractNum>
  <w:abstractNum w:abstractNumId="191">
    <w:nsid w:val="51CB0DA4"/>
    <w:multiLevelType w:val="hybridMultilevel"/>
    <w:lvl w:ilvl="0">
      <w:lvlJc w:val="left"/>
      <w:lvlText w:val="%1"/>
      <w:numFmt w:val="lowerRoman"/>
      <w:start w:val="1"/>
    </w:lvl>
    <w:lvl w:ilvl="1">
      <w:lvlJc w:val="left"/>
      <w:lvlText w:val="(%2)"/>
      <w:numFmt w:val="lowerLetter"/>
      <w:start w:val="2"/>
    </w:lvl>
  </w:abstractNum>
  <w:abstractNum w:abstractNumId="192">
    <w:nsid w:val="7B9B743C"/>
    <w:multiLevelType w:val="hybridMultilevel"/>
    <w:lvl w:ilvl="0">
      <w:lvlJc w:val="left"/>
      <w:lvlText w:val="(%1)"/>
      <w:numFmt w:val="lowerRoman"/>
      <w:start w:val="1"/>
    </w:lvl>
    <w:lvl w:ilvl="1">
      <w:lvlJc w:val="left"/>
      <w:lvlText w:val="%2"/>
      <w:numFmt w:val="lowerLetter"/>
      <w:start w:val="1"/>
    </w:lvl>
  </w:abstractNum>
  <w:abstractNum w:abstractNumId="193">
    <w:nsid w:val="13E21002"/>
    <w:multiLevelType w:val="hybridMultilevel"/>
    <w:lvl w:ilvl="0">
      <w:lvlJc w:val="left"/>
      <w:lvlText w:val="(%1)"/>
      <w:numFmt w:val="decimal"/>
      <w:start w:val="4"/>
    </w:lvl>
    <w:lvl w:ilvl="1">
      <w:lvlJc w:val="left"/>
      <w:lvlText w:val="(%2)"/>
      <w:numFmt w:val="lowerRoman"/>
      <w:start w:val="9"/>
    </w:lvl>
  </w:abstractNum>
  <w:abstractNum w:abstractNumId="194">
    <w:nsid w:val="257D63F4"/>
    <w:multiLevelType w:val="hybridMultilevel"/>
    <w:lvl w:ilvl="0">
      <w:lvlJc w:val="left"/>
      <w:lvlText w:val="(%1)"/>
      <w:numFmt w:val="lowerLetter"/>
      <w:start w:val="3"/>
    </w:lvl>
  </w:abstractNum>
  <w:abstractNum w:abstractNumId="195">
    <w:nsid w:val="70EC11B2"/>
    <w:multiLevelType w:val="hybridMultilevel"/>
    <w:lvl w:ilvl="0">
      <w:lvlJc w:val="left"/>
      <w:lvlText w:val="(%1)"/>
      <w:numFmt w:val="lowerLetter"/>
      <w:start w:val="1"/>
    </w:lvl>
  </w:abstractNum>
  <w:abstractNum w:abstractNumId="196">
    <w:nsid w:val="2EDA00ED"/>
    <w:multiLevelType w:val="hybridMultilevel"/>
    <w:lvl w:ilvl="0">
      <w:lvlJc w:val="left"/>
      <w:lvlText w:val="(%1)"/>
      <w:numFmt w:val="lowerLetter"/>
      <w:start w:val="8"/>
    </w:lvl>
  </w:abstractNum>
  <w:abstractNum w:abstractNumId="197">
    <w:nsid w:val="73209072"/>
    <w:multiLevelType w:val="hybridMultilevel"/>
    <w:lvl w:ilvl="0">
      <w:lvlJc w:val="left"/>
      <w:lvlText w:val="(%1)"/>
      <w:numFmt w:val="lowerLetter"/>
      <w:start w:val="1"/>
    </w:lvl>
  </w:abstractNum>
  <w:abstractNum w:abstractNumId="198">
    <w:nsid w:val="5FB29816"/>
    <w:multiLevelType w:val="hybridMultilevel"/>
    <w:lvl w:ilvl="0">
      <w:lvlJc w:val="left"/>
      <w:lvlText w:val="(%1)"/>
      <w:numFmt w:val="lowerLetter"/>
      <w:start w:val="1"/>
    </w:lvl>
  </w:abstractNum>
  <w:abstractNum w:abstractNumId="199">
    <w:nsid w:val="3CE732EC"/>
    <w:multiLevelType w:val="hybridMultilevel"/>
    <w:lvl w:ilvl="0">
      <w:lvlJc w:val="left"/>
      <w:lvlText w:val="%1"/>
      <w:numFmt w:val="lowerRoman"/>
      <w:start w:val="1"/>
    </w:lvl>
    <w:lvl w:ilvl="1">
      <w:lvlJc w:val="left"/>
      <w:lvlText w:val="(%2)"/>
      <w:numFmt w:val="lowerRoman"/>
      <w:start w:val="1"/>
    </w:lvl>
  </w:abstractNum>
  <w:abstractNum w:abstractNumId="200">
    <w:nsid w:val="22F13DF3"/>
    <w:multiLevelType w:val="hybridMultilevel"/>
    <w:lvl w:ilvl="0">
      <w:lvlJc w:val="left"/>
      <w:lvlText w:val="(%1)"/>
      <w:numFmt w:val="lowerRoman"/>
      <w:start w:val="4"/>
    </w:lvl>
    <w:lvl w:ilvl="1">
      <w:lvlJc w:val="left"/>
      <w:lvlText w:val="%2"/>
      <w:numFmt w:val="lowerRoman"/>
      <w:start w:val="1"/>
    </w:lvl>
  </w:abstractNum>
  <w:abstractNum w:abstractNumId="201">
    <w:nsid w:val="792B8401"/>
    <w:multiLevelType w:val="hybridMultilevel"/>
    <w:lvl w:ilvl="0">
      <w:lvlJc w:val="left"/>
      <w:lvlText w:val="(%1)"/>
      <w:numFmt w:val="lowerLetter"/>
      <w:start w:val="10"/>
    </w:lvl>
  </w:abstractNum>
  <w:abstractNum w:abstractNumId="202">
    <w:nsid w:val="FA85F4D"/>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203">
    <w:nsid w:val="6ECE91F0"/>
    <w:multiLevelType w:val="hybridMultilevel"/>
    <w:lvl w:ilvl="0">
      <w:lvlJc w:val="left"/>
      <w:lvlText w:val="(%1)"/>
      <w:numFmt w:val="lowerRoman"/>
      <w:start w:val="3"/>
    </w:lvl>
    <w:lvl w:ilvl="1">
      <w:lvlJc w:val="left"/>
      <w:lvlText w:val="%2"/>
      <w:numFmt w:val="lowerRoman"/>
      <w:start w:val="1"/>
    </w:lvl>
    <w:lvl w:ilvl="2">
      <w:lvlJc w:val="left"/>
      <w:lvlText w:val="%3"/>
      <w:numFmt w:val="lowerLetter"/>
      <w:start w:val="1"/>
    </w:lvl>
  </w:abstractNum>
  <w:abstractNum w:abstractNumId="204">
    <w:nsid w:val="4FC4D600"/>
    <w:multiLevelType w:val="hybridMultilevel"/>
    <w:lvl w:ilvl="0">
      <w:lvlJc w:val="left"/>
      <w:lvlText w:val="(%1)"/>
      <w:numFmt w:val="lowerLetter"/>
      <w:start w:val="2"/>
    </w:lvl>
  </w:abstractNum>
  <w:abstractNum w:abstractNumId="205">
    <w:nsid w:val="5BFD4210"/>
    <w:multiLevelType w:val="hybridMultilevel"/>
    <w:lvl w:ilvl="0">
      <w:lvlJc w:val="left"/>
      <w:lvlText w:val="(%1)"/>
      <w:numFmt w:val="lowerLetter"/>
      <w:start w:val="5"/>
    </w:lvl>
  </w:abstractNum>
  <w:abstractNum w:abstractNumId="206">
    <w:nsid w:val="76574F8B"/>
    <w:multiLevelType w:val="hybridMultilevel"/>
    <w:lvl w:ilvl="0">
      <w:lvlJc w:val="left"/>
      <w:lvlText w:val="(%1)"/>
      <w:numFmt w:val="lowerLetter"/>
      <w:start w:val="2"/>
    </w:lvl>
  </w:abstractNum>
  <w:abstractNum w:abstractNumId="207">
    <w:nsid w:val="178F7B67"/>
    <w:multiLevelType w:val="hybridMultilevel"/>
    <w:lvl w:ilvl="0">
      <w:lvlJc w:val="left"/>
      <w:lvlText w:val="(%1)"/>
      <w:numFmt w:val="lowerLetter"/>
      <w:start w:val="4"/>
    </w:lvl>
  </w:abstractNum>
  <w:abstractNum w:abstractNumId="208">
    <w:nsid w:val="2421DFCF"/>
    <w:multiLevelType w:val="hybridMultilevel"/>
    <w:lvl w:ilvl="0">
      <w:lvlJc w:val="left"/>
      <w:lvlText w:val="(%1)"/>
      <w:numFmt w:val="lowerLetter"/>
      <w:start w:val="1"/>
    </w:lvl>
  </w:abstractNum>
  <w:abstractNum w:abstractNumId="209">
    <w:nsid w:val="1565AC99"/>
    <w:multiLevelType w:val="hybridMultilevel"/>
    <w:lvl w:ilvl="0">
      <w:lvlJc w:val="left"/>
      <w:lvlText w:val="(%1)"/>
      <w:numFmt w:val="lowerLetter"/>
      <w:start w:val="2"/>
    </w:lvl>
  </w:abstractNum>
  <w:abstractNum w:abstractNumId="210">
    <w:nsid w:val="19FB2650"/>
    <w:multiLevelType w:val="hybridMultilevel"/>
    <w:lvl w:ilvl="0">
      <w:lvlJc w:val="left"/>
      <w:lvlText w:val="(%1)"/>
      <w:numFmt w:val="lowerLetter"/>
      <w:start w:val="1"/>
    </w:lvl>
  </w:abstractNum>
  <w:abstractNum w:abstractNumId="211">
    <w:nsid w:val="5024DE5B"/>
    <w:multiLevelType w:val="hybridMultilevel"/>
    <w:lvl w:ilvl="0">
      <w:lvlJc w:val="left"/>
      <w:lvlText w:val="(%1)"/>
      <w:numFmt w:val="lowerLetter"/>
      <w:start w:val="3"/>
    </w:lvl>
  </w:abstractNum>
  <w:abstractNum w:abstractNumId="212">
    <w:nsid w:val="168EFE17"/>
    <w:multiLevelType w:val="hybridMultilevel"/>
    <w:lvl w:ilvl="0">
      <w:lvlJc w:val="left"/>
      <w:lvlText w:val="(%1)"/>
      <w:numFmt w:val="lowerLetter"/>
      <w:start w:val="1"/>
    </w:lvl>
  </w:abstractNum>
  <w:abstractNum w:abstractNumId="213">
    <w:nsid w:val="1036B29F"/>
    <w:multiLevelType w:val="hybridMultilevel"/>
    <w:lvl w:ilvl="0">
      <w:lvlJc w:val="left"/>
      <w:lvlText w:val="(%1)"/>
      <w:numFmt w:val="lowerLetter"/>
      <w:start w:val="3"/>
    </w:lvl>
  </w:abstractNum>
  <w:abstractNum w:abstractNumId="214">
    <w:nsid w:val="1D206B8E"/>
    <w:multiLevelType w:val="hybridMultilevel"/>
    <w:lvl w:ilvl="0">
      <w:lvlJc w:val="left"/>
      <w:lvlText w:val="(%1)"/>
      <w:numFmt w:val="lowerLetter"/>
      <w:start w:val="4"/>
    </w:lvl>
  </w:abstractNum>
  <w:abstractNum w:abstractNumId="215">
    <w:nsid w:val="7934D3D4"/>
    <w:multiLevelType w:val="hybridMultilevel"/>
    <w:lvl w:ilvl="0">
      <w:lvlJc w:val="left"/>
      <w:lvlText w:val="(%1)"/>
      <w:numFmt w:val="lowerLetter"/>
      <w:start w:val="1"/>
    </w:lvl>
  </w:abstractNum>
  <w:abstractNum w:abstractNumId="216">
    <w:nsid w:val="1C65E98"/>
    <w:multiLevelType w:val="hybridMultilevel"/>
    <w:lvl w:ilvl="0">
      <w:lvlJc w:val="left"/>
      <w:lvlText w:val="(%1)"/>
      <w:numFmt w:val="lowerLetter"/>
      <w:start w:val="2"/>
    </w:lvl>
  </w:abstractNum>
  <w:abstractNum w:abstractNumId="217">
    <w:nsid w:val="1495E50A"/>
    <w:multiLevelType w:val="hybridMultilevel"/>
    <w:lvl w:ilvl="0">
      <w:lvlJc w:val="left"/>
      <w:lvlText w:val="(%1)"/>
      <w:numFmt w:val="lowerLetter"/>
      <w:start w:val="4"/>
    </w:lvl>
  </w:abstractNum>
  <w:abstractNum w:abstractNumId="218">
    <w:nsid w:val="F5BCF61"/>
    <w:multiLevelType w:val="hybridMultilevel"/>
    <w:lvl w:ilvl="0">
      <w:lvlJc w:val="left"/>
      <w:lvlText w:val="(%1)"/>
      <w:numFmt w:val="lowerLetter"/>
      <w:start w:val="6"/>
    </w:lvl>
  </w:abstractNum>
  <w:abstractNum w:abstractNumId="219">
    <w:nsid w:val="3B1DD403"/>
    <w:multiLevelType w:val="hybridMultilevel"/>
    <w:lvl w:ilvl="0">
      <w:lvlJc w:val="left"/>
      <w:lvlText w:val="(%1)"/>
      <w:numFmt w:val="lowerLetter"/>
      <w:start w:val="1"/>
    </w:lvl>
  </w:abstractNum>
  <w:abstractNum w:abstractNumId="220">
    <w:nsid w:val="530386D1"/>
    <w:multiLevelType w:val="hybridMultilevel"/>
    <w:lvl w:ilvl="0">
      <w:lvlJc w:val="left"/>
      <w:lvlText w:val="(%1)"/>
      <w:numFmt w:val="lowerLetter"/>
      <w:start w:val="3"/>
    </w:lvl>
  </w:abstractNum>
  <w:abstractNum w:abstractNumId="221">
    <w:nsid w:val="7525F2BC"/>
    <w:multiLevelType w:val="hybridMultilevel"/>
    <w:lvl w:ilvl="0">
      <w:lvlJc w:val="left"/>
      <w:lvlText w:val="(%1)"/>
      <w:numFmt w:val="lowerLetter"/>
      <w:start w:val="1"/>
    </w:lvl>
  </w:abstractNum>
  <w:abstractNum w:abstractNumId="222">
    <w:nsid w:val="CE8E1A7"/>
    <w:multiLevelType w:val="hybridMultilevel"/>
    <w:lvl w:ilvl="0">
      <w:lvlJc w:val="left"/>
      <w:lvlText w:val="(%1)"/>
      <w:numFmt w:val="lowerLetter"/>
      <w:start w:val="3"/>
    </w:lvl>
  </w:abstractNum>
  <w:abstractNum w:abstractNumId="223">
    <w:nsid w:val="4E9EFB0D"/>
    <w:multiLevelType w:val="hybridMultilevel"/>
    <w:lvl w:ilvl="0">
      <w:lvlJc w:val="left"/>
      <w:lvlText w:val="(%1)"/>
      <w:numFmt w:val="lowerLetter"/>
      <w:start w:val="1"/>
    </w:lvl>
  </w:abstractNum>
  <w:abstractNum w:abstractNumId="224">
    <w:nsid w:val="90802BE"/>
    <w:multiLevelType w:val="hybridMultilevel"/>
    <w:lvl w:ilvl="0">
      <w:lvlJc w:val="left"/>
      <w:lvlText w:val="(%1)"/>
      <w:numFmt w:val="lowerLetter"/>
      <w:start w:val="1"/>
    </w:lvl>
    <w:lvl w:ilvl="1">
      <w:lvlJc w:val="left"/>
      <w:lvlText w:val="(%2)"/>
      <w:numFmt w:val="lowerRoman"/>
      <w:start w:val="1"/>
    </w:lvl>
  </w:abstractNum>
  <w:abstractNum w:abstractNumId="225">
    <w:nsid w:val="3266459B"/>
    <w:multiLevelType w:val="hybridMultilevel"/>
    <w:lvl w:ilvl="0">
      <w:lvlJc w:val="left"/>
      <w:lvlText w:val="(%1)"/>
      <w:numFmt w:val="lowerLetter"/>
      <w:start w:val="1"/>
    </w:lvl>
  </w:abstractNum>
  <w:abstractNum w:abstractNumId="226">
    <w:nsid w:val="3F8B0CBF"/>
    <w:multiLevelType w:val="hybridMultilevel"/>
    <w:lvl w:ilvl="0">
      <w:lvlJc w:val="left"/>
      <w:lvlText w:val="%1."/>
      <w:numFmt w:val="upperLetter"/>
      <w:start w:val="9"/>
    </w:lvl>
  </w:abstractNum>
  <w:abstractNum w:abstractNumId="227">
    <w:nsid w:val="37E203A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28">
    <w:nsid w:val="2586D60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9">
    <w:nsid w:val="1F3DA4D5"/>
    <w:multiLevelType w:val="hybridMultilevel"/>
    <w:lvl w:ilvl="0">
      <w:lvlJc w:val="left"/>
      <w:lvlText w:val="%1"/>
      <w:numFmt w:val="decimal"/>
      <w:start w:val="1"/>
    </w:lvl>
    <w:lvl w:ilvl="1">
      <w:lvlJc w:val="left"/>
      <w:lvlText w:val="(%2)"/>
      <w:numFmt w:val="upperLetter"/>
      <w:start w:val="2"/>
    </w:lvl>
  </w:abstractNum>
  <w:abstractNum w:abstractNumId="230">
    <w:nsid w:val="74C93698"/>
    <w:multiLevelType w:val="hybridMultilevel"/>
    <w:lvl w:ilvl="0">
      <w:lvlJc w:val="left"/>
      <w:lvlText w:val="(%1)"/>
      <w:numFmt w:val="decimal"/>
      <w:start w:val="2"/>
    </w:lvl>
    <w:lvl w:ilvl="1">
      <w:lvlJc w:val="left"/>
      <w:lvlText w:val="%2"/>
      <w:numFmt w:val="upperLetter"/>
      <w:start w:val="1"/>
    </w:lvl>
  </w:abstractNum>
  <w:abstractNum w:abstractNumId="231">
    <w:nsid w:val="48781401"/>
    <w:multiLevelType w:val="hybridMultilevel"/>
    <w:lvl w:ilvl="0">
      <w:lvlJc w:val="left"/>
      <w:lvlText w:val="(%1)"/>
      <w:numFmt w:val="upperLetter"/>
      <w:start w:val="4"/>
    </w:lvl>
  </w:abstractNum>
  <w:abstractNum w:abstractNumId="232">
    <w:nsid w:val="186928D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33">
    <w:nsid w:val="47195E5"/>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lvl w:ilvl="3">
      <w:lvlJc w:val="left"/>
      <w:lvlText w:val="%4."/>
      <w:numFmt w:val="decimal"/>
      <w:start w:val="4"/>
    </w:lvl>
    <w:lvl w:ilvl="4">
      <w:lvlJc w:val="left"/>
      <w:lvlText w:val="%5"/>
      <w:numFmt w:val="decimal"/>
      <w:start w:val="1"/>
    </w:lvl>
    <w:lvl w:ilvl="5">
      <w:lvlJc w:val="left"/>
      <w:lvlText w:val="%6"/>
      <w:numFmt w:val="decimal"/>
      <w:start w:val="1"/>
    </w:lvl>
  </w:abstractNum>
  <w:abstractNum w:abstractNumId="234">
    <w:nsid w:val="3746A5F2"/>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abstractNum>
  <w:abstractNum w:abstractNumId="235">
    <w:nsid w:val="682DFED6"/>
    <w:multiLevelType w:val="hybridMultilevel"/>
    <w:lvl w:ilvl="0">
      <w:lvlJc w:val="left"/>
      <w:lvlText w:val="%1."/>
      <w:numFmt w:val="decimal"/>
      <w:start w:val="3"/>
    </w:lvl>
    <w:lvl w:ilvl="1">
      <w:lvlJc w:val="left"/>
      <w:lvlText w:val="(%2)"/>
      <w:numFmt w:val="lowerLetter"/>
      <w:start w:val="1"/>
    </w:lvl>
  </w:abstractNum>
  <w:abstractNum w:abstractNumId="236">
    <w:nsid w:val="606ED7F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237">
    <w:nsid w:val="2D9DF57D"/>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238">
    <w:nsid w:val="7FBD7A3E"/>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239">
    <w:nsid w:val="490B7C5"/>
    <w:multiLevelType w:val="hybridMultilevel"/>
    <w:lvl w:ilvl="0">
      <w:lvlJc w:val="left"/>
      <w:lvlText w:val="%1"/>
      <w:numFmt w:val="decimal"/>
      <w:start w:val="1"/>
    </w:lvl>
    <w:lvl w:ilvl="1">
      <w:lvlJc w:val="left"/>
      <w:lvlText w:val="(%2)"/>
      <w:numFmt w:val="lowerLetter"/>
      <w:start w:val="6"/>
    </w:lvl>
  </w:abstractNum>
  <w:abstractNum w:abstractNumId="240">
    <w:nsid w:val="4303A216"/>
    <w:multiLevelType w:val="hybridMultilevel"/>
    <w:lvl w:ilvl="0">
      <w:lvlJc w:val="left"/>
      <w:lvlText w:val="%1."/>
      <w:numFmt w:val="decimal"/>
      <w:start w:val="4"/>
    </w:lvl>
    <w:lvl w:ilvl="1">
      <w:lvlJc w:val="left"/>
      <w:lvlText w:val="%2"/>
      <w:numFmt w:val="lowerLetter"/>
      <w:start w:val="1"/>
    </w:lvl>
  </w:abstractNum>
  <w:abstractNum w:abstractNumId="241">
    <w:nsid w:val="19B8A08E"/>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242">
    <w:nsid w:val="54B59621"/>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8"/>
    </w:lvl>
    <w:lvl w:ilvl="4">
      <w:lvlJc w:val="left"/>
      <w:lvlText w:val="%5."/>
      <w:numFmt w:val="decimal"/>
      <w:start w:val="9"/>
    </w:lvl>
  </w:abstractNum>
  <w:abstractNum w:abstractNumId="243">
    <w:nsid w:val="5992A02E"/>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44">
    <w:nsid w:val="29EF532D"/>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245">
    <w:nsid w:val="71D601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3"/>
    </w:lvl>
  </w:abstractNum>
  <w:abstractNum w:abstractNumId="246">
    <w:nsid w:val="52C774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abstractNum>
  <w:abstractNum w:abstractNumId="247">
    <w:nsid w:val="2BB5B1C6"/>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lvl w:ilvl="3">
      <w:lvlJc w:val="left"/>
      <w:lvlText w:val="(%4)"/>
      <w:numFmt w:val="lowerLetter"/>
      <w:start w:val="9"/>
    </w:lvl>
    <w:lvl w:ilvl="4">
      <w:lvlJc w:val="left"/>
      <w:lvlText w:val="%5"/>
      <w:numFmt w:val="lowerLetter"/>
      <w:start w:val="1"/>
    </w:lvl>
    <w:lvl w:ilvl="5">
      <w:lvlJc w:val="left"/>
      <w:lvlText w:val="%6"/>
      <w:numFmt w:val="lowerLetter"/>
      <w:start w:val="1"/>
    </w:lvl>
  </w:abstractNum>
  <w:abstractNum w:abstractNumId="248">
    <w:nsid w:val="66BE6B9"/>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249">
    <w:nsid w:val="62234363"/>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abstractNum>
  <w:abstractNum w:abstractNumId="250">
    <w:nsid w:val="66D385C9"/>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abstractNum>
  <w:abstractNum w:abstractNumId="251">
    <w:nsid w:val="596F6D8A"/>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52">
    <w:nsid w:val="5749361F"/>
    <w:multiLevelType w:val="hybridMultilevel"/>
    <w:lvl w:ilvl="0">
      <w:lvlJc w:val="left"/>
      <w:lvlText w:val="(%1)"/>
      <w:numFmt w:val="lowerLetter"/>
      <w:start w:val="2"/>
    </w:lvl>
  </w:abstractNum>
  <w:abstractNum w:abstractNumId="253">
    <w:nsid w:val="73BC6770"/>
    <w:multiLevelType w:val="hybridMultilevel"/>
    <w:lvl w:ilvl="0">
      <w:lvlJc w:val="left"/>
      <w:lvlText w:val="(%1)"/>
      <w:numFmt w:val="lowerLetter"/>
      <w:start w:val="1"/>
    </w:lvl>
  </w:abstractNum>
  <w:abstractNum w:abstractNumId="254">
    <w:nsid w:val="280E6897"/>
    <w:multiLevelType w:val="hybridMultilevel"/>
    <w:lvl w:ilvl="0">
      <w:lvlJc w:val="left"/>
      <w:lvlText w:val="(%1)"/>
      <w:numFmt w:val="lowerRoman"/>
      <w:start w:val="1"/>
    </w:lvl>
  </w:abstractNum>
  <w:abstractNum w:abstractNumId="255">
    <w:nsid w:val="605138DE"/>
    <w:multiLevelType w:val="hybridMultilevel"/>
    <w:lvl w:ilvl="0">
      <w:lvlJc w:val="left"/>
      <w:lvlText w:val="%1."/>
      <w:numFmt w:val="upperLetter"/>
      <w:start w:val="9"/>
    </w:lvl>
  </w:abstractNum>
  <w:abstractNum w:abstractNumId="256">
    <w:nsid w:val="2622AD0C"/>
    <w:multiLevelType w:val="hybridMultilevel"/>
    <w:lvl w:ilvl="0">
      <w:lvlJc w:val="left"/>
      <w:lvlText w:val="%1."/>
      <w:numFmt w:val="upperLetter"/>
      <w:start w:val="35"/>
    </w:lvl>
    <w:lvl w:ilvl="1">
      <w:lvlJc w:val="left"/>
      <w:lvlText w:val="%2"/>
      <w:numFmt w:val="upperLetter"/>
      <w:start w:val="1"/>
    </w:lvl>
  </w:abstractNum>
  <w:abstractNum w:abstractNumId="257">
    <w:nsid w:val="6799755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58">
    <w:nsid w:val="18333C89"/>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259">
    <w:nsid w:val="4BA9831A"/>
    <w:multiLevelType w:val="hybridMultilevel"/>
    <w:lvl w:ilvl="0">
      <w:lvlJc w:val="left"/>
      <w:lvlText w:val="%1."/>
      <w:numFmt w:val="decimal"/>
      <w:start w:val="5"/>
    </w:lvl>
  </w:abstractNum>
  <w:abstractNum w:abstractNumId="260">
    <w:nsid w:val="6D71A2B"/>
    <w:multiLevelType w:val="hybridMultilevel"/>
    <w:lvl w:ilvl="0">
      <w:lvlJc w:val="left"/>
      <w:lvlText w:val="(%1)"/>
      <w:numFmt w:val="lowerLetter"/>
      <w:start w:val="1"/>
    </w:lvl>
  </w:abstractNum>
  <w:abstractNum w:abstractNumId="261">
    <w:nsid w:val="CFC7321"/>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3"/>
    </w:lvl>
    <w:lvl w:ilvl="3">
      <w:lvlJc w:val="left"/>
      <w:lvlText w:val="(%4)"/>
      <w:numFmt w:val="lowerLetter"/>
      <w:start w:val="4"/>
    </w:lvl>
    <w:lvl w:ilvl="4">
      <w:lvlJc w:val="left"/>
      <w:lvlText w:val="(%5)"/>
      <w:numFmt w:val="lowerLetter"/>
      <w:start w:val="5"/>
    </w:lvl>
    <w:lvl w:ilvl="5">
      <w:lvlJc w:val="left"/>
      <w:lvlText w:val="(%6)"/>
      <w:numFmt w:val="lowerLetter"/>
      <w:start w:val="9"/>
    </w:lvl>
  </w:abstractNum>
  <w:abstractNum w:abstractNumId="262">
    <w:nsid w:val="1421971B"/>
    <w:multiLevelType w:val="hybridMultilevel"/>
    <w:lvl w:ilvl="0">
      <w:lvlJc w:val="left"/>
      <w:lvlText w:val="%1"/>
      <w:numFmt w:val="upperLetter"/>
      <w:start w:val="1"/>
    </w:lvl>
    <w:lvl w:ilvl="1">
      <w:lvlJc w:val="left"/>
      <w:lvlText w:val="(%2)"/>
      <w:numFmt w:val="lowerRoman"/>
      <w:start w:val="2"/>
    </w:lvl>
  </w:abstractNum>
  <w:abstractNum w:abstractNumId="263">
    <w:nsid w:val="1F404301"/>
    <w:multiLevelType w:val="hybridMultilevel"/>
    <w:lvl w:ilvl="0">
      <w:lvlJc w:val="left"/>
      <w:lvlText w:val="(%1)"/>
      <w:numFmt w:val="upperLetter"/>
      <w:start w:val="3"/>
    </w:lvl>
    <w:lvl w:ilvl="1">
      <w:lvlJc w:val="left"/>
      <w:lvlText w:val="%2"/>
      <w:numFmt w:val="lowerRoman"/>
      <w:start w:val="1"/>
    </w:lvl>
  </w:abstractNum>
  <w:abstractNum w:abstractNumId="264">
    <w:nsid w:val="116E0907"/>
    <w:multiLevelType w:val="hybridMultilevel"/>
    <w:lvl w:ilvl="0">
      <w:lvlJc w:val="left"/>
      <w:lvlText w:val="(%1)"/>
      <w:numFmt w:val="lowerRoman"/>
      <w:start w:val="3"/>
    </w:lvl>
  </w:abstractNum>
  <w:abstractNum w:abstractNumId="265">
    <w:nsid w:val="4B683D0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6">
    <w:nsid w:val="76E41D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3"/>
    </w:lvl>
  </w:abstractNum>
  <w:abstractNum w:abstractNumId="267">
    <w:nsid w:val="71DCE0FD"/>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decimal"/>
      <w:start w:val="2"/>
    </w:lvl>
    <w:lvl w:ilvl="4">
      <w:lvlJc w:val="left"/>
      <w:lvlText w:val="(%5)"/>
      <w:numFmt w:val="lowerLetter"/>
      <w:start w:val="1"/>
    </w:lvl>
  </w:abstractNum>
  <w:abstractNum w:abstractNumId="268">
    <w:nsid w:val="7906328B"/>
    <w:multiLevelType w:val="hybridMultilevel"/>
    <w:lvl w:ilvl="0">
      <w:lvlJc w:val="left"/>
      <w:lvlText w:val="(%1)"/>
      <w:numFmt w:val="lowerLetter"/>
      <w:start w:val="2"/>
    </w:lvl>
  </w:abstractNum>
  <w:abstractNum w:abstractNumId="269">
    <w:nsid w:val="72BBC1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0"/>
    </w:lvl>
    <w:lvl w:ilvl="3">
      <w:lvlJc w:val="left"/>
      <w:lvlText w:val="(%4)"/>
      <w:numFmt w:val="lowerLetter"/>
      <w:start w:val="4"/>
    </w:lvl>
    <w:lvl w:ilvl="4">
      <w:lvlJc w:val="left"/>
      <w:lvlText w:val="(%5)"/>
      <w:numFmt w:val="lowerRoman"/>
      <w:start w:val="2"/>
    </w:lvl>
  </w:abstractNum>
  <w:abstractNum w:abstractNumId="270">
    <w:nsid w:val="766D98C2"/>
    <w:multiLevelType w:val="hybridMultilevel"/>
    <w:lvl w:ilvl="0">
      <w:lvlJc w:val="left"/>
      <w:lvlText w:val="(%1)"/>
      <w:numFmt w:val="lowerLetter"/>
      <w:start w:val="5"/>
    </w:lvl>
    <w:lvl w:ilvl="1">
      <w:lvlJc w:val="left"/>
      <w:lvlText w:val="(%2)"/>
      <w:numFmt w:val="lowerRoman"/>
      <w:start w:val="1"/>
    </w:lvl>
  </w:abstractNum>
  <w:abstractNum w:abstractNumId="271">
    <w:nsid w:val="3C09D4A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8"/>
    </w:lvl>
  </w:abstractNum>
  <w:abstractNum w:abstractNumId="272">
    <w:nsid w:val="20E45CA4"/>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73">
    <w:nsid w:val="4B232EE3"/>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7"/>
    </w:lvl>
    <w:lvl w:ilvl="4">
      <w:lvlJc w:val="left"/>
      <w:lvlText w:val="%5"/>
      <w:numFmt w:val="lowerLetter"/>
      <w:start w:val="1"/>
    </w:lvl>
  </w:abstractNum>
  <w:abstractNum w:abstractNumId="274">
    <w:nsid w:val="159C74CF"/>
    <w:multiLevelType w:val="hybridMultilevel"/>
    <w:lvl w:ilvl="0">
      <w:lvlJc w:val="left"/>
      <w:lvlText w:val="%1."/>
      <w:numFmt w:val="decimal"/>
      <w:start w:val="9"/>
    </w:lvl>
  </w:abstractNum>
  <w:abstractNum w:abstractNumId="275">
    <w:nsid w:val="4AD3AFD2"/>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76">
    <w:nsid w:val="3CF93092"/>
    <w:multiLevelType w:val="hybridMultilevel"/>
    <w:lvl w:ilvl="0">
      <w:lvlJc w:val="left"/>
      <w:lvlText w:val="%1."/>
      <w:numFmt w:val="decimal"/>
      <w:start w:val="1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lvl w:ilvl="5">
      <w:lvlJc w:val="left"/>
      <w:lvlText w:val="%6"/>
      <w:numFmt w:val="lowerLetter"/>
      <w:start w:val="1"/>
    </w:lvl>
    <w:lvl w:ilvl="6">
      <w:lvlJc w:val="left"/>
      <w:lvlText w:val="(%7)"/>
      <w:numFmt w:val="lowerLetter"/>
      <w:start w:val="5"/>
    </w:lvl>
  </w:abstractNum>
  <w:abstractNum w:abstractNumId="277">
    <w:nsid w:val="6863E8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Letter"/>
      <w:start w:val="1"/>
    </w:lvl>
    <w:lvl w:ilvl="5">
      <w:lvlJc w:val="left"/>
      <w:lvlText w:val="(%6)"/>
      <w:numFmt w:val="lowerLetter"/>
      <w:start w:val="8"/>
    </w:lvl>
    <w:lvl w:ilvl="6">
      <w:lvlJc w:val="left"/>
      <w:lvlText w:val="%7"/>
      <w:numFmt w:val="lowerLetter"/>
      <w:start w:val="1"/>
    </w:lvl>
  </w:abstractNum>
  <w:abstractNum w:abstractNumId="278">
    <w:nsid w:val="7689619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9"/>
    </w:lvl>
  </w:abstractNum>
  <w:abstractNum w:abstractNumId="279">
    <w:nsid w:val="4365174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0"/>
    </w:lvl>
    <w:lvl w:ilvl="5">
      <w:lvlJc w:val="left"/>
      <w:lvlText w:val="%6"/>
      <w:numFmt w:val="lowerLetter"/>
      <w:start w:val="1"/>
    </w:lvl>
  </w:abstractNum>
  <w:abstractNum w:abstractNumId="280">
    <w:nsid w:val="4A872C3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2"/>
    </w:lvl>
    <w:lvl w:ilvl="4">
      <w:lvlJc w:val="left"/>
      <w:lvlText w:val="%5"/>
      <w:numFmt w:val="lowerLetter"/>
      <w:start w:val="1"/>
    </w:lvl>
    <w:lvl w:ilvl="5">
      <w:lvlJc w:val="left"/>
      <w:lvlText w:val="%6"/>
      <w:numFmt w:val="lowerLetter"/>
      <w:start w:val="1"/>
    </w:lvl>
  </w:abstractNum>
  <w:abstractNum w:abstractNumId="281">
    <w:nsid w:val="5D5CE761"/>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82">
    <w:nsid w:val="1CD484D5"/>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83">
    <w:nsid w:val="21D06255"/>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284">
    <w:nsid w:val="51194ED1"/>
    <w:multiLevelType w:val="hybridMultilevel"/>
    <w:lvl w:ilvl="0">
      <w:lvlJc w:val="left"/>
      <w:lvlText w:val="%1."/>
      <w:numFmt w:val="decimal"/>
      <w:start w:val="16"/>
    </w:lvl>
    <w:lvl w:ilvl="1">
      <w:lvlJc w:val="left"/>
      <w:lvlText w:val="(%2)"/>
      <w:numFmt w:val="lowerLetter"/>
      <w:start w:val="1"/>
    </w:lvl>
  </w:abstractNum>
  <w:abstractNum w:abstractNumId="285">
    <w:nsid w:val="44E2ED6C"/>
    <w:multiLevelType w:val="hybridMultilevel"/>
    <w:lvl w:ilvl="0">
      <w:lvlJc w:val="left"/>
      <w:lvlText w:val="%1."/>
      <w:numFmt w:val="decimal"/>
      <w:start w:val="1"/>
    </w:lvl>
    <w:lvl w:ilvl="1">
      <w:lvlJc w:val="left"/>
      <w:lvlText w:val="(%2)"/>
      <w:numFmt w:val="upperLetter"/>
      <w:start w:val="1"/>
    </w:lvl>
  </w:abstractNum>
  <w:abstractNum w:abstractNumId="286">
    <w:nsid w:val="2219B33"/>
    <w:multiLevelType w:val="hybridMultilevel"/>
    <w:lvl w:ilvl="0">
      <w:lvlJc w:val="left"/>
      <w:lvlText w:val="%1"/>
      <w:numFmt w:val="decimal"/>
      <w:start w:val="1"/>
    </w:lvl>
    <w:lvl w:ilvl="1">
      <w:lvlJc w:val="left"/>
      <w:lvlText w:val="(%2)"/>
      <w:numFmt w:val="upperLetter"/>
      <w:start w:val="4"/>
    </w:lvl>
  </w:abstractNum>
  <w:abstractNum w:abstractNumId="287">
    <w:nsid w:val="773BFBDD"/>
    <w:multiLevelType w:val="hybridMultilevel"/>
    <w:lvl w:ilvl="0">
      <w:lvlJc w:val="left"/>
      <w:lvlText w:val="%1."/>
      <w:numFmt w:val="decimal"/>
      <w:start w:val="5"/>
    </w:lvl>
    <w:lvl w:ilvl="1">
      <w:lvlJc w:val="left"/>
      <w:lvlText w:val="%2"/>
      <w:numFmt w:val="upperLetter"/>
      <w:start w:val="1"/>
    </w:lvl>
  </w:abstractNum>
  <w:abstractNum w:abstractNumId="288">
    <w:nsid w:val="2C7C62C2"/>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289">
    <w:nsid w:val="1A54D7BC"/>
    <w:multiLevelType w:val="hybridMultilevel"/>
    <w:lvl w:ilvl="0">
      <w:lvlJc w:val="left"/>
      <w:lvlText w:val="%1."/>
      <w:numFmt w:val="decimal"/>
      <w:start w:val="8"/>
    </w:lvl>
  </w:abstractNum>
  <w:abstractNum w:abstractNumId="290">
    <w:nsid w:val="42E57EF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291">
    <w:nsid w:val="33537CED"/>
    <w:multiLevelType w:val="hybridMultilevel"/>
    <w:lvl w:ilvl="0">
      <w:lvlJc w:val="left"/>
      <w:lvlText w:val="%1."/>
      <w:numFmt w:val="decimal"/>
      <w:start w:val="9"/>
    </w:lvl>
    <w:lvl w:ilvl="1">
      <w:lvlJc w:val="left"/>
      <w:lvlText w:val="%2"/>
      <w:numFmt w:val="upperLetter"/>
      <w:start w:val="1"/>
    </w:lvl>
    <w:lvl w:ilvl="2">
      <w:lvlJc w:val="left"/>
      <w:lvlText w:val="%3"/>
      <w:numFmt w:val="upperLetter"/>
      <w:start w:val="1"/>
    </w:lvl>
  </w:abstractNum>
  <w:abstractNum w:abstractNumId="292">
    <w:nsid w:val="27514ADE"/>
    <w:multiLevelType w:val="hybridMultilevel"/>
    <w:lvl w:ilvl="0">
      <w:lvlJc w:val="left"/>
      <w:lvlText w:val="%1."/>
      <w:numFmt w:val="decimal"/>
      <w:start w:val="10"/>
    </w:lvl>
  </w:abstractNum>
  <w:abstractNum w:abstractNumId="293">
    <w:nsid w:val="57071613"/>
    <w:multiLevelType w:val="hybridMultilevel"/>
    <w:lvl w:ilvl="0">
      <w:lvlJc w:val="left"/>
      <w:lvlText w:val="2"/>
      <w:numFmt w:val="bullet"/>
      <w:start w:val="1"/>
    </w:lvl>
  </w:abstractNum>
  <w:abstractNum w:abstractNumId="294">
    <w:nsid w:val="5293BFEF"/>
    <w:multiLevelType w:val="hybridMultilevel"/>
    <w:lvl w:ilvl="0">
      <w:lvlJc w:val="left"/>
      <w:lvlText w:val="(%1)"/>
      <w:numFmt w:val="lowerLetter"/>
      <w:start w:val="1"/>
    </w:lvl>
  </w:abstractNum>
  <w:abstractNum w:abstractNumId="295">
    <w:nsid w:val="38BF53E5"/>
    <w:multiLevelType w:val="hybridMultilevel"/>
    <w:lvl w:ilvl="0">
      <w:lvlJc w:val="left"/>
      <w:lvlText w:val="%1"/>
      <w:numFmt w:val="lowerRoman"/>
      <w:start w:val="1"/>
    </w:lvl>
    <w:lvl w:ilvl="1">
      <w:lvlJc w:val="left"/>
      <w:lvlText w:val="(%2)"/>
      <w:numFmt w:val="lowerRoman"/>
      <w:start w:val="1"/>
    </w:lvl>
  </w:abstractNum>
  <w:abstractNum w:abstractNumId="296">
    <w:nsid w:val="226F5320"/>
    <w:multiLevelType w:val="hybridMultilevel"/>
    <w:lvl w:ilvl="0">
      <w:lvlJc w:val="left"/>
      <w:lvlText w:val="(%1)"/>
      <w:numFmt w:val="lowerRoman"/>
      <w:start w:val="4"/>
    </w:lvl>
    <w:lvl w:ilvl="1">
      <w:lvlJc w:val="left"/>
      <w:lvlText w:val="%2"/>
      <w:numFmt w:val="lowerRoman"/>
      <w:start w:val="1"/>
    </w:lvl>
  </w:abstractNum>
  <w:abstractNum w:abstractNumId="297">
    <w:nsid w:val="5A0201C7"/>
    <w:multiLevelType w:val="hybridMultilevel"/>
    <w:lvl w:ilvl="0">
      <w:lvlJc w:val="left"/>
      <w:lvlText w:val="%1."/>
      <w:numFmt w:val="upperLetter"/>
      <w:start w:val="9"/>
    </w:lvl>
  </w:abstractNum>
  <w:abstractNum w:abstractNumId="298">
    <w:nsid w:val="2A9C34E2"/>
    <w:multiLevelType w:val="hybridMultilevel"/>
    <w:lvl w:ilvl="0">
      <w:lvlJc w:val="left"/>
      <w:lvlText w:val="%1."/>
      <w:numFmt w:val="upperLetter"/>
      <w:start w:val="35"/>
    </w:lvl>
    <w:lvl w:ilvl="1">
      <w:lvlJc w:val="left"/>
      <w:lvlText w:val="%2"/>
      <w:numFmt w:val="upperLetter"/>
      <w:start w:val="1"/>
    </w:lvl>
  </w:abstractNum>
  <w:abstractNum w:abstractNumId="299">
    <w:nsid w:val="1B7585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00">
    <w:nsid w:val="612DBDDD"/>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301">
    <w:nsid w:val="2109CDA4"/>
    <w:multiLevelType w:val="hybridMultilevel"/>
    <w:lvl w:ilvl="0">
      <w:lvlJc w:val="left"/>
      <w:lvlText w:val="%1."/>
      <w:numFmt w:val="decimal"/>
      <w:start w:val="5"/>
    </w:lvl>
  </w:abstractNum>
  <w:abstractNum w:abstractNumId="302">
    <w:nsid w:val="577F5A4D"/>
    <w:multiLevelType w:val="hybridMultilevel"/>
    <w:lvl w:ilvl="0">
      <w:lvlJc w:val="left"/>
      <w:lvlText w:val="(%1)"/>
      <w:numFmt w:val="lowerLetter"/>
      <w:start w:val="1"/>
    </w:lvl>
  </w:abstractNum>
  <w:abstractNum w:abstractNumId="303">
    <w:nsid w:val="2121A81"/>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3"/>
    </w:lvl>
    <w:lvl w:ilvl="3">
      <w:lvlJc w:val="left"/>
      <w:lvlText w:val="(%4)"/>
      <w:numFmt w:val="lowerLetter"/>
      <w:start w:val="4"/>
    </w:lvl>
    <w:lvl w:ilvl="4">
      <w:lvlJc w:val="left"/>
      <w:lvlText w:val="(%5)"/>
      <w:numFmt w:val="lowerLetter"/>
      <w:start w:val="5"/>
    </w:lvl>
    <w:lvl w:ilvl="5">
      <w:lvlJc w:val="left"/>
      <w:lvlText w:val="(%6)"/>
      <w:numFmt w:val="lowerLetter"/>
      <w:start w:val="9"/>
    </w:lvl>
  </w:abstractNum>
  <w:abstractNum w:abstractNumId="304">
    <w:nsid w:val="6C2CFC88"/>
    <w:multiLevelType w:val="hybridMultilevel"/>
    <w:lvl w:ilvl="0">
      <w:lvlJc w:val="left"/>
      <w:lvlText w:val="%1"/>
      <w:numFmt w:val="upperLetter"/>
      <w:start w:val="1"/>
    </w:lvl>
    <w:lvl w:ilvl="1">
      <w:lvlJc w:val="left"/>
      <w:lvlText w:val="(%2)"/>
      <w:numFmt w:val="lowerRoman"/>
      <w:start w:val="2"/>
    </w:lvl>
  </w:abstractNum>
  <w:abstractNum w:abstractNumId="305">
    <w:nsid w:val="6D1BCF1C"/>
    <w:multiLevelType w:val="hybridMultilevel"/>
    <w:lvl w:ilvl="0">
      <w:lvlJc w:val="left"/>
      <w:lvlText w:val="(%1)"/>
      <w:numFmt w:val="upperLetter"/>
      <w:start w:val="3"/>
    </w:lvl>
    <w:lvl w:ilvl="1">
      <w:lvlJc w:val="left"/>
      <w:lvlText w:val="(%2)"/>
      <w:numFmt w:val="lowerRoman"/>
      <w:start w:val="3"/>
    </w:lvl>
  </w:abstractNum>
  <w:abstractNum w:abstractNumId="306">
    <w:nsid w:val="4CE5CA5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7">
    <w:nsid w:val="29262D1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3"/>
    </w:lvl>
  </w:abstractNum>
  <w:abstractNum w:abstractNumId="308">
    <w:nsid w:val="557FB7EE"/>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decimal"/>
      <w:start w:val="2"/>
    </w:lvl>
    <w:lvl w:ilvl="4">
      <w:lvlJc w:val="left"/>
      <w:lvlText w:val="(%5)"/>
      <w:numFmt w:val="lowerLetter"/>
      <w:start w:val="1"/>
    </w:lvl>
  </w:abstractNum>
  <w:abstractNum w:abstractNumId="309">
    <w:nsid w:val="436F2BEB"/>
    <w:multiLevelType w:val="hybridMultilevel"/>
    <w:lvl w:ilvl="0">
      <w:lvlJc w:val="left"/>
      <w:lvlText w:val="(%1)"/>
      <w:numFmt w:val="lowerLetter"/>
      <w:start w:val="2"/>
    </w:lvl>
  </w:abstractNum>
  <w:abstractNum w:abstractNumId="310">
    <w:nsid w:val="6C8B446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0"/>
    </w:lvl>
    <w:lvl w:ilvl="3">
      <w:lvlJc w:val="left"/>
      <w:lvlText w:val="(%4)"/>
      <w:numFmt w:val="lowerLetter"/>
      <w:start w:val="4"/>
    </w:lvl>
    <w:lvl w:ilvl="4">
      <w:lvlJc w:val="left"/>
      <w:lvlText w:val="(%5)"/>
      <w:numFmt w:val="lowerRoman"/>
      <w:start w:val="2"/>
    </w:lvl>
  </w:abstractNum>
  <w:abstractNum w:abstractNumId="311">
    <w:nsid w:val="2006E424"/>
    <w:multiLevelType w:val="hybridMultilevel"/>
    <w:lvl w:ilvl="0">
      <w:lvlJc w:val="left"/>
      <w:lvlText w:val="(%1)"/>
      <w:numFmt w:val="lowerLetter"/>
      <w:start w:val="5"/>
    </w:lvl>
    <w:lvl w:ilvl="1">
      <w:lvlJc w:val="left"/>
      <w:lvlText w:val="(%2)"/>
      <w:numFmt w:val="lowerRoman"/>
      <w:start w:val="1"/>
    </w:lvl>
  </w:abstractNum>
  <w:abstractNum w:abstractNumId="312">
    <w:nsid w:val="20CC134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7"/>
    </w:lvl>
  </w:abstractNum>
  <w:abstractNum w:abstractNumId="313">
    <w:nsid w:val="95FC93B"/>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314">
    <w:nsid w:val="41D74679"/>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decimal"/>
      <w:start w:val="7"/>
    </w:lvl>
    <w:lvl w:ilvl="4">
      <w:lvlJc w:val="left"/>
      <w:lvlText w:val="%5"/>
      <w:numFmt w:val="lowerLetter"/>
      <w:start w:val="1"/>
    </w:lvl>
  </w:abstractNum>
  <w:abstractNum w:abstractNumId="315">
    <w:nsid w:val="71E5621E"/>
    <w:multiLevelType w:val="hybridMultilevel"/>
    <w:lvl w:ilvl="0">
      <w:lvlJc w:val="left"/>
      <w:lvlText w:val="%1."/>
      <w:numFmt w:val="decimal"/>
      <w:start w:val="8"/>
    </w:lvl>
    <w:lvl w:ilvl="1">
      <w:lvlJc w:val="left"/>
      <w:lvlText w:val="%2."/>
      <w:numFmt w:val="decimal"/>
      <w:start w:val="9"/>
    </w:lvl>
  </w:abstractNum>
  <w:abstractNum w:abstractNumId="316">
    <w:nsid w:val="4E42B6A8"/>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17">
    <w:nsid w:val="43F8E1AC"/>
    <w:multiLevelType w:val="hybridMultilevel"/>
    <w:lvl w:ilvl="0">
      <w:lvlJc w:val="left"/>
      <w:lvlText w:val="%1."/>
      <w:numFmt w:val="decimal"/>
      <w:start w:val="1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lvl w:ilvl="5">
      <w:lvlJc w:val="left"/>
      <w:lvlText w:val="(%6)"/>
      <w:numFmt w:val="lowerLetter"/>
      <w:start w:val="5"/>
    </w:lvl>
  </w:abstractNum>
  <w:abstractNum w:abstractNumId="318">
    <w:nsid w:val="69215D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Letter"/>
      <w:start w:val="1"/>
    </w:lvl>
    <w:lvl w:ilvl="5">
      <w:lvlJc w:val="left"/>
      <w:lvlText w:val="%6"/>
      <w:numFmt w:val="lowerLetter"/>
      <w:start w:val="1"/>
    </w:lvl>
  </w:abstractNum>
  <w:abstractNum w:abstractNumId="319">
    <w:nsid w:val="7ABF19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8"/>
    </w:lvl>
    <w:lvl w:ilvl="4">
      <w:lvlJc w:val="left"/>
      <w:lvlText w:val="%5"/>
      <w:numFmt w:val="lowerLetter"/>
      <w:start w:val="1"/>
    </w:lvl>
  </w:abstractNum>
  <w:abstractNum w:abstractNumId="320">
    <w:nsid w:val="5E4DB9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lvl w:ilvl="3">
      <w:lvlJc w:val="left"/>
      <w:lvlText w:val="(%4)"/>
      <w:numFmt w:val="lowerLetter"/>
      <w:start w:val="10"/>
    </w:lvl>
    <w:lvl w:ilvl="4">
      <w:lvlJc w:val="left"/>
      <w:lvlText w:val="%5"/>
      <w:numFmt w:val="lowerLetter"/>
      <w:start w:val="1"/>
    </w:lvl>
  </w:abstractNum>
  <w:abstractNum w:abstractNumId="321">
    <w:nsid w:val="2C06DCF3"/>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22">
    <w:nsid w:val="2E129658"/>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23">
    <w:nsid w:val="59F0446"/>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324">
    <w:nsid w:val="30DF306"/>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325">
    <w:nsid w:val="A65647"/>
    <w:multiLevelType w:val="hybridMultilevel"/>
    <w:lvl w:ilvl="0">
      <w:lvlJc w:val="left"/>
      <w:lvlText w:val="(%1)"/>
      <w:numFmt w:val="lowerLetter"/>
      <w:start w:val="2"/>
    </w:lvl>
  </w:abstractNum>
  <w:abstractNum w:abstractNumId="326">
    <w:nsid w:val="3E5E582B"/>
    <w:multiLevelType w:val="hybridMultilevel"/>
    <w:lvl w:ilvl="0">
      <w:lvlJc w:val="left"/>
      <w:lvlText w:val="%1."/>
      <w:numFmt w:val="decimal"/>
      <w:start w:val="1"/>
    </w:lvl>
    <w:lvl w:ilvl="1">
      <w:lvlJc w:val="left"/>
      <w:lvlText w:val="(%2)"/>
      <w:numFmt w:val="upperLetter"/>
      <w:start w:val="1"/>
    </w:lvl>
  </w:abstractNum>
  <w:abstractNum w:abstractNumId="327">
    <w:nsid w:val="257D4626"/>
    <w:multiLevelType w:val="hybridMultilevel"/>
    <w:lvl w:ilvl="0">
      <w:lvlJc w:val="left"/>
      <w:lvlText w:val="%1"/>
      <w:numFmt w:val="decimal"/>
      <w:start w:val="1"/>
    </w:lvl>
    <w:lvl w:ilvl="1">
      <w:lvlJc w:val="left"/>
      <w:lvlText w:val="(%2)"/>
      <w:numFmt w:val="upperLetter"/>
      <w:start w:val="4"/>
    </w:lvl>
  </w:abstractNum>
  <w:abstractNum w:abstractNumId="328">
    <w:nsid w:val="5AA8580E"/>
    <w:multiLevelType w:val="hybridMultilevel"/>
    <w:lvl w:ilvl="0">
      <w:lvlJc w:val="left"/>
      <w:lvlText w:val="%1."/>
      <w:numFmt w:val="decimal"/>
      <w:start w:val="5"/>
    </w:lvl>
    <w:lvl w:ilvl="1">
      <w:lvlJc w:val="left"/>
      <w:lvlText w:val="%2"/>
      <w:numFmt w:val="upperLetter"/>
      <w:start w:val="1"/>
    </w:lvl>
  </w:abstractNum>
  <w:abstractNum w:abstractNumId="329">
    <w:nsid w:val="68FA8D0D"/>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330">
    <w:nsid w:val="40F2CBD2"/>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331">
    <w:nsid w:val="3BD615EB"/>
    <w:multiLevelType w:val="hybridMultilevel"/>
    <w:lvl w:ilvl="0">
      <w:lvlJc w:val="left"/>
      <w:lvlText w:val="%1."/>
      <w:numFmt w:val="decimal"/>
      <w:start w:val="10"/>
    </w:lvl>
  </w:abstractNum>
  <w:abstractNum w:abstractNumId="332">
    <w:nsid w:val="A045AB2"/>
    <w:multiLevelType w:val="hybridMultilevel"/>
    <w:lvl w:ilvl="0">
      <w:lvlJc w:val="left"/>
      <w:lvlText w:val="2"/>
      <w:numFmt w:val="bullet"/>
      <w:start w:val="1"/>
    </w:lvl>
  </w:abstractNum>
  <w:abstractNum w:abstractNumId="333">
    <w:nsid w:val="1872261F"/>
    <w:multiLevelType w:val="hybridMultilevel"/>
    <w:lvl w:ilvl="0">
      <w:lvlJc w:val="left"/>
      <w:lvlText w:val="(%1)"/>
      <w:numFmt w:val="lowerLetter"/>
      <w:start w:val="1"/>
    </w:lvl>
  </w:abstractNum>
  <w:abstractNum w:abstractNumId="334">
    <w:nsid w:val="3DE8306C"/>
    <w:multiLevelType w:val="hybridMultilevel"/>
    <w:lvl w:ilvl="0">
      <w:lvlJc w:val="left"/>
      <w:lvlText w:val="%1"/>
      <w:numFmt w:val="lowerRoman"/>
      <w:start w:val="1"/>
    </w:lvl>
    <w:lvl w:ilvl="1">
      <w:lvlJc w:val="left"/>
      <w:lvlText w:val="(%2)"/>
      <w:numFmt w:val="lowerRoman"/>
      <w:start w:val="1"/>
    </w:lvl>
  </w:abstractNum>
  <w:abstractNum w:abstractNumId="335">
    <w:nsid w:val="7631573A"/>
    <w:multiLevelType w:val="hybridMultilevel"/>
    <w:lvl w:ilvl="0">
      <w:lvlJc w:val="left"/>
      <w:lvlText w:val="(%1)"/>
      <w:numFmt w:val="lowerRoman"/>
      <w:start w:val="4"/>
    </w:lvl>
    <w:lvl w:ilvl="1">
      <w:lvlJc w:val="left"/>
      <w:lvlText w:val="%2"/>
      <w:numFmt w:val="lowerRoman"/>
      <w:start w:val="1"/>
    </w:lvl>
  </w:abstractNum>
  <w:abstractNum w:abstractNumId="336">
    <w:nsid w:val="58DF53B"/>
    <w:multiLevelType w:val="hybridMultilevel"/>
    <w:lvl w:ilvl="0">
      <w:lvlJc w:val="left"/>
      <w:lvlText w:val="(%1)"/>
      <w:numFmt w:val="lowerRoman"/>
      <w:start w:val="1"/>
    </w:lvl>
  </w:abstractNum>
  <w:abstractNum w:abstractNumId="337">
    <w:nsid w:val="ACDFAC0"/>
    <w:multiLevelType w:val="hybridMultilevel"/>
    <w:lvl w:ilvl="0">
      <w:lvlJc w:val="left"/>
      <w:lvlText w:val="(%1)"/>
      <w:numFmt w:val="lowerRoman"/>
      <w:start w:val="1"/>
    </w:lvl>
  </w:abstractNum>
  <w:abstractNum w:abstractNumId="338">
    <w:nsid w:val="1F578454"/>
    <w:multiLevelType w:val="hybridMultilevel"/>
    <w:lvl w:ilvl="0">
      <w:lvlJc w:val="left"/>
      <w:lvlText w:val="(%1)"/>
      <w:numFmt w:val="decimal"/>
      <w:start w:val="2"/>
    </w:lvl>
  </w:abstractNum>
  <w:abstractNum w:abstractNumId="339">
    <w:nsid w:val="5B0DAD2A"/>
    <w:multiLevelType w:val="hybridMultilevel"/>
    <w:lvl w:ilvl="0">
      <w:lvlJc w:val="left"/>
      <w:lvlText w:val="(%1)"/>
      <w:numFmt w:val="decimal"/>
      <w:start w:val="4"/>
    </w:lvl>
  </w:abstractNum>
  <w:abstractNum w:abstractNumId="340">
    <w:nsid w:val="4E3D26AB"/>
    <w:multiLevelType w:val="hybridMultilevel"/>
    <w:lvl w:ilvl="0">
      <w:lvlJc w:val="left"/>
      <w:lvlText w:val="•"/>
      <w:numFmt w:val="bullet"/>
      <w:start w:val="1"/>
    </w:lvl>
  </w:abstractNum>
  <w:abstractNum w:abstractNumId="341">
    <w:nsid w:val="BE2C8BA"/>
    <w:multiLevelType w:val="hybridMultilevel"/>
    <w:lvl w:ilvl="0">
      <w:lvlJc w:val="left"/>
      <w:lvlText w:val="•"/>
      <w:numFmt w:val="bullet"/>
      <w:start w:val="1"/>
    </w:lvl>
  </w:abstractNum>
  <w:abstractNum w:abstractNumId="342">
    <w:nsid w:val="7B14914E"/>
    <w:multiLevelType w:val="hybridMultilevel"/>
    <w:lvl w:ilvl="0">
      <w:lvlJc w:val="left"/>
      <w:lvlText w:val="•"/>
      <w:numFmt w:val="bullet"/>
      <w:start w:val="1"/>
    </w:lvl>
  </w:abstractNum>
  <w:abstractNum w:abstractNumId="343">
    <w:nsid w:val="6F0939F8"/>
    <w:multiLevelType w:val="hybridMultilevel"/>
    <w:lvl w:ilvl="0">
      <w:lvlJc w:val="left"/>
      <w:lvlText w:val="•"/>
      <w:numFmt w:val="bullet"/>
      <w:start w:val="1"/>
    </w:lvl>
  </w:abstractNum>
  <w:abstractNum w:abstractNumId="344">
    <w:nsid w:val="154291F6"/>
    <w:multiLevelType w:val="hybridMultilevel"/>
    <w:lvl w:ilvl="0">
      <w:lvlJc w:val="left"/>
      <w:lvlText w:val="•"/>
      <w:numFmt w:val="bullet"/>
      <w:start w:val="1"/>
    </w:lvl>
  </w:abstractNum>
  <w:abstractNum w:abstractNumId="345">
    <w:nsid w:val="3CEBD7C7"/>
    <w:multiLevelType w:val="hybridMultilevel"/>
    <w:lvl w:ilvl="0">
      <w:lvlJc w:val="left"/>
      <w:lvlText w:val="•"/>
      <w:numFmt w:val="bullet"/>
      <w:start w:val="1"/>
    </w:lvl>
  </w:abstractNum>
  <w:abstractNum w:abstractNumId="346">
    <w:nsid w:val="60EE9C16"/>
    <w:multiLevelType w:val="hybridMultilevel"/>
    <w:lvl w:ilvl="0">
      <w:lvlJc w:val="left"/>
      <w:lvlText w:val="•"/>
      <w:numFmt w:val="bullet"/>
      <w:start w:val="1"/>
    </w:lvl>
  </w:abstractNum>
  <w:abstractNum w:abstractNumId="347">
    <w:nsid w:val="6385489E"/>
    <w:multiLevelType w:val="hybridMultilevel"/>
    <w:lvl w:ilvl="0">
      <w:lvlJc w:val="left"/>
      <w:lvlText w:val="•"/>
      <w:numFmt w:val="bullet"/>
      <w:start w:val="1"/>
    </w:lvl>
  </w:abstractNum>
  <w:abstractNum w:abstractNumId="348">
    <w:nsid w:val="E4B973"/>
    <w:multiLevelType w:val="hybridMultilevel"/>
    <w:lvl w:ilvl="0">
      <w:lvlJc w:val="left"/>
      <w:lvlText w:val="(%1)"/>
      <w:numFmt w:val="lowerLetter"/>
      <w:start w:val="1"/>
    </w:lvl>
  </w:abstractNum>
  <w:abstractNum w:abstractNumId="349">
    <w:nsid w:val="4A0FFA11"/>
    <w:multiLevelType w:val="hybridMultilevel"/>
    <w:lvl w:ilvl="0">
      <w:lvlJc w:val="left"/>
      <w:lvlText w:val="(%1)"/>
      <w:numFmt w:val="lowerLetter"/>
      <w:start w:val="3"/>
    </w:lvl>
  </w:abstractNum>
  <w:abstractNum w:abstractNumId="350">
    <w:nsid w:val="5E446208"/>
    <w:multiLevelType w:val="hybridMultilevel"/>
    <w:lvl w:ilvl="0">
      <w:lvlJc w:val="left"/>
      <w:lvlText w:val="(%1)"/>
      <w:numFmt w:val="lowerLetter"/>
      <w:start w:val="4"/>
    </w:lvl>
    <w:lvl w:ilvl="1">
      <w:lvlJc w:val="left"/>
      <w:lvlText w:val="(%2)"/>
      <w:numFmt w:val="decimal"/>
      <w:start w:val="1"/>
    </w:lvl>
  </w:abstractNum>
  <w:abstractNum w:abstractNumId="351">
    <w:nsid w:val="5F3272DB"/>
    <w:multiLevelType w:val="hybridMultilevel"/>
    <w:lvl w:ilvl="0">
      <w:lvlJc w:val="left"/>
      <w:lvlText w:val="%1."/>
      <w:numFmt w:val="upperLetter"/>
      <w:start w:val="9"/>
    </w:lvl>
  </w:abstractNum>
  <w:abstractNum w:abstractNumId="352">
    <w:nsid w:val="7616D70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53">
    <w:nsid w:val="C56F860"/>
    <w:multiLevelType w:val="hybridMultilevel"/>
    <w:lvl w:ilvl="0">
      <w:lvlJc w:val="left"/>
      <w:lvlText w:val="(%1)"/>
      <w:numFmt w:val="lowerLetter"/>
      <w:start w:val="2"/>
    </w:lvl>
    <w:lvl w:ilvl="1">
      <w:lvlJc w:val="left"/>
      <w:lvlText w:val="(%2)"/>
      <w:numFmt w:val="lowerRoman"/>
      <w:start w:val="1"/>
    </w:lvl>
  </w:abstractNum>
  <w:abstractNum w:abstractNumId="354">
    <w:nsid w:val="64D17722"/>
    <w:multiLevelType w:val="hybridMultilevel"/>
    <w:lvl w:ilvl="0">
      <w:lvlJc w:val="left"/>
      <w:lvlText w:val="%1"/>
      <w:numFmt w:val="decimal"/>
      <w:start w:val="1"/>
    </w:lvl>
    <w:lvl w:ilvl="1">
      <w:lvlJc w:val="left"/>
      <w:lvlText w:val="(%2)"/>
      <w:numFmt w:val="upperLetter"/>
      <w:start w:val="1"/>
    </w:lvl>
  </w:abstractNum>
  <w:abstractNum w:abstractNumId="355">
    <w:nsid w:val="7924CA0A"/>
    <w:multiLevelType w:val="hybridMultilevel"/>
    <w:lvl w:ilvl="0">
      <w:lvlJc w:val="left"/>
      <w:lvlText w:val="(%1)"/>
      <w:numFmt w:val="decimal"/>
      <w:start w:val="2"/>
    </w:lvl>
    <w:lvl w:ilvl="1">
      <w:lvlJc w:val="left"/>
      <w:lvlText w:val="%2"/>
      <w:numFmt w:val="upperLetter"/>
      <w:start w:val="1"/>
    </w:lvl>
  </w:abstractNum>
  <w:abstractNum w:abstractNumId="356">
    <w:nsid w:val="CFD4EA7"/>
    <w:multiLevelType w:val="hybridMultilevel"/>
    <w:lvl w:ilvl="0">
      <w:lvlJc w:val="left"/>
      <w:lvlText w:val="(%1)"/>
      <w:numFmt w:val="upperLetter"/>
      <w:start w:val="4"/>
    </w:lvl>
  </w:abstractNum>
  <w:abstractNum w:abstractNumId="357">
    <w:nsid w:val="232FCF4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58">
    <w:nsid w:val="1EA21031"/>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lvl w:ilvl="3">
      <w:lvlJc w:val="left"/>
      <w:lvlText w:val="%4."/>
      <w:numFmt w:val="decimal"/>
      <w:start w:val="4"/>
    </w:lvl>
    <w:lvl w:ilvl="4">
      <w:lvlJc w:val="left"/>
      <w:lvlText w:val="%5"/>
      <w:numFmt w:val="decimal"/>
      <w:start w:val="1"/>
    </w:lvl>
    <w:lvl w:ilvl="5">
      <w:lvlJc w:val="left"/>
      <w:lvlText w:val="%6"/>
      <w:numFmt w:val="decimal"/>
      <w:start w:val="1"/>
    </w:lvl>
  </w:abstractNum>
  <w:abstractNum w:abstractNumId="359">
    <w:nsid w:val="67A5A6B5"/>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abstractNum>
  <w:abstractNum w:abstractNumId="360">
    <w:nsid w:val="C2A5C5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361">
    <w:nsid w:val="5F94DC0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362">
    <w:nsid w:val="237BBCA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363">
    <w:nsid w:val="162EB70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364">
    <w:nsid w:val="78070222"/>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65">
    <w:nsid w:val="6163ED0D"/>
    <w:multiLevelType w:val="hybridMultilevel"/>
    <w:lvl w:ilvl="0">
      <w:lvlJc w:val="left"/>
      <w:lvlText w:val="%1"/>
      <w:numFmt w:val="decimal"/>
      <w:start w:val="1"/>
    </w:lvl>
    <w:lvl w:ilvl="1">
      <w:lvlJc w:val="left"/>
      <w:lvlText w:val="(%2)"/>
      <w:numFmt w:val="lowerLetter"/>
      <w:start w:val="6"/>
    </w:lvl>
  </w:abstractNum>
  <w:abstractNum w:abstractNumId="366">
    <w:nsid w:val="C600E47"/>
    <w:multiLevelType w:val="hybridMultilevel"/>
    <w:lvl w:ilvl="0">
      <w:lvlJc w:val="left"/>
      <w:lvlText w:val="%1."/>
      <w:numFmt w:val="decimal"/>
      <w:start w:val="4"/>
    </w:lvl>
    <w:lvl w:ilvl="1">
      <w:lvlJc w:val="left"/>
      <w:lvlText w:val="%2"/>
      <w:numFmt w:val="lowerLetter"/>
      <w:start w:val="1"/>
    </w:lvl>
  </w:abstractNum>
  <w:abstractNum w:abstractNumId="367">
    <w:nsid w:val="7D94F75D"/>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368">
    <w:nsid w:val="6C31E7CD"/>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8"/>
    </w:lvl>
    <w:lvl w:ilvl="4">
      <w:lvlJc w:val="left"/>
      <w:lvlText w:val="%5."/>
      <w:numFmt w:val="decimal"/>
      <w:start w:val="9"/>
    </w:lvl>
  </w:abstractNum>
  <w:abstractNum w:abstractNumId="369">
    <w:nsid w:val="2BB7929B"/>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370">
    <w:nsid w:val="58A2A487"/>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71">
    <w:nsid w:val="3A6F0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abstractNum>
  <w:abstractNum w:abstractNumId="372">
    <w:nsid w:val="379A5B5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73">
    <w:nsid w:val="53B735D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lvl w:ilvl="3">
      <w:lvlJc w:val="left"/>
      <w:lvlText w:val="(%4)"/>
      <w:numFmt w:val="lowerLetter"/>
      <w:start w:val="10"/>
    </w:lvl>
    <w:lvl w:ilvl="4">
      <w:lvlJc w:val="left"/>
      <w:lvlText w:val="%5"/>
      <w:numFmt w:val="lowerLetter"/>
      <w:start w:val="1"/>
    </w:lvl>
    <w:lvl w:ilvl="5">
      <w:lvlJc w:val="left"/>
      <w:lvlText w:val="%6"/>
      <w:numFmt w:val="lowerLetter"/>
      <w:start w:val="1"/>
    </w:lvl>
  </w:abstractNum>
  <w:abstractNum w:abstractNumId="374">
    <w:nsid w:val="29784870"/>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75">
    <w:nsid w:val="4CDCED4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abstractNum>
  <w:abstractNum w:abstractNumId="376">
    <w:nsid w:val="10A30D9C"/>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abstractNum>
  <w:abstractNum w:abstractNumId="377">
    <w:nsid w:val="A66E486"/>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378">
    <w:nsid w:val="306235EA"/>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379">
    <w:nsid w:val="1187C70F"/>
    <w:multiLevelType w:val="hybridMultilevel"/>
    <w:lvl w:ilvl="0">
      <w:lvlJc w:val="left"/>
      <w:lvlText w:val="(%1)"/>
      <w:numFmt w:val="lowerLetter"/>
      <w:start w:val="2"/>
    </w:lvl>
  </w:abstractNum>
  <w:abstractNum w:abstractNumId="380">
    <w:nsid w:val="5476DE98"/>
    <w:multiLevelType w:val="hybridMultilevel"/>
    <w:lvl w:ilvl="0">
      <w:lvlJc w:val="left"/>
      <w:lvlText w:val="(%1)"/>
      <w:numFmt w:val="lowerLetter"/>
      <w:start w:val="1"/>
    </w:lvl>
  </w:abstractNum>
  <w:abstractNum w:abstractNumId="381">
    <w:nsid w:val="EA697F2"/>
    <w:multiLevelType w:val="hybridMultilevel"/>
    <w:lvl w:ilvl="0">
      <w:lvlJc w:val="left"/>
      <w:lvlText w:val="(%1)"/>
      <w:numFmt w:val="lowerRoman"/>
      <w:start w:val="1"/>
    </w:lvl>
  </w:abstractNum>
  <w:abstractNum w:abstractNumId="382">
    <w:nsid w:val="70BA39EB"/>
    <w:multiLevelType w:val="hybridMultilevel"/>
    <w:lvl w:ilvl="0">
      <w:lvlJc w:val="left"/>
      <w:lvlText w:val="(%1)"/>
      <w:numFmt w:val="lowerRoman"/>
      <w:start w:val="1"/>
    </w:lvl>
  </w:abstractNum>
  <w:abstractNum w:abstractNumId="383">
    <w:nsid w:val="4A8DB59C"/>
    <w:multiLevelType w:val="hybridMultilevel"/>
    <w:lvl w:ilvl="0">
      <w:lvlJc w:val="left"/>
      <w:lvlText w:val="(%1)"/>
      <w:numFmt w:val="lowerRoman"/>
      <w:start w:val="1"/>
    </w:lvl>
  </w:abstractNum>
  <w:abstractNum w:abstractNumId="384">
    <w:nsid w:val="1AFD9053"/>
    <w:multiLevelType w:val="hybridMultilevel"/>
    <w:lvl w:ilvl="0">
      <w:lvlJc w:val="left"/>
      <w:lvlText w:val="(%1)"/>
      <w:numFmt w:val="lowerRoman"/>
      <w:start w:val="1"/>
    </w:lvl>
  </w:abstractNum>
  <w:abstractNum w:abstractNumId="385">
    <w:nsid w:val="558BB10D"/>
    <w:multiLevelType w:val="hybridMultilevel"/>
    <w:lvl w:ilvl="0">
      <w:lvlJc w:val="left"/>
      <w:lvlText w:val="(%1)"/>
      <w:numFmt w:val="lowerRoman"/>
      <w:start w:val="6"/>
    </w:lvl>
  </w:abstractNum>
  <w:abstractNum w:abstractNumId="386">
    <w:nsid w:val="43B27FA7"/>
    <w:multiLevelType w:val="hybridMultilevel"/>
    <w:lvl w:ilvl="0">
      <w:lvlJc w:val="left"/>
      <w:lvlText w:val="(%1)"/>
      <w:numFmt w:val="decimal"/>
      <w:start w:val="2"/>
    </w:lvl>
  </w:abstractNum>
  <w:abstractNum w:abstractNumId="387">
    <w:nsid w:val="27FADEFA"/>
    <w:multiLevelType w:val="hybridMultilevel"/>
    <w:lvl w:ilvl="0">
      <w:lvlJc w:val="left"/>
      <w:lvlText w:val="(%1)"/>
      <w:numFmt w:val="decimal"/>
      <w:start w:val="7"/>
    </w:lvl>
  </w:abstractNum>
  <w:abstractNum w:abstractNumId="388">
    <w:nsid w:val="78BB805A"/>
    <w:multiLevelType w:val="hybridMultilevel"/>
    <w:lvl w:ilvl="0">
      <w:lvlJc w:val="left"/>
      <w:lvlText w:val="•"/>
      <w:numFmt w:val="bullet"/>
      <w:start w:val="1"/>
    </w:lvl>
  </w:abstractNum>
  <w:abstractNum w:abstractNumId="389">
    <w:nsid w:val="62548FD8"/>
    <w:multiLevelType w:val="hybridMultilevel"/>
    <w:lvl w:ilvl="0">
      <w:lvlJc w:val="left"/>
      <w:lvlText w:val="•"/>
      <w:numFmt w:val="bullet"/>
      <w:start w:val="1"/>
    </w:lvl>
  </w:abstractNum>
  <w:abstractNum w:abstractNumId="390">
    <w:nsid w:val="FA085B0"/>
    <w:multiLevelType w:val="hybridMultilevel"/>
    <w:lvl w:ilvl="0">
      <w:lvlJc w:val="left"/>
      <w:lvlText w:val="•"/>
      <w:numFmt w:val="bullet"/>
      <w:start w:val="1"/>
    </w:lvl>
  </w:abstractNum>
  <w:abstractNum w:abstractNumId="391">
    <w:nsid w:val="4E5DCB5"/>
    <w:multiLevelType w:val="hybridMultilevel"/>
    <w:lvl w:ilvl="0">
      <w:lvlJc w:val="left"/>
      <w:lvlText w:val="•"/>
      <w:numFmt w:val="bullet"/>
      <w:start w:val="1"/>
    </w:lvl>
  </w:abstractNum>
  <w:abstractNum w:abstractNumId="392">
    <w:nsid w:val="41E96BDB"/>
    <w:multiLevelType w:val="hybridMultilevel"/>
    <w:lvl w:ilvl="0">
      <w:lvlJc w:val="left"/>
      <w:lvlText w:val="•"/>
      <w:numFmt w:val="bullet"/>
      <w:start w:val="1"/>
    </w:lvl>
  </w:abstractNum>
  <w:abstractNum w:abstractNumId="393">
    <w:nsid w:val="331C4250"/>
    <w:multiLevelType w:val="hybridMultilevel"/>
    <w:lvl w:ilvl="0">
      <w:lvlJc w:val="left"/>
      <w:lvlText w:val="•"/>
      <w:numFmt w:val="bullet"/>
      <w:start w:val="1"/>
    </w:lvl>
  </w:abstractNum>
  <w:abstractNum w:abstractNumId="394">
    <w:nsid w:val="1B1493C2"/>
    <w:multiLevelType w:val="hybridMultilevel"/>
    <w:lvl w:ilvl="0">
      <w:lvlJc w:val="left"/>
      <w:lvlText w:val="•"/>
      <w:numFmt w:val="bullet"/>
      <w:start w:val="1"/>
    </w:lvl>
  </w:abstractNum>
  <w:abstractNum w:abstractNumId="395">
    <w:nsid w:val="39F06DFD"/>
    <w:multiLevelType w:val="hybridMultilevel"/>
    <w:lvl w:ilvl="0">
      <w:lvlJc w:val="left"/>
      <w:lvlText w:val="•"/>
      <w:numFmt w:val="bullet"/>
      <w:start w:val="1"/>
    </w:lvl>
  </w:abstractNum>
  <w:abstractNum w:abstractNumId="396">
    <w:nsid w:val="14802F5D"/>
    <w:multiLevelType w:val="hybridMultilevel"/>
    <w:lvl w:ilvl="0">
      <w:lvlJc w:val="left"/>
      <w:lvlText w:val="(%1)"/>
      <w:numFmt w:val="lowerLetter"/>
      <w:start w:val="1"/>
    </w:lvl>
  </w:abstractNum>
  <w:abstractNum w:abstractNumId="397">
    <w:nsid w:val="2774A209"/>
    <w:multiLevelType w:val="hybridMultilevel"/>
    <w:lvl w:ilvl="0">
      <w:lvlJc w:val="left"/>
      <w:lvlText w:val="(%1)"/>
      <w:numFmt w:val="lowerLetter"/>
      <w:start w:val="3"/>
    </w:lvl>
  </w:abstractNum>
  <w:abstractNum w:abstractNumId="398">
    <w:nsid w:val="3785655A"/>
    <w:multiLevelType w:val="hybridMultilevel"/>
    <w:lvl w:ilvl="0">
      <w:lvlJc w:val="left"/>
      <w:lvlText w:val="(%1)"/>
      <w:numFmt w:val="lowerLetter"/>
      <w:start w:val="4"/>
    </w:lvl>
    <w:lvl w:ilvl="1">
      <w:lvlJc w:val="left"/>
      <w:lvlText w:val="(%2)"/>
      <w:numFmt w:val="decimal"/>
      <w:start w:val="1"/>
    </w:lvl>
  </w:abstractNum>
  <w:abstractNum w:abstractNumId="399">
    <w:nsid w:val="B2172A"/>
    <w:multiLevelType w:val="hybridMultilevel"/>
    <w:lvl w:ilvl="0">
      <w:lvlJc w:val="left"/>
      <w:lvlText w:val="%1."/>
      <w:numFmt w:val="upperLetter"/>
      <w:start w:val="9"/>
    </w:lvl>
  </w:abstractNum>
  <w:abstractNum w:abstractNumId="400">
    <w:nsid w:val="532C34A5"/>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01">
    <w:nsid w:val="102809E2"/>
    <w:multiLevelType w:val="hybridMultilevel"/>
    <w:lvl w:ilvl="0">
      <w:lvlJc w:val="left"/>
      <w:lvlText w:val="(%1)"/>
      <w:numFmt w:val="lowerLetter"/>
      <w:start w:val="2"/>
    </w:lvl>
    <w:lvl w:ilvl="1">
      <w:lvlJc w:val="left"/>
      <w:lvlText w:val="(%2)"/>
      <w:numFmt w:val="lowerRoman"/>
      <w:start w:val="1"/>
    </w:lvl>
  </w:abstractNum>
  <w:abstractNum w:abstractNumId="402">
    <w:nsid w:val="3B2125A3"/>
    <w:multiLevelType w:val="hybridMultilevel"/>
    <w:lvl w:ilvl="0">
      <w:lvlJc w:val="left"/>
      <w:lvlText w:val="%1"/>
      <w:numFmt w:val="decimal"/>
      <w:start w:val="1"/>
    </w:lvl>
    <w:lvl w:ilvl="1">
      <w:lvlJc w:val="left"/>
      <w:lvlText w:val="(%2)"/>
      <w:numFmt w:val="upperLetter"/>
      <w:start w:val="1"/>
    </w:lvl>
  </w:abstractNum>
  <w:abstractNum w:abstractNumId="403">
    <w:nsid w:val="AC68FFB"/>
    <w:multiLevelType w:val="hybridMultilevel"/>
    <w:lvl w:ilvl="0">
      <w:lvlJc w:val="left"/>
      <w:lvlText w:val="(%1)"/>
      <w:numFmt w:val="decimal"/>
      <w:start w:val="2"/>
    </w:lvl>
    <w:lvl w:ilvl="1">
      <w:lvlJc w:val="left"/>
      <w:lvlText w:val="%2"/>
      <w:numFmt w:val="upperLetter"/>
      <w:start w:val="1"/>
    </w:lvl>
  </w:abstractNum>
  <w:abstractNum w:abstractNumId="404">
    <w:nsid w:val="63DF3FB7"/>
    <w:multiLevelType w:val="hybridMultilevel"/>
    <w:lvl w:ilvl="0">
      <w:lvlJc w:val="left"/>
      <w:lvlText w:val="(%1)"/>
      <w:numFmt w:val="upperLetter"/>
      <w:start w:val="4"/>
    </w:lvl>
  </w:abstractNum>
  <w:abstractNum w:abstractNumId="405">
    <w:nsid w:val="64996E1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06">
    <w:nsid w:val="57A37D47"/>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lvl w:ilvl="3">
      <w:lvlJc w:val="left"/>
      <w:lvlText w:val="%4."/>
      <w:numFmt w:val="decimal"/>
      <w:start w:val="4"/>
    </w:lvl>
    <w:lvl w:ilvl="4">
      <w:lvlJc w:val="left"/>
      <w:lvlText w:val="%5"/>
      <w:numFmt w:val="decimal"/>
      <w:start w:val="1"/>
    </w:lvl>
    <w:lvl w:ilvl="5">
      <w:lvlJc w:val="left"/>
      <w:lvlText w:val="%6"/>
      <w:numFmt w:val="decimal"/>
      <w:start w:val="1"/>
    </w:lvl>
  </w:abstractNum>
  <w:abstractNum w:abstractNumId="407">
    <w:nsid w:val="74824D54"/>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abstractNum>
  <w:abstractNum w:abstractNumId="408">
    <w:nsid w:val="6F00529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09">
    <w:nsid w:val="805B331"/>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410">
    <w:nsid w:val="60A14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411">
    <w:nsid w:val="43773132"/>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412">
    <w:nsid w:val="16AC4B23"/>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13">
    <w:nsid w:val="76C44E4E"/>
    <w:multiLevelType w:val="hybridMultilevel"/>
    <w:lvl w:ilvl="0">
      <w:lvlJc w:val="left"/>
      <w:lvlText w:val="%1"/>
      <w:numFmt w:val="decimal"/>
      <w:start w:val="1"/>
    </w:lvl>
    <w:lvl w:ilvl="1">
      <w:lvlJc w:val="left"/>
      <w:lvlText w:val="(%2)"/>
      <w:numFmt w:val="lowerLetter"/>
      <w:start w:val="6"/>
    </w:lvl>
  </w:abstractNum>
  <w:abstractNum w:abstractNumId="414">
    <w:nsid w:val="E04E6CE"/>
    <w:multiLevelType w:val="hybridMultilevel"/>
    <w:lvl w:ilvl="0">
      <w:lvlJc w:val="left"/>
      <w:lvlText w:val="%1."/>
      <w:numFmt w:val="decimal"/>
      <w:start w:val="4"/>
    </w:lvl>
    <w:lvl w:ilvl="1">
      <w:lvlJc w:val="left"/>
      <w:lvlText w:val="%2"/>
      <w:numFmt w:val="lowerLetter"/>
      <w:start w:val="1"/>
    </w:lvl>
  </w:abstractNum>
  <w:abstractNum w:abstractNumId="415">
    <w:nsid w:val="31A9DB76"/>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16">
    <w:nsid w:val="4C4FFF5B"/>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8"/>
    </w:lvl>
    <w:lvl w:ilvl="4">
      <w:lvlJc w:val="left"/>
      <w:lvlText w:val="%5."/>
      <w:numFmt w:val="decimal"/>
      <w:start w:val="9"/>
    </w:lvl>
  </w:abstractNum>
  <w:abstractNum w:abstractNumId="417">
    <w:nsid w:val="51B76675"/>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418">
    <w:nsid w:val="59A4BA71"/>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419">
    <w:nsid w:val="450B7FB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3"/>
    </w:lvl>
  </w:abstractNum>
  <w:abstractNum w:abstractNumId="420">
    <w:nsid w:val="340BF64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abstractNum>
  <w:abstractNum w:abstractNumId="421">
    <w:nsid w:val="6945402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lvl w:ilvl="3">
      <w:lvlJc w:val="left"/>
      <w:lvlText w:val="(%4)"/>
      <w:numFmt w:val="lowerLetter"/>
      <w:start w:val="9"/>
    </w:lvl>
    <w:lvl w:ilvl="4">
      <w:lvlJc w:val="left"/>
      <w:lvlText w:val="%5"/>
      <w:numFmt w:val="lowerLetter"/>
      <w:start w:val="1"/>
    </w:lvl>
    <w:lvl w:ilvl="5">
      <w:lvlJc w:val="left"/>
      <w:lvlText w:val="%6"/>
      <w:numFmt w:val="lowerLetter"/>
      <w:start w:val="1"/>
    </w:lvl>
  </w:abstractNum>
  <w:abstractNum w:abstractNumId="422">
    <w:nsid w:val="49F15C6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423">
    <w:nsid w:val="75F56228"/>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abstractNum>
  <w:abstractNum w:abstractNumId="424">
    <w:nsid w:val="1C618271"/>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abstractNum>
  <w:abstractNum w:abstractNumId="425">
    <w:nsid w:val="6505F02E"/>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26">
    <w:nsid w:val="2FE5D025"/>
    <w:multiLevelType w:val="hybridMultilevel"/>
    <w:lvl w:ilvl="0">
      <w:lvlJc w:val="left"/>
      <w:lvlText w:val="(%1)"/>
      <w:numFmt w:val="lowerLetter"/>
      <w:start w:val="2"/>
    </w:lvl>
  </w:abstractNum>
  <w:abstractNum w:abstractNumId="427">
    <w:nsid w:val="30E1B1CF"/>
    <w:multiLevelType w:val="hybridMultilevel"/>
    <w:lvl w:ilvl="0">
      <w:lvlJc w:val="left"/>
      <w:lvlText w:val="(%1)"/>
      <w:numFmt w:val="lowerLetter"/>
      <w:start w:val="1"/>
    </w:lvl>
  </w:abstractNum>
  <w:abstractNum w:abstractNumId="428">
    <w:nsid w:val="C7A9237"/>
    <w:multiLevelType w:val="hybridMultilevel"/>
    <w:lvl w:ilvl="0">
      <w:lvlJc w:val="left"/>
      <w:lvlText w:val="(%1)"/>
      <w:numFmt w:val="lowerRoman"/>
      <w:start w:val="1"/>
    </w:lvl>
  </w:abstractNum>
  <w:abstractNum w:abstractNumId="429">
    <w:nsid w:val="676B3580"/>
    <w:multiLevelType w:val="hybridMultilevel"/>
    <w:lvl w:ilvl="0">
      <w:lvlJc w:val="left"/>
      <w:lvlText w:val="%1."/>
      <w:numFmt w:val="upperLetter"/>
      <w:start w:val="9"/>
    </w:lvl>
  </w:abstractNum>
  <w:abstractNum w:abstractNumId="430">
    <w:nsid w:val="3193C8F9"/>
    <w:multiLevelType w:val="hybridMultilevel"/>
    <w:lvl w:ilvl="0">
      <w:lvlJc w:val="left"/>
      <w:lvlText w:val="%1."/>
      <w:numFmt w:val="upperLetter"/>
      <w:start w:val="35"/>
    </w:lvl>
  </w:abstractNum>
  <w:abstractNum w:abstractNumId="431">
    <w:nsid w:val="5FA6C6D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32">
    <w:nsid w:val="77933F62"/>
    <w:multiLevelType w:val="hybridMultilevel"/>
    <w:lvl w:ilvl="0">
      <w:lvlJc w:val="left"/>
      <w:lvlText w:val="(%1)"/>
      <w:numFmt w:val="lowerLetter"/>
      <w:start w:val="2"/>
    </w:lvl>
    <w:lvl w:ilvl="1">
      <w:lvlJc w:val="left"/>
      <w:lvlText w:val="(%2)"/>
      <w:numFmt w:val="decimal"/>
      <w:start w:val="1"/>
    </w:lvl>
  </w:abstractNum>
  <w:abstractNum w:abstractNumId="433">
    <w:nsid w:val="6CB4EE9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4"/>
    </w:lvl>
    <w:lvl w:ilvl="4">
      <w:lvlJc w:val="left"/>
      <w:lvlText w:val="%5"/>
      <w:numFmt w:val="lowerLetter"/>
      <w:start w:val="1"/>
    </w:lvl>
  </w:abstractNum>
  <w:abstractNum w:abstractNumId="434">
    <w:nsid w:val="6A6D56D7"/>
    <w:multiLevelType w:val="hybridMultilevel"/>
    <w:lvl w:ilvl="0">
      <w:lvlJc w:val="left"/>
      <w:lvlText w:val="%1."/>
      <w:numFmt w:val="decimal"/>
      <w:start w:val="2"/>
    </w:lvl>
    <w:lvl w:ilvl="1">
      <w:lvlJc w:val="left"/>
      <w:lvlText w:val="%2."/>
      <w:numFmt w:val="decimal"/>
      <w:start w:val="2"/>
    </w:lvl>
    <w:lvl w:ilvl="2">
      <w:lvlJc w:val="left"/>
      <w:lvlText w:val="%3."/>
      <w:numFmt w:val="decimal"/>
      <w:start w:val="4"/>
    </w:lvl>
    <w:lvl w:ilvl="3">
      <w:lvlJc w:val="left"/>
      <w:lvlText w:val="(%4)"/>
      <w:numFmt w:val="lowerLetter"/>
      <w:start w:val="1"/>
    </w:lvl>
    <w:lvl w:ilvl="4">
      <w:lvlJc w:val="left"/>
      <w:lvlText w:val="(%5)"/>
      <w:numFmt w:val="lowerLetter"/>
      <w:start w:val="1"/>
    </w:lvl>
  </w:abstractNum>
  <w:abstractNum w:abstractNumId="435">
    <w:nsid w:val="5B727F19"/>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436">
    <w:nsid w:val="514E5CB0"/>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437">
    <w:nsid w:val="4210D41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38">
    <w:nsid w:val="4FF4CC6D"/>
    <w:multiLevelType w:val="hybridMultilevel"/>
    <w:lvl w:ilvl="0">
      <w:lvlJc w:val="left"/>
      <w:lvlText w:val="(%1)"/>
      <w:numFmt w:val="decimal"/>
      <w:start w:val="5"/>
    </w:lvl>
  </w:abstractNum>
  <w:abstractNum w:abstractNumId="439">
    <w:nsid w:val="404EAF4A"/>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5"/>
    </w:lvl>
  </w:abstractNum>
  <w:abstractNum w:abstractNumId="440">
    <w:nsid w:val="4A16874F"/>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7"/>
    </w:lvl>
    <w:lvl w:ilvl="4">
      <w:lvlJc w:val="left"/>
      <w:lvlText w:val="%5"/>
      <w:numFmt w:val="decimal"/>
      <w:start w:val="1"/>
    </w:lvl>
  </w:abstractNum>
  <w:abstractNum w:abstractNumId="441">
    <w:nsid w:val="55FEE0D1"/>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42">
    <w:nsid w:val="3C5E07C"/>
    <w:multiLevelType w:val="hybridMultilevel"/>
    <w:lvl w:ilvl="0">
      <w:lvlJc w:val="left"/>
      <w:lvlText w:val="%1."/>
      <w:numFmt w:val="decimal"/>
      <w:start w:val="9"/>
    </w:lvl>
    <w:lvl w:ilvl="1">
      <w:lvlJc w:val="left"/>
      <w:lvlText w:val="%2."/>
      <w:numFmt w:val="decimal"/>
      <w:start w:val="10"/>
    </w:lvl>
  </w:abstractNum>
  <w:abstractNum w:abstractNumId="443">
    <w:nsid w:val="60C2D273"/>
    <w:multiLevelType w:val="hybridMultilevel"/>
    <w:lvl w:ilvl="0">
      <w:lvlJc w:val="left"/>
      <w:lvlText w:val="%1."/>
      <w:numFmt w:val="decimal"/>
      <w:start w:val="1"/>
    </w:lvl>
    <w:lvl w:ilvl="1">
      <w:lvlJc w:val="left"/>
      <w:lvlText w:val="%2)"/>
      <w:numFmt w:val="lowerLetter"/>
      <w:start w:val="1"/>
    </w:lvl>
  </w:abstractNum>
  <w:abstractNum w:abstractNumId="444">
    <w:nsid w:val="4CC32F1F"/>
    <w:multiLevelType w:val="hybridMultilevel"/>
    <w:lvl w:ilvl="0">
      <w:lvlJc w:val="left"/>
      <w:lvlText w:val="%1."/>
      <w:numFmt w:val="decimal"/>
      <w:start w:val="1"/>
    </w:lvl>
    <w:lvl w:ilvl="1">
      <w:lvlJc w:val="left"/>
      <w:lvlText w:val="%2)"/>
      <w:numFmt w:val="lowerLetter"/>
      <w:start w:val="1"/>
    </w:lvl>
  </w:abstractNum>
  <w:abstractNum w:abstractNumId="445">
    <w:nsid w:val="11CAC74A"/>
    <w:multiLevelType w:val="hybridMultilevel"/>
    <w:lvl w:ilvl="0">
      <w:lvlJc w:val="left"/>
      <w:lvlText w:val="%1."/>
      <w:numFmt w:val="decimal"/>
      <w:start w:val="1"/>
    </w:lvl>
  </w:abstractNum>
  <w:abstractNum w:abstractNumId="446">
    <w:nsid w:val="126CA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65" Type="http://schemas.openxmlformats.org/officeDocument/2006/relationships/hyperlink" Target="https://www.sec.gov/Archives/edgar/data/842633/000110465907058776/a07-19157_1ex3d1.htm" TargetMode="External"/><Relationship Id="rId66" Type="http://schemas.openxmlformats.org/officeDocument/2006/relationships/hyperlink" Target="https://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2026-04-30T13:02:43Z</dcterms:created>
  <dcterms:modified xsi:type="dcterms:W3CDTF">2026-04-30T13:02:43Z</dcterms:modified>
</cp:coreProperties>
</file>