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70" w:lineRule="exact"/>
        <w:rPr>
          <w:sz w:val="24"/>
          <w:szCs w:val="24"/>
          <w:color w:val="auto"/>
        </w:rPr>
      </w:pPr>
    </w:p>
    <w:p>
      <w:pPr>
        <w:ind w:left="1800" w:hanging="1049"/>
        <w:spacing w:after="0"/>
        <w:tabs>
          <w:tab w:leader="none" w:pos="18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1800" w:hanging="1049"/>
        <w:spacing w:after="0"/>
        <w:tabs>
          <w:tab w:leader="none" w:pos="18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Arial" w:cs="Arial" w:eastAsia="Arial" w:hAnsi="Arial"/>
                <w:sz w:val="18"/>
                <w:szCs w:val="18"/>
                <w:b w:val="1"/>
                <w:bCs w:val="1"/>
                <w:color w:val="auto"/>
                <w:w w:val="91"/>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500" w:type="dxa"/>
            <w:vAlign w:val="bottom"/>
            <w:gridSpan w:val="4"/>
          </w:tcPr>
          <w:p>
            <w:pPr>
              <w:jc w:val="center"/>
              <w:ind w:left="381"/>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5"/>
        </w:trPr>
        <w:tc>
          <w:tcPr>
            <w:tcW w:w="4500" w:type="dxa"/>
            <w:vAlign w:val="bottom"/>
            <w:gridSpan w:val="4"/>
          </w:tcPr>
          <w:p>
            <w:pPr>
              <w:jc w:val="center"/>
              <w:ind w:left="381"/>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4500" w:type="dxa"/>
            <w:vAlign w:val="bottom"/>
            <w:gridSpan w:val="4"/>
          </w:tcPr>
          <w:p>
            <w:pPr>
              <w:jc w:val="center"/>
              <w:ind w:left="401"/>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6"/>
        </w:trPr>
        <w:tc>
          <w:tcPr>
            <w:tcW w:w="2780" w:type="dxa"/>
            <w:vAlign w:val="bottom"/>
          </w:tcPr>
          <w:p>
            <w:pPr>
              <w:jc w:val="center"/>
              <w:ind w:right="521"/>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1"/>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Pr>
          <w:p>
            <w:pPr>
              <w:jc w:val="center"/>
              <w:ind w:right="521"/>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5"/>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4500" w:type="dxa"/>
            <w:vAlign w:val="bottom"/>
            <w:gridSpan w:val="4"/>
          </w:tcPr>
          <w:p>
            <w:pPr>
              <w:jc w:val="center"/>
              <w:ind w:left="401"/>
              <w:spacing w:after="0"/>
              <w:rPr>
                <w:sz w:val="20"/>
                <w:szCs w:val="20"/>
                <w:color w:val="auto"/>
              </w:rPr>
            </w:pPr>
            <w:r>
              <w:rPr>
                <w:rFonts w:ascii="Arial" w:cs="Arial" w:eastAsia="Arial" w:hAnsi="Arial"/>
                <w:sz w:val="18"/>
                <w:szCs w:val="18"/>
                <w:b w:val="1"/>
                <w:bCs w:val="1"/>
                <w:color w:val="auto"/>
                <w:w w:val="90"/>
              </w:rPr>
              <w:t>39400 Woodward Avenue, Suite 130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Bloomfield Hills, Michigan 48304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(248) 631-5450</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2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174" w:lineRule="exact"/>
        <w:rPr>
          <w:sz w:val="24"/>
          <w:szCs w:val="24"/>
          <w:color w:val="auto"/>
        </w:rPr>
      </w:pPr>
    </w:p>
    <w:p>
      <w:pPr>
        <w:jc w:val="center"/>
        <w:ind w:left="8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4">
            <w:col w:w="2820" w:space="720"/>
            <w:col w:w="1460" w:space="720"/>
            <w:col w:w="1920" w:space="720"/>
            <w:col w:w="3060"/>
          </w:cols>
          <w:pgMar w:left="240" w:top="233" w:right="239" w:bottom="1440" w:gutter="0" w:footer="0" w:header="0"/>
          <w:type w:val="continuous"/>
        </w:sectPr>
      </w:pPr>
    </w:p>
    <w:p>
      <w:pPr>
        <w:jc w:val="center"/>
        <w:ind w:left="1700"/>
        <w:spacing w:after="0"/>
        <w:rPr>
          <w:sz w:val="20"/>
          <w:szCs w:val="20"/>
          <w:color w:val="auto"/>
        </w:rPr>
      </w:pPr>
      <w:r>
        <w:rPr>
          <w:rFonts w:ascii="Arial" w:cs="Arial" w:eastAsia="Arial" w:hAnsi="Arial"/>
          <w:sz w:val="13"/>
          <w:szCs w:val="13"/>
          <w:color w:val="auto"/>
        </w:rPr>
        <w:t>(Do not check if a</w:t>
      </w:r>
    </w:p>
    <w:p>
      <w:pPr>
        <w:jc w:val="center"/>
        <w:ind w:left="1700"/>
        <w:spacing w:after="0"/>
        <w:rPr>
          <w:sz w:val="20"/>
          <w:szCs w:val="20"/>
          <w:color w:val="auto"/>
        </w:rPr>
      </w:pPr>
      <w:r>
        <w:rPr>
          <w:rFonts w:ascii="Arial" w:cs="Arial" w:eastAsia="Arial" w:hAnsi="Arial"/>
          <w:sz w:val="11"/>
          <w:szCs w:val="11"/>
          <w:color w:val="auto"/>
        </w:rPr>
        <w:t>smaller reporting company)</w:t>
      </w:r>
    </w:p>
    <w:p>
      <w:pPr>
        <w:sectPr>
          <w:pgSz w:w="11900" w:h="16838" w:orient="portrait"/>
          <w:cols w:equalWidth="0" w:num="1">
            <w:col w:w="11420"/>
          </w:cols>
          <w:pgMar w:left="240" w:top="233" w:right="239" w:bottom="1440" w:gutter="0" w:footer="0" w:header="0"/>
          <w:type w:val="continuous"/>
        </w:sectPr>
      </w:pPr>
    </w:p>
    <w:p>
      <w:pPr>
        <w:spacing w:after="0" w:line="106" w:lineRule="exact"/>
        <w:rPr>
          <w:sz w:val="24"/>
          <w:szCs w:val="24"/>
          <w:color w:val="auto"/>
        </w:rPr>
      </w:pPr>
    </w:p>
    <w:p>
      <w:pPr>
        <w:ind w:right="2100"/>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July 22, 2016, the number of outstanding shares of the Registrant's common stock, $0.01 par value, was 45,463,706 shares.</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60" w:type="dxa"/>
            <w:vAlign w:val="bottom"/>
            <w:gridSpan w:val="13"/>
          </w:tcPr>
          <w:p>
            <w:pPr>
              <w:jc w:val="center"/>
              <w:ind w:right="3300"/>
              <w:spacing w:after="0"/>
              <w:rPr>
                <w:sz w:val="20"/>
                <w:szCs w:val="20"/>
                <w:color w:val="auto"/>
              </w:rPr>
            </w:pPr>
            <w:r>
              <w:rPr>
                <w:rFonts w:ascii="Arial" w:cs="Arial" w:eastAsia="Arial" w:hAnsi="Arial"/>
                <w:sz w:val="18"/>
                <w:szCs w:val="18"/>
                <w:b w:val="1"/>
                <w:bCs w:val="1"/>
                <w:color w:val="auto"/>
                <w:w w:val="95"/>
              </w:rPr>
              <w:t>TriMas Corporation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1"/>
          </w:tcPr>
          <w:p>
            <w:pPr>
              <w:jc w:val="center"/>
              <w:ind w:right="3840"/>
              <w:spacing w:after="0"/>
              <w:rPr>
                <w:sz w:val="20"/>
                <w:szCs w:val="20"/>
                <w:color w:val="auto"/>
              </w:rPr>
            </w:pPr>
            <w:r>
              <w:rPr>
                <w:rFonts w:ascii="Arial" w:cs="Arial" w:eastAsia="Arial" w:hAnsi="Arial"/>
                <w:sz w:val="18"/>
                <w:szCs w:val="18"/>
                <w:b w:val="1"/>
                <w:bCs w:val="1"/>
                <w:color w:val="auto"/>
                <w:w w:val="93"/>
              </w:rPr>
              <w:t>Index</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0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84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 as of June 30, 2016 and December 31, 2015</w:t>
              </w:r>
            </w:hyperlink>
          </w:p>
        </w:tc>
        <w:tc>
          <w:tcPr>
            <w:tcW w:w="1700" w:type="dxa"/>
            <w:vAlign w:val="bottom"/>
            <w:gridSpan w:val="6"/>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 of Income for the Three and Six Months Ended June 30, 2016 and</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 of Comprehensive Income for the Three and Six Months Ended June</w:t>
              </w:r>
            </w:hyperlink>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30, 2016 and 2015</w:t>
              </w:r>
            </w:hyperlink>
          </w:p>
        </w:tc>
        <w:tc>
          <w:tcPr>
            <w:tcW w:w="5580" w:type="dxa"/>
            <w:vAlign w:val="bottom"/>
            <w:gridSpan w:val="14"/>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Cash Flows for the Six Months Ended June 30, 2016 and 2015</w:t>
              </w:r>
            </w:hyperlink>
          </w:p>
        </w:tc>
        <w:tc>
          <w:tcPr>
            <w:tcW w:w="460" w:type="dxa"/>
            <w:vAlign w:val="bottom"/>
            <w:gridSpan w:val="3"/>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Shareholders' Equity for the Six Months Ended June 30, 2016</w:t>
              </w:r>
            </w:hyperlink>
          </w:p>
        </w:tc>
        <w:tc>
          <w:tcPr>
            <w:tcW w:w="52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6920" w:type="dxa"/>
            <w:vAlign w:val="bottom"/>
            <w:gridSpan w:val="22"/>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35</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280" w:type="dxa"/>
            <w:vAlign w:val="bottom"/>
            <w:gridSpan w:val="3"/>
          </w:tcPr>
          <w:p>
            <w:pPr>
              <w:spacing w:after="0"/>
              <w:rPr>
                <w:sz w:val="24"/>
                <w:szCs w:val="24"/>
                <w:color w:val="auto"/>
              </w:rPr>
            </w:pP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2620" w:type="dxa"/>
            <w:vAlign w:val="bottom"/>
            <w:gridSpan w:val="8"/>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35</w:t>
              </w:r>
            </w:hyperlink>
          </w:p>
        </w:tc>
      </w:tr>
      <w:tr>
        <w:trPr>
          <w:trHeight w:val="20"/>
        </w:trPr>
        <w:tc>
          <w:tcPr>
            <w:tcW w:w="1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420" w:type="dxa"/>
            <w:vAlign w:val="bottom"/>
          </w:tcPr>
          <w:p>
            <w:pPr>
              <w:spacing w:after="0"/>
              <w:rPr>
                <w:sz w:val="24"/>
                <w:szCs w:val="24"/>
                <w:color w:val="auto"/>
              </w:rPr>
            </w:pPr>
          </w:p>
        </w:tc>
        <w:tc>
          <w:tcPr>
            <w:tcW w:w="1440" w:type="dxa"/>
            <w:vAlign w:val="bottom"/>
            <w:tcBorders>
              <w:bottom w:val="single" w:sz="8" w:color="0000EE"/>
            </w:tcBorders>
            <w:gridSpan w:val="7"/>
          </w:tcPr>
          <w:p>
            <w:pPr>
              <w:spacing w:after="0"/>
              <w:rPr>
                <w:rFonts w:ascii="Arial" w:cs="Arial" w:eastAsia="Arial" w:hAnsi="Arial"/>
                <w:sz w:val="18"/>
                <w:szCs w:val="18"/>
                <w:b w:val="1"/>
                <w:bCs w:val="1"/>
                <w:color w:val="0000EE"/>
                <w:w w:val="93"/>
              </w:rPr>
            </w:pPr>
            <w:hyperlink w:anchor="page41">
              <w:r>
                <w:rPr>
                  <w:rFonts w:ascii="Arial" w:cs="Arial" w:eastAsia="Arial" w:hAnsi="Arial"/>
                  <w:sz w:val="18"/>
                  <w:szCs w:val="18"/>
                  <w:b w:val="1"/>
                  <w:bCs w:val="1"/>
                  <w:color w:val="0000EE"/>
                  <w:w w:val="93"/>
                </w:rPr>
                <w:t>Other Information</w:t>
              </w:r>
            </w:hyperlink>
          </w:p>
        </w:tc>
        <w:tc>
          <w:tcPr>
            <w:tcW w:w="6400" w:type="dxa"/>
            <w:vAlign w:val="bottom"/>
            <w:gridSpan w:val="20"/>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3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1A.</w:t>
              </w:r>
            </w:hyperlink>
          </w:p>
        </w:tc>
        <w:tc>
          <w:tcPr>
            <w:tcW w:w="280" w:type="dxa"/>
            <w:vAlign w:val="bottom"/>
            <w:gridSpan w:val="3"/>
          </w:tcPr>
          <w:p>
            <w:pPr>
              <w:spacing w:after="0"/>
              <w:rPr>
                <w:sz w:val="24"/>
                <w:szCs w:val="24"/>
                <w:color w:val="auto"/>
              </w:rPr>
            </w:pPr>
          </w:p>
        </w:tc>
        <w:tc>
          <w:tcPr>
            <w:tcW w:w="900" w:type="dxa"/>
            <w:vAlign w:val="bottom"/>
            <w:tcBorders>
              <w:top w:val="single" w:sz="8" w:color="0000EE"/>
            </w:tcBorders>
            <w:gridSpan w:val="5"/>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5600" w:type="dxa"/>
            <w:vAlign w:val="bottom"/>
            <w:gridSpan w:val="15"/>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692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3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60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692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3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16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5.</w:t>
              </w:r>
            </w:hyperlink>
          </w:p>
        </w:tc>
        <w:tc>
          <w:tcPr>
            <w:tcW w:w="692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3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2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692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38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r>
      <w:tr>
        <w:trPr>
          <w:trHeight w:val="723"/>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13"/>
          </w:tcPr>
          <w:p>
            <w:pPr>
              <w:jc w:val="center"/>
              <w:ind w:left="215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320"/>
          </w:cols>
          <w:pgMar w:left="240" w:top="108" w:right="1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risks and uncertainties with respect to: the Company's leverage; liabilities imposed by the Company's debt instruments; market demand; competitive factors; supply constraints; material and energy costs; risks and uncertainties associated with intangible assets, including goodwill or other intangible asset impairment charges; technology factors; litigation; government and regulatory actions; the Company's accounting policies; future trends; general economic and currency conditions; various conditions specific to the Company's business and industry; the Company’s ability to identify attractive acquisition candidates, successfully integrate acquired operations or realize the intended benefits of such acquisitions; the Company’s ability to attain targeted savings and free cash flow amounts under its Financial Improvement Plan; future prospects of the Company; and other risks that are discussed in Part I, Item 1A, "Risk Factors," in our Annual Report on Form 10-K for the year ended December 31, 2015.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6"/>
              </w:rPr>
              <w:t>Receivables, net of reserves of approximately $3.9 million and $3.7 million as of June 30, 2016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2015,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124,620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121,990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167,370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17,810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178,660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181,130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263,510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273,870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1,150,200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1,170,300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77,820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88,420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133,330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152,750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11,260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53,320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592,000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623,110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w w:val="91"/>
              </w:rPr>
              <w:t>Issued and outstanding: 45,463,706 shares at June 30, 2016 and 45,322,527 shares at December 31, 2015</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(254,120)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558,200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547,190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1,150,200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1,170,300</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449,030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(293,200)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(324,390)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Debt financing and extinguishment costs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15,690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45,429,851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45,150,827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45,354,421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45,074,394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45,726,348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45,418,907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45,690,582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45,409,875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0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r>
      <w:tr>
        <w:trPr>
          <w:trHeight w:val="33"/>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15,690</w:t>
            </w: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Defined benefit pension and postretirement plans (Note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43"/>
        </w:trPr>
        <w:tc>
          <w:tcPr>
            <w:tcW w:w="44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(5,660)</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 (Note 8)</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7"/>
        </w:trPr>
        <w:tc>
          <w:tcPr>
            <w:tcW w:w="4480" w:type="dxa"/>
            <w:vAlign w:val="bottom"/>
          </w:tcPr>
          <w:p>
            <w:pPr>
              <w:ind w:left="16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w:t>
            </w:r>
          </w:p>
        </w:tc>
      </w:tr>
      <w:tr>
        <w:trPr>
          <w:trHeight w:val="27"/>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80"/>
          </w:cols>
          <w:pgMar w:left="240" w:top="125"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10"/>
              <w:spacing w:after="0"/>
              <w:rPr>
                <w:sz w:val="20"/>
                <w:szCs w:val="20"/>
                <w:color w:val="auto"/>
              </w:rPr>
            </w:pPr>
            <w:r>
              <w:rPr>
                <w:rFonts w:ascii="Arial" w:cs="Arial" w:eastAsia="Arial" w:hAnsi="Arial"/>
                <w:sz w:val="16"/>
                <w:szCs w:val="16"/>
                <w:b w:val="1"/>
                <w:bCs w:val="1"/>
                <w:color w:val="auto"/>
                <w:w w:val="89"/>
              </w:rPr>
              <w:t>Six months ended June 30,</w:t>
            </w:r>
          </w:p>
        </w:tc>
        <w:tc>
          <w:tcPr>
            <w:tcW w:w="0" w:type="dxa"/>
            <w:vAlign w:val="bottom"/>
          </w:tcPr>
          <w:p>
            <w:pPr>
              <w:spacing w:after="0"/>
              <w:rPr>
                <w:sz w:val="1"/>
                <w:szCs w:val="1"/>
                <w:color w:val="auto"/>
              </w:rPr>
            </w:pPr>
          </w:p>
        </w:tc>
      </w:tr>
      <w:tr>
        <w:trPr>
          <w:trHeight w:val="33"/>
        </w:trPr>
        <w:tc>
          <w:tcPr>
            <w:tcW w:w="7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15,690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18,780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Loss on dispositions of property and equipment</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debt issue costs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Non-cash compensation expense</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Excess tax benefits from stock based compensation</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financing and extinguishment costs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Increase in receivables</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(8,930)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decrease in inventories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Decrease in accounts payable and 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37"/>
        </w:trPr>
        <w:tc>
          <w:tcPr>
            <w:tcW w:w="7800" w:type="dxa"/>
            <w:vAlign w:val="bottom"/>
          </w:tcPr>
          <w:p>
            <w:pPr>
              <w:ind w:left="48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Net proceeds from disposition of property and equipment</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for investing activities of continuing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237"/>
        </w:trPr>
        <w:tc>
          <w:tcPr>
            <w:tcW w:w="7800" w:type="dxa"/>
            <w:vAlign w:val="bottom"/>
          </w:tcPr>
          <w:p>
            <w:pPr>
              <w:ind w:left="480"/>
              <w:spacing w:after="0"/>
              <w:rPr>
                <w:sz w:val="20"/>
                <w:szCs w:val="20"/>
                <w:color w:val="auto"/>
              </w:rPr>
            </w:pPr>
            <w:r>
              <w:rPr>
                <w:rFonts w:ascii="Arial" w:cs="Arial" w:eastAsia="Arial" w:hAnsi="Arial"/>
                <w:sz w:val="18"/>
                <w:szCs w:val="18"/>
                <w:color w:val="auto"/>
              </w:rPr>
              <w:t>Net cash used for investing activities of discontinued operations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borrowings on term loan facilities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Repayments of borrowings on term loan facilities</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(441,360)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697,890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(703,390)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 for deferred purchase price</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Debt financing fees</w:t>
            </w: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8"/>
              </w:rPr>
              <w:t>Shares surrendered upon vesting of options and restricted stock awards to cover tax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Excess tax benefits from stock 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Cash transferred to the Cequent businesses</w:t>
            </w: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for financing activities of continuing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(198,390)</w:t>
            </w:r>
          </w:p>
        </w:tc>
        <w:tc>
          <w:tcPr>
            <w:tcW w:w="0" w:type="dxa"/>
            <w:vAlign w:val="bottom"/>
          </w:tcPr>
          <w:p>
            <w:pPr>
              <w:spacing w:after="0"/>
              <w:rPr>
                <w:sz w:val="1"/>
                <w:szCs w:val="1"/>
                <w:color w:val="auto"/>
              </w:rPr>
            </w:pPr>
          </w:p>
        </w:tc>
      </w:tr>
      <w:tr>
        <w:trPr>
          <w:trHeight w:val="237"/>
        </w:trPr>
        <w:tc>
          <w:tcPr>
            <w:tcW w:w="7800" w:type="dxa"/>
            <w:vAlign w:val="bottom"/>
          </w:tcPr>
          <w:p>
            <w:pPr>
              <w:ind w:left="48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208,400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increase for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At beginning of period</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26,170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800" w:type="dxa"/>
            <w:vAlign w:val="bottom"/>
          </w:tcPr>
          <w:p>
            <w:pPr>
              <w:ind w:left="480"/>
              <w:spacing w:after="0"/>
              <w:rPr>
                <w:sz w:val="20"/>
                <w:szCs w:val="20"/>
                <w:color w:val="auto"/>
              </w:rPr>
            </w:pPr>
            <w:r>
              <w:rPr>
                <w:rFonts w:ascii="Arial" w:cs="Arial" w:eastAsia="Arial" w:hAnsi="Arial"/>
                <w:sz w:val="18"/>
                <w:szCs w:val="18"/>
                <w:color w:val="auto"/>
              </w:rPr>
              <w:t>Cash paid for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17,390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660"/>
          </w:cols>
          <w:pgMar w:left="240" w:top="125" w:right="999" w:bottom="0"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60"/>
          </w:cols>
          <w:pgMar w:left="240" w:top="125" w:right="999" w:bottom="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547,190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18,780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5"/>
              </w:rPr>
              <w:t>Shares surrendered upon vesting of options and restricted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stock awards to cover tax obligations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 and restricted stock vestings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Balances, June 30,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815,120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558,200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Corporation ("TriMas" or the "Company"), and its consolidated subsidiaries, is a global manufacturer and distributor of products for commercial, industrial and consumer markets. The Company is principally engaged in the following reportable segments with diverse products and market channels: Packaging, Aerospace, Energy and Engineered Components. See Note 10,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30, 2015, the Company completed the spin-off of its Cequent businesses, creating a new independent publicly traded company, Horizon Global Corporation ("Horizon"). In addition, on June 30, 2015, immediately prior to the effective time of the spin-off, Horizon paid a cash distribution to the Company of $214.5 million using the proceeds of its new debt financing arrangement and cash on hand. The Company incurred approximately $30 million of one-time, pre-tax costs associated with the spin-off, of which approximately $29 million was incurred during the six months ended June 30, 2015. These costs primarily related to financing, legal, tax and accounting services rendered by third parties. Of the $30 million in costs, approximately $18 million was included in the loss from discontinued operations, $9 million was capitalized as deferred financing fees associated with Horizon's debt issuance coincident with the spin-off and was included in the balance sheet of the discontinued operations and approximately $3 million relates to fees associated with the Company's refinancing of long-term debt, of which approximately $2 million was included in the income from continuing operations as debt financing and extinguishment costs and approximately $1 million was capitalized as deferred financing fees in the accompanying consolidated balance sheet.</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and cash flows of the Cequent businesses are reflected as discontinued operations for all periods presented through the date of the spin-off. See Note 3,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details regarding the spin-off.</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The accompanying consolidated financial statements and notes thereto should be read in conjunction with the Company's 2015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 "Compensation - Stock Compensation (Topic 718)" ("ASU 2016-09"). ASU 2016-09 simplifies several aspects of accounting for share-based payment award transactions, including income tax consequences, classification of awards as either equity or liabilities and classification on the statement of cash flows. ASU 2016-09 is effective for fiscal years, and interim periods within those years, beginning after December 15, 2016, with early adoption permitted. The Company is in the process of assessing the impact of adoption of ASU 2016-09 on its consolidated financial statements.</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ASU 2016-02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of ASU 2016-02 on its consolidated financial statements.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ASU 2015-11 requires an entity to measure inventory at the lower of cost and net realizable value, thereby simplifying the current guidance under which an entity must measure inventory at the lower of cost or market. The ASU defines net realizable value as the estimated selling prices in the ordinary course of business, less reasonably predictable costs of completion, disposal and transportation. ASU 2015-11 is effective for fiscal years, and interim periods within those years, beginning after December 15, 2016 and is to be applied prospectively with early adoption permitted. The Company is in the process of assessing the impact of adoption of ASU 2015-11 on its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("ASU 2014-09"). ASU 2014-09 requires that an entity recognize revenue to depict the transfer of promised goods or services to customers in an amount that reflects the consideration to which the company expects to be entitled in exchange for those goods or services. Since the issuance of the original standard, the FASB has issued several subsequent updates including the following: 1) the deferral of ASU 2014-09 by one year, making it effective for annual reporting periods beginning on or after December 15, 2017 while also providing for early adoption, but not before the original effective date (ASU 2015-14); 2) clarification of the implementation guidance on principal versus agent considerations (ASU 2016-08); 3) further guidance on identifying performance obligations in a contract as well as clarifications on the licensing implementation guidance (ASU 2016-10); 4) rescission of several SEC Staff Announcements that are codified in Topic 605, including, among other items, guidance related to accounting for shipping and handling fees and costs, freight services and consideration given by a vendor to a customer (ASU 2016-11); and 5) additional guidance and practical expedients in response to identified implementation issues (ASU 2016-12). The Company is in the process of assessing the impact of the adoption of these ASUs on its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30, 2015, the Company completed the spin-off of its Cequent businesses (comprised of the former Cequent Americas and Cequent Asia Pacific Europe Africa ("Cequent APEA") reportable segments), creating a new independent publicly traded company, Horizon, through the distribution of 100% of the Company's interest in Horizon to holders of the Company's common stock. On June 30, 2015, each of the Company's shareholders of record as of the close of business on the record date of June 25, 2015 received two shares of Horizon common stock for every five shares of TriMas common stock held. In addition, on June 30, 2015, immediately prior to the effective time of the spin-off, Horizon entered into a new debt financing arrangement and used the proceeds to make a cash distribution of approximately $214.5 million to the Company.</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the spin-off, there were no assets or liabilities remaining from the Cequent operations. The Cequent businesses are presented as discontinued operations in the Company's consolidated statement of income and cash flows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Results of discontinued operations are summarized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8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Three months ended June</w:t>
            </w:r>
          </w:p>
        </w:tc>
        <w:tc>
          <w:tcPr>
            <w:tcW w:w="120" w:type="dxa"/>
            <w:vAlign w:val="bottom"/>
          </w:tcPr>
          <w:p>
            <w:pPr>
              <w:spacing w:after="0"/>
              <w:rPr>
                <w:sz w:val="17"/>
                <w:szCs w:val="17"/>
                <w:color w:val="auto"/>
              </w:rPr>
            </w:pPr>
          </w:p>
        </w:tc>
        <w:tc>
          <w:tcPr>
            <w:tcW w:w="1740" w:type="dxa"/>
            <w:vAlign w:val="bottom"/>
          </w:tcPr>
          <w:p>
            <w:pPr>
              <w:jc w:val="right"/>
              <w:ind w:right="52"/>
              <w:spacing w:after="0"/>
              <w:rPr>
                <w:sz w:val="20"/>
                <w:szCs w:val="20"/>
                <w:color w:val="auto"/>
              </w:rPr>
            </w:pPr>
            <w:r>
              <w:rPr>
                <w:rFonts w:ascii="Arial" w:cs="Arial" w:eastAsia="Arial" w:hAnsi="Arial"/>
                <w:sz w:val="16"/>
                <w:szCs w:val="16"/>
                <w:b w:val="1"/>
                <w:bCs w:val="1"/>
                <w:color w:val="auto"/>
                <w:w w:val="87"/>
              </w:rPr>
              <w:t>Six months ended June</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31"/>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752"/>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9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2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300,900</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(227,860)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73,040</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(41,540)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(72,360)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profit (loss)</w:t>
            </w:r>
          </w:p>
        </w:tc>
        <w:tc>
          <w:tcPr>
            <w:tcW w:w="1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4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7"/>
        </w:trPr>
        <w:tc>
          <w:tcPr>
            <w:tcW w:w="444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14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Loss from discontinued operations, before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 net of tax</w:t>
            </w:r>
          </w:p>
        </w:tc>
        <w:tc>
          <w:tcPr>
            <w:tcW w:w="19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Arial" w:cs="Arial" w:eastAsia="Arial" w:hAnsi="Arial"/>
                <w:sz w:val="18"/>
                <w:szCs w:val="18"/>
                <w:color w:val="auto"/>
              </w:rPr>
              <w:t>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2016 are summarized as follows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Engineered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Packaging</w:t>
            </w: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Aerospace</w:t>
            </w:r>
          </w:p>
        </w:tc>
        <w:tc>
          <w:tcPr>
            <w:tcW w:w="2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Components</w:t>
            </w: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r>
      <w:tr>
        <w:trPr>
          <w:trHeight w:val="33"/>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378,920</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w w:val="95"/>
              </w:rPr>
              <w:t>Foreign currency translation and other</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June 30,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164,240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as of June 30, 2016 and December 31, 2015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ind w:left="660"/>
              <w:spacing w:after="0"/>
              <w:rPr>
                <w:sz w:val="20"/>
                <w:szCs w:val="20"/>
                <w:color w:val="auto"/>
              </w:rPr>
            </w:pPr>
            <w:r>
              <w:rPr>
                <w:rFonts w:ascii="Arial" w:cs="Arial" w:eastAsia="Arial" w:hAnsi="Arial"/>
                <w:sz w:val="16"/>
                <w:szCs w:val="16"/>
                <w:b w:val="1"/>
                <w:bCs w:val="1"/>
                <w:color w:val="auto"/>
              </w:rPr>
              <w:t>As of June 30, 2016</w:t>
            </w:r>
          </w:p>
        </w:tc>
        <w:tc>
          <w:tcPr>
            <w:tcW w:w="120" w:type="dxa"/>
            <w:vAlign w:val="bottom"/>
          </w:tcPr>
          <w:p>
            <w:pPr>
              <w:spacing w:after="0"/>
              <w:rPr>
                <w:sz w:val="18"/>
                <w:szCs w:val="18"/>
                <w:color w:val="auto"/>
              </w:rPr>
            </w:pPr>
          </w:p>
        </w:tc>
        <w:tc>
          <w:tcPr>
            <w:tcW w:w="276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As of December 31, 2015</w:t>
            </w: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auto"/>
                <w:w w:val="97"/>
              </w:rPr>
              <w:t>Accumulated</w:t>
            </w:r>
          </w:p>
        </w:tc>
      </w:tr>
      <w:tr>
        <w:trPr>
          <w:trHeight w:val="210"/>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Customer relationships, 5 – 12 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74,680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74,890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(25,960)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relationships, 15 – 25 years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(38,060)</w:t>
            </w:r>
          </w:p>
        </w:tc>
      </w:tr>
      <w:tr>
        <w:trPr>
          <w:trHeight w:val="237"/>
        </w:trPr>
        <w:tc>
          <w:tcPr>
            <w:tcW w:w="328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(64,020)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w:t>
            </w:r>
          </w:p>
        </w:tc>
      </w:tr>
      <w:tr>
        <w:trPr>
          <w:trHeight w:val="243"/>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(29,250)</w:t>
            </w:r>
          </w:p>
        </w:tc>
      </w:tr>
      <w:tr>
        <w:trPr>
          <w:trHeight w:val="27"/>
        </w:trPr>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(52,020)</w:t>
            </w:r>
          </w:p>
        </w:tc>
      </w:tr>
      <w:tr>
        <w:trPr>
          <w:trHeight w:val="243"/>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Trademark/Trade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(126,120)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(116,040)</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3,700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3,740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7,500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5,090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5,220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10,580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38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23,620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42,270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165,800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167,370</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2015</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68,260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67,790</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274,650</w:t>
            </w:r>
          </w:p>
        </w:tc>
      </w:tr>
      <w:tr>
        <w:trPr>
          <w:trHeight w:val="237"/>
        </w:trPr>
        <w:tc>
          <w:tcPr>
            <w:tcW w:w="8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362,890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357,260</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176,130</w:t>
            </w: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178,660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181,130</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5,240</w:t>
            </w:r>
          </w:p>
        </w:tc>
        <w:tc>
          <w:tcPr>
            <w:tcW w:w="100" w:type="dxa"/>
            <w:vAlign w:val="bottom"/>
          </w:tcPr>
          <w:p>
            <w:pPr>
              <w:spacing w:after="0"/>
              <w:rPr>
                <w:sz w:val="20"/>
                <w:szCs w:val="20"/>
                <w:color w:val="auto"/>
              </w:rPr>
            </w:pP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5,020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selling, general and</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6,040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5,750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760" w:type="dxa"/>
            <w:vAlign w:val="bottom"/>
            <w:gridSpan w:val="3"/>
          </w:tcPr>
          <w:p>
            <w:pPr>
              <w:spacing w:after="0"/>
              <w:rPr>
                <w:sz w:val="20"/>
                <w:szCs w:val="20"/>
                <w:color w:val="auto"/>
              </w:rPr>
            </w:pPr>
            <w:r>
              <w:rPr>
                <w:rFonts w:ascii="Arial" w:cs="Arial" w:eastAsia="Arial" w:hAnsi="Arial"/>
                <w:sz w:val="18"/>
                <w:szCs w:val="18"/>
                <w:color w:val="auto"/>
                <w:w w:val="92"/>
              </w:rPr>
              <w:t>The Company's long-term debt consists of the following (dollars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347,870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Receivables facility and other</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63,790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53,860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406,280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long-term debt</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13,820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392,460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405,780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a credit agreement (the "Credit Agreement"), consisting of a $500.0 million senior secured revolving credit facility, which permits borrowings denominated in specific foreign currencies ("Foreign Currency Loans"), subject to a $75.0 million sub limit, which matures on June 30, 2020 and is subject to interest at London Interbank Offered Rates ("LIBOR") plus 1.75%, and a $275.0 million senior secured term loan A facility ("Term Loan A Facility"), which matures on June 30, 2020 and is subject to interest at LIBOR plus 1.75%. The interest rate spread is based upon the leverage ratio, as defined, as of the most recent determination date.</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term loan and/or revolving credit facility commitments in an amount not to exceed the greater of $300.0 million and an amount such that, after giving effect to such incremental commitments and the incurrence of any other indebtedness substantially simultaneously with the making of such commitments, the senior secured net leverage ratio, as defined, is no greater than 2.50 to 1.00. The terms and conditions of any incremental term loan and/or revolving credit facility commitments must be no more favorable than the existing credit facility.</w:t>
      </w:r>
    </w:p>
    <w:p>
      <w:pPr>
        <w:sectPr>
          <w:pgSz w:w="11900" w:h="16838" w:orient="portrait"/>
          <w:cols w:equalWidth="0" w:num="1">
            <w:col w:w="11420"/>
          </w:cols>
          <w:pgMar w:left="240" w:top="12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may be required to prepay a portion of its Term Loan A Facility in an amount equal to a percentage of the Company's excess cash flow, as defined, with such percentage based on the Company's leverage ratio, as defined. As of June 30, 2016, no amounts are due under this provision.</w:t>
      </w:r>
    </w:p>
    <w:p>
      <w:pPr>
        <w:spacing w:after="0" w:line="20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also able to issue letters of credit, not to exceed $40.0 million in aggregate, against its revolving credit facility commitments. At June 30, 2016 and December 31, 2015, the Company had letters of credit of approximately $18.5 million and $21.6 million, respectively, issued and outstanding.</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2016, the Company had approximately $83.2 million outstanding under its revolving credit facility and had approximately $398.3 million potentially available after giving effect to approximately $18.5 million of letters of credit issued and outstanding. At December 31, 2015, the Company had approximately $100.3 million outstanding under its revolving credit facility and had approximately $378.1 million potentially available after giving effect to approximately $21.6 million of letters of credit issued and outstanding. However, including availability under its accounts receivable facility and after consideration of leverage restrictions contained in the Credit Agreement, the Company had approximately $100.0 million and $107.4 million at June 30, 2016 and December 31, 2015, respectively, of borrowing capacity available for general corporate purposes.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approximately $3.4 million due each fiscal quarter from December 2015 through September 2018 and approximately $5.2 million due each fiscal quarter from December 2018 through March 2020, with final payment of approximately $202.8 million due on June 30, 2020.</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$75.0 million foreign currency sub limit of the $500.0 million senior secured revolving credit facility are secured by a pledge of the assets of the foreign subsidiary borrowers that are a party to the agreement. The Credit Agreement also contains various negative and affirmative covenants and other requirements affecting the Company and its subsidiaries, including restrictions on the incurrence of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At June 30, 2016, the Company was in compliance with its financial covenants contained in the Credit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2015, the Company amended its Credit Agreement, pursuant to which the Company was able to extend maturities and resize its credit facilities following the spin-off of the Cequent businesses. In connection with entering into the amended Credit Agreement, the Company incurred approximately $1.8 million in fees to complete the Credit Agreement, of which approximately $1.4 million was capitalized as deferred financing fees as of June 30, 2015 and $0.4 million was recorded as debt financing fees in the accompanying consolidated statement of income during the three months ended June 30, 2015. The Company also recorded non-cash debt extinguishment costs of $1.5 million related to the write-off of deferred financing fees associated with the previous term loan during the three months ended June 30, 2015.</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2016 and December 31, 2015, the Company's Term Loan A Facility traded at approximately 99.6% of par value and the Company's revolving credit facility traded at approximately 99.3% of par value. The valuations of the Credit Agreement were determined based on Level 2 inputs under the fair value hierarchy, as defined.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party to an accounts receivable facility through TSPC, Inc. ("TSPC"), a wholly-owned subsidiary, to sell trade accounts receivable of substantially all of the Company's domestic business operations. Under this facility, TSPC, from time to time, may sell an undivided fractional ownership interest in the pool of receivables up to $75.0 million to a third party multi-seller receivables funding company. The net amount financed under the facility is less than the face amount of accounts receivable by an amount that approximates the purchaser's financing costs. The cost of funds under this facility consisted of a 1-month LIBOR-based rate plus a usage fee of 1.00% and a fee on the unused portion of the facility of 0.35% as of June 30, 2016 and 2015.</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approximately $63.6 million and $53.6 million outstanding under the facility as of June 30, 2016 and December 31, 2015, respectively, and approximately $2.1 million and $7.1 million available but not utilized as of June 30, 2016 and December 31, 2015, respectively. Aggregate costs incurred under the facility were approximately $0.2 million and $0.3 million for the three months ended June 30, 2016 and 2015, and $0.4 million and $0.5 million for the six months ended June 30, 2016 and 2015, respectively, and are included in interest expense in the accompanying consolidated statement of income. The facility expires on June 30, 2020.</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funds fees incurred are determined by calculating the estimated present value of the receivables sold compared to their carrying amount. The estimated present value factor is based on historical collection experience and a discount rate based on a 1-month LIBOR-based rate plus the usage fee discussed above and is computed in accordance with the terms of the agreement. As of June 30, 2016, the cost of funds under the facility was based on an average liquidation period of the portfolio of approximately 1.8 months and an average discount rate of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utilizes interest rate swap agreements to fix the LIBOR-based variable portion of the interest rate on its long term debt. Terms of the interest rate swap agreements require the Company to receive a variable interest rate and pay a fixed interest rate. As of June 30, 2016, the Company had interest rate swap agreements in place that hedge a declining notional value of debt ranging from approximately $251.5 million to approximately $192.7 million, amortizing consistent with future scheduled debt principal payments. The interest rate swap agreements establish fixed interest rates in a range of 0.74% to 2.68% with various expiration terms extending to June 30, 2020. At inception, the interest rate swaps were and continue to be designated as cash flow hedges.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2016 and December 31, 2015,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20" w:type="dxa"/>
            <w:vAlign w:val="bottom"/>
            <w:gridSpan w:val="2"/>
          </w:tcPr>
          <w:p>
            <w:pPr>
              <w:ind w:left="46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2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13</w:t>
            </w: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summarizes the loss recognized in accumulated other comprehensive income or loss ("AOCI") as of June 30, 2016 and December 31, 2015, and the amounts reclassified from AOCI into earnings for the three and six months ended June 30, 2016 and 2015 (dollars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9"/>
              </w:rPr>
              <w:t>Amount of Loss Reclassified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w w:val="89"/>
              </w:rPr>
              <w:t>Amount of Loss Recognized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6"/>
              </w:rPr>
              <w:t>from AOCI into Earnings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40" w:type="dxa"/>
            <w:vAlign w:val="bottom"/>
            <w:gridSpan w:val="5"/>
            <w:vMerge w:val="continue"/>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6"/>
              </w:rPr>
              <w:t>in AOCI on Derivative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9"/>
              </w:rPr>
              <w:t>Three months ended</w:t>
            </w:r>
          </w:p>
        </w:tc>
        <w:tc>
          <w:tcPr>
            <w:tcW w:w="240" w:type="dxa"/>
            <w:vAlign w:val="bottom"/>
          </w:tcPr>
          <w:p>
            <w:pPr>
              <w:spacing w:after="0"/>
              <w:rPr>
                <w:sz w:val="18"/>
                <w:szCs w:val="18"/>
                <w:color w:val="auto"/>
              </w:rPr>
            </w:pPr>
          </w:p>
        </w:tc>
        <w:tc>
          <w:tcPr>
            <w:tcW w:w="192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(Effective Portion, net of tax)</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58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Location of Loss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Reclassified from AOCI</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into Earnings (Effective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8"/>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2015</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Portion)</w:t>
            </w:r>
          </w:p>
        </w:tc>
        <w:tc>
          <w:tcPr>
            <w:tcW w:w="22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3"/>
              <w:spacing w:after="0"/>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Derivatives designated as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hedging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 the next 12 months, the Company expects to reclassify approximately $1.3 million of pre-tax deferred losses from AOCI to interest expense as the related interest payments for the designated interest rate swaps are funded.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derivatives are estimated using an income approach based on valuation techniques to convert future amounts to a single, discounted amount. Estimates of the fair value of the Company's interest rate swaps use observable inputs such as interest rate yield curves. Fair value measurements and the fair value hierarchy level for the Company's assets and liabilities measured at fair value on a recurring basis as of June 30, 2016 and December 31, 2015 are shown below (dollars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820" w:type="dxa"/>
            <w:vAlign w:val="bottom"/>
          </w:tcPr>
          <w:p>
            <w:pPr>
              <w:spacing w:after="0"/>
              <w:rPr>
                <w:sz w:val="18"/>
                <w:szCs w:val="18"/>
                <w:color w:val="auto"/>
              </w:rPr>
            </w:pPr>
          </w:p>
        </w:tc>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Description</w:t>
            </w:r>
          </w:p>
        </w:tc>
        <w:tc>
          <w:tcPr>
            <w:tcW w:w="1600" w:type="dxa"/>
            <w:vAlign w:val="bottom"/>
          </w:tcPr>
          <w:p>
            <w:pPr>
              <w:ind w:left="660"/>
              <w:spacing w:after="0"/>
              <w:rPr>
                <w:sz w:val="20"/>
                <w:szCs w:val="20"/>
                <w:color w:val="auto"/>
              </w:rPr>
            </w:pPr>
            <w:r>
              <w:rPr>
                <w:rFonts w:ascii="Arial" w:cs="Arial" w:eastAsia="Arial" w:hAnsi="Arial"/>
                <w:sz w:val="16"/>
                <w:szCs w:val="16"/>
                <w:b w:val="1"/>
                <w:bCs w:val="1"/>
                <w:color w:val="auto"/>
              </w:rPr>
              <w:t>Frequency</w:t>
            </w:r>
          </w:p>
        </w:tc>
        <w:tc>
          <w:tcPr>
            <w:tcW w:w="1540" w:type="dxa"/>
            <w:vAlign w:val="bottom"/>
            <w:gridSpan w:val="3"/>
          </w:tcPr>
          <w:p>
            <w:pPr>
              <w:ind w:left="20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8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1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Recurring</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21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600" w:type="dxa"/>
            <w:vAlign w:val="bottom"/>
          </w:tcPr>
          <w:p>
            <w:pPr>
              <w:ind w:left="420"/>
              <w:spacing w:after="0"/>
              <w:rPr>
                <w:sz w:val="20"/>
                <w:szCs w:val="20"/>
                <w:color w:val="auto"/>
              </w:rPr>
            </w:pPr>
            <w:r>
              <w:rPr>
                <w:rFonts w:ascii="Arial" w:cs="Arial" w:eastAsia="Arial" w:hAnsi="Arial"/>
                <w:sz w:val="18"/>
                <w:szCs w:val="18"/>
                <w:color w:val="auto"/>
              </w:rPr>
              <w:t>Recurring</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2016, the Company was a party to 950 pending cases involving an aggregate of 6,031 claimants alleging personal injury from exposure to asbestos containing materials formerly used in gaskets (both encapsulated and otherwise) manufactured or distributed by certain of the Company's subsidiaries for use primarily in the petrochemical refining and exploration industries. The following chart summarizes the number of claimants, number of claims filed, number of claims dismissed, number of claims settled, the average settlement amount per claim and the total defense costs, exclusive of amounts reimbursed under the Company's primary insurance, at the applicable date and for the applicable periods: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36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Claims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pending at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settled</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beginning of</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during</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37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6"/>
                <w:szCs w:val="16"/>
                <w:b w:val="1"/>
                <w:bCs w:val="1"/>
                <w:color w:val="auto"/>
              </w:rPr>
              <w:t>period</w:t>
            </w:r>
          </w:p>
        </w:tc>
      </w:tr>
      <w:tr>
        <w:trPr>
          <w:trHeight w:val="33"/>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December 31, 2015</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3,160,000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Six Months Ended June 30, 2016</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29,875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1,474,015</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6,031 claims pending at June 30, 2016, 101 set forth specific amounts of damages (other than those stating the statutory minimum or maximum). At June 30, 2016, of the 101 claims that set forth specific amounts, there were no claims seeking specific amounts for punitive damages. Below is a breakdown of the amount sought for those claims seeking specific amounts:</w:t>
      </w:r>
    </w:p>
    <w:p>
      <w:pPr>
        <w:sectPr>
          <w:pgSz w:w="11900" w:h="16838" w:orient="portrait"/>
          <w:cols w:equalWidth="0" w:num="1">
            <w:col w:w="11420"/>
          </w:cols>
          <w:pgMar w:left="240" w:top="125"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38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asbestos-related cases, some of which were filed over 20 years ago, have been approximately $8.1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coverage available to the Company that might otherwise be disputed by the carriers and provides a methodology for the administration of such expenses. Nonetheless, the Company believes it is likely there will be a period within the next 6 to 18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0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other claims and litigation in the ordinary course of business which the Company does not believe are material. During the three months ended June 30, 2015, the Company resolved a matter related to a claim made against the Company by a competitor alleging false advertising for approximately $2.8 million, inclusive of attorney fees and expenses.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believe claims and litigation will have a material adverse effect on its financial position and results of operations or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TriMas groups its operating segments into reportable segments that provide similar products and services. Each operating segment has discrete financial information evaluated regularly by the Company's chief operating decision maker in determining resource allocation and assessing performance. Within these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Highly engineered closure and dispensing systems for a range of end markets, using steel and plastic industrial and consumer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Permanent blind bolts, temporary fasteners, highly engineered specialty fasteners and other precision machined parts used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military aerospace industries.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Energy – </w:t>
      </w:r>
      <w:r>
        <w:rPr>
          <w:rFonts w:ascii="Arial" w:cs="Arial" w:eastAsia="Arial" w:hAnsi="Arial"/>
          <w:sz w:val="17"/>
          <w:szCs w:val="17"/>
          <w:color w:val="auto"/>
        </w:rPr>
        <w:t>Metallic and non-metallic industrial sealant products and fasteners for the petroleum refining, petrochemical and other industrial markets.</w:t>
      </w:r>
    </w:p>
    <w:p>
      <w:pPr>
        <w:spacing w:after="0" w:line="29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Engineered Components – </w:t>
      </w:r>
      <w:r>
        <w:rPr>
          <w:rFonts w:ascii="Arial" w:cs="Arial" w:eastAsia="Arial" w:hAnsi="Arial"/>
          <w:sz w:val="17"/>
          <w:szCs w:val="17"/>
          <w:color w:val="auto"/>
        </w:rPr>
        <w:t>High-pressure and low-pressure cylinders for the transportation, storage and dispensing of compressed gases, and natural gas</w:t>
      </w:r>
      <w:r>
        <w:rPr>
          <w:rFonts w:ascii="Arial" w:cs="Arial" w:eastAsia="Arial" w:hAnsi="Arial"/>
          <w:sz w:val="17"/>
          <w:szCs w:val="17"/>
          <w:b w:val="1"/>
          <w:bCs w:val="1"/>
          <w:color w:val="auto"/>
        </w:rPr>
        <w:t xml:space="preserve"> </w:t>
      </w:r>
      <w:r>
        <w:rPr>
          <w:rFonts w:ascii="Arial" w:cs="Arial" w:eastAsia="Arial" w:hAnsi="Arial"/>
          <w:sz w:val="17"/>
          <w:szCs w:val="17"/>
          <w:color w:val="auto"/>
        </w:rPr>
        <w:t>engines, compressors, gas production equipment and chemical pumps engineered for use at well sites for the oil and gas industry.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ind w:right="23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91"/>
              <w:spacing w:after="0"/>
              <w:rPr>
                <w:sz w:val="20"/>
                <w:szCs w:val="20"/>
                <w:color w:val="auto"/>
              </w:rPr>
            </w:pPr>
            <w:r>
              <w:rPr>
                <w:rFonts w:ascii="Arial" w:cs="Arial" w:eastAsia="Arial" w:hAnsi="Arial"/>
                <w:sz w:val="16"/>
                <w:szCs w:val="16"/>
                <w:b w:val="1"/>
                <w:bCs w:val="1"/>
                <w:color w:val="auto"/>
                <w:w w:val="84"/>
              </w:rPr>
              <w:t>2015</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89,580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168,220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168,540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44,090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43,220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84,590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88,960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50,150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101,310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31,170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41,950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68,690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90,220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203,320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224,900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406,200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449,030</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20,710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7,220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6,220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12,190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18,660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19,210</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35,110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42,230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67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Awards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maintains the following long-term equity incentive plans: the TriMas Corporation Director Retainer Share Election Program, the 2011 TriMas Corporation Omnibus Incentive Compensation Plan, the TriMas Corporation 2006 Long Term Equity Incentive Plan and the TriMas Corporation 2002 Long Term Equity Incentive Plan (collectively, the "Plans"). The 2002 Long Term Equity Incentive Plan expired in 2012, such that, while existing grants will remain outstanding until exercised, vested or cancelled, no new shares may be issued under the plan. See below for details of awards under the Plans by type.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grant any stock option awards during the six months ended June 30, 2016. Information related to stock options at June 30, 2016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37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Options</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Option Price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1160" w:type="dxa"/>
            <w:vAlign w:val="bottom"/>
          </w:tcPr>
          <w:p>
            <w:pPr>
              <w:jc w:val="center"/>
              <w:ind w:right="5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(27,252)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Cancelled</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Expired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178,871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2,306,887</w:t>
            </w: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2016, 178,871 stock options were exercisable under the Plans. The Company did not incur any stock-based compensation expense related to stock options during the six months ended June 30, 2016 and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shares during the six months ended June 30, 2016:</w:t>
      </w:r>
    </w:p>
    <w:p>
      <w:pPr>
        <w:spacing w:after="0" w:line="27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2,400 restricted shares of common stock to certain employees that are subject only to a service condition and vest on the first anniversary date of the award so long as the employee remains with the Company;</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235,251 restricted shares of common stock to certain employees which are subject only to a service condition and vest ratably over three years so long as the employee remains with the Company;</w:t>
      </w:r>
    </w:p>
    <w:p>
      <w:pPr>
        <w:spacing w:after="0" w:line="224" w:lineRule="exact"/>
        <w:rPr>
          <w:rFonts w:ascii="Arial" w:cs="Arial" w:eastAsia="Arial" w:hAnsi="Arial"/>
          <w:sz w:val="18"/>
          <w:szCs w:val="18"/>
          <w:color w:val="auto"/>
        </w:rPr>
      </w:pPr>
    </w:p>
    <w:p>
      <w:pPr>
        <w:jc w:val="both"/>
        <w:ind w:left="660" w:hanging="247"/>
        <w:spacing w:after="0" w:line="279"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granted 42,740 restricted shares of common stock to certain employees which are subject only to a service condition and vest on the first anniversary date of the award. The awards were made to participants in the Company's short-term incentive compensation plan ("STI"), where all STI participants whose target annual award exceeds $20 thousand receive 80% of the value in earned cash and 20% in the form of a restricted stock award upon finalization of the award amount in the first quarter each year following the previous plan year; and</w:t>
      </w:r>
    </w:p>
    <w:p>
      <w:pPr>
        <w:spacing w:after="0" w:line="225" w:lineRule="exact"/>
        <w:rPr>
          <w:rFonts w:ascii="Arial" w:cs="Arial" w:eastAsia="Arial" w:hAnsi="Arial"/>
          <w:sz w:val="17"/>
          <w:szCs w:val="17"/>
          <w:color w:val="auto"/>
        </w:rPr>
      </w:pPr>
    </w:p>
    <w:p>
      <w:pPr>
        <w:ind w:left="660" w:right="20" w:hanging="247"/>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granted 41,174 restricted shares of common stock to its non-employee independent directors, which vest one year from date of grant so long as the director and/or Company does not terminate their service prior to the vesting date.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six months ended June 30, 2016, the Company issued 8,650 shares related to director fee deferrals.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six months ended June 30, 2016, the Company awarded 198,956 performance-based shares of common stock to certain Company key employees which vest three years from the grant date so long as the employee remains with the Company. The performance criteria for these awards is based on the Company's total shareholder return ("TSR") relative to the TSR of the common stock of a pre-defined industry peer-group, measured over a period beginning January 1, 2016 and ending December 31, 2018. TSR is calculated as the Company's average closing stock price for the 20-trading days at the end of the performance period plus Company dividends, divided by the Company's average closing stock price for the 20-trading days prior to the start of the performance period.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weighted-average assumptions: risk-free interest rate of 0.96% and annualized volatility of 35.8%.</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2013, the Company awarded performance-based shares of common stock to certain Company key employees which were earned based upon the achievement of earnings per share compound annual growth rate and cash generation performance metrics over a period of three calendar years, beginning January 1, 2013 and ending on December 31, 2015. The Company attained 50% of the target on a weighted average basis, resulting in a reduction of 35,850 shares during the six months ended June 30, 2016.</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at June 30, 2016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Unvested</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Average Grant</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37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 Shares</w:t>
            </w: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Date Fair Value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1160" w:type="dxa"/>
            <w:vAlign w:val="bottom"/>
          </w:tcPr>
          <w:p>
            <w:pPr>
              <w:jc w:val="center"/>
              <w:ind w:right="5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529,171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(88,611)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977,032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17,586,576</w:t>
            </w: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2016, there was approximately $12.5 million of unrecognized compensation cost related to unvested restricted shares that is expected to be recorded over a weighted-average period of 2.1 years.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approximately $2.2 million and $0.9 million of stock-based compensation expense related to restricted shares during the three months ended June 30, 2016 and 2015, respectively, and approximately $4.1 million and $2.9 million for the six months ended June 30, 2016 and 2015, respectively. The stock-based compensation expense is included in selling, general and administrative expenses in the accompanying consolidated statement of income.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restricted share awards. The following table summarizes the dilutive effect of restricted shares and options to purchase common stock for the three and six months ended June 30, 2016 and 2015.</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8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5620" w:type="dxa"/>
            <w:vAlign w:val="bottom"/>
          </w:tcPr>
          <w:p>
            <w:pPr>
              <w:spacing w:after="0"/>
              <w:rPr>
                <w:sz w:val="18"/>
                <w:szCs w:val="18"/>
                <w:color w:val="auto"/>
              </w:rPr>
            </w:pPr>
          </w:p>
        </w:tc>
        <w:tc>
          <w:tcPr>
            <w:tcW w:w="1840" w:type="dxa"/>
            <w:vAlign w:val="bottom"/>
            <w:gridSpan w:val="3"/>
          </w:tcPr>
          <w:p>
            <w:pPr>
              <w:jc w:val="center"/>
              <w:ind w:left="97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left="95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45,429,851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45,150,827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45,354,421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45,074,394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restricted share awards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215,881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160,936</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251,035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220,102</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80,616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107,144</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115,379</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45,726,348</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45,418,907</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45,690,582</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45,409,875</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Plans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periodic pension and postretirement benefit costs for the Company's defined benefit pension plans and postretirement benefit plans cover certain foreign employees, union hourly employees and salaried employees. The components of net periodic pension and postretirement benefit costs for the three and six months ended June 30, 2016 and 2015 are as follows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5"/>
          </w:tcPr>
          <w:p>
            <w:pPr>
              <w:ind w:left="200"/>
              <w:spacing w:after="0"/>
              <w:rPr>
                <w:sz w:val="20"/>
                <w:szCs w:val="20"/>
                <w:color w:val="auto"/>
              </w:rPr>
            </w:pPr>
            <w:r>
              <w:rPr>
                <w:rFonts w:ascii="Arial" w:cs="Arial" w:eastAsia="Arial" w:hAnsi="Arial"/>
                <w:sz w:val="16"/>
                <w:szCs w:val="16"/>
                <w:b w:val="1"/>
                <w:bCs w:val="1"/>
                <w:color w:val="auto"/>
              </w:rPr>
              <w:t>Pension Plans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gridSpan w:val="7"/>
          </w:tcPr>
          <w:p>
            <w:pPr>
              <w:ind w:left="40"/>
              <w:spacing w:after="0"/>
              <w:rPr>
                <w:sz w:val="20"/>
                <w:szCs w:val="20"/>
                <w:color w:val="auto"/>
              </w:rPr>
            </w:pPr>
            <w:r>
              <w:rPr>
                <w:rFonts w:ascii="Arial" w:cs="Arial" w:eastAsia="Arial" w:hAnsi="Arial"/>
                <w:sz w:val="16"/>
                <w:szCs w:val="16"/>
                <w:b w:val="1"/>
                <w:bCs w:val="1"/>
                <w:color w:val="auto"/>
                <w:w w:val="91"/>
              </w:rPr>
              <w:t>Other Postretirement Benefits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82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8"/>
                <w:szCs w:val="18"/>
                <w:color w:val="auto"/>
              </w:rPr>
            </w:pPr>
          </w:p>
        </w:tc>
        <w:tc>
          <w:tcPr>
            <w:tcW w:w="18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72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8"/>
              </w:rPr>
              <w:t>Six months ended</w:t>
            </w: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520"/>
              <w:spacing w:after="0"/>
              <w:rPr>
                <w:sz w:val="20"/>
                <w:szCs w:val="20"/>
                <w:color w:val="auto"/>
              </w:rPr>
            </w:pPr>
            <w:r>
              <w:rPr>
                <w:rFonts w:ascii="Arial" w:cs="Arial" w:eastAsia="Arial" w:hAnsi="Arial"/>
                <w:sz w:val="16"/>
                <w:szCs w:val="16"/>
                <w:b w:val="1"/>
                <w:bCs w:val="1"/>
                <w:color w:val="auto"/>
                <w:w w:val="93"/>
              </w:rPr>
              <w:t>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91"/>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211"/>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11"/>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2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Settlement/curtailment loss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net (gain)/loss</w:t>
            </w:r>
          </w:p>
        </w:tc>
        <w:tc>
          <w:tcPr>
            <w:tcW w:w="2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months ended June 30, 2015, the Company recognized a one-time settlement charge associated with annuitizing the defined benefit obligations for certain current and former Cequent employees. The settlement charge of approximately $2.8 million is included in loss from discontinued operations in the accompanying consolidated statement of income.</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contributed approximately $0.6 million and $1.1 million to its defined benefit pension plans during the three and six months ended June 30, 2016, respectively. The Company expects to contribute approximately $2.0 million to its defined benefit pension plans for the full year 2016.</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2016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Defined</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478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Benefit Plans</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Translation</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70"/>
        </w:trPr>
        <w:tc>
          <w:tcPr>
            <w:tcW w:w="47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(11,160)</w:t>
            </w:r>
          </w:p>
        </w:tc>
      </w:tr>
      <w:tr>
        <w:trPr>
          <w:trHeight w:val="270"/>
        </w:trPr>
        <w:tc>
          <w:tcPr>
            <w:tcW w:w="47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(10,730)</w:t>
            </w: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(22,030)</w:t>
            </w: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$2.7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4"/>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2015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w:t>
            </w:r>
          </w:p>
        </w:tc>
      </w:tr>
      <w:tr>
        <w:trPr>
          <w:trHeight w:val="27"/>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Distribution of the Cequent businesses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r>
      <w:tr>
        <w:trPr>
          <w:trHeight w:val="257"/>
        </w:trPr>
        <w:tc>
          <w:tcPr>
            <w:tcW w:w="5980" w:type="dxa"/>
            <w:vAlign w:val="bottom"/>
          </w:tcPr>
          <w:p>
            <w:pPr>
              <w:ind w:left="40"/>
              <w:spacing w:after="0"/>
              <w:rPr>
                <w:sz w:val="20"/>
                <w:szCs w:val="20"/>
                <w:color w:val="auto"/>
              </w:rPr>
            </w:pPr>
            <w:r>
              <w:rPr>
                <w:rFonts w:ascii="Arial" w:cs="Arial" w:eastAsia="Arial" w:hAnsi="Arial"/>
                <w:sz w:val="18"/>
                <w:szCs w:val="18"/>
                <w:color w:val="auto"/>
              </w:rPr>
              <w:t>Balance, June 30, 2015</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9,570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$0.6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$1.6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$0.2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global manufacturer and distributor of products for commercial, industrial and consumer markets. We are principally engaged in four reportable segments: Packaging, Aerospace, Energy and Engineered Components.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2015, we completed the spin-off of our Cequent businesses, creating a new independent publicly-traded company, Horizon Global Corporation ("Horizon"). On June 30, 2015, our stockholders received two shares of Horizon common stock for every five shares of TriMas common stock that they held as of the close of business on June 25, 2015. The financial position, results of operations and cash flows of Horizon are included as discontinued operations for all periods presented through the date of the spin-off.</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Key Factors and Risks Affecting Our Reported Results. </w:t>
      </w:r>
      <w:r>
        <w:rPr>
          <w:rFonts w:ascii="Arial" w:cs="Arial" w:eastAsia="Arial" w:hAnsi="Arial"/>
          <w:sz w:val="18"/>
          <w:szCs w:val="18"/>
          <w:color w:val="auto"/>
        </w:rPr>
        <w:t>Our businesses and results of operations depend upon general economic conditions and we serve</w:t>
      </w:r>
      <w:r>
        <w:rPr>
          <w:rFonts w:ascii="Arial" w:cs="Arial" w:eastAsia="Arial" w:hAnsi="Arial"/>
          <w:sz w:val="18"/>
          <w:szCs w:val="18"/>
          <w:i w:val="1"/>
          <w:iCs w:val="1"/>
          <w:color w:val="auto"/>
        </w:rPr>
        <w:t xml:space="preserve"> </w:t>
      </w:r>
      <w:r>
        <w:rPr>
          <w:rFonts w:ascii="Arial" w:cs="Arial" w:eastAsia="Arial" w:hAnsi="Arial"/>
          <w:sz w:val="18"/>
          <w:szCs w:val="18"/>
          <w:color w:val="auto"/>
        </w:rPr>
        <w:t>some customers in cyclical industries that are highly competitive and are themselves significantly impacted by changes in economic conditions. There has been low overall economic growth, particularly in the United States, and global economic conditions appear to have been relatively stable over the past couple of years. The most significant external factor impacting us recently is the impact of lower oil prices, which began to decline in the fourth quarter of 2014, declined throughout 2015 and remain at low levels during the first half of 2016. This decline directly impacts our Arrow Engine business within our Engineered Components reportable segment (which serves the upstream oil and natural gas market at the well site) and our Energy reportable segment, which primarily serves petrochemical and other refineries in the downstream oil and gas markets, as well as having a smaller portion of the business dedicated to upstream activity.</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Arrow Engine business' revenue declined more than 50% during 2015 as compared to 2014, and again in the first half of 2016 compared with first half 2015, and is expected to remain at a low level until the price of oil increases over a sustained period where its customers decide to increase their activity levels and related well-site investments. The Arrow Engine business reacted aggressively in cutting costs and structuring its business in response to the lower demand levels, and was able to remain at an approximately break-even profit level in 2015, and near break-even the first half of 2016 despite these significant reductions in revenue.</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Energy business, the impact of the lower oil prices was muted in 2015 due to market share gains and adding product content to our product portfolio. We were able to essentially hold sales levels flat with 2014 levels until the fourth quarter, when capital spending was significantly reduced at many of our customers, and sales levels dropped more than 20% on a sequential basis. The sales level has remained at a lower level during the first half of 2016, as customers tightly manage spending initiatives.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impact of lower oil prices, there has been a shift over the past two to three years in our Energy reportable segment from historical demand and activity, both in the United States and internationally. Petrochemical plants and refinery customers deferred shutdown activity, and we experienced decreases in engineering and construction ("E&amp;C") customer activity. As noted above, we were able to hold sales levels essentially flat on a sequential quarterly basis in 2014 and until fourth quarter of 2015 with market share gains and additional product content; however, our margins declined significantly due to the mix of product sales and inefficiencies that resulted from the shift in activity levels. The current lower oil prices have continued to place further pressure on the top-line and predictability of customer order patterns. Given these factors, we have been restructuring the business and its fixed cost structure to better align with the current business environment. We closed as well as consolidated certain facilities during 2014 and 2015, and opened a new lower-cost facility in Mexico, which began production in the fourth quarter of 2015. We are nearing completion of the restructuring efforts, and have begun, and expect to continue, to realize the cost savings and operational efficiencies associated with leveraging the new lower fixed cost structure and other initiatives as we move through 2016.</w:t>
      </w:r>
    </w:p>
    <w:p>
      <w:pPr>
        <w:spacing w:after="0" w:line="23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impact of lower oil prices, the other significant external factor impacting our recent results is supply chain disruption within our Aerospace reportable segment. Beginning in the second quarter of 2015, our largest two Aerospace distribution customers began reducing their investment in on-hand inventory levels of fastener products, which we believe was partially in response to the decision of airframe original equipment ("OE") customers to source more product directly from the manufacturer. This trend has continued through the second quarter of 2016. While this has impacted our net sales, it has also had a significant impact on margin levels, as certain of these products historically command higher profit margins. In addition to the reduction in distribution customer sales, we also have experienced production and scheduling challenges in one of our Aerospace fastener facilities that has contributed to significantly lower margins in the first half of 2016 versus prior quarters and years. We have plans in place to address these matters and are executing against them, as evidenced by our improved margins in the second quarter of 2016 as compared with first quarter 2016. We will continue to monitor our operating results related to these matters and to determine if a trend develops that is other than temporary, in which case we may need to assess the potential for impairment of this reporting unit's long-lived assets, including goodwill and indefinite-lived intangible assets.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third quarter of 2015, given the uncertain economic environment and the impact on net sales and profitability of lower oil prices, a stronger U.S. dollar and slowing industrial production, we announced a Financial Improvement Plan ("FIP") to improve our profitability, cash flow conversion and operational efficiency. As part of the FIP, we targeted cost actions to yield $15 million of annual savings, accelerating an additional $5 million of savings initiatives in the Energy business, with the remaining $10 million of savings expected to be spread relatively evenly across the remainder of the Company. In February 2016, we added $7 million of cost savings actions, increasing the expected annual run-rate cost savings to $22 million. By implementing the FIP, we believe we have lowered the cost structure of our engine-related business, allowing it to achieve break-even operating profit despite the more than 50% decline in sales as a result of the impact of lower oil prices. The FIP consisted of headcount reductions, manufacturing and administrative cost reduction and facility closures or consolidations. We believe the FIP was necessary to help to mitigate the external factors pressuring our revenue, and position the Company for improved profitability and operating leverage across a lower fixed cost structure in the future. The FIP is substantially complete, and the resulting savings is significantly helping to mitigate the impact of the reduction in year-over-year sales levels. We continue to evaluate further actions as merited based on business performance, considering additional cost reductions or facility closures should sales and profitability levels continue below historical levels.</w:t>
      </w:r>
    </w:p>
    <w:p>
      <w:pPr>
        <w:sectPr>
          <w:pgSz w:w="11900" w:h="16838" w:orient="portrait"/>
          <w:cols w:equalWidth="0" w:num="1">
            <w:col w:w="11420"/>
          </w:cols>
          <w:pgMar w:left="240" w:top="125" w:right="239" w:bottom="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 If we are unable to do any of the foregoing successfully, our financial condition and results of operations could be materially and adversely impacted.</w:t>
      </w:r>
    </w:p>
    <w:p>
      <w:pPr>
        <w:spacing w:after="0" w:line="2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businesses do not experience significant seasonal fluctuation, other than our fourth quarter has tended to be the lowest net sales quarter of the year given holiday shutdowns in certain customers or other customers deferring capital spending to the new year. We do not consider sales order backlog to be a material factor in our business. A growing portion of our sales is derived from international sources, which exposes us to certain risks, including currency risks.</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sensitive to price movements in our raw materials supply base. Our largest material purchases are for steel, aluminum,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been generally able to recover such increased costs. We may experience disruptions in supply in the future and may not be able to pass along higher costs associated with such disruptions to our customers in the form of price increases.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businesses are sensitive to oil price movements. As noted earlier, our Arrow Engine business is most directly impacted by significant volatility in oil prices. Arrow's pumpjack and other engine sales and related parts, which comprise a significant portion of the business, are impacted by oil drilling levels, rig counts and commodity pricing. In addition, a portion of our Energy reportable segment serves upstream customers at oil well sites that have been impacted by changes in oil prices. The majority of this segment provides parts for refineries and chemical plants, which may or may not decide to incur capital expenditures or changeover production stock, both of which require retooling with our gaskets and bolts, in times of fluctuating oil prices. Our Packaging reportable segment may be impacted by oil prices, as it is a significant driver of resin pricing, although we generally are able to maintain profit levels when oil prices change due to escalator/de-escalator clauses in contracts with many of our customers.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three months ended June 30, 2016 and 2015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 June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a Percentage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of Net Sales</w:t>
            </w: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88,110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43.3 %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89,580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39,950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19.7 %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50,150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41,950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203,320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224,900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31,980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57,080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61,720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11,270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12,490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31.3 %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12,990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7,070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7,770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38,420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42,510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20,710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18,660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19,210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5,180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11,130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10,970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six months ended June 30, 2016 and 2015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680"/>
              <w:spacing w:after="0"/>
              <w:rPr>
                <w:sz w:val="20"/>
                <w:szCs w:val="20"/>
                <w:color w:val="auto"/>
              </w:rPr>
            </w:pPr>
            <w:r>
              <w:rPr>
                <w:rFonts w:ascii="Arial" w:cs="Arial" w:eastAsia="Arial" w:hAnsi="Arial"/>
                <w:sz w:val="16"/>
                <w:szCs w:val="16"/>
                <w:b w:val="1"/>
                <w:bCs w:val="1"/>
                <w:color w:val="auto"/>
              </w:rPr>
              <w:t>Six months ended June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a Percentage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of Net Sales</w:t>
            </w: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168,220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41.4 %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168,540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88,960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84,700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101,310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68,690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90,220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406,200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449,030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60,120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35.7 %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59,660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15,520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18,610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113,000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124,640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20,870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21,440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30.1 %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22,350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13,890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16,650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77,890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82,410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12,190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35,110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42,230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10,390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2,140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22,170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21,410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three months ended June 30, 2016, compared with the three months ended June 30, 2015, were:</w:t>
      </w:r>
    </w:p>
    <w:p>
      <w:pPr>
        <w:spacing w:after="0" w:line="293"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lower oil prices, primarily impacting net sales in our Engineered Components and Energy reportable segments;</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incurred and savings from our FIP and other cost savings actions, spread across all of our reportable segments, with the largest amounts within our Energy reportable segment;</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production and scheduling costs and inefficiencies, as well as the impact of lower distribution customer sales, all within our Aerospace reportable segment;</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our November 2015 acquisition of the Tolleson, Arizona machined components facility from Parker-Hannifin within our Aerospace reportable segment; and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stronger U.S. dollar, primarily in our Packaging and Energy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Compared with Three Months Ended June 30, 2015</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net sales decreased approximately $21.6 million, or 9.6%, to $203.3 million for the three months ended June 30, 2016, as compared with $224.9 million in the three months ended June 30, 2015. This year-over-year decrease was primarily driven by our Energy and Engineered Components reportable segments, for which combined sales decreased by approximately $20.8 million (excluding the effects of foreign currency exchange), primarily as a result of lower oil prices and weakness in the energy-facing and industrial end markets. Our sales also decreased by approximately $1.3 million due to net unfavorable currency exchange, primarily in our Packaging reportable segment, as our reported results in U.S. dollars were negatively impacted as a result of the stronger U.S. dollar relative to foreign currencies. Excluding the effects of foreign currency exchange, sales within our Packaging reportable segment decreased by approximately $0.4 million. Sales within our Aerospace reportable segment increased approximately $0.9 million, as the approximate $3.1 million increase resulting from the Tolleson, Arizona facility acquisition in November 2015 was partially offset by lower sales to our distribution customers.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margin (gross profit as a percentage of sales) approximated 28.1% and 27.4% for the three months ended June 30, 2016 and 2015, respectively. The primary driver of the improvement in gross profit margin was cost savings as a result of execution of our FIP and other cost savings actions, which drove more than $5.0 million of year-over-year gross profit. In addition, we incurred approximately $2.9 million lower material costs and direct labor in second quarter 2016 compared to the prior year as a result of our low cost sourcing initiatives and fixed cost reductions as part of the broader restructuring plan, as well as the year-over-year impact of the 2015 U.S. West Coast port delays, which caused us to temporarily produce certain products in higher cost facilities to meet demand levels. The impact of these cost savings actions more than offset the impact of lower profit levels associated with the decline in year-over-year sales levels and lower margins in our Aerospace reportable segment primarily as a result of manufacturing inefficiencies and lower fixed cost absorption due to additional costs incurred to improve throughput and support customer demand levels. In addition, gross profit was negatively impacted by approximately $0.5 million of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margin (operating profit as a percentage of sales) approximated 9.2% and 8.5% for the three months ended June 30, 2016 and 2015, respectively. Operating profit decreased approximately $0.5 million, or 2.9%, to $18.7 million for the three months ended June 30, 2016, from $19.2 million for the three months ended June 30, 2015. Operating profit decreased primarily due to the decrease in sales and the Aerospace margin challenges related to additional costs incurred and inefficiencies to improve manufacturing throughput. These declines were mostly offset by savings as a result of our FIP, other cost savings initiatives and continued productivity initiatives.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decreased approximately $0.4 million, to $3.3 million for the three months ended June 30, 2016, as compared to $3.7 million for the three months ended June 30, 2015. Our weighted-average variable rate borrowings decreased to approximately $463.6 million in the three months ended June 30, 2016, from approximately $766.9 million in the three months ended June 30, 2015, primarily due to the distribution received from the Cequent spin-off in June 2015. The effective weighted-average interest rate on our outstanding variable rate borrowings, including our credit agreement ("Credit Agreement") and accounts receivable facilities, increased to approximately 2.0% for three months ended June 30, 2016, from approximately 1.9% for the three months ended June 30, 2015. In addition, a portion of our 2015 interest expense was allocated to the Cequent businesses as part of the spin-off and was reclassified as discontinued operations.</w:t>
      </w:r>
    </w:p>
    <w:p>
      <w:pPr>
        <w:sectPr>
          <w:pgSz w:w="11900" w:h="16838" w:orient="portrait"/>
          <w:cols w:equalWidth="0" w:num="1">
            <w:col w:w="11420"/>
          </w:cols>
          <w:pgMar w:left="240" w:top="125"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incurred debt financing and extinguishment costs of approximately $2.0 million during the three months ended June 30, 2015 related to the amendment of our Credit Agreement in conjunction with the spin-off of the Cequent businesses . For more information on the amendment of our Credit Agreement see Note 7, "</w:t>
      </w:r>
      <w:r>
        <w:rPr>
          <w:rFonts w:ascii="Arial" w:cs="Arial" w:eastAsia="Arial" w:hAnsi="Arial"/>
          <w:sz w:val="17"/>
          <w:szCs w:val="17"/>
          <w:i w:val="1"/>
          <w:iCs w:val="1"/>
          <w:color w:val="auto"/>
        </w:rPr>
        <w:t>Long-term Debt</w:t>
      </w:r>
      <w:r>
        <w:rPr>
          <w:rFonts w:ascii="Arial" w:cs="Arial" w:eastAsia="Arial" w:hAnsi="Arial"/>
          <w:sz w:val="17"/>
          <w:szCs w:val="17"/>
          <w:color w:val="auto"/>
        </w:rPr>
        <w:t>," to our consolidated financial statements included in Part I, Item 1 of this quarterly report on Form 10-Q.</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net changed approximately $0.4 million, to $0.1 million of other income for the three months ended June 30, 2016, from $0.3 million of other expense for the three months ended June 30, 2015, primarily due to an increase in gains on transactions denominated in foreign currencies, partially offset by costs attributed to a reduction of certain indemnification assets related to uncertain tax liabilities.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rates for the three months ended June 30, 2016 and 2015 were 32.3% and 35.8%, respectively. The reduction in the rate was a result of earnings in foreign jurisdictions where the effective tax rate was less than 35%, changes in uncertain tax benefits during the quarter due to the expiration of statute of limitations, and the U.S. manufacturing deduction, partially offset by losses at certain foreign subsidiaries where no tax benefit could be recorded, and non-deductible expenses.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from continuing operations increased by approximately $2.0 million, to $10.5 million for the three months ended June 30, 2016, compared to $8.5 million for the three months ended June 30, 2015. The $0.5 million decrease in operating profit and $0.3 million increase in income tax expense were more than offset by a $2.0 million decrease in debt extinguishment costs, a $0.4 million decrease in interest expense and a $0.4 million change in other income (expense), net.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decreased approximately $1.5 million, or 1.6%, to $88.1 million in the three months ended June 30, 2016, as compared to $89.6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June 30, 2015. Sales decreased primarily due to approximately $1.1 million of unfavorable currency exchange, as our reported results in U.S. dollars were negatively impacted as a result of the stronger U.S. dollar relative to foreign currencies. Sales of our health, beauty and home care end market products decreased approximately $1.0 million primarily due to new program launches during the second quarter of 2015 that did not repeat in the second quarter of 2016. These decreases were partially offset by an increase in sales of our industrial closures of approximately $0.8 million, primarily due to increased demand in the United States.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Packaging's gross profit decreased approximately $0.7 million to $31.3 million, or 35.5% of sales, in the three months ended June 30, 2016, as compared to $32.0 million, or 35.7% of sales, in the three months ended June 30, 2015. The decrease in gross profit was primarily due to approximately $0.5 million of unfavorable foreign currency as a result of the stronger U.S. dollar, as well as lower profit due to the lower sales volumes.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selling, general and administrative expenses decreased approximately $1.5 million to $9.8 million, or 11.2% of sales, in the three months ended June 30, 2016, as compared to $11.3 million, or 12.6% of sales, in the three months ended June 30, 2015, primarily due to lower employee related costs as a result of execution of the FIP.</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Packaging's operating profit increased approximately $0.7 million to $21.4 million, or 24.3% of sales, in the three months ended June 30, 2016, as compared to $20.7 million, or 23.1% of sales, in the three months ended June 30, 2015, primarily due to lower selling, general and administrative costs as a result of execution of the FIP, which were partially offset by a decline associated with lower sales levels and unfavorable currency exchange.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June 30, 2016 increased approximately $0.9 million, or 2.0%, to $44.1 million, as compared to $43.2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June 30, 2015. Sales increased approximately $3.1 million related to the November 2015 Tolleson, Arizona facility acquisition. Sales to OE customers increased $0.3 million while sales to distribution customers declined by approximately $2.5 million, primarily as a result of large customers continuing planned reductions of their investment in on-hand inventory levels of certain fastener products. Order demand from OE customers would have supported higher sales levels in the second quarter of 2016 except for challenges with scheduling and throughput that, while improved, carried over from the prior quarter.</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Aerospace decreased approximately $4.9 million to $10.0 million, or 22.7% of sales, in the three months ended June 30, 2016, from $14.9 million, or 34.4% of sales, in the three months ended June 30, 2015. Gross profit decreased by approximately $1.9 million due manufacturing inefficiencies and lower fixed cost absorption as a result of the current supply chain disruptions. In addition, gross profit decreased by approximately $1.0 million as a result of additional costs incurred to improve manufacturing throughput and better support customer demand levels. Gross profit also decreased by approximately $0.8 million due to a less favorable product sales mix as a result of lower sales of higher margin products to distribution customers, approximately $0.8 million due to lower organic sales volume and by approximately $0.4 million related to costs incurred to qualify new products for future sales through the Tolleson facility.</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decreased approximately $1.1 million to $6.5 million, or 14.7% of sales, in the three months ended June 30, 2016, as compared to $7.6 million, or 17.7% of sales, in the three months ended June 30, 2015, primarily due to cost savings associated with the FIP, as well as charges related to operational and leadership changes incurred in the three months ended June 30, 2015 that did not repeat in 2016.</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profit within Aerospace decreased approximately $3.6 million to $3.6 million, or 8.1% of sales, in the three months ended June 30, 2016, as compared to $7.2 million, or 16.7% of sales, in the three months ended June 30, 2015. The decline in operating profit and operating profit margin was mainly attributable to incremental costs incurred to improve certain production scheduling and manufacturing processes, lower fixed cost absorption, lower organic sales and a less favorable product sales mix, which were partially offset by lower selling, general and administrative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for the three months ended June 30, 2016 decreased approximately $10.2 million, or 20.3%, to $40.0 million, as compared to $50.2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June 30, 2015. Sales decreased by approximately $7.9 million in North America and by approximately $2.1 million in our international branches primarily due to weaker upstream sales at well sites as a result of lower oil prices and lower major oil and petrochemical refinery spending levels. Sales further declined by approximately $0.2 million due to net unfavorable currency exchange, as our reported results in U.S. dollars were negatively impacted as a result of the stronger U.S. dollar relative to foreign currencies.</w:t>
      </w:r>
    </w:p>
    <w:p>
      <w:pPr>
        <w:sectPr>
          <w:pgSz w:w="11900" w:h="16838" w:orient="portrait"/>
          <w:cols w:equalWidth="0" w:num="1">
            <w:col w:w="11420"/>
          </w:cols>
          <w:pgMar w:left="240" w:top="125" w:right="239" w:bottom="13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6"/>
          <w:szCs w:val="16"/>
          <w:color w:val="auto"/>
        </w:rPr>
        <w:t>Gross profit within Energy increased approximately $3.6 million to $9.4 million, or 23.5% of sales, in the three months ended June 30, 2016, as compared to $5.8 million, or 11.6% of sales, in the three months ended June 30, 2015. Gross profit increased approximately $2.9 million due to lower material costs and direct labor compared to the prior year as a result of our low cost sourcing initiatives and fixed cost reductions as part of the broader restructuring plan, as well as the year-over-year impact of the 2015 U.S. West Coast port delays. The port delays caused us to temporarily produce certain products in higher cost facilities in 2015 to meet demand levels. Gross profit also increased by approximately $0.9 million as a result of lower restructuring-related costs compared to the prior year. These improvements were partially offset by lower profit as a result of the reduction in sales levels.</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within Energy decreased approximately $0.5 million to $12.5 million, or 31.3% of sales, in the three months ended June 30, 2016, as compared to $13.0 million, or 25.9% of sales, in the three months ended June 30, 2015. In the second quarter of 2015, we incurred approximately $2.8 million in expenses to resolve a previous legal claim, which did not repeat in 2016. In addition, selling, general and administration expenses decreased as a result of our FIP to reduce fixed costs. These decreases were partially offset by approximately $3.2 million in professional fees and other costs during second quarter 2016 in connection with furthering our restructuring initiatives.</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Overall, operating loss within Energy decreased approximately $4.1 million to an approximate $3.1 million loss, or 7.7% of sales, in the three months ended June 30, 2016, as compared to a loss of $7.2 million, or 14.3% of sales, in the three months ended June 30, 2015. The operating loss decreased as a result of lower costs in connection with the execution of the restructuring and related FIP and the settlement of a legal claim in the second quarter of 2015 that did not repeat in 2016, which were partially offset by higher costs associated with restructuring activities during the second quarter of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Engineered Components. </w:t>
      </w:r>
      <w:r>
        <w:rPr>
          <w:rFonts w:ascii="Arial" w:cs="Arial" w:eastAsia="Arial" w:hAnsi="Arial"/>
          <w:sz w:val="18"/>
          <w:szCs w:val="18"/>
          <w:color w:val="auto"/>
        </w:rPr>
        <w:t>Net sales for the three months ended June 30, 2016 decreased approximately $10.8 million, or 25.7%, to $31.2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$42.0 million in the three months ended June 30, 2015. Sales of our industrial cylinders decreased by approximately $6.0 million, primarily due to lower demand for gas cylinders in industrial applications. Sales of our gas compression products declined approximately $2.7 million and sales of our slow speed and compressor engine and related products decreased approximately $2.1 million, both primarily as a result of reduced levels of oil and gas drilling and well completions in the U.S. and Canada in response to lower oil prices.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Engineered Components decreased approximately $2.7 million to $6.4 million, or 20.6% of sales, in the three months ended June 30, 2016, from $9.1 million, or 21.6% of sales, in the three months ended June 30, 2015, primarily as a result of the decreased sales levels. Gross profit margin in our engine and compression-related products decreased as a result of lower fixed cost absorption despite cost reductions to better align our cost structure with current demand levels. Gross profit margin from sales of our industrial cylinders remained relatively flat, as lower fixed cost absorption was offset by lower input costs and ongoing productivity initiatives.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approximately $0.3 million to $2.6 million, or 8.2% of sales, in the three months ended June 30, 2016, as compared to $2.9 million, or 6.8% of sales, in the three months ended June 30, 2015. The decrease in selling, general and administrative expenses was largely a result of our cost savings initiatives in our engine and compression-related products business, as we reduced costs given the low oil-related activity to better align our cost structure with current demand levels.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Engineered Components decreased approximately $2.3 million to $3.9 million, or 12.4% of sales, in the three months ended June 30, 2016, as compared to $6.2 million, or 14.8% of sales, in the three months ended June 30, 2015. Operating profit and related margin declined primarily due to lower sales levels and lower fixed cost absorption, which were partially offset by lower industrial cylinder input costs and various cost savings and productivity initiatives.</w:t>
      </w:r>
    </w:p>
    <w:p>
      <w:pPr>
        <w:spacing w:after="0" w:line="24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2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Corporate operating expenses</w:t>
            </w:r>
          </w:p>
        </w:tc>
        <w:tc>
          <w:tcPr>
            <w:tcW w:w="1120" w:type="dxa"/>
            <w:vAlign w:val="bottom"/>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120" w:type="dxa"/>
            <w:vAlign w:val="bottom"/>
          </w:tcPr>
          <w:p>
            <w:pPr>
              <w:jc w:val="right"/>
              <w:ind w:right="91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costs and related benefits</w:t>
            </w: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120" w:type="dxa"/>
            <w:vAlign w:val="bottom"/>
            <w:tcBorders>
              <w:top w:val="single" w:sz="8" w:color="auto"/>
            </w:tcBorders>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expenses decreased approximately $0.7 million to $7.1 million for the three months ended June 30, 2016, from $7.8 million for the three months ended June 30, 2015. Corporate operating expenses decreased approximately $0.4 million, primarily due to a decrease in third party professional fees. Employee costs and related benefits decreased approximately $0.3 million, primarily due to lower headcount following the Cequent spin-off as well as headcount reductions as part of the FIP, which were partially offset by an increase in expense related to the timing and estimated attainment of our long-term incentive compensation.</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The results of discontinued operations consist of our former Cequent businesses, which were spun-off on June 30, 2015.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June 30, 2015, loss from discontinued operations, net of income tax expense, was approximately $6.8 million. See Note 3, "</w:t>
      </w:r>
      <w:r>
        <w:rPr>
          <w:rFonts w:ascii="Arial" w:cs="Arial" w:eastAsia="Arial" w:hAnsi="Arial"/>
          <w:sz w:val="17"/>
          <w:szCs w:val="17"/>
          <w:i w:val="1"/>
          <w:iCs w:val="1"/>
          <w:color w:val="auto"/>
        </w:rPr>
        <w:t>Discontinued Operations,</w:t>
      </w:r>
      <w:r>
        <w:rPr>
          <w:rFonts w:ascii="Arial" w:cs="Arial" w:eastAsia="Arial" w:hAnsi="Arial"/>
          <w:sz w:val="17"/>
          <w:szCs w:val="17"/>
          <w:color w:val="auto"/>
        </w:rPr>
        <w:t>" to our consolidated financial statements included in Part I, Item 1 of this quarterly report on Form 10-Q.</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with Six Months Ended June 30, 2015</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Overall, net sales decreased approximately $42.8 million, or approximately 9.5%, to $406.2 million for the six months ended June 30, 2016, as compared with $449.0 million in the six months ended June 30, 2015. This year-over-year decrease was primarily driven by our Energy and Engineered Components reportable segments, for which combined sales decreased by approximately $37.4 million (excluding the effects of foreign currency exchange), primarily as a result of lower oil prices and weakness in the energy-facing end markets. In addition, sales within our Aerospace reportable segment declined approximately $4.4 million, as a decline in OE and distribution customer sales more than offset increased sales of approximately $6.1million related to the November 2015 Tolleson, Arizona facility acquisition. Foreign currency exchange resulted in an approximate $3.3 million reduction in sales due to net unfavorable currency exchange, primarily in our Packaging reportable segment, as our reported results in U.S. dollars were negatively impacted as a result of the stronger U.S. dollar relative to foreign currencies. These declines were partially offset by approximately $2.3 million in increased sales within our Packaging reportable segment, excluding the impact of currency exchange, primarily due to higher sales of industrial closures.</w:t>
      </w:r>
    </w:p>
    <w:p>
      <w:pPr>
        <w:sectPr>
          <w:pgSz w:w="11900" w:h="16838" w:orient="portrait"/>
          <w:cols w:equalWidth="0" w:num="1">
            <w:col w:w="11420"/>
          </w:cols>
          <w:pgMar w:left="240" w:top="260" w:right="239" w:bottom="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8"/>
          <w:szCs w:val="18"/>
          <w:color w:val="auto"/>
        </w:rPr>
        <w:t>Gross profit margin (gross profit as a percentage of sales) approximated 27.8% for each of the six months ended June 30, 2016 and 2015. The primary driver of improvement in gross profit margin was cost savings as a result of execution of our FIP and other cost savings actions, which drove more than $10.0 million of year-over-year gross profit. In addition, we incurred approximately $4.0 million lower material costs and direct labor in the first half of 2016 compared to the prior year as a result of our low cost sourcing initiatives and fixed cost reductions as part of the broader restructuring plan, as well as the year-over-year impact of the 2015 U.S. West Coast port delays, which caused us to temporarily produce certain products in higher cost facilities to meet demand levels. The impact of these cost savings actions were essentially offset by the impact of lower profit levels associated with the decline in year-over-year sales levels and lower margins in our Aerospace reportable segment primarily as a result of manufacturing inefficiencies and lower fixed cost absorption due to additional costs incurred to improve throughput and support customer demand levels. Gross profit was also negatively impacted by approximately $1.1 million of unfavorable currency exchange, as our reported results in U.S. dollars were negatively impacted as a result of the stronger U.S. dollar relative to foreign currencies.</w:t>
      </w:r>
    </w:p>
    <w:p>
      <w:pPr>
        <w:spacing w:after="0" w:line="2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profit margin (operating profit as a percentage of sales) approximated 8.6% and 9.4% for the six months ended June 30, 2016 and 2015, respectively. Operating profit decreased approximately $7.1 million, or 16.9%, to $35.1 million for the six months ended June 30, 2016, compared to $42.2 million for the six months ended June 30, 2015. Operating profit decreased primarily due to lower sales year-over-year and due to manufacturing inefficiencies, lower fixed cost absorption and costs incurred to improve throughput and better support customer demand levels in our Aerospace segment, and the impact of lower sales and related fixed cost absorption in our Engineered Components segment. These impacts were partially offset by cost savings associated with the execution of our FIP and other cost savings actions and lower material and labor spending in our Energy reportable segment.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decreased approximately $0.4 million, to $6.8 million, for the six months ended June 30, 2016, as compared to $7.2 million for the six months ended June 30, 2015. The decrease in interest expense was primarily due to a decrease in our weighted-average variable rate borrowings to approximately $469.2 million in the six months ended June 30, 2016, from approximately $755.4 million in the six months ended June 30, 2015, primarily due to the distribution received from the Cequent spin-off in June 2015. The effective weighted average interest rate on our outstanding variable rate borrowings, including our Credit Agreement and accounts receivable facilities, increased to approximately 2.0% for the six months ended June 30, 2016, from approximately 1.8% for the six months ended June 30, 2015. In addition, a portion of our 2015 interest expense was allocated to the Cequent businesses as part of the spin-off and was reclassified as discontinued operations.</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incurred debt financing and extinguishment costs of approximately $2.0 million during the six months ended June 30, 2015 related to the amendment of our Credit Agreement in conjunction with the spin-off of the Cequent businesses . For more information on the amendment of our Credit Agreement see Note 7, "</w:t>
      </w:r>
      <w:r>
        <w:rPr>
          <w:rFonts w:ascii="Arial" w:cs="Arial" w:eastAsia="Arial" w:hAnsi="Arial"/>
          <w:sz w:val="17"/>
          <w:szCs w:val="17"/>
          <w:i w:val="1"/>
          <w:iCs w:val="1"/>
          <w:color w:val="auto"/>
        </w:rPr>
        <w:t>Long-term Debt</w:t>
      </w:r>
      <w:r>
        <w:rPr>
          <w:rFonts w:ascii="Arial" w:cs="Arial" w:eastAsia="Arial" w:hAnsi="Arial"/>
          <w:sz w:val="17"/>
          <w:szCs w:val="17"/>
          <w:color w:val="auto"/>
        </w:rPr>
        <w:t>," to our consolidated financial statements included in Part I, Item 1 of this quarterly report on Form 10-Q.</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net changed approximately $1.7 million, to $0.1 million of other income, net for the six months ended June 30, 2016, from $1.6 million of other expense, net for the six months ended June 30, 2015, primarily due to an increase in gains on transactions denominated in foreign currencies, which were partially offset by costs attributed to a reduction of certain indemnification assets related to uncertain tax liabilities.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income tax rates for the six months ended June 30, 2016 and 2015 were 33.9% and 35.1%, respectively. The reduction in the rate was primarily as a result of a decrease in unrecognized tax benefits due to the expiration of statute of limitations, which was partially offset by losses at certain foreign subsidiaries where no tax benefit could be recorded.</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from continuing operations decreased by approximately $1.6 million, to $18.8 million for the six months ended June 30, 2016, compared to $20.4 million for the six months ended June 30, 2015. The decrease was primarily the result of a $7.1 million decrease in operating profit, partially offset by a $2.0 million decrease in debt extinguishment costs, a $1.7 million change in other income (expense), net, a $1.4 million decrease in income tax expense and a $0.4 million decrease in interest expense.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decreased approximately $0.3 million, or 0.2%, to $168.2 million in the six months ended June 30, 2016, as compared to $168.5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six months ended June 30, 2015. Sales decreased approximately $2.6 million due to unfavorable currency exchange, as our reported results in U.S. dollars were negatively impacted as a result of the stronger U.S. dollar relative to foreign currencies. Sales of our industrial closures increased approximately $1.7 million and sales of our food and beverage end market products increased approximately $0.2 million, both primarily due to increased demand in the United States. Additionally, sales of our health, beauty and home care end market products increased approximately $0.4 million primarily due to higher demand in Europe and Asia.</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gross profit increased approximately $0.4 million to $60.1 million, or 35.7% of sales, in the six months ended June 30, 2016, as compared to $59.7 million, or 35.4% of sales, in the six months ended June 30, 2015. Gross profit increased approximately $0.8 million due to higher sales levels, excluding the impact of unfavorable foreign exchange. In addition, gross profit increased approximately $0.7 million primarily due to the combination of improved overhead cost absorption, a more favorable product sales mix, as a larger percentage of our sales were generated by our higher margin industrial products, and as a result of continued productivity and automation initiatives. These increases were partially offset by approximately $1.1 million of unfavorable foreign currency as a result of the stronger U.S. dollar.</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selling, general and administrative expenses decreased approximately $0.5 million to $20.9 million, or 12.4% of sales, in the six months ended June 30, 2016, as compared to $21.4 million, or 12.7% of sales, in the six months ended June 30, 2015, primarily due to lower employee related costs in connection with the execution of the FIP. The savings generated under the FIP were partially offset by an approximate $0.6 million increase in professional fees as well as costs incurred associated with the front end reorganization of the business to operate based on product categories on a global basis versus only regionally.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operating profit increased approximately $1.1 million to $39.3 million, or 23.3% of sales, in the six months ended June 30, 2016, as compared to $38.2 million, or 22.7% of sales, in the six months ended June 30, 2015, primarily due to increased sales generated by our higher margin industrial products, continued productivity and automation initiatives and lower selling, general and administrative costs in connection with the execution of the FIP, which were partially offset by the impact of unfavorable foreign exchange.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for the six months ended June 30, 2016 decreased approximately $4.4 million, or 4.9%, to $84.6 million, as compared to $89.0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six months ended June 30, 2015. Sales to distribution customers declined by approximately $7.2 million, primarily as a result of certain large customers continuing planned reductions of their investment in on-hand inventory levels of certain fastener products which began in the second quarter of 2015. Sales to OE customers decreased approximately $3.3 million, as while demand continued at expected levels, we experienced scheduling and production constraints which impacted our ability to meet current demand. These decreases were partially offset by approximately $6.1 million of sales related to the November 2015 acquisition of Parker-Hannifin Corporation's Tolleson, Arizona machined components facility.</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within Aerospace decreased approximately $11.2 million to $19.7 million, or 23.2% of sales, in the six months ended June 30, 2016, from $30.9 million, or 34.7% of sales, in the six months ended June 30, 2015. Of this decrease in gross profit, approximately $4.6 million is a result of manufacturing inefficiencies and lower fixed cost absorption, primarily due to additional costs incurred to improve manufacturing throughput and better support customer demand levels. Gross profit also decreased by approximately $3.7 million due to the lower organic sales levels, approximately $1.5 million due to a less favorable product sales mix and approximately $1.4 million related to integration and new product qualification costs for the Tolleson facility.</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decreased approximately $2.9 million to $12.6 million, or 14.9% of sales, in the six months ended June 30, 2016, as compared to $15.6 million, or 17.5% of sales, in the six months ended June 30, 2015, primarily due to cost savings associated with the FIP, as well as charges related to operational and leadership changes incurred in the six months ended June 30, 2015 that did not repeat in 2016.</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Aerospace decreased approximately $8.3 million to $7.0 million, or 8.3% of sales, in the six months ended June 30, 2016, as compared to $15.3 million, or 17.2% of sales, in the six months ended June 30, 2015. The decline in operating profit and operating profit margin is primarily attributable to manufacturing production throughput costs and ineficiencies, lower organic sales volumes, a less favorable product sales mix, and acquisition integration costs, which were partially offset by lower selling, general and administrative expenses.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for the six months ended June 30, 2016 decreased approximately $16.6 million, or 16.4%, to $84.7 million, as compared to $101.3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six months ended June 30, 2015. Sales decreased by approximately $11.3 million in North America and by approximately $3.4 million in our international branches primarily due to weaker upstream sales at well sites as a result of lower crude prices and lower major oil and petrochemical refinery spending levels. Sales further declined by approximately $1.2 million due to lower sales resulting from branch closures in Brazil, China and the Netherlands and approximately $0.7 million of net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within Energy increased approximately $3.3 million to $18.8 million, or 22.2% of sales, in the six months ended June 30, 2016, as compared to $15.5 million, or 15.3% of sales, in the six months ended June 30, 2015. While sales declined year-over-year, resulting in approximately $2.5 million lower gross profit, gross profit increased in total due to the ongoing restructuring and lowering of fixed costs. Gross profit increased by approximately $4.0 million due to lower material costs and direct labor compared to the prior year as a result of our restructuring efforts and the additional costs incurred in 2015 as part of the U.S. West Coast port delays, which caused us to temporarily produce certain products in higher cost facilities to meet demand levels. The remainder of the increase in gross profit is primarily due to the lower fixed cost structure as a result of our FIP to remove costs and consolidate facilities.</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expenses within Energy increased approximately $3.2 million to $25.5 million, or 30.1% of sales, in the six months ended June 30, 2016, as compared to $22.4 million, or 22.1% of sales, in the six months ended June 30, 2015, primarily due to approximately $6.2 million of higher professional fees and other costs associated with our restructuring efforts. In addition, we incurred approximately $1.0 million related to potentially uncollectable accounts receivable. These increases were partially offset by approximately $2.8 million of expenses incurred during the second quarter of 2015 to resolve a previous legal claim, which did not repeat in 2016, as well as lower ongoing costs as a result of the FIP and other cost cutting measures.</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Overall, operating loss within Energy decreased approximately $0.1 million to a $6.7 million loss, or 7.9% of sales, in the six months ended June 30, 2016, as compared to a $6.8 million loss, or 6.7% of sales, in the six months ended June 30, 2015, as the improvements in year-over-year operating performance as a result of the restructuring and the impact of the 2015 legal claim were mostly offset by increased spending levels to further the restructuring of the business.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Engineered Components. </w:t>
      </w:r>
      <w:r>
        <w:rPr>
          <w:rFonts w:ascii="Arial" w:cs="Arial" w:eastAsia="Arial" w:hAnsi="Arial"/>
          <w:sz w:val="18"/>
          <w:szCs w:val="18"/>
          <w:color w:val="auto"/>
        </w:rPr>
        <w:t>Net sales for the six months ended June 30, 2016 decreased approximately $21.5 million, or 23.9%, to $68.7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$90.2 million in the six months ended June 30, 2015. Sales of our gas compression products declined approximately $8.7 million and sales of our slow speed and compressor engine and related products decreased approximately $4.5 million, both primarily as a result of reduced levels of oil and gas drilling and well completions in the U.S. and Canada in response to lower oil prices. In addition, sales of our industrial cylinders decreased by approximately $8.3 million, primarily due to lower demand for gas cylinders in industrial applications.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Engineered Components decreased approximately $4.2 million to $14.4 million, or 21.0% of sales, in the six months ended June 30, 2016, from $18.6 million, or 20.6% of sales, in the six months ended June 30, 2015, primarily as a result of the decreased sales levels. Gross profit margin in our engine and compression-related products decreased as a result of lower fixed cost absorption despite cost reductions to better align our cost structure with current demand levels. This was partially offset by increased gross profit margin from sales of our industrial cylinders, as a result of lower input costs and ongoing productivity initiatives.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approximately $1.4 million to $5.0 million, or 7.3% of sales, in the six months ended June 30, 2016, as compared to $6.4 million, or 7.1% of sales, in the six months ended June 30, 2015. The decrease in selling, general and administrative expenses was largely a result of our cost savings initiatives in our engine and compression-related products business, as we reduced costs given the low oil-related activity to better align our cost structure with current demand levels.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Engineered Components decreased approximately $2.8 million to $9.4 million, or 13.7% of sales, in the six months ended June 30, 2016, as compared to operating profit of $12.2 million, or 13.5% of sales, in the six months ended June 30, 2015. Operating profit declined primarily due to lower sales levels; however, operating profit margin increased due to achievement of our cost savings initiatives in our engine business to remain near break-even levels despite the reduction in net sales.</w:t>
      </w:r>
    </w:p>
    <w:p>
      <w:pPr>
        <w:spacing w:after="0" w:line="24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760" w:type="dxa"/>
            <w:vAlign w:val="bottom"/>
            <w:gridSpan w:val="4"/>
          </w:tcPr>
          <w:p>
            <w:pPr>
              <w:jc w:val="right"/>
              <w:ind w:right="93"/>
              <w:spacing w:after="0"/>
              <w:rPr>
                <w:sz w:val="20"/>
                <w:szCs w:val="20"/>
                <w:color w:val="auto"/>
              </w:rPr>
            </w:pPr>
            <w:r>
              <w:rPr>
                <w:rFonts w:ascii="Arial" w:cs="Arial" w:eastAsia="Arial" w:hAnsi="Arial"/>
                <w:sz w:val="16"/>
                <w:szCs w:val="16"/>
                <w:b w:val="1"/>
                <w:bCs w:val="1"/>
                <w:color w:val="auto"/>
              </w:rPr>
              <w:t>Six months ended June 30,</w:t>
            </w:r>
          </w:p>
        </w:tc>
        <w:tc>
          <w:tcPr>
            <w:tcW w:w="52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Corporate operating expenses</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8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costs and related benefits</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06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Corporate expenses decreased approximately $2.8 million to $13.9 million for the six months ended June 30, 2016, from $16.7 million for the six months ended June 30, 2015. Corporate operating expenses decreased approximately $1.6 million, primarily due to a decrease in third party professional fees and a favorable property tax assessment settlement in 2016 of approximately $0.4 million for a former business unit. Employee costs and related benefits decreased approximately $1.2 million, primarily due to lower headcount following the Cequent spin-off as well as headcount reductions as part of the FIP, which were partially offset by an increase in expense related to the timing and estimated attainment of our long-term incentive compensation.</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The results of discontinued operations consist of our former Cequent businesses, which were spun-off on June 30, 2015.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June 30, 2015, loss from discontinued operations, net of income tax expense, was approximately $4.7 million. See Note 3, "</w:t>
      </w:r>
      <w:r>
        <w:rPr>
          <w:rFonts w:ascii="Arial" w:cs="Arial" w:eastAsia="Arial" w:hAnsi="Arial"/>
          <w:sz w:val="17"/>
          <w:szCs w:val="17"/>
          <w:i w:val="1"/>
          <w:iCs w:val="1"/>
          <w:color w:val="auto"/>
        </w:rPr>
        <w:t>Discontinued Operations,</w:t>
      </w:r>
      <w:r>
        <w:rPr>
          <w:rFonts w:ascii="Arial" w:cs="Arial" w:eastAsia="Arial" w:hAnsi="Arial"/>
          <w:sz w:val="17"/>
          <w:szCs w:val="17"/>
          <w:color w:val="auto"/>
        </w:rPr>
        <w:t>" to our consolidated financial statements included in Part I, Item 1 of this quarterly report on Form 10-Q.</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of continuing operations were approximately $32.9 million for the six months ended June 30, 2016, as compared to $20.5 million for the six months ended June 30, 2015. Significant changes in cash flows used for and provided by operating activities of continuing operations and the reasons for such changes are as follows:</w:t>
      </w:r>
    </w:p>
    <w:p>
      <w:pPr>
        <w:spacing w:after="0" w:line="235" w:lineRule="exact"/>
        <w:rPr>
          <w:sz w:val="20"/>
          <w:szCs w:val="20"/>
          <w:color w:val="auto"/>
        </w:rPr>
      </w:pPr>
    </w:p>
    <w:p>
      <w:pPr>
        <w:jc w:val="both"/>
        <w:ind w:left="980" w:hanging="324"/>
        <w:spacing w:after="0" w:line="27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six months ended June 30, 2016, the Company generated approximately $46.5 million of cash, based on the reported net income of approximately $18.8 million and after considering the effects of non-cash items related to losses on dispositions of property and equipment, depreciation, amortization, changes in deferred income taxes, stock-based compensation and related tax effect and other, net. For the six months ended June 30, 2015, the Company generated approximately $46.7 million in cash flows based on the reported income from continuing operations of approximately $20.4 million and after considering the effects of similar non-cash items.</w:t>
      </w:r>
    </w:p>
    <w:p>
      <w:pPr>
        <w:spacing w:after="0" w:line="22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approximately $3.7 million and $8.9 million for the six months ended June 30, 2016 and 2015, respectively. The increased use of cash for each of the six month periods is due primarily to the timing of sales and collection of cash within the periods. Days sales outstanding of receivables remained relatively flat period-over-period.</w:t>
      </w:r>
    </w:p>
    <w:p>
      <w:pPr>
        <w:spacing w:after="0" w:line="23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six months ended June 30, 2016, we reduced our investment in inventory by approximately $1.1 million. For the six months ended June 30, 2015, we used approximately $9.2 million of cash for investment in our inventories, primarily due to higher material sourcing costs and increased purchases related to U.S. West Coast port delays, mainly in our Energy reportable segment.</w:t>
      </w:r>
    </w:p>
    <w:p>
      <w:pPr>
        <w:spacing w:after="0" w:line="23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cash source of approximately $10.7 million and $0.5 million for the six months ended June 30, 2016 and 2015, respectively. The decrease in prepaid expenses and other assets for the six months ended June 30, 2016 is primarily a result of the timing of certain domestic tax payments. For the six months ended June 30, 2015, the decrease is primarily the result of the timing of payments made for certain operating prepaid expenses.</w:t>
      </w:r>
    </w:p>
    <w:p>
      <w:pPr>
        <w:spacing w:after="0" w:line="24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cash use of approximately $21.7 million and $8.6 million for the six months ended June 30, 2016 and 2015, respectively. The change in cash used for accounts payable and accrued liabilities is primarily a result of the timing of payments made to suppliers and mix of vendors and related terms. The use of cash was greater in 2016, as our days accounts payable on hand decreased from approximately 58 days in 2015 to approximately 47 days in 2016.</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of continuing operations for the six months ended June 30, 2016 and 2015 was approximately $12.8 million and $12.2 million, respectively. During the first six months of 2016, we incurred approximately $13.0 million in capital expenditures, as we have continued our investment in growth, capacity and productivity-related capital projects. Cash received from the disposition of property and equipment was approximately $0.1 million. During the first six months of 2015, we incurred approximately $12.9 million in capital expenditures and received cash from the disposition of property and equipment of approximately $0.7 million.</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provided by financing activities of continuing operations for the six months ended June 30, 2016 was approximately $15.9 million, as compared to $198.4 million for the six months ended June 30, 2015. During the first six months of 2016, we incurred net borrowings of $8.5 million on our receivables and revolving credit facilities, primarily to fund our working capital needs, and repaid approximately $7.0 million on our term loan. We also used a net cash amount of approximately $0.5 million related to our stock compensation arrangements. During the first six months of 2015, in conjunction with the spin-off of our former Cequent businesses, Horizon made a cash distribution to us of $214.5 million. We used the distribution received from Horizon to amend and pay down our term loan facilities. During the first six months of 2015, we had net additional repayments of approximately $5.5 million on our receivables and revolving credit facilities, and net additional repayments of approximately $166.4 million on our term loan facilities. We transferred cash of approximately $17.1 million during the period to Horizon, in connection with the spin-off. We also made deferred purchase price payments related to our previous acquisitions of approximately $5.7 million, we used approximately $1.9 million related to debt financing fees and used a net cash amount of approximately $1.9 million related to our stock compensation arrangements.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party to a Credit Agreement, consisting of a $500.0 million senior secured revolving credit facility, which permits borrowings denominated in specific foreign currencies ("Foreign Currency Loans"), subject to a $75.0 million sub limit, and a $275.0 million senior secured term loan A facility ("Term Loan A Facility"). The Credit Agreement matures on June 30, 2020 and is subject to interest at London Interbank Offered Rates ("LIBOR") plus 1.75%. The interest rate spread is based upon the leverage ratio, as defined, as of the most recent determination 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2016, approximately $264.7 million was outstanding on the Term Loan A Facility and approximately $83.2 million was outstanding on the revolving credit facility. The Credit Agreement allows issuance of letters of credit, not to exceed $40.0 million in aggregate, against revolving credit facility commitments, of which approximately $18.5 million was outstanding at June 30, 2016.</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Credit Agreement also provides for incremental term loan facility and/or revolving credit commitments, not to exceed the greater of $300.0 million and an amount such that, after giving effect to the making of such commitments and the incurrence of any other indebtedness substantially simultaneously with the making of such commitments, the senior secured net leverage ratio, as defined in the Credit Agreement, is no greater than 2.50 to 1.00. The terms and conditions of any incremental term loan and/or revolving credit facility commitments must be no more favorable than the existing credit facility.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required to prepay a portion of our Term Loan A Facility in an amount equal to a percentage of our excess cash flow, as defined, which such percentage will be based on our leverage ratio, as defined. As of June 30, 2016, no amounts are due under this provision.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restrictions on incurrence of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Our permitted leverage ratio under the Credit Agreement is 3.50 to 1.00 as of June 30, 2016. If we were to complete an acquisition which qualifies for a Covenant Holiday Period, as defined in our Credit Agreement, then our permitted leverage ratio cannot exceed 4.00 to 1.00 during that period. Our actual leverage ratio was 2.82 to 1.00 at June 30, 2016. Our permitted interest expense coverage ratio under the Credit Agreement is 3.00 to 1.00 as of June 30, 2016. Our actual interest expense coverage ratio was 12.40 to 1.00 at June 30, 2016. At June 30, 2016, we were in compliance with our financial covenants.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June 30, 2016 (dollars in thousands). We present Consolidated Bank EBITDA to show our performance under our financial covenants.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86"/>
              </w:rPr>
              <w:t>Less: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Add: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21"/>
                <w:szCs w:val="21"/>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Six Months Ended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Six Months Ended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92"/>
              </w:rPr>
              <w:t>Twelve Months</w:t>
            </w: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2015</w:t>
            </w:r>
          </w:p>
        </w:tc>
        <w:tc>
          <w:tcPr>
            <w:tcW w:w="140" w:type="dxa"/>
            <w:vAlign w:val="bottom"/>
          </w:tcPr>
          <w:p>
            <w:pPr>
              <w:spacing w:after="0"/>
              <w:rPr>
                <w:sz w:val="18"/>
                <w:szCs w:val="18"/>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June 30, 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June 30, 2016</w:t>
            </w:r>
          </w:p>
        </w:tc>
        <w:tc>
          <w:tcPr>
            <w:tcW w:w="10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Ended June 30, 2016</w:t>
            </w:r>
          </w:p>
        </w:tc>
      </w:tr>
      <w:tr>
        <w:trPr>
          <w:trHeight w:val="33"/>
        </w:trPr>
        <w:tc>
          <w:tcPr>
            <w:tcW w:w="11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15,690</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18,780</w:t>
            </w:r>
          </w:p>
        </w:tc>
        <w:tc>
          <w:tcPr>
            <w:tcW w:w="3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(30,310)</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13,640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11,050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5,140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44,310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Extraordinary non-cash charges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75,680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75,680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2,870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7,610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Other non-cash expenses or losses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4,820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14,990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Non-recurring expenses or costs relating to cost saving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482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projects</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5,770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70"/>
        </w:trPr>
        <w:tc>
          <w:tcPr>
            <w:tcW w:w="482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1,630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1,410</w:t>
            </w:r>
          </w:p>
        </w:tc>
      </w:tr>
      <w:tr>
        <w:trPr>
          <w:trHeight w:val="270"/>
        </w:trPr>
        <w:tc>
          <w:tcPr>
            <w:tcW w:w="48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Debt financing and extinguishment costs</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1,970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Borders>
              <w:bottom w:val="single" w:sz="8" w:color="CCEEFF"/>
            </w:tcBorders>
            <w:gridSpan w:val="2"/>
          </w:tcPr>
          <w:p>
            <w:pPr>
              <w:ind w:left="280"/>
              <w:spacing w:after="0" w:line="270" w:lineRule="exact"/>
              <w:rPr>
                <w:sz w:val="20"/>
                <w:szCs w:val="20"/>
                <w:color w:val="auto"/>
              </w:rPr>
            </w:pPr>
            <w:r>
              <w:rPr>
                <w:rFonts w:ascii="Arial" w:cs="Arial" w:eastAsia="Arial" w:hAnsi="Arial"/>
                <w:sz w:val="18"/>
                <w:szCs w:val="18"/>
                <w:color w:val="auto"/>
              </w:rPr>
              <w:t>Permitted dispositions</w:t>
            </w:r>
            <w:r>
              <w:rPr>
                <w:rFonts w:ascii="Arial" w:cs="Arial" w:eastAsia="Arial" w:hAnsi="Arial"/>
                <w:sz w:val="25"/>
                <w:szCs w:val="25"/>
                <w:color w:val="auto"/>
                <w:vertAlign w:val="superscript"/>
              </w:rPr>
              <w:t>(5)</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4,740</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77,110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70,400</w:t>
            </w:r>
          </w:p>
        </w:tc>
        <w:tc>
          <w:tcPr>
            <w:tcW w:w="3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147,470</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32"/>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52"/>
              <w:spacing w:after="0"/>
              <w:rPr>
                <w:sz w:val="20"/>
                <w:szCs w:val="20"/>
                <w:color w:val="auto"/>
              </w:rPr>
            </w:pPr>
            <w:r>
              <w:rPr>
                <w:rFonts w:ascii="Arial" w:cs="Arial" w:eastAsia="Arial" w:hAnsi="Arial"/>
                <w:sz w:val="16"/>
                <w:szCs w:val="16"/>
                <w:b w:val="1"/>
                <w:bCs w:val="1"/>
                <w:color w:val="auto"/>
              </w:rPr>
              <w:t>June 30, 2016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
        </w:trPr>
        <w:tc>
          <w:tcPr>
            <w:tcW w:w="11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1140" w:type="dxa"/>
            <w:vAlign w:val="bottom"/>
          </w:tcPr>
          <w:p>
            <w:pPr>
              <w:spacing w:after="0"/>
              <w:rPr>
                <w:sz w:val="22"/>
                <w:szCs w:val="22"/>
                <w:color w:val="auto"/>
              </w:rPr>
            </w:pPr>
          </w:p>
        </w:tc>
        <w:tc>
          <w:tcPr>
            <w:tcW w:w="36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w w:val="96"/>
              </w:rPr>
              <w:t>Total Consolidated Indebtedness, as defined</w:t>
            </w:r>
            <w:r>
              <w:rPr>
                <w:rFonts w:ascii="Arial" w:cs="Arial" w:eastAsia="Arial" w:hAnsi="Arial"/>
                <w:sz w:val="25"/>
                <w:szCs w:val="25"/>
                <w:color w:val="auto"/>
                <w:w w:val="96"/>
                <w:vertAlign w:val="superscript"/>
              </w:rPr>
              <w:t>(6)</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416,110</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147,470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64"/>
        </w:trPr>
        <w:tc>
          <w:tcPr>
            <w:tcW w:w="1140" w:type="dxa"/>
            <w:vAlign w:val="bottom"/>
          </w:tcPr>
          <w:p>
            <w:pPr>
              <w:spacing w:after="0"/>
              <w:rPr>
                <w:sz w:val="22"/>
                <w:szCs w:val="22"/>
                <w:color w:val="auto"/>
              </w:rPr>
            </w:pPr>
          </w:p>
        </w:tc>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leverage ratio</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2.82</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3.50</w:t>
            </w:r>
          </w:p>
        </w:tc>
        <w:tc>
          <w:tcPr>
            <w:tcW w:w="60" w:type="dxa"/>
            <w:vAlign w:val="bottom"/>
            <w:tcBorders>
              <w:top w:val="single" w:sz="8" w:color="auto"/>
              <w:bottom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x</w:t>
            </w: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86"/>
              </w:rPr>
              <w:t>Less: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Add: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9"/>
        </w:trPr>
        <w:tc>
          <w:tcPr>
            <w:tcW w:w="11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21"/>
                <w:szCs w:val="21"/>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Six Months Ended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Six Months Ended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92"/>
              </w:rPr>
              <w:t>Twelve Months</w:t>
            </w: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2015</w:t>
            </w:r>
          </w:p>
        </w:tc>
        <w:tc>
          <w:tcPr>
            <w:tcW w:w="140" w:type="dxa"/>
            <w:vAlign w:val="bottom"/>
          </w:tcPr>
          <w:p>
            <w:pPr>
              <w:spacing w:after="0"/>
              <w:rPr>
                <w:sz w:val="18"/>
                <w:szCs w:val="18"/>
                <w:color w:val="auto"/>
              </w:rPr>
            </w:pPr>
          </w:p>
        </w:tc>
        <w:tc>
          <w:tcPr>
            <w:tcW w:w="146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June 30, 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June 30, 2016</w:t>
            </w:r>
          </w:p>
        </w:tc>
        <w:tc>
          <w:tcPr>
            <w:tcW w:w="10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Ended June 30, 2016</w:t>
            </w:r>
          </w:p>
        </w:tc>
      </w:tr>
      <w:tr>
        <w:trPr>
          <w:trHeight w:val="33"/>
        </w:trPr>
        <w:tc>
          <w:tcPr>
            <w:tcW w:w="48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7,170</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6,750</w:t>
            </w:r>
          </w:p>
        </w:tc>
        <w:tc>
          <w:tcPr>
            <w:tcW w:w="3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13,640</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4820" w:type="dxa"/>
            <w:vAlign w:val="bottom"/>
            <w:gridSpan w:val="2"/>
          </w:tcPr>
          <w:p>
            <w:pPr>
              <w:ind w:left="280"/>
              <w:spacing w:after="0"/>
              <w:rPr>
                <w:sz w:val="20"/>
                <w:szCs w:val="20"/>
                <w:color w:val="auto"/>
              </w:rPr>
            </w:pPr>
            <w:r>
              <w:rPr>
                <w:rFonts w:ascii="Arial" w:cs="Arial" w:eastAsia="Arial" w:hAnsi="Arial"/>
                <w:sz w:val="18"/>
                <w:szCs w:val="18"/>
                <w:color w:val="auto"/>
                <w:w w:val="97"/>
              </w:rPr>
              <w:t>Non-cash amounts attributable to amortization of financing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(1,340)</w:t>
            </w:r>
          </w:p>
        </w:tc>
      </w:tr>
      <w:tr>
        <w:trPr>
          <w:trHeight w:val="27"/>
        </w:trPr>
        <w:tc>
          <w:tcPr>
            <w:tcW w:w="4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 forma adjustment for acquisitions and dispositions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6,110</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11,890</w:t>
            </w: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81"/>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452"/>
              <w:spacing w:after="0"/>
              <w:rPr>
                <w:sz w:val="20"/>
                <w:szCs w:val="20"/>
                <w:color w:val="auto"/>
              </w:rPr>
            </w:pPr>
            <w:r>
              <w:rPr>
                <w:rFonts w:ascii="Arial" w:cs="Arial" w:eastAsia="Arial" w:hAnsi="Arial"/>
                <w:sz w:val="16"/>
                <w:szCs w:val="16"/>
                <w:b w:val="1"/>
                <w:bCs w:val="1"/>
                <w:color w:val="auto"/>
              </w:rPr>
              <w:t>June 30, 2016</w:t>
            </w:r>
          </w:p>
        </w:tc>
        <w:tc>
          <w:tcPr>
            <w:tcW w:w="180" w:type="dxa"/>
            <w:vAlign w:val="bottom"/>
          </w:tcPr>
          <w:p>
            <w:pPr>
              <w:spacing w:after="0"/>
              <w:rPr>
                <w:sz w:val="18"/>
                <w:szCs w:val="18"/>
                <w:color w:val="auto"/>
              </w:rPr>
            </w:pPr>
          </w:p>
        </w:tc>
      </w:tr>
      <w:tr>
        <w:trPr>
          <w:trHeight w:val="33"/>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147,470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11,890</w:t>
            </w:r>
          </w:p>
        </w:tc>
        <w:tc>
          <w:tcPr>
            <w:tcW w:w="18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6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6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3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restricted shares and units of common stock and common stock options.</w:t>
      </w:r>
    </w:p>
    <w:p>
      <w:pPr>
        <w:spacing w:after="0" w:line="271" w:lineRule="exact"/>
        <w:rPr>
          <w:rFonts w:ascii="Arial" w:cs="Arial" w:eastAsia="Arial" w:hAnsi="Arial"/>
          <w:sz w:val="9"/>
          <w:szCs w:val="9"/>
          <w:color w:val="auto"/>
        </w:rPr>
      </w:pPr>
    </w:p>
    <w:p>
      <w:pPr>
        <w:ind w:left="180" w:hanging="172"/>
        <w:spacing w:after="0" w:line="273" w:lineRule="auto"/>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Non-recurring costs and expenses relating to cost savings projects, including restructuring and severance expenses, not to exceed $15.0 million in any fiscal year and $40.0 million in aggregate, subsequent to June 30, 2015.</w:t>
      </w:r>
    </w:p>
    <w:p>
      <w:pPr>
        <w:spacing w:after="0" w:line="227"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Costs and expenses arising from the integration of any business acquired not to exceed $15.0 million in any fiscal year and $40.0 million in the aggregate.</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Costs incurred with refinancing our credit facilities.</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EBITDA from permitted dispositions, as defined.</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$4.5 million of acquisition deferred purchase price.</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Another important source of liquidity is our $75.0 million accounts receivable facility, under which we have the ability to sell eligible accounts receivable to a third-party multi-seller receivables funding company. Our available liquidity under our accounts receivable facility has ranged from approximately $54 million to $69 million over the twelve months following the Cequent spin-off, depending on the level of our receivables outstanding at a given point in time during that period. We had approximately $63.6 million and $53.6 million outstanding under the facility as of June 30, 2016 and December 31, 2015, respectively, and approximately $2.1 million and $7.1 million available but not utilized as of June 30, 2016 and December 31, 2015, respectively. At June 30, 2016, we had approximately $83.2 million outstanding under our revolving credit facility and had approximately $398.3 million potentially available after giving effect to approximately $18.5 million of letters of credit issued and outstanding. At December 31, 2015, we had approximately $100.3 million outstanding under our revolving credit facility and had approximately $378.1 million potentially available after giving effect to approximately $21.6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June 30, 2016 and December 31, 2015, we had approximately $100.0 million and $107.4 million, respectively, of borrowing capacity available for general corporate purposes.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rely upon our cash flow from operations and available liquidity under our revolving credit and accounts receivable facilities to fund our debt service obligations and other contractual commitments, working capital and capital expenditure requirements. At the end of each quarter, we use cash on hand from our domestic and foreign subsidiaries to pay down amounts outstanding under our revolving credit and accounts receivable facilities.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combined weighted average monthly amounts outstanding on our Credit Agreement and our accounts receivable facility during the first six months of 2016 approximated $469.2 million, compared to the weighted average monthly amounts outstanding during the first six months of 2015 of approximately $755.4 million. The overall decrease is due primarily to the distribution received from the Cequent spin-off in June 2015.</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June 30, 2016 is located in jurisdictions outside the U.S., given aggregate available funding under our revolving credit and accounts receivable facilities of $100.0 million at June 30, 2016,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exposure to interest rate risk results from the variable rates under our Credit Agreement. Borrowings under the Credit Agreement bear interest, at various rates, as more fully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to our consolidated financial statements included in Part I, Item 1 of this quarterly report on Form 10-Q. We use interest rate swap agreements to fix the LIBOR-based variable portion of the interest rates on our term loan facility. As of June 30, 2016, we had interest rate swap agreements in place that hedge a declining notional value of debt ranging from approximately $251.5 million to approximately $192.7 million, with established fixed interest rates in a range of 0.74% to 2.68%, with various expiration terms extending to June 30, 2020.</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variable interest rates on our term loan and revolving credit facility. At June 30, 2016, 1-Month LIBOR approximated 0.47%. Based on our variable rate-based borrowings outstanding at June 30, 2016, and after consideration of the interest rate swap agreement associated with our term loan A, a 1% increase in the per annum interest rate would increase our interest expense by approximately $1.6 million annually.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$3.4 million due each fiscal quarter from December 2015 through September 2018 and approximately $5.2 million due each fiscal quarter from December 2018 through March 2020, with final payment of $202.8 million due on June 30, 2020.</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$17.2 million in 2015. We expect to continue to utilize leasing as a financing strategy in the future to meet capital expenditure needs and to reduce debt levels.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may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use interest rate swap agreements to fix a portion of our variable rate debt to manage this risk. See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and certain of our outstanding debt obligations are rated by Standard &amp; Poor's and Moody's. On June 9, 2016, Moody's affirmed a rating of Ba3 to our senior secured credit facilities, as presented in Note 7,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included in Item 1,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within this Form 10-Q. Moody's also affirmed a Ba3 to our Corporate Family Rating and maintained our outlook as stable. On June 1, 2015, Standard &amp; Poor's affirmed a BB-corporate credit rating to our amended credit facilities and maintained our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current uncertain macroeconomic environment will persist throughout 2016, with further top-line pressure in our businesses than originally expected across all of our end markets. We managed to mitigate much of the impact of an approximate 10% year-over-year top-line decline in the first half of 2016 as compared to 2015 as a result of our $22 million Financial Improvement Plan implemented during the back half of 2015 and via continued cost management and productivity initiatives.</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we continue to attempt to mitigate the challenging external factors, we also continue to execute on internal projects that we control, including further execution of our Aerospace production and scheduling improvements, optimizing our footprint to move more production to our lower-cost facilities, pruning our product portfolios to deemphasize or no longer sell certain lower-margin products, seek lower-cost sources for input costs and continuously assessing our fixed cost footprints. We plan to execute on internal initiatives which we believe will enable us to navigate through the current challenging environment until demand levels and activity increase, and position us for improved profitability and ability to leverage our lower fixed cost structure with higher sales levels.</w:t>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tactics we employ may differ between years, our strategic priorities remain consistent: drive profitable growth, enhance margins, optimize resource and capital allocations and be a workplace of choice for great people.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June 30, 2016,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and Note 8,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Financial Officer (who is also its Principal Executive Officer), as appropriate, to allow timely decisions regarding required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2016, an evaluation was carried out by management, with the participation of the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Financial Officer concluded that as of June 30, 2016, the Company's disclosure controls and procedures are effective to provide reasonable assurance that they would meet their objectives.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June 30, 2016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2015, which could materially affect our business, financial condition or future results. There have been no significant changes in our risk factors as disclosed in our 2015 Form 10-K except for the following:</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European Union, including with respect to the laws and regulations that will apply as the United Kingdom determines which European Union laws to replace or replicate in the event of a withdrawal. The results of the referendum have adversely impacted the British Pound and may continue to have an impact on other foreign currencies. The referendum has given rise to calls for the governments of other European Union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equity shares. Additionally, our Packaging business is dual headquartered in the United Kingdom and Indiana, and we operate other manufacturing facilities internationally, including in the United Kingdom. Accordingly, the results of the referendum may have an adverse impact on our international operations, particularly in the United Kingdom.</w:t>
      </w:r>
    </w:p>
    <w:p>
      <w:pPr>
        <w:spacing w:after="0" w:line="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320" w:type="dxa"/>
            <w:vAlign w:val="bottom"/>
            <w:gridSpan w:val="2"/>
          </w:tcPr>
          <w:p>
            <w:pPr>
              <w:spacing w:after="0"/>
              <w:rPr>
                <w:sz w:val="20"/>
                <w:szCs w:val="20"/>
                <w:color w:val="auto"/>
              </w:rPr>
            </w:pPr>
            <w:r>
              <w:rPr>
                <w:rFonts w:ascii="Arial" w:cs="Arial" w:eastAsia="Arial" w:hAnsi="Arial"/>
                <w:sz w:val="18"/>
                <w:szCs w:val="18"/>
                <w:b w:val="1"/>
                <w:bCs w:val="1"/>
                <w:color w:val="auto"/>
              </w:rPr>
              <w:t>Exhibits Index:</w:t>
            </w:r>
          </w:p>
        </w:tc>
      </w:tr>
      <w:tr>
        <w:trPr>
          <w:trHeight w:val="594"/>
        </w:trPr>
        <w:tc>
          <w:tcPr>
            <w:tcW w:w="720" w:type="dxa"/>
            <w:vAlign w:val="bottom"/>
          </w:tcPr>
          <w:p>
            <w:pPr>
              <w:ind w:left="40"/>
              <w:spacing w:after="0"/>
              <w:rPr>
                <w:sz w:val="20"/>
                <w:szCs w:val="20"/>
                <w:color w:val="auto"/>
              </w:rPr>
            </w:pPr>
            <w:r>
              <w:rPr>
                <w:rFonts w:ascii="Arial" w:cs="Arial" w:eastAsia="Arial" w:hAnsi="Arial"/>
                <w:sz w:val="18"/>
                <w:szCs w:val="18"/>
                <w:color w:val="auto"/>
              </w:rPr>
              <w:t>3.1(a)</w:t>
            </w:r>
          </w:p>
        </w:tc>
        <w:tc>
          <w:tcPr>
            <w:tcW w:w="10600" w:type="dxa"/>
            <w:vAlign w:val="bottom"/>
          </w:tcPr>
          <w:p>
            <w:pPr>
              <w:ind w:left="1040"/>
              <w:spacing w:after="0"/>
              <w:rPr>
                <w:sz w:val="20"/>
                <w:szCs w:val="20"/>
                <w:color w:val="auto"/>
              </w:rPr>
            </w:pPr>
            <w:r>
              <w:rPr>
                <w:rFonts w:ascii="Arial" w:cs="Arial" w:eastAsia="Arial" w:hAnsi="Arial"/>
                <w:sz w:val="18"/>
                <w:szCs w:val="18"/>
                <w:color w:val="auto"/>
              </w:rPr>
              <w:t>Fourth Amended and Restated Certificate of Incorporation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3.2(b)</w:t>
            </w:r>
          </w:p>
        </w:tc>
        <w:tc>
          <w:tcPr>
            <w:tcW w:w="10600" w:type="dxa"/>
            <w:vAlign w:val="bottom"/>
          </w:tcPr>
          <w:p>
            <w:pPr>
              <w:ind w:left="1040"/>
              <w:spacing w:after="0"/>
              <w:rPr>
                <w:sz w:val="20"/>
                <w:szCs w:val="20"/>
                <w:color w:val="auto"/>
              </w:rPr>
            </w:pPr>
            <w:r>
              <w:rPr>
                <w:rFonts w:ascii="Arial" w:cs="Arial" w:eastAsia="Arial" w:hAnsi="Arial"/>
                <w:sz w:val="18"/>
                <w:szCs w:val="18"/>
                <w:color w:val="auto"/>
              </w:rPr>
              <w:t>Third Amended and Restated By-laws of TriMas Corporation.</w:t>
            </w:r>
          </w:p>
        </w:tc>
      </w:tr>
      <w:tr>
        <w:trPr>
          <w:trHeight w:val="256"/>
        </w:trPr>
        <w:tc>
          <w:tcPr>
            <w:tcW w:w="720" w:type="dxa"/>
            <w:vAlign w:val="bottom"/>
          </w:tcPr>
          <w:p>
            <w:pPr>
              <w:ind w:left="40"/>
              <w:spacing w:after="0"/>
              <w:rPr>
                <w:sz w:val="20"/>
                <w:szCs w:val="20"/>
                <w:color w:val="auto"/>
              </w:rPr>
            </w:pPr>
            <w:r>
              <w:rPr>
                <w:rFonts w:ascii="Arial" w:cs="Arial" w:eastAsia="Arial" w:hAnsi="Arial"/>
                <w:sz w:val="18"/>
                <w:szCs w:val="18"/>
                <w:color w:val="auto"/>
              </w:rPr>
              <w:t>10.1(c)</w:t>
            </w:r>
          </w:p>
        </w:tc>
        <w:tc>
          <w:tcPr>
            <w:tcW w:w="10600" w:type="dxa"/>
            <w:vAlign w:val="bottom"/>
          </w:tcPr>
          <w:p>
            <w:pPr>
              <w:ind w:left="1040"/>
              <w:spacing w:after="0"/>
              <w:rPr>
                <w:sz w:val="20"/>
                <w:szCs w:val="20"/>
                <w:color w:val="auto"/>
              </w:rPr>
            </w:pPr>
            <w:r>
              <w:rPr>
                <w:rFonts w:ascii="Arial" w:cs="Arial" w:eastAsia="Arial" w:hAnsi="Arial"/>
                <w:sz w:val="18"/>
                <w:szCs w:val="18"/>
                <w:color w:val="auto"/>
                <w:w w:val="91"/>
              </w:rPr>
              <w:t>Amended and Restated Agreement dated April 13, 2016, by and among TriMas Corporation and Engaged Capital Master Feeder I,</w:t>
            </w:r>
          </w:p>
        </w:tc>
      </w:tr>
      <w:tr>
        <w:trPr>
          <w:trHeight w:val="216"/>
        </w:trPr>
        <w:tc>
          <w:tcPr>
            <w:tcW w:w="720" w:type="dxa"/>
            <w:vAlign w:val="bottom"/>
          </w:tcPr>
          <w:p>
            <w:pPr>
              <w:spacing w:after="0"/>
              <w:rPr>
                <w:sz w:val="18"/>
                <w:szCs w:val="18"/>
                <w:color w:val="auto"/>
              </w:rPr>
            </w:pPr>
          </w:p>
        </w:tc>
        <w:tc>
          <w:tcPr>
            <w:tcW w:w="10600" w:type="dxa"/>
            <w:vAlign w:val="bottom"/>
          </w:tcPr>
          <w:p>
            <w:pPr>
              <w:ind w:left="1040"/>
              <w:spacing w:after="0"/>
              <w:rPr>
                <w:sz w:val="20"/>
                <w:szCs w:val="20"/>
                <w:color w:val="auto"/>
              </w:rPr>
            </w:pPr>
            <w:r>
              <w:rPr>
                <w:rFonts w:ascii="Arial" w:cs="Arial" w:eastAsia="Arial" w:hAnsi="Arial"/>
                <w:sz w:val="18"/>
                <w:szCs w:val="18"/>
                <w:color w:val="auto"/>
                <w:w w:val="90"/>
              </w:rPr>
              <w:t>LP, Engaged Capital Master Feeder II, LP, Engaged Capital I, LP, Engaged Capital I Offshore, Ltd., Engaged Capital II, LP, Engaged</w:t>
            </w:r>
          </w:p>
        </w:tc>
      </w:tr>
      <w:tr>
        <w:trPr>
          <w:trHeight w:val="230"/>
        </w:trPr>
        <w:tc>
          <w:tcPr>
            <w:tcW w:w="720" w:type="dxa"/>
            <w:vAlign w:val="bottom"/>
          </w:tcPr>
          <w:p>
            <w:pPr>
              <w:spacing w:after="0"/>
              <w:rPr>
                <w:sz w:val="20"/>
                <w:szCs w:val="20"/>
                <w:color w:val="auto"/>
              </w:rPr>
            </w:pPr>
          </w:p>
        </w:tc>
        <w:tc>
          <w:tcPr>
            <w:tcW w:w="10600" w:type="dxa"/>
            <w:vAlign w:val="bottom"/>
          </w:tcPr>
          <w:p>
            <w:pPr>
              <w:ind w:left="1040"/>
              <w:spacing w:after="0"/>
              <w:rPr>
                <w:sz w:val="20"/>
                <w:szCs w:val="20"/>
                <w:color w:val="auto"/>
              </w:rPr>
            </w:pPr>
            <w:r>
              <w:rPr>
                <w:rFonts w:ascii="Arial" w:cs="Arial" w:eastAsia="Arial" w:hAnsi="Arial"/>
                <w:sz w:val="18"/>
                <w:szCs w:val="18"/>
                <w:color w:val="auto"/>
              </w:rPr>
              <w:t>Capital, LLC, Engaged Capital Holdings, LLC, and Glenn Welling.</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10600" w:type="dxa"/>
            <w:vAlign w:val="bottom"/>
          </w:tcPr>
          <w:p>
            <w:pPr>
              <w:ind w:left="1040"/>
              <w:spacing w:after="0"/>
              <w:rPr>
                <w:sz w:val="20"/>
                <w:szCs w:val="20"/>
                <w:color w:val="auto"/>
              </w:rPr>
            </w:pPr>
            <w:r>
              <w:rPr>
                <w:rFonts w:ascii="Arial" w:cs="Arial" w:eastAsia="Arial" w:hAnsi="Arial"/>
                <w:sz w:val="18"/>
                <w:szCs w:val="18"/>
                <w:color w:val="auto"/>
                <w:w w:val="99"/>
              </w:rPr>
              <w:t>Certification pursuant to 18 U.S.C. Section 1350, as adopted pursuant to Section 302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10600" w:type="dxa"/>
            <w:vAlign w:val="bottom"/>
          </w:tcPr>
          <w:p>
            <w:pPr>
              <w:ind w:left="104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10600" w:type="dxa"/>
            <w:vAlign w:val="bottom"/>
          </w:tcPr>
          <w:p>
            <w:pPr>
              <w:ind w:left="1040"/>
              <w:spacing w:after="0"/>
              <w:rPr>
                <w:sz w:val="20"/>
                <w:szCs w:val="20"/>
                <w:color w:val="auto"/>
              </w:rPr>
            </w:pPr>
            <w:r>
              <w:rPr>
                <w:rFonts w:ascii="Arial" w:cs="Arial" w:eastAsia="Arial" w:hAnsi="Arial"/>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10600" w:type="dxa"/>
            <w:vAlign w:val="bottom"/>
          </w:tcPr>
          <w:p>
            <w:pPr>
              <w:ind w:left="10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10600" w:type="dxa"/>
            <w:vAlign w:val="bottom"/>
          </w:tcPr>
          <w:p>
            <w:pPr>
              <w:ind w:left="10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10600" w:type="dxa"/>
            <w:vAlign w:val="bottom"/>
          </w:tcPr>
          <w:p>
            <w:pPr>
              <w:ind w:left="10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10600" w:type="dxa"/>
            <w:vAlign w:val="bottom"/>
          </w:tcPr>
          <w:p>
            <w:pPr>
              <w:ind w:left="10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10600" w:type="dxa"/>
            <w:vAlign w:val="bottom"/>
          </w:tcPr>
          <w:p>
            <w:pPr>
              <w:ind w:left="10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right="420" w:hanging="832"/>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right="420" w:hanging="832"/>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8" w:lineRule="exact"/>
        <w:rPr>
          <w:rFonts w:ascii="Arial" w:cs="Arial" w:eastAsia="Arial" w:hAnsi="Arial"/>
          <w:sz w:val="18"/>
          <w:szCs w:val="18"/>
          <w:color w:val="auto"/>
        </w:rPr>
      </w:pPr>
    </w:p>
    <w:p>
      <w:pPr>
        <w:ind w:left="1360" w:hanging="832"/>
        <w:spacing w:after="0"/>
        <w:tabs>
          <w:tab w:leader="none" w:pos="1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Current Report on Form 8-K filed on April 15, 2016 (File No. 001-10716).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180" w:type="dxa"/>
            <w:vAlign w:val="bottom"/>
            <w:gridSpan w:val="2"/>
          </w:tcPr>
          <w:p>
            <w:pPr>
              <w:ind w:left="106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July 28, 2016</w:t>
            </w:r>
          </w:p>
        </w:tc>
        <w:tc>
          <w:tcPr>
            <w:tcW w:w="4180" w:type="dxa"/>
            <w:vAlign w:val="bottom"/>
            <w:gridSpan w:val="2"/>
          </w:tcPr>
          <w:p>
            <w:pPr>
              <w:ind w:left="106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600" w:type="dxa"/>
            <w:vAlign w:val="bottom"/>
          </w:tcPr>
          <w:p>
            <w:pPr>
              <w:spacing w:after="0"/>
              <w:rPr>
                <w:sz w:val="24"/>
                <w:szCs w:val="24"/>
                <w:color w:val="auto"/>
              </w:rPr>
            </w:pPr>
          </w:p>
        </w:tc>
        <w:tc>
          <w:tcPr>
            <w:tcW w:w="4180" w:type="dxa"/>
            <w:vAlign w:val="bottom"/>
            <w:gridSpan w:val="2"/>
          </w:tcPr>
          <w:p>
            <w:pPr>
              <w:jc w:val="right"/>
              <w:ind w:right="1020"/>
              <w:spacing w:after="0"/>
              <w:rPr>
                <w:sz w:val="20"/>
                <w:szCs w:val="20"/>
                <w:color w:val="auto"/>
              </w:rPr>
            </w:pPr>
            <w:r>
              <w:rPr>
                <w:rFonts w:ascii="Arial" w:cs="Arial" w:eastAsia="Arial" w:hAnsi="Arial"/>
                <w:sz w:val="18"/>
                <w:szCs w:val="18"/>
                <w:color w:val="auto"/>
              </w:rPr>
              <w:t>38</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2016</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(Principal Executive Officer &amp;</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2016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2016</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Executive Officer &amp;</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2019-12-29T11:36:26Z</dcterms:created>
  <dcterms:modified xsi:type="dcterms:W3CDTF">2019-12-29T11:36:26Z</dcterms:modified>
</cp:coreProperties>
</file>