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161290</wp:posOffset>
            </wp:positionV>
            <wp:extent cx="6071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66"/>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66"/>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66"/>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ind w:left="4107"/>
        <w:spacing w:after="0"/>
        <w:rPr>
          <w:sz w:val="20"/>
          <w:szCs w:val="20"/>
          <w:color w:val="auto"/>
        </w:rPr>
      </w:pPr>
      <w:r>
        <w:rPr>
          <w:rFonts w:ascii="Arial" w:cs="Arial" w:eastAsia="Arial" w:hAnsi="Arial"/>
          <w:sz w:val="18"/>
          <w:szCs w:val="18"/>
          <w:b w:val="1"/>
          <w:bCs w:val="1"/>
          <w:color w:val="auto"/>
        </w:rPr>
        <w:t>SCHEDULE 14A</w:t>
      </w:r>
    </w:p>
    <w:p>
      <w:pPr>
        <w:spacing w:after="0" w:line="121" w:lineRule="exact"/>
        <w:rPr>
          <w:sz w:val="24"/>
          <w:szCs w:val="24"/>
          <w:color w:val="auto"/>
        </w:rPr>
      </w:pPr>
    </w:p>
    <w:p>
      <w:pPr>
        <w:ind w:left="3147"/>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66"/>
        <w:spacing w:after="0"/>
        <w:rPr>
          <w:sz w:val="20"/>
          <w:szCs w:val="20"/>
          <w:color w:val="auto"/>
        </w:rPr>
      </w:pPr>
      <w:r>
        <w:rPr>
          <w:rFonts w:ascii="Arial" w:cs="Arial" w:eastAsia="Arial" w:hAnsi="Arial"/>
          <w:sz w:val="18"/>
          <w:szCs w:val="18"/>
          <w:color w:val="auto"/>
        </w:rPr>
        <w:t>the Securities Exchange Act of 1934 (Amendment No. )</w:t>
      </w:r>
    </w:p>
    <w:p>
      <w:pPr>
        <w:spacing w:after="0" w:line="70" w:lineRule="exact"/>
        <w:rPr>
          <w:sz w:val="24"/>
          <w:szCs w:val="24"/>
          <w:color w:val="auto"/>
        </w:rPr>
      </w:pPr>
    </w:p>
    <w:p>
      <w:pPr>
        <w:ind w:left="7"/>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50" w:lineRule="exact"/>
        <w:rPr>
          <w:sz w:val="24"/>
          <w:szCs w:val="24"/>
          <w:color w:val="auto"/>
        </w:rPr>
      </w:pPr>
    </w:p>
    <w:p>
      <w:pPr>
        <w:ind w:left="7"/>
        <w:spacing w:after="0"/>
        <w:rPr>
          <w:sz w:val="20"/>
          <w:szCs w:val="20"/>
          <w:color w:val="auto"/>
        </w:rPr>
      </w:pPr>
      <w:r>
        <w:rPr>
          <w:rFonts w:ascii="Arial" w:cs="Arial" w:eastAsia="Arial" w:hAnsi="Arial"/>
          <w:sz w:val="18"/>
          <w:szCs w:val="18"/>
          <w:color w:val="auto"/>
        </w:rPr>
        <w:t>Filed by a Party other than the Registrant o</w:t>
      </w:r>
    </w:p>
    <w:p>
      <w:pPr>
        <w:spacing w:after="0" w:line="117" w:lineRule="exact"/>
        <w:rPr>
          <w:sz w:val="24"/>
          <w:szCs w:val="24"/>
          <w:color w:val="auto"/>
        </w:rPr>
      </w:pPr>
    </w:p>
    <w:p>
      <w:pPr>
        <w:ind w:left="7"/>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307" w:hanging="307"/>
        <w:spacing w:after="0"/>
        <w:tabs>
          <w:tab w:leader="none" w:pos="307"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36" w:lineRule="exact"/>
        <w:rPr>
          <w:rFonts w:ascii="Arial" w:cs="Arial" w:eastAsia="Arial" w:hAnsi="Arial"/>
          <w:sz w:val="18"/>
          <w:szCs w:val="18"/>
          <w:color w:val="auto"/>
        </w:rPr>
      </w:pPr>
    </w:p>
    <w:p>
      <w:pPr>
        <w:ind w:left="7" w:right="3340" w:hanging="7"/>
        <w:spacing w:after="0" w:line="247" w:lineRule="exact"/>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307" w:hanging="307"/>
        <w:spacing w:after="0"/>
        <w:tabs>
          <w:tab w:leader="none" w:pos="307"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8" w:lineRule="exact"/>
        <w:rPr>
          <w:rFonts w:ascii="Arial" w:cs="Arial" w:eastAsia="Arial" w:hAnsi="Arial"/>
          <w:sz w:val="18"/>
          <w:szCs w:val="18"/>
          <w:color w:val="auto"/>
        </w:rPr>
      </w:pPr>
    </w:p>
    <w:p>
      <w:pPr>
        <w:ind w:left="307" w:hanging="307"/>
        <w:spacing w:after="0"/>
        <w:tabs>
          <w:tab w:leader="none" w:pos="307"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72" w:lineRule="exact"/>
        <w:rPr>
          <w:sz w:val="24"/>
          <w:szCs w:val="24"/>
          <w:color w:val="auto"/>
        </w:rPr>
      </w:pPr>
    </w:p>
    <w:p>
      <w:pPr>
        <w:jc w:val="center"/>
        <w:ind w:right="-66"/>
        <w:spacing w:after="0"/>
        <w:rPr>
          <w:sz w:val="20"/>
          <w:szCs w:val="20"/>
          <w:color w:val="auto"/>
        </w:rPr>
      </w:pPr>
      <w:r>
        <w:rPr>
          <w:rFonts w:ascii="Arial" w:cs="Arial" w:eastAsia="Arial" w:hAnsi="Arial"/>
          <w:sz w:val="29"/>
          <w:szCs w:val="29"/>
          <w:b w:val="1"/>
          <w:bCs w:val="1"/>
          <w:color w:val="auto"/>
        </w:rPr>
        <w:t>TriMas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60718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42" w:lineRule="exact"/>
        <w:rPr>
          <w:sz w:val="24"/>
          <w:szCs w:val="24"/>
          <w:color w:val="auto"/>
        </w:rPr>
      </w:pPr>
    </w:p>
    <w:p>
      <w:pPr>
        <w:jc w:val="center"/>
        <w:ind w:right="-66"/>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6071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73" w:lineRule="exact"/>
        <w:rPr>
          <w:sz w:val="24"/>
          <w:szCs w:val="24"/>
          <w:color w:val="auto"/>
        </w:rPr>
      </w:pPr>
    </w:p>
    <w:p>
      <w:pPr>
        <w:ind w:left="2127"/>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90" w:lineRule="exact"/>
        <w:rPr>
          <w:sz w:val="24"/>
          <w:szCs w:val="24"/>
          <w:color w:val="auto"/>
        </w:rPr>
      </w:pPr>
    </w:p>
    <w:p>
      <w:pPr>
        <w:ind w:left="7"/>
        <w:spacing w:after="0"/>
        <w:rPr>
          <w:sz w:val="20"/>
          <w:szCs w:val="20"/>
          <w:color w:val="auto"/>
        </w:rPr>
      </w:pPr>
      <w:r>
        <w:rPr>
          <w:rFonts w:ascii="Arial" w:cs="Arial" w:eastAsia="Arial" w:hAnsi="Arial"/>
          <w:sz w:val="18"/>
          <w:szCs w:val="18"/>
          <w:color w:val="auto"/>
        </w:rPr>
        <w:t>Payment of Filing Fee (Check the appropriate box):</w:t>
      </w:r>
    </w:p>
    <w:p>
      <w:pPr>
        <w:spacing w:after="0" w:line="36" w:lineRule="exact"/>
        <w:rPr>
          <w:sz w:val="24"/>
          <w:szCs w:val="24"/>
          <w:color w:val="auto"/>
        </w:rPr>
      </w:pPr>
    </w:p>
    <w:p>
      <w:pPr>
        <w:ind w:left="307" w:hanging="307"/>
        <w:spacing w:after="0"/>
        <w:tabs>
          <w:tab w:leader="none" w:pos="307"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43" w:lineRule="exact"/>
        <w:rPr>
          <w:sz w:val="24"/>
          <w:szCs w:val="24"/>
          <w:color w:val="auto"/>
        </w:rPr>
      </w:pPr>
    </w:p>
    <w:p>
      <w:pPr>
        <w:ind w:left="307" w:hanging="307"/>
        <w:spacing w:after="0"/>
        <w:tabs>
          <w:tab w:leader="none" w:pos="307"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8" w:lineRule="exact"/>
        <w:rPr>
          <w:rFonts w:ascii="Arial" w:cs="Arial" w:eastAsia="Arial" w:hAnsi="Arial"/>
          <w:sz w:val="18"/>
          <w:szCs w:val="18"/>
          <w:color w:val="auto"/>
        </w:rPr>
      </w:pPr>
    </w:p>
    <w:p>
      <w:pPr>
        <w:ind w:left="667" w:hanging="370"/>
        <w:spacing w:after="0"/>
        <w:tabs>
          <w:tab w:leader="none" w:pos="667"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667" w:hanging="370"/>
        <w:spacing w:after="0"/>
        <w:tabs>
          <w:tab w:leader="none" w:pos="667"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667" w:hanging="370"/>
        <w:spacing w:after="0" w:line="277" w:lineRule="auto"/>
        <w:tabs>
          <w:tab w:leader="none" w:pos="667"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7" w:lineRule="exact"/>
        <w:rPr>
          <w:rFonts w:ascii="Arial" w:cs="Arial" w:eastAsia="Arial" w:hAnsi="Arial"/>
          <w:sz w:val="18"/>
          <w:szCs w:val="18"/>
          <w:color w:val="auto"/>
        </w:rPr>
      </w:pPr>
    </w:p>
    <w:p>
      <w:pPr>
        <w:ind w:left="667" w:hanging="370"/>
        <w:spacing w:after="0"/>
        <w:tabs>
          <w:tab w:leader="none" w:pos="667"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667" w:hanging="370"/>
        <w:spacing w:after="0"/>
        <w:tabs>
          <w:tab w:leader="none" w:pos="667"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92" w:lineRule="exact"/>
        <w:rPr>
          <w:rFonts w:ascii="Arial" w:cs="Arial" w:eastAsia="Arial" w:hAnsi="Arial"/>
          <w:sz w:val="18"/>
          <w:szCs w:val="18"/>
          <w:color w:val="auto"/>
        </w:rPr>
      </w:pPr>
    </w:p>
    <w:p>
      <w:pPr>
        <w:ind w:left="307" w:hanging="307"/>
        <w:spacing w:after="0"/>
        <w:tabs>
          <w:tab w:leader="none" w:pos="307"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36" w:lineRule="exact"/>
        <w:rPr>
          <w:rFonts w:ascii="Arial" w:cs="Arial" w:eastAsia="Arial" w:hAnsi="Arial"/>
          <w:sz w:val="18"/>
          <w:szCs w:val="18"/>
          <w:color w:val="auto"/>
        </w:rPr>
      </w:pPr>
    </w:p>
    <w:p>
      <w:pPr>
        <w:ind w:left="307" w:right="200" w:hanging="307"/>
        <w:spacing w:after="0" w:line="260" w:lineRule="auto"/>
        <w:tabs>
          <w:tab w:leader="none" w:pos="307"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 w:lineRule="exact"/>
        <w:rPr>
          <w:rFonts w:ascii="Arial" w:cs="Arial" w:eastAsia="Arial" w:hAnsi="Arial"/>
          <w:sz w:val="18"/>
          <w:szCs w:val="18"/>
          <w:color w:val="auto"/>
        </w:rPr>
      </w:pPr>
    </w:p>
    <w:p>
      <w:pPr>
        <w:ind w:left="667" w:hanging="370"/>
        <w:spacing w:after="0"/>
        <w:tabs>
          <w:tab w:leader="none" w:pos="667"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667" w:hanging="370"/>
        <w:spacing w:after="0"/>
        <w:tabs>
          <w:tab w:leader="none" w:pos="667"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667" w:hanging="370"/>
        <w:spacing w:after="0"/>
        <w:tabs>
          <w:tab w:leader="none" w:pos="667"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667" w:hanging="370"/>
        <w:spacing w:after="0"/>
        <w:tabs>
          <w:tab w:leader="none" w:pos="667"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398780</wp:posOffset>
            </wp:positionH>
            <wp:positionV relativeFrom="paragraph">
              <wp:posOffset>-3088640</wp:posOffset>
            </wp:positionV>
            <wp:extent cx="5676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76900" cy="8890"/>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-2771775</wp:posOffset>
            </wp:positionV>
            <wp:extent cx="5676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76900" cy="8890"/>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-2317115</wp:posOffset>
            </wp:positionV>
            <wp:extent cx="56769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76900" cy="8890"/>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-1999615</wp:posOffset>
            </wp:positionV>
            <wp:extent cx="56769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76900" cy="8890"/>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-1682750</wp:posOffset>
            </wp:positionV>
            <wp:extent cx="56769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6900" cy="8890"/>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-782320</wp:posOffset>
            </wp:positionV>
            <wp:extent cx="5676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76900" cy="8890"/>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-464820</wp:posOffset>
            </wp:positionV>
            <wp:extent cx="56769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76900" cy="8890"/>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-147320</wp:posOffset>
            </wp:positionV>
            <wp:extent cx="56769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76900" cy="8890"/>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169545</wp:posOffset>
            </wp:positionV>
            <wp:extent cx="56769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7690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323850</wp:posOffset>
            </wp:positionV>
            <wp:extent cx="6071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366395</wp:posOffset>
            </wp:positionV>
            <wp:extent cx="60718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675005</wp:posOffset>
            </wp:positionV>
            <wp:extent cx="607187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7"/>
          </w:cols>
          <w:pgMar w:left="1173" w:top="238" w:right="121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294755" cy="86188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4755" cy="861885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2" w:name="page3"/>
    <w:bookmarkEnd w:id="2"/>
    <w:p>
      <w:pPr>
        <w:ind w:left="7"/>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92075</wp:posOffset>
            </wp:positionV>
            <wp:extent cx="2195195" cy="428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951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1180" w:right="800"/>
        <w:spacing w:after="0" w:line="278" w:lineRule="auto"/>
        <w:rPr>
          <w:sz w:val="20"/>
          <w:szCs w:val="20"/>
          <w:color w:val="auto"/>
        </w:rPr>
      </w:pPr>
      <w:r>
        <w:rPr>
          <w:rFonts w:ascii="Arial" w:cs="Arial" w:eastAsia="Arial" w:hAnsi="Arial"/>
          <w:sz w:val="29"/>
          <w:szCs w:val="29"/>
          <w:b w:val="1"/>
          <w:bCs w:val="1"/>
          <w:color w:val="000562"/>
        </w:rPr>
        <w:t>NOTICE OF 2019 ANNUAL MEETING OF SHAREHOLDERS To be held May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-481330</wp:posOffset>
            </wp:positionV>
            <wp:extent cx="6071870" cy="462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71870" cy="462915"/>
                    </a:xfrm>
                    <a:prstGeom prst="rect">
                      <a:avLst/>
                    </a:prstGeom>
                    <a:noFill/>
                  </pic:spPr>
                </pic:pic>
              </a:graphicData>
            </a:graphic>
          </wp:anchor>
        </w:drawing>
      </w:r>
    </w:p>
    <w:p>
      <w:pPr>
        <w:spacing w:after="0" w:line="57" w:lineRule="exact"/>
        <w:rPr>
          <w:sz w:val="20"/>
          <w:szCs w:val="20"/>
          <w:color w:val="auto"/>
        </w:rPr>
      </w:pPr>
    </w:p>
    <w:p>
      <w:pPr>
        <w:ind w:left="7"/>
        <w:spacing w:after="0"/>
        <w:rPr>
          <w:sz w:val="20"/>
          <w:szCs w:val="20"/>
          <w:color w:val="auto"/>
        </w:rPr>
      </w:pPr>
      <w:r>
        <w:rPr>
          <w:rFonts w:ascii="Arial" w:cs="Arial" w:eastAsia="Arial" w:hAnsi="Arial"/>
          <w:sz w:val="18"/>
          <w:szCs w:val="18"/>
          <w:color w:val="auto"/>
        </w:rPr>
        <w:t>To the Shareholders of TriMas Corporation:</w:t>
      </w:r>
    </w:p>
    <w:p>
      <w:pPr>
        <w:spacing w:after="0" w:line="104" w:lineRule="exact"/>
        <w:rPr>
          <w:sz w:val="20"/>
          <w:szCs w:val="20"/>
          <w:color w:val="auto"/>
        </w:rPr>
      </w:pPr>
    </w:p>
    <w:p>
      <w:pPr>
        <w:jc w:val="both"/>
        <w:ind w:left="7"/>
        <w:spacing w:after="0" w:line="256" w:lineRule="auto"/>
        <w:rPr>
          <w:sz w:val="20"/>
          <w:szCs w:val="20"/>
          <w:color w:val="auto"/>
        </w:rPr>
      </w:pPr>
      <w:r>
        <w:rPr>
          <w:rFonts w:ascii="Arial" w:cs="Arial" w:eastAsia="Arial" w:hAnsi="Arial"/>
          <w:sz w:val="18"/>
          <w:szCs w:val="18"/>
          <w:color w:val="auto"/>
        </w:rPr>
        <w:t>The 2019 Annual Meeting of Shareholders (the “Annual Meeting”) of TriMas Corporation (the “Company”) will be held on Tuesday, May 14, 2019 at TriMas Corporation Headquarters, located at 38505 Woodward Avenue, Suite 200, Bloomfield Hills, Michigan 48304, at 8:00 a.m. Eastern Time for the following purposes to:</w:t>
      </w:r>
    </w:p>
    <w:p>
      <w:pPr>
        <w:spacing w:after="0" w:line="94" w:lineRule="exact"/>
        <w:rPr>
          <w:sz w:val="20"/>
          <w:szCs w:val="20"/>
          <w:color w:val="auto"/>
        </w:rPr>
      </w:pPr>
    </w:p>
    <w:p>
      <w:pPr>
        <w:ind w:left="347" w:hanging="347"/>
        <w:spacing w:after="0"/>
        <w:tabs>
          <w:tab w:leader="none" w:pos="347"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three directors to serve until the Annual Meeting of Shareholders in 2022;</w:t>
      </w:r>
    </w:p>
    <w:p>
      <w:pPr>
        <w:spacing w:after="0" w:line="103" w:lineRule="exact"/>
        <w:rPr>
          <w:rFonts w:ascii="Arial" w:cs="Arial" w:eastAsia="Arial" w:hAnsi="Arial"/>
          <w:sz w:val="18"/>
          <w:szCs w:val="18"/>
          <w:color w:val="auto"/>
        </w:rPr>
      </w:pPr>
    </w:p>
    <w:p>
      <w:pPr>
        <w:ind w:left="347" w:right="20" w:hanging="347"/>
        <w:spacing w:after="0" w:line="246" w:lineRule="auto"/>
        <w:tabs>
          <w:tab w:leader="none" w:pos="347"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Ratify the appointment of Deloitte &amp; Touche LLP (“Deloitte”) as the Company’s independent registered public accounting firm for the fiscal year ending December 31, 2019;</w:t>
      </w:r>
    </w:p>
    <w:p>
      <w:pPr>
        <w:spacing w:after="0" w:line="88" w:lineRule="exact"/>
        <w:rPr>
          <w:rFonts w:ascii="Arial" w:cs="Arial" w:eastAsia="Arial" w:hAnsi="Arial"/>
          <w:sz w:val="18"/>
          <w:szCs w:val="18"/>
          <w:color w:val="auto"/>
        </w:rPr>
      </w:pPr>
    </w:p>
    <w:p>
      <w:pPr>
        <w:ind w:left="347" w:right="20" w:hanging="347"/>
        <w:spacing w:after="0" w:line="246" w:lineRule="auto"/>
        <w:tabs>
          <w:tab w:leader="none" w:pos="347"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on a non-binding advisory basis, the compensation paid to the Company’s named executive officers (“NEOs”); and</w:t>
      </w:r>
    </w:p>
    <w:p>
      <w:pPr>
        <w:spacing w:after="0" w:line="88" w:lineRule="exact"/>
        <w:rPr>
          <w:rFonts w:ascii="Arial" w:cs="Arial" w:eastAsia="Arial" w:hAnsi="Arial"/>
          <w:sz w:val="18"/>
          <w:szCs w:val="18"/>
          <w:color w:val="auto"/>
        </w:rPr>
      </w:pPr>
    </w:p>
    <w:p>
      <w:pPr>
        <w:ind w:left="347" w:hanging="347"/>
        <w:spacing w:after="0"/>
        <w:tabs>
          <w:tab w:leader="none" w:pos="347"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Transact other business as may properly come before the meeting.</w:t>
      </w:r>
    </w:p>
    <w:p>
      <w:pPr>
        <w:spacing w:after="0" w:line="86" w:lineRule="exact"/>
        <w:rPr>
          <w:sz w:val="20"/>
          <w:szCs w:val="20"/>
          <w:color w:val="auto"/>
        </w:rPr>
      </w:pPr>
    </w:p>
    <w:p>
      <w:pPr>
        <w:jc w:val="both"/>
        <w:ind w:left="7"/>
        <w:spacing w:after="0" w:line="266" w:lineRule="auto"/>
        <w:rPr>
          <w:sz w:val="20"/>
          <w:szCs w:val="20"/>
          <w:color w:val="auto"/>
        </w:rPr>
      </w:pPr>
      <w:r>
        <w:rPr>
          <w:rFonts w:ascii="Arial" w:cs="Arial" w:eastAsia="Arial" w:hAnsi="Arial"/>
          <w:sz w:val="18"/>
          <w:szCs w:val="18"/>
          <w:color w:val="auto"/>
        </w:rPr>
        <w:t xml:space="preserve">We encourage you to read this proxy and our 2018 Annual Report, and to visit our website at </w:t>
      </w:r>
      <w:r>
        <w:rPr>
          <w:rFonts w:ascii="Arial" w:cs="Arial" w:eastAsia="Arial" w:hAnsi="Arial"/>
          <w:sz w:val="18"/>
          <w:szCs w:val="18"/>
          <w:i w:val="1"/>
          <w:iCs w:val="1"/>
          <w:color w:val="auto"/>
        </w:rPr>
        <w:t>www.trimascorp.com</w:t>
      </w:r>
      <w:r>
        <w:rPr>
          <w:rFonts w:ascii="Arial" w:cs="Arial" w:eastAsia="Arial" w:hAnsi="Arial"/>
          <w:sz w:val="18"/>
          <w:szCs w:val="18"/>
          <w:color w:val="auto"/>
        </w:rPr>
        <w:t xml:space="preserve"> to learn more about TriMas. There you will find additional information about our performance and how we are working to enhance shareholder value.</w:t>
      </w:r>
    </w:p>
    <w:p>
      <w:pPr>
        <w:spacing w:after="0" w:line="86" w:lineRule="exact"/>
        <w:rPr>
          <w:sz w:val="20"/>
          <w:szCs w:val="20"/>
          <w:color w:val="auto"/>
        </w:rPr>
      </w:pPr>
    </w:p>
    <w:p>
      <w:pPr>
        <w:jc w:val="both"/>
        <w:ind w:left="7"/>
        <w:spacing w:after="0" w:line="256" w:lineRule="auto"/>
        <w:rPr>
          <w:sz w:val="20"/>
          <w:szCs w:val="20"/>
          <w:color w:val="auto"/>
        </w:rPr>
      </w:pPr>
      <w:r>
        <w:rPr>
          <w:rFonts w:ascii="Arial" w:cs="Arial" w:eastAsia="Arial" w:hAnsi="Arial"/>
          <w:sz w:val="18"/>
          <w:szCs w:val="18"/>
          <w:color w:val="auto"/>
        </w:rPr>
        <w:t>Finally, we want to encourage you to vote regardless of the size of your holdings. Every vote is important and your participation helps us do a better job of understanding and acting on what matters to you as a shareholder. You can cast your vote by internet, by telephone or by mailing a printed proxy card as outlined in this document.</w:t>
      </w:r>
    </w:p>
    <w:p>
      <w:pPr>
        <w:spacing w:after="0" w:line="23" w:lineRule="exact"/>
        <w:rPr>
          <w:sz w:val="20"/>
          <w:szCs w:val="20"/>
          <w:color w:val="auto"/>
        </w:rPr>
      </w:pPr>
    </w:p>
    <w:tbl>
      <w:tblPr>
        <w:tblLayout w:type="fixed"/>
        <w:tblInd w:w="7"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Arial" w:cs="Arial" w:eastAsia="Arial" w:hAnsi="Arial"/>
                <w:sz w:val="18"/>
                <w:szCs w:val="18"/>
                <w:color w:val="auto"/>
                <w:w w:val="97"/>
              </w:rPr>
              <w:t>/s/ Samuel Valenti</w:t>
            </w:r>
          </w:p>
        </w:tc>
        <w:tc>
          <w:tcPr>
            <w:tcW w:w="3320" w:type="dxa"/>
            <w:vAlign w:val="bottom"/>
          </w:tcPr>
          <w:p>
            <w:pPr>
              <w:spacing w:after="0"/>
              <w:rPr>
                <w:sz w:val="17"/>
                <w:szCs w:val="17"/>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/s/ Thomas A. Amato</w:t>
            </w:r>
          </w:p>
        </w:tc>
      </w:tr>
      <w:tr>
        <w:trPr>
          <w:trHeight w:val="250"/>
        </w:trPr>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Samuel Valenti III</w:t>
            </w:r>
          </w:p>
        </w:tc>
        <w:tc>
          <w:tcPr>
            <w:tcW w:w="3320" w:type="dxa"/>
            <w:vAlign w:val="bottom"/>
          </w:tcPr>
          <w:p>
            <w:pPr>
              <w:spacing w:after="0"/>
              <w:rPr>
                <w:sz w:val="21"/>
                <w:szCs w:val="21"/>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A. Amato</w:t>
            </w:r>
          </w:p>
        </w:tc>
        <w:tc>
          <w:tcPr>
            <w:tcW w:w="1320" w:type="dxa"/>
            <w:vAlign w:val="bottom"/>
          </w:tcPr>
          <w:p>
            <w:pPr>
              <w:spacing w:after="0"/>
              <w:rPr>
                <w:sz w:val="21"/>
                <w:szCs w:val="21"/>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3000" w:type="dxa"/>
            <w:vAlign w:val="bottom"/>
            <w:gridSpan w:val="2"/>
          </w:tcPr>
          <w:p>
            <w:pPr>
              <w:spacing w:after="0"/>
              <w:rPr>
                <w:sz w:val="20"/>
                <w:szCs w:val="20"/>
                <w:color w:val="auto"/>
              </w:rPr>
            </w:pPr>
            <w:r>
              <w:rPr>
                <w:rFonts w:ascii="Arial" w:cs="Arial" w:eastAsia="Arial" w:hAnsi="Arial"/>
                <w:sz w:val="18"/>
                <w:szCs w:val="18"/>
                <w:color w:val="auto"/>
                <w:w w:val="99"/>
              </w:rPr>
              <w:t>President and Chief Executive Officer</w:t>
            </w:r>
          </w:p>
        </w:tc>
      </w:tr>
      <w:tr>
        <w:trPr>
          <w:trHeight w:val="324"/>
        </w:trPr>
        <w:tc>
          <w:tcPr>
            <w:tcW w:w="4760" w:type="dxa"/>
            <w:vAlign w:val="bottom"/>
            <w:gridSpan w:val="2"/>
          </w:tcPr>
          <w:p>
            <w:pPr>
              <w:spacing w:after="0"/>
              <w:rPr>
                <w:sz w:val="20"/>
                <w:szCs w:val="20"/>
                <w:color w:val="auto"/>
              </w:rPr>
            </w:pPr>
            <w:r>
              <w:rPr>
                <w:rFonts w:ascii="Arial" w:cs="Arial" w:eastAsia="Arial" w:hAnsi="Arial"/>
                <w:sz w:val="18"/>
                <w:szCs w:val="18"/>
                <w:color w:val="auto"/>
              </w:rPr>
              <w:t>Bloomfield Hills, Michigan</w:t>
            </w: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94" w:lineRule="exact"/>
        <w:rPr>
          <w:sz w:val="20"/>
          <w:szCs w:val="20"/>
          <w:color w:val="auto"/>
        </w:rPr>
      </w:pPr>
    </w:p>
    <w:p>
      <w:pPr>
        <w:jc w:val="both"/>
        <w:ind w:left="7"/>
        <w:spacing w:after="0" w:line="262" w:lineRule="auto"/>
        <w:rPr>
          <w:sz w:val="20"/>
          <w:szCs w:val="20"/>
          <w:color w:val="auto"/>
        </w:rPr>
      </w:pPr>
      <w:r>
        <w:rPr>
          <w:rFonts w:ascii="Arial" w:cs="Arial" w:eastAsia="Arial" w:hAnsi="Arial"/>
          <w:sz w:val="18"/>
          <w:szCs w:val="18"/>
          <w:color w:val="auto"/>
        </w:rPr>
        <w:t>This notice of Annual Meeting, proxy statement, and form of proxy are being distributed and made available on or about April 1, 2019.</w:t>
      </w:r>
    </w:p>
    <w:p>
      <w:pPr>
        <w:spacing w:after="0" w:line="66" w:lineRule="exact"/>
        <w:rPr>
          <w:sz w:val="20"/>
          <w:szCs w:val="20"/>
          <w:color w:val="auto"/>
        </w:rPr>
      </w:pPr>
    </w:p>
    <w:p>
      <w:pPr>
        <w:jc w:val="both"/>
        <w:ind w:left="7"/>
        <w:spacing w:after="0" w:line="259" w:lineRule="auto"/>
        <w:rPr>
          <w:sz w:val="20"/>
          <w:szCs w:val="20"/>
          <w:color w:val="auto"/>
        </w:rPr>
      </w:pPr>
      <w:r>
        <w:rPr>
          <w:rFonts w:ascii="Arial" w:cs="Arial" w:eastAsia="Arial" w:hAnsi="Arial"/>
          <w:sz w:val="18"/>
          <w:szCs w:val="18"/>
          <w:b w:val="1"/>
          <w:bCs w:val="1"/>
          <w:color w:val="auto"/>
        </w:rPr>
        <w:t>Even if you intend to be present at the Annual Meeting in person, please sign and date your proxy card or voting instruction card and return it in the accompanying envelope, or vote via telephone or internet (as indicated on your proxy card or voting instruction card), to ensure the presence of a quorum. Any proxy may be revoked in the manner described in the accompanying proxy statement at any time before it has been voted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6071870" cy="7118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71870" cy="711835"/>
                    </a:xfrm>
                    <a:prstGeom prst="rect">
                      <a:avLst/>
                    </a:prstGeom>
                    <a:noFill/>
                  </pic:spPr>
                </pic:pic>
              </a:graphicData>
            </a:graphic>
          </wp:anchor>
        </w:drawing>
      </w:r>
    </w:p>
    <w:p>
      <w:pPr>
        <w:spacing w:after="0" w:line="25" w:lineRule="exact"/>
        <w:rPr>
          <w:sz w:val="20"/>
          <w:szCs w:val="20"/>
          <w:color w:val="auto"/>
        </w:rPr>
      </w:pPr>
    </w:p>
    <w:p>
      <w:pPr>
        <w:jc w:val="center"/>
        <w:ind w:left="1180" w:right="180"/>
        <w:spacing w:after="0" w:line="271"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MAY 14, 2019</w:t>
      </w:r>
    </w:p>
    <w:p>
      <w:pPr>
        <w:spacing w:after="0" w:line="194"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The Proxy Statement and 2018 Annual Report of TriMas Corporation are available at:</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http://ir.trimascorp.com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1920875</wp:posOffset>
            </wp:positionH>
            <wp:positionV relativeFrom="paragraph">
              <wp:posOffset>92075</wp:posOffset>
            </wp:positionV>
            <wp:extent cx="2195195" cy="428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951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Headquarters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38505 Woodward Avenue, Suite 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Bloomfield Hills, Michigan 48304</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000562"/>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-227330</wp:posOffset>
            </wp:positionV>
            <wp:extent cx="6071870" cy="5060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71870" cy="506095"/>
                    </a:xfrm>
                    <a:prstGeom prst="rect">
                      <a:avLst/>
                    </a:prstGeom>
                    <a:noFill/>
                  </pic:spPr>
                </pic:pic>
              </a:graphicData>
            </a:graphic>
          </wp:anchor>
        </w:drawing>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000562"/>
        </w:rPr>
        <w:t>FOR 2019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60718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proxy statement contains information regarding the 2019 Annual Meeting of Shareholders (the “Annual Meeting”) of TriMas Corporation (“TriMas” or the “Company”) to be held at 8:00 a.m. Eastern Time on Tuesday, May 14, 2019 at TriMas Corporation Headquarters, located at 38505 Woodward Avenue, Suite 200, Bloomfield Hills, Michigan 48304. The Company’s Board of Directors (the “Board”) has fixed the close of business on March 15, 2019 as the record date (“Record Date”) for determining the shareholders that are entitled to notice of, and to vote at, the Annual Meeting or any adjournment or postponement of the Annual Meeting. The Board is soliciting proxies for use at such meeting and at any adjournment or postponement of such meeting. The Company has made these materials available to shareholders on the internet or, upon request, has delivered printed copies by mail or electronic copies by email. This proxy statement, along with the notice of Annual Meeting and form of proxy, was first made available to shareholders on or about April 1, 2019. The Company will bear the cost of soliciting proxies.</w:t>
      </w:r>
    </w:p>
    <w:p>
      <w:pPr>
        <w:spacing w:after="0" w:line="212" w:lineRule="exact"/>
        <w:rPr>
          <w:sz w:val="20"/>
          <w:szCs w:val="20"/>
          <w:color w:val="auto"/>
        </w:rPr>
      </w:pPr>
    </w:p>
    <w:p>
      <w:pPr>
        <w:spacing w:after="0"/>
        <w:rPr>
          <w:sz w:val="20"/>
          <w:szCs w:val="20"/>
          <w:color w:val="auto"/>
        </w:rPr>
      </w:pPr>
      <w:r>
        <w:rPr>
          <w:rFonts w:ascii="Arial" w:cs="Arial" w:eastAsia="Arial" w:hAnsi="Arial"/>
          <w:sz w:val="43"/>
          <w:szCs w:val="43"/>
          <w:color w:val="000562"/>
        </w:rPr>
        <w:t>PROXY SUMMARY</w:t>
      </w:r>
    </w:p>
    <w:p>
      <w:pPr>
        <w:spacing w:after="0" w:line="9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This summary does not contain all of the information you should consider. You should read the entire proxy statement carefully before voting.</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0562"/>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607187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71870" cy="146050"/>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Meeting</w:t>
      </w:r>
      <w:r>
        <w:rPr>
          <w:rFonts w:ascii="Arial" w:cs="Arial" w:eastAsia="Arial" w:hAnsi="Arial"/>
          <w:sz w:val="16"/>
          <w:szCs w:val="16"/>
          <w:color w:val="auto"/>
        </w:rPr>
        <w:t>: Annual Meeting of Shareholders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Meeting Location</w:t>
      </w:r>
      <w:r>
        <w:rPr>
          <w:rFonts w:ascii="Arial" w:cs="Arial" w:eastAsia="Arial" w:hAnsi="Arial"/>
          <w:sz w:val="16"/>
          <w:szCs w:val="16"/>
          <w:color w:val="auto"/>
        </w:rPr>
        <w:t>: TriMas Corporation Headquarters, 38505 Woodward Avenue, Suite 200, Bloomfield Hills, Michigan 48304</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Date</w:t>
      </w:r>
      <w:r>
        <w:rPr>
          <w:rFonts w:ascii="Arial" w:cs="Arial" w:eastAsia="Arial" w:hAnsi="Arial"/>
          <w:sz w:val="16"/>
          <w:szCs w:val="16"/>
          <w:color w:val="auto"/>
        </w:rPr>
        <w:t>: 8:00 a.m. Eastern Time on Tuesday, May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607187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7187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Record Date</w:t>
      </w:r>
      <w:r>
        <w:rPr>
          <w:rFonts w:ascii="Arial" w:cs="Arial" w:eastAsia="Arial" w:hAnsi="Arial"/>
          <w:sz w:val="16"/>
          <w:szCs w:val="16"/>
          <w:color w:val="auto"/>
        </w:rPr>
        <w:t>: March 15, 2019</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Common Shares Outstanding as of Record Date</w:t>
      </w:r>
      <w:r>
        <w:rPr>
          <w:rFonts w:ascii="Arial" w:cs="Arial" w:eastAsia="Arial" w:hAnsi="Arial"/>
          <w:sz w:val="16"/>
          <w:szCs w:val="16"/>
          <w:color w:val="auto"/>
        </w:rPr>
        <w:t>: 45,686,317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607187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7187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Stock Symbol</w:t>
      </w:r>
      <w:r>
        <w:rPr>
          <w:rFonts w:ascii="Arial" w:cs="Arial" w:eastAsia="Arial" w:hAnsi="Arial"/>
          <w:sz w:val="16"/>
          <w:szCs w:val="16"/>
          <w:color w:val="auto"/>
        </w:rPr>
        <w:t>: TRS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Stock Exchange</w:t>
      </w:r>
      <w:r>
        <w:rPr>
          <w:rFonts w:ascii="Arial" w:cs="Arial" w:eastAsia="Arial" w:hAnsi="Arial"/>
          <w:sz w:val="16"/>
          <w:szCs w:val="16"/>
          <w:color w:val="auto"/>
        </w:rPr>
        <w:t>: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607187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7187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Registrar and Transfer Agent</w:t>
      </w:r>
      <w:r>
        <w:rPr>
          <w:rFonts w:ascii="Arial" w:cs="Arial" w:eastAsia="Arial" w:hAnsi="Arial"/>
          <w:sz w:val="16"/>
          <w:szCs w:val="16"/>
          <w:color w:val="auto"/>
        </w:rPr>
        <w:t>: Computershare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State and Year of Incorporation</w:t>
      </w:r>
      <w:r>
        <w:rPr>
          <w:rFonts w:ascii="Arial" w:cs="Arial" w:eastAsia="Arial" w:hAnsi="Arial"/>
          <w:sz w:val="16"/>
          <w:szCs w:val="16"/>
          <w:color w:val="auto"/>
        </w:rPr>
        <w:t>: Delaware (1986)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607187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7187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Corporate Website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www.trimascorp.com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Investor Relations Website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http://ir.trimascorp.com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607187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71870" cy="1460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0562"/>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607187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71870" cy="146050"/>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Board Meetings in Fiscal 2018</w:t>
      </w:r>
      <w:r>
        <w:rPr>
          <w:rFonts w:ascii="Arial" w:cs="Arial" w:eastAsia="Arial" w:hAnsi="Arial"/>
          <w:sz w:val="16"/>
          <w:szCs w:val="16"/>
          <w:color w:val="auto"/>
        </w:rPr>
        <w:t>: 9</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Standing Board Committees (Meetings in Fiscal 2018)</w:t>
      </w:r>
      <w:r>
        <w:rPr>
          <w:rFonts w:ascii="Arial" w:cs="Arial" w:eastAsia="Arial" w:hAnsi="Arial"/>
          <w:sz w:val="16"/>
          <w:szCs w:val="16"/>
          <w:color w:val="auto"/>
        </w:rPr>
        <w:t>: Audit 5; Compensation 3; and Governance and Nominating 6</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Separate Chair and CEO</w:t>
      </w:r>
      <w:r>
        <w:rPr>
          <w:rFonts w:ascii="Arial" w:cs="Arial" w:eastAsia="Arial" w:hAnsi="Arial"/>
          <w:sz w:val="16"/>
          <w:szCs w:val="16"/>
          <w:color w:val="auto"/>
        </w:rPr>
        <w:t>: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607187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7187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Board Independence</w:t>
      </w:r>
      <w:r>
        <w:rPr>
          <w:rFonts w:ascii="Arial" w:cs="Arial" w:eastAsia="Arial" w:hAnsi="Arial"/>
          <w:sz w:val="16"/>
          <w:szCs w:val="16"/>
          <w:color w:val="auto"/>
        </w:rPr>
        <w:t>: 8 of 9 directors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Independent Directors Meet without Management</w:t>
      </w:r>
      <w:r>
        <w:rPr>
          <w:rFonts w:ascii="Arial" w:cs="Arial" w:eastAsia="Arial" w:hAnsi="Arial"/>
          <w:sz w:val="16"/>
          <w:szCs w:val="16"/>
          <w:color w:val="auto"/>
        </w:rPr>
        <w:t>: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607187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7187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Staggered Board</w:t>
      </w:r>
      <w:r>
        <w:rPr>
          <w:rFonts w:ascii="Arial" w:cs="Arial" w:eastAsia="Arial" w:hAnsi="Arial"/>
          <w:sz w:val="16"/>
          <w:szCs w:val="16"/>
          <w:color w:val="auto"/>
        </w:rPr>
        <w:t>: Yes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Shareholder Rights Plan</w:t>
      </w:r>
      <w:r>
        <w:rPr>
          <w:rFonts w:ascii="Arial" w:cs="Arial" w:eastAsia="Arial" w:hAnsi="Arial"/>
          <w:sz w:val="16"/>
          <w:szCs w:val="16"/>
          <w:color w:val="auto"/>
        </w:rPr>
        <w: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607187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7187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Simple Majority to Amend Charter and Bylaws</w:t>
      </w:r>
      <w:r>
        <w:rPr>
          <w:rFonts w:ascii="Arial" w:cs="Arial" w:eastAsia="Arial" w:hAnsi="Arial"/>
          <w:sz w:val="16"/>
          <w:szCs w:val="16"/>
          <w:color w:val="auto"/>
        </w:rPr>
        <w:t>: Yes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Hedging, Pledging and Short Sale Policy</w:t>
      </w:r>
      <w:r>
        <w:rPr>
          <w:rFonts w:ascii="Arial" w:cs="Arial" w:eastAsia="Arial" w:hAnsi="Arial"/>
          <w:sz w:val="16"/>
          <w:szCs w:val="16"/>
          <w:color w:val="auto"/>
        </w:rPr>
        <w:t>: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607187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71870"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314960</wp:posOffset>
            </wp:positionV>
            <wp:extent cx="607187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6">
              <w:r>
                <w:rPr>
                  <w:rFonts w:ascii="Arial" w:cs="Arial" w:eastAsia="Arial" w:hAnsi="Arial"/>
                  <w:sz w:val="14"/>
                  <w:szCs w:val="14"/>
                  <w:b w:val="1"/>
                  <w:bCs w:val="1"/>
                  <w:color w:val="0000EE"/>
                </w:rPr>
                <w:t>TABLE OF CONTENTS</w:t>
              </w:r>
            </w:hyperlink>
          </w:p>
        </w:tc>
        <w:tc>
          <w:tcPr>
            <w:tcW w:w="5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6760" w:type="dxa"/>
            <w:vAlign w:val="bottom"/>
            <w:tcBorders>
              <w:bottom w:val="single" w:sz="8" w:color="000562"/>
            </w:tcBorders>
            <w:gridSpan w:val="2"/>
          </w:tcPr>
          <w:p>
            <w:pPr>
              <w:ind w:left="20"/>
              <w:spacing w:after="0"/>
              <w:rPr>
                <w:sz w:val="20"/>
                <w:szCs w:val="20"/>
                <w:color w:val="auto"/>
              </w:rPr>
            </w:pPr>
            <w:r>
              <w:rPr>
                <w:rFonts w:ascii="Arial" w:cs="Arial" w:eastAsia="Arial" w:hAnsi="Arial"/>
                <w:sz w:val="14"/>
                <w:szCs w:val="14"/>
                <w:b w:val="1"/>
                <w:bCs w:val="1"/>
                <w:color w:val="000562"/>
              </w:rPr>
              <w:t>Items to be Voted On</w:t>
            </w:r>
          </w:p>
        </w:tc>
        <w:tc>
          <w:tcPr>
            <w:tcW w:w="2800" w:type="dxa"/>
            <w:vAlign w:val="bottom"/>
            <w:tcBorders>
              <w:bottom w:val="single" w:sz="8" w:color="000562"/>
            </w:tcBorders>
          </w:tcPr>
          <w:p>
            <w:pPr>
              <w:jc w:val="center"/>
              <w:ind w:left="101"/>
              <w:spacing w:after="0"/>
              <w:rPr>
                <w:sz w:val="20"/>
                <w:szCs w:val="20"/>
                <w:color w:val="auto"/>
              </w:rPr>
            </w:pPr>
            <w:r>
              <w:rPr>
                <w:rFonts w:ascii="Arial" w:cs="Arial" w:eastAsia="Arial" w:hAnsi="Arial"/>
                <w:sz w:val="14"/>
                <w:szCs w:val="14"/>
                <w:b w:val="1"/>
                <w:bCs w:val="1"/>
                <w:color w:val="000562"/>
              </w:rPr>
              <w:t>Board Recommendation</w:t>
            </w:r>
          </w:p>
        </w:tc>
        <w:tc>
          <w:tcPr>
            <w:tcW w:w="0" w:type="dxa"/>
            <w:vAlign w:val="bottom"/>
          </w:tcPr>
          <w:p>
            <w:pPr>
              <w:spacing w:after="0"/>
              <w:rPr>
                <w:sz w:val="1"/>
                <w:szCs w:val="1"/>
                <w:color w:val="auto"/>
              </w:rPr>
            </w:pPr>
          </w:p>
        </w:tc>
      </w:tr>
      <w:tr>
        <w:trPr>
          <w:trHeight w:val="210"/>
        </w:trPr>
        <w:tc>
          <w:tcPr>
            <w:tcW w:w="6760" w:type="dxa"/>
            <w:vAlign w:val="bottom"/>
            <w:gridSpan w:val="2"/>
            <w:shd w:val="clear" w:color="auto" w:fill="E9EFEE"/>
          </w:tcPr>
          <w:p>
            <w:pPr>
              <w:ind w:left="20"/>
              <w:spacing w:after="0"/>
              <w:rPr>
                <w:sz w:val="20"/>
                <w:szCs w:val="20"/>
                <w:color w:val="auto"/>
              </w:rPr>
            </w:pPr>
            <w:r>
              <w:rPr>
                <w:rFonts w:ascii="Arial" w:cs="Arial" w:eastAsia="Arial" w:hAnsi="Arial"/>
                <w:sz w:val="16"/>
                <w:szCs w:val="16"/>
                <w:b w:val="1"/>
                <w:bCs w:val="1"/>
                <w:color w:val="auto"/>
              </w:rPr>
              <w:t xml:space="preserve">Proposal 1: </w:t>
            </w:r>
            <w:r>
              <w:rPr>
                <w:rFonts w:ascii="Arial" w:cs="Arial" w:eastAsia="Arial" w:hAnsi="Arial"/>
                <w:sz w:val="16"/>
                <w:szCs w:val="16"/>
                <w:color w:val="auto"/>
              </w:rPr>
              <w:t>Elect three directors</w:t>
            </w:r>
          </w:p>
        </w:tc>
        <w:tc>
          <w:tcPr>
            <w:tcW w:w="2800" w:type="dxa"/>
            <w:vAlign w:val="bottom"/>
            <w:shd w:val="clear" w:color="auto" w:fill="E9EFEE"/>
          </w:tcPr>
          <w:p>
            <w:pPr>
              <w:jc w:val="center"/>
              <w:ind w:left="101"/>
              <w:spacing w:after="0"/>
              <w:rPr>
                <w:sz w:val="20"/>
                <w:szCs w:val="20"/>
                <w:color w:val="auto"/>
              </w:rPr>
            </w:pPr>
            <w:r>
              <w:rPr>
                <w:rFonts w:ascii="Arial" w:cs="Arial" w:eastAsia="Arial" w:hAnsi="Arial"/>
                <w:sz w:val="16"/>
                <w:szCs w:val="16"/>
                <w:b w:val="1"/>
                <w:bCs w:val="1"/>
                <w:color w:val="auto"/>
              </w:rPr>
              <w:t>FOR ALL</w:t>
            </w:r>
          </w:p>
        </w:tc>
        <w:tc>
          <w:tcPr>
            <w:tcW w:w="0" w:type="dxa"/>
            <w:vAlign w:val="bottom"/>
          </w:tcPr>
          <w:p>
            <w:pPr>
              <w:spacing w:after="0"/>
              <w:rPr>
                <w:sz w:val="1"/>
                <w:szCs w:val="1"/>
                <w:color w:val="auto"/>
              </w:rPr>
            </w:pPr>
          </w:p>
        </w:tc>
      </w:tr>
      <w:tr>
        <w:trPr>
          <w:trHeight w:val="204"/>
        </w:trPr>
        <w:tc>
          <w:tcPr>
            <w:tcW w:w="6760" w:type="dxa"/>
            <w:vAlign w:val="bottom"/>
            <w:gridSpan w:val="2"/>
          </w:tcPr>
          <w:p>
            <w:pPr>
              <w:ind w:left="20"/>
              <w:spacing w:after="0"/>
              <w:rPr>
                <w:sz w:val="20"/>
                <w:szCs w:val="20"/>
                <w:color w:val="auto"/>
              </w:rPr>
            </w:pPr>
            <w:r>
              <w:rPr>
                <w:rFonts w:ascii="Arial" w:cs="Arial" w:eastAsia="Arial" w:hAnsi="Arial"/>
                <w:sz w:val="16"/>
                <w:szCs w:val="16"/>
                <w:b w:val="1"/>
                <w:bCs w:val="1"/>
                <w:color w:val="auto"/>
              </w:rPr>
              <w:t xml:space="preserve">Proposal 2: </w:t>
            </w:r>
            <w:r>
              <w:rPr>
                <w:rFonts w:ascii="Arial" w:cs="Arial" w:eastAsia="Arial" w:hAnsi="Arial"/>
                <w:sz w:val="16"/>
                <w:szCs w:val="16"/>
                <w:color w:val="auto"/>
              </w:rPr>
              <w:t>Ratify the appointment of Deloitte &amp; Touche LLP as the Company's</w:t>
            </w:r>
          </w:p>
        </w:tc>
        <w:tc>
          <w:tcPr>
            <w:tcW w:w="2800" w:type="dxa"/>
            <w:vAlign w:val="bottom"/>
            <w:vMerge w:val="restart"/>
          </w:tcPr>
          <w:p>
            <w:pPr>
              <w:jc w:val="center"/>
              <w:ind w:left="101"/>
              <w:spacing w:after="0"/>
              <w:rPr>
                <w:sz w:val="20"/>
                <w:szCs w:val="20"/>
                <w:color w:val="auto"/>
              </w:rPr>
            </w:pPr>
            <w:r>
              <w:rPr>
                <w:rFonts w:ascii="Arial" w:cs="Arial" w:eastAsia="Arial" w:hAnsi="Arial"/>
                <w:sz w:val="16"/>
                <w:szCs w:val="16"/>
                <w:b w:val="1"/>
                <w:bCs w:val="1"/>
                <w:color w:val="auto"/>
              </w:rPr>
              <w:t>FOR</w:t>
            </w:r>
          </w:p>
        </w:tc>
        <w:tc>
          <w:tcPr>
            <w:tcW w:w="0" w:type="dxa"/>
            <w:vAlign w:val="bottom"/>
          </w:tcPr>
          <w:p>
            <w:pPr>
              <w:spacing w:after="0"/>
              <w:rPr>
                <w:sz w:val="1"/>
                <w:szCs w:val="1"/>
                <w:color w:val="auto"/>
              </w:rPr>
            </w:pPr>
          </w:p>
        </w:tc>
      </w:tr>
      <w:tr>
        <w:trPr>
          <w:trHeight w:val="198"/>
        </w:trPr>
        <w:tc>
          <w:tcPr>
            <w:tcW w:w="6760" w:type="dxa"/>
            <w:vAlign w:val="bottom"/>
            <w:gridSpan w:val="2"/>
          </w:tcPr>
          <w:p>
            <w:pPr>
              <w:ind w:left="20"/>
              <w:spacing w:after="0"/>
              <w:rPr>
                <w:sz w:val="20"/>
                <w:szCs w:val="20"/>
                <w:color w:val="auto"/>
              </w:rPr>
            </w:pPr>
            <w:r>
              <w:rPr>
                <w:rFonts w:ascii="Arial" w:cs="Arial" w:eastAsia="Arial" w:hAnsi="Arial"/>
                <w:sz w:val="16"/>
                <w:szCs w:val="16"/>
                <w:color w:val="auto"/>
              </w:rPr>
              <w:t>independent registered public accounting firm for fiscal 2019</w:t>
            </w:r>
          </w:p>
        </w:tc>
        <w:tc>
          <w:tcPr>
            <w:tcW w:w="2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60" w:type="dxa"/>
            <w:vAlign w:val="bottom"/>
            <w:gridSpan w:val="2"/>
            <w:shd w:val="clear" w:color="auto" w:fill="E9EFEE"/>
          </w:tcPr>
          <w:p>
            <w:pPr>
              <w:ind w:left="20"/>
              <w:spacing w:after="0"/>
              <w:rPr>
                <w:sz w:val="20"/>
                <w:szCs w:val="20"/>
                <w:color w:val="auto"/>
              </w:rPr>
            </w:pPr>
            <w:r>
              <w:rPr>
                <w:rFonts w:ascii="Arial" w:cs="Arial" w:eastAsia="Arial" w:hAnsi="Arial"/>
                <w:sz w:val="16"/>
                <w:szCs w:val="16"/>
                <w:b w:val="1"/>
                <w:bCs w:val="1"/>
                <w:color w:val="auto"/>
              </w:rPr>
              <w:t xml:space="preserve">Proposal 3: </w:t>
            </w:r>
            <w:r>
              <w:rPr>
                <w:rFonts w:ascii="Arial" w:cs="Arial" w:eastAsia="Arial" w:hAnsi="Arial"/>
                <w:sz w:val="16"/>
                <w:szCs w:val="16"/>
                <w:color w:val="auto"/>
              </w:rPr>
              <w:t>Approve, on a non-binding advisory basis, the compensation paid to the</w:t>
            </w:r>
          </w:p>
        </w:tc>
        <w:tc>
          <w:tcPr>
            <w:tcW w:w="2800" w:type="dxa"/>
            <w:vAlign w:val="bottom"/>
            <w:vMerge w:val="restart"/>
            <w:shd w:val="clear" w:color="auto" w:fill="E9EFEE"/>
          </w:tcPr>
          <w:p>
            <w:pPr>
              <w:jc w:val="center"/>
              <w:ind w:left="101"/>
              <w:spacing w:after="0"/>
              <w:rPr>
                <w:sz w:val="20"/>
                <w:szCs w:val="20"/>
                <w:color w:val="auto"/>
              </w:rPr>
            </w:pPr>
            <w:r>
              <w:rPr>
                <w:rFonts w:ascii="Arial" w:cs="Arial" w:eastAsia="Arial" w:hAnsi="Arial"/>
                <w:sz w:val="16"/>
                <w:szCs w:val="16"/>
                <w:b w:val="1"/>
                <w:bCs w:val="1"/>
                <w:color w:val="auto"/>
              </w:rPr>
              <w:t>FOR</w:t>
            </w:r>
          </w:p>
        </w:tc>
        <w:tc>
          <w:tcPr>
            <w:tcW w:w="0" w:type="dxa"/>
            <w:vAlign w:val="bottom"/>
          </w:tcPr>
          <w:p>
            <w:pPr>
              <w:spacing w:after="0"/>
              <w:rPr>
                <w:sz w:val="1"/>
                <w:szCs w:val="1"/>
                <w:color w:val="auto"/>
              </w:rPr>
            </w:pPr>
          </w:p>
        </w:tc>
      </w:tr>
      <w:tr>
        <w:trPr>
          <w:trHeight w:val="198"/>
        </w:trPr>
        <w:tc>
          <w:tcPr>
            <w:tcW w:w="6760" w:type="dxa"/>
            <w:vAlign w:val="bottom"/>
            <w:tcBorders>
              <w:bottom w:val="single" w:sz="8" w:color="000562"/>
            </w:tcBorders>
            <w:gridSpan w:val="2"/>
            <w:shd w:val="clear" w:color="auto" w:fill="E9EFEE"/>
          </w:tcPr>
          <w:p>
            <w:pPr>
              <w:ind w:left="20"/>
              <w:spacing w:after="0"/>
              <w:rPr>
                <w:sz w:val="20"/>
                <w:szCs w:val="20"/>
                <w:color w:val="auto"/>
              </w:rPr>
            </w:pPr>
            <w:r>
              <w:rPr>
                <w:rFonts w:ascii="Arial" w:cs="Arial" w:eastAsia="Arial" w:hAnsi="Arial"/>
                <w:sz w:val="16"/>
                <w:szCs w:val="16"/>
                <w:color w:val="auto"/>
              </w:rPr>
              <w:t>Company’s named executive officers (“NEOs”)</w:t>
            </w:r>
          </w:p>
        </w:tc>
        <w:tc>
          <w:tcPr>
            <w:tcW w:w="2800" w:type="dxa"/>
            <w:vAlign w:val="bottom"/>
            <w:tcBorders>
              <w:bottom w:val="single" w:sz="8" w:color="000562"/>
            </w:tcBorders>
            <w:vMerge w:val="continue"/>
            <w:shd w:val="clear" w:color="auto" w:fill="E9EFE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6760" w:type="dxa"/>
            <w:vAlign w:val="bottom"/>
            <w:tcBorders>
              <w:bottom w:val="single" w:sz="8" w:color="000562"/>
            </w:tcBorders>
            <w:gridSpan w:val="2"/>
          </w:tcPr>
          <w:p>
            <w:pPr>
              <w:ind w:left="20"/>
              <w:spacing w:after="0"/>
              <w:rPr>
                <w:sz w:val="20"/>
                <w:szCs w:val="20"/>
                <w:color w:val="auto"/>
              </w:rPr>
            </w:pPr>
            <w:r>
              <w:rPr>
                <w:rFonts w:ascii="Arial" w:cs="Arial" w:eastAsia="Arial" w:hAnsi="Arial"/>
                <w:sz w:val="14"/>
                <w:szCs w:val="14"/>
                <w:b w:val="1"/>
                <w:bCs w:val="1"/>
                <w:color w:val="000562"/>
              </w:rPr>
              <w:t>Executive Compensation</w:t>
            </w:r>
          </w:p>
        </w:tc>
        <w:tc>
          <w:tcPr>
            <w:tcW w:w="2800" w:type="dxa"/>
            <w:vAlign w:val="bottom"/>
            <w:tcBorders>
              <w:bottom w:val="single" w:sz="8" w:color="000562"/>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60" w:type="dxa"/>
            <w:vAlign w:val="bottom"/>
            <w:gridSpan w:val="2"/>
            <w:shd w:val="clear" w:color="auto" w:fill="E9EFEE"/>
          </w:tcPr>
          <w:p>
            <w:pPr>
              <w:ind w:left="20"/>
              <w:spacing w:after="0"/>
              <w:rPr>
                <w:sz w:val="20"/>
                <w:szCs w:val="20"/>
                <w:color w:val="auto"/>
              </w:rPr>
            </w:pPr>
            <w:r>
              <w:rPr>
                <w:rFonts w:ascii="Arial" w:cs="Arial" w:eastAsia="Arial" w:hAnsi="Arial"/>
                <w:sz w:val="16"/>
                <w:szCs w:val="16"/>
                <w:b w:val="1"/>
                <w:bCs w:val="1"/>
                <w:color w:val="auto"/>
              </w:rPr>
              <w:t>CEO</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Thomas A. Amato (age 55; tenure as CEO: more than two years)</w:t>
            </w:r>
          </w:p>
        </w:tc>
        <w:tc>
          <w:tcPr>
            <w:tcW w:w="2800" w:type="dxa"/>
            <w:vAlign w:val="bottom"/>
            <w:shd w:val="clear" w:color="auto" w:fill="E9EFE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60" w:type="dxa"/>
            <w:vAlign w:val="bottom"/>
            <w:gridSpan w:val="2"/>
          </w:tcPr>
          <w:p>
            <w:pPr>
              <w:ind w:left="20"/>
              <w:spacing w:after="0"/>
              <w:rPr>
                <w:sz w:val="20"/>
                <w:szCs w:val="20"/>
                <w:color w:val="auto"/>
              </w:rPr>
            </w:pPr>
            <w:r>
              <w:rPr>
                <w:rFonts w:ascii="Arial" w:cs="Arial" w:eastAsia="Arial" w:hAnsi="Arial"/>
                <w:sz w:val="16"/>
                <w:szCs w:val="16"/>
                <w:b w:val="1"/>
                <w:bCs w:val="1"/>
                <w:color w:val="auto"/>
              </w:rPr>
              <w:t>Fiscal 2018 CEO Total Direct Compensation</w:t>
            </w:r>
            <w:r>
              <w:rPr>
                <w:rFonts w:ascii="Arial" w:cs="Arial" w:eastAsia="Arial" w:hAnsi="Arial"/>
                <w:sz w:val="16"/>
                <w:szCs w:val="16"/>
                <w:color w:val="auto"/>
              </w:rPr>
              <w:t>:</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80"/>
        <w:spacing w:after="0"/>
        <w:rPr>
          <w:sz w:val="20"/>
          <w:szCs w:val="20"/>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$650,000;</w:t>
      </w:r>
      <w:r>
        <w:rPr>
          <w:rFonts w:ascii="Arial" w:cs="Arial" w:eastAsia="Arial" w:hAnsi="Arial"/>
          <w:sz w:val="16"/>
          <w:szCs w:val="16"/>
          <w:b w:val="1"/>
          <w:bCs w:val="1"/>
          <w:color w:val="auto"/>
        </w:rPr>
        <w:t xml:space="preserve"> Target Short-Term Incentive: </w:t>
      </w:r>
      <w:r>
        <w:rPr>
          <w:rFonts w:ascii="Arial" w:cs="Arial" w:eastAsia="Arial" w:hAnsi="Arial"/>
          <w:sz w:val="16"/>
          <w:szCs w:val="16"/>
          <w:color w:val="auto"/>
        </w:rPr>
        <w:t>$650,000;</w:t>
      </w:r>
      <w:r>
        <w:rPr>
          <w:rFonts w:ascii="Arial" w:cs="Arial" w:eastAsia="Arial" w:hAnsi="Arial"/>
          <w:sz w:val="16"/>
          <w:szCs w:val="16"/>
          <w:b w:val="1"/>
          <w:bCs w:val="1"/>
          <w:color w:val="auto"/>
        </w:rPr>
        <w:t xml:space="preserve"> Target Long-Term Incentives: </w:t>
      </w:r>
      <w:r>
        <w:rPr>
          <w:rFonts w:ascii="Arial" w:cs="Arial" w:eastAsia="Arial" w:hAnsi="Arial"/>
          <w:sz w:val="16"/>
          <w:szCs w:val="16"/>
          <w:color w:val="auto"/>
        </w:rPr>
        <w:t>$2,399,976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607187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71870" cy="13716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Key Elements of our Executive Compensation Program for Fiscal 2018</w:t>
      </w:r>
      <w:r>
        <w:rPr>
          <w:rFonts w:ascii="Arial" w:cs="Arial" w:eastAsia="Arial" w:hAnsi="Arial"/>
          <w:sz w:val="16"/>
          <w:szCs w:val="16"/>
          <w:i w:val="1"/>
          <w:iCs w:val="1"/>
          <w:color w:val="auto"/>
        </w:rPr>
        <w:t>:</w:t>
      </w:r>
    </w:p>
    <w:p>
      <w:pPr>
        <w:spacing w:after="0" w:line="32" w:lineRule="exact"/>
        <w:rPr>
          <w:sz w:val="20"/>
          <w:szCs w:val="20"/>
          <w:color w:val="auto"/>
        </w:rPr>
      </w:pPr>
    </w:p>
    <w:p>
      <w:pPr>
        <w:ind w:left="280" w:right="1020"/>
        <w:spacing w:after="0" w:line="264" w:lineRule="auto"/>
        <w:rPr>
          <w:sz w:val="20"/>
          <w:szCs w:val="20"/>
          <w:color w:val="auto"/>
        </w:rPr>
      </w:pPr>
      <w:r>
        <w:rPr>
          <w:rFonts w:ascii="Arial" w:cs="Arial" w:eastAsia="Arial" w:hAnsi="Arial"/>
          <w:sz w:val="16"/>
          <w:szCs w:val="16"/>
          <w:b w:val="1"/>
          <w:bCs w:val="1"/>
          <w:color w:val="auto"/>
        </w:rPr>
        <w:t>Base Salary</w:t>
      </w:r>
      <w:r>
        <w:rPr>
          <w:rFonts w:ascii="Arial" w:cs="Arial" w:eastAsia="Arial" w:hAnsi="Arial"/>
          <w:sz w:val="16"/>
          <w:szCs w:val="16"/>
          <w:color w:val="auto"/>
        </w:rPr>
        <w:t>: Represented 18% of our CEO's target compensation and, on average, 32% of our other NEOs' target</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-253365</wp:posOffset>
            </wp:positionV>
            <wp:extent cx="6071870" cy="2571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71870" cy="257175"/>
                    </a:xfrm>
                    <a:prstGeom prst="rect">
                      <a:avLst/>
                    </a:prstGeom>
                    <a:noFill/>
                  </pic:spPr>
                </pic:pic>
              </a:graphicData>
            </a:graphic>
          </wp:anchor>
        </w:drawing>
      </w:r>
    </w:p>
    <w:p>
      <w:pPr>
        <w:ind w:left="280" w:right="80"/>
        <w:spacing w:after="0" w:line="258" w:lineRule="auto"/>
        <w:rPr>
          <w:sz w:val="20"/>
          <w:szCs w:val="20"/>
          <w:color w:val="auto"/>
        </w:rPr>
      </w:pPr>
      <w:r>
        <w:rPr>
          <w:rFonts w:ascii="Arial" w:cs="Arial" w:eastAsia="Arial" w:hAnsi="Arial"/>
          <w:sz w:val="16"/>
          <w:szCs w:val="16"/>
          <w:b w:val="1"/>
          <w:bCs w:val="1"/>
          <w:color w:val="auto"/>
        </w:rPr>
        <w:t>Short-Term Incentive</w:t>
      </w:r>
      <w:r>
        <w:rPr>
          <w:rFonts w:ascii="Arial" w:cs="Arial" w:eastAsia="Arial" w:hAnsi="Arial"/>
          <w:sz w:val="16"/>
          <w:szCs w:val="16"/>
          <w:color w:val="auto"/>
        </w:rPr>
        <w:t>: Annual incentive focused on corporate financial metrics that are directly tied to our annual business plan.</w:t>
      </w:r>
      <w:r>
        <w:rPr>
          <w:rFonts w:ascii="Arial" w:cs="Arial" w:eastAsia="Arial" w:hAnsi="Arial"/>
          <w:sz w:val="16"/>
          <w:szCs w:val="16"/>
          <w:b w:val="1"/>
          <w:bCs w:val="1"/>
          <w:color w:val="auto"/>
        </w:rPr>
        <w:t xml:space="preserve"> </w:t>
      </w:r>
      <w:r>
        <w:rPr>
          <w:rFonts w:ascii="Arial" w:cs="Arial" w:eastAsia="Arial" w:hAnsi="Arial"/>
          <w:sz w:val="16"/>
          <w:szCs w:val="16"/>
          <w:color w:val="auto"/>
        </w:rPr>
        <w:t>Metrics include operating profit and cash flow generation. This represented 18% of our CEO’s target compensation and, on average, 20% of our other NEOs’ target compensation for 2018.</w:t>
      </w:r>
    </w:p>
    <w:p>
      <w:pPr>
        <w:spacing w:after="0" w:line="1" w:lineRule="exact"/>
        <w:rPr>
          <w:sz w:val="20"/>
          <w:szCs w:val="20"/>
          <w:color w:val="auto"/>
        </w:rPr>
      </w:pPr>
    </w:p>
    <w:p>
      <w:pPr>
        <w:ind w:left="280" w:right="120"/>
        <w:spacing w:after="0" w:line="253" w:lineRule="auto"/>
        <w:rPr>
          <w:sz w:val="20"/>
          <w:szCs w:val="20"/>
          <w:color w:val="auto"/>
        </w:rPr>
      </w:pPr>
      <w:r>
        <w:rPr>
          <w:rFonts w:ascii="Arial" w:cs="Arial" w:eastAsia="Arial" w:hAnsi="Arial"/>
          <w:sz w:val="16"/>
          <w:szCs w:val="16"/>
          <w:b w:val="1"/>
          <w:bCs w:val="1"/>
          <w:color w:val="auto"/>
        </w:rPr>
        <w:t>Long-Term Equity Incentives</w:t>
      </w:r>
      <w:r>
        <w:rPr>
          <w:rFonts w:ascii="Arial" w:cs="Arial" w:eastAsia="Arial" w:hAnsi="Arial"/>
          <w:sz w:val="16"/>
          <w:szCs w:val="16"/>
          <w:color w:val="auto"/>
        </w:rPr>
        <w:t>: 50% performance stock units ("cliff" vesting; shares earned, if any, based on relative total</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 return and earnings per share cumulative average growth rate over a three-year period) and 50% service-based restricted stock units (generally vest in three equal installments on the first three anniversaries of award grant date) for our NEOs. Long-term equity incentives represented 64% of 2018 target compensation for our CEO and 48% for our other NEOs (on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-612140</wp:posOffset>
            </wp:positionV>
            <wp:extent cx="6071870" cy="6172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71870" cy="6172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auto"/>
        </w:rPr>
        <w:t>Recoupment Policy</w:t>
      </w:r>
      <w:r>
        <w:rPr>
          <w:rFonts w:ascii="Arial" w:cs="Arial" w:eastAsia="Arial" w:hAnsi="Arial"/>
          <w:sz w:val="16"/>
          <w:szCs w:val="16"/>
          <w:color w:val="auto"/>
        </w:rPr>
        <w:t>: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60718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0562"/>
        </w:rPr>
        <w:t>Fiscal 2018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607187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71870" cy="146050"/>
                    </a:xfrm>
                    <a:prstGeom prst="rect">
                      <a:avLst/>
                    </a:prstGeom>
                    <a:noFill/>
                  </pic:spPr>
                </pic:pic>
              </a:graphicData>
            </a:graphic>
          </wp:anchor>
        </w:drawing>
      </w:r>
    </w:p>
    <w:p>
      <w:pPr>
        <w:spacing w:after="0" w:line="37" w:lineRule="exact"/>
        <w:rPr>
          <w:sz w:val="20"/>
          <w:szCs w:val="20"/>
          <w:color w:val="auto"/>
        </w:rPr>
      </w:pPr>
    </w:p>
    <w:p>
      <w:pPr>
        <w:ind w:left="120" w:hanging="109"/>
        <w:spacing w:after="0"/>
        <w:tabs>
          <w:tab w:leader="none" w:pos="1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Increased net sales by 7.3% to $877.1 million, with sales increases in all segments</w:t>
      </w:r>
    </w:p>
    <w:p>
      <w:pPr>
        <w:spacing w:after="0" w:line="32" w:lineRule="exact"/>
        <w:rPr>
          <w:rFonts w:ascii="Arial" w:cs="Arial" w:eastAsia="Arial" w:hAnsi="Arial"/>
          <w:sz w:val="16"/>
          <w:szCs w:val="16"/>
          <w:color w:val="auto"/>
        </w:rPr>
      </w:pPr>
    </w:p>
    <w:p>
      <w:pPr>
        <w:ind w:left="120" w:hanging="109"/>
        <w:spacing w:after="0"/>
        <w:tabs>
          <w:tab w:leader="none" w:pos="1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Increased operating profit to $122.1 million, while improving operating profit margin</w:t>
      </w:r>
    </w:p>
    <w:p>
      <w:pPr>
        <w:spacing w:after="0" w:line="32" w:lineRule="exact"/>
        <w:rPr>
          <w:rFonts w:ascii="Arial" w:cs="Arial" w:eastAsia="Arial" w:hAnsi="Arial"/>
          <w:sz w:val="16"/>
          <w:szCs w:val="16"/>
          <w:color w:val="auto"/>
        </w:rPr>
      </w:pPr>
    </w:p>
    <w:p>
      <w:pPr>
        <w:ind w:left="120" w:hanging="109"/>
        <w:spacing w:after="0"/>
        <w:tabs>
          <w:tab w:leader="none" w:pos="1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Increased net income to $83.3 million, compared to $31.0 million in 2017</w:t>
      </w:r>
    </w:p>
    <w:p>
      <w:pPr>
        <w:spacing w:after="0" w:line="32" w:lineRule="exact"/>
        <w:rPr>
          <w:rFonts w:ascii="Arial" w:cs="Arial" w:eastAsia="Arial" w:hAnsi="Arial"/>
          <w:sz w:val="16"/>
          <w:szCs w:val="16"/>
          <w:color w:val="auto"/>
        </w:rPr>
      </w:pPr>
    </w:p>
    <w:p>
      <w:pPr>
        <w:ind w:left="120" w:hanging="109"/>
        <w:spacing w:after="0"/>
        <w:tabs>
          <w:tab w:leader="none" w:pos="1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Increased diluted EPS to $1.80, compared to $0.67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-262890</wp:posOffset>
            </wp:positionV>
            <wp:extent cx="607187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71870"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607187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7187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 Increased net cash provided by operating activities to $129.3 million, and ended 2018 with $108.2 million of cash  on hand</w:t>
      </w:r>
    </w:p>
    <w:p>
      <w:pPr>
        <w:spacing w:after="0" w:line="32" w:lineRule="exact"/>
        <w:rPr>
          <w:sz w:val="20"/>
          <w:szCs w:val="20"/>
          <w:color w:val="auto"/>
        </w:rPr>
      </w:pPr>
    </w:p>
    <w:p>
      <w:pPr>
        <w:ind w:left="120" w:hanging="109"/>
        <w:spacing w:after="0"/>
        <w:tabs>
          <w:tab w:leader="none" w:pos="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Reduced our leverage ratio to 1.3x as defined in our credit agreement</w:t>
      </w:r>
    </w:p>
    <w:p>
      <w:pPr>
        <w:spacing w:after="0" w:line="32" w:lineRule="exact"/>
        <w:rPr>
          <w:rFonts w:ascii="Arial" w:cs="Arial" w:eastAsia="Arial" w:hAnsi="Arial"/>
          <w:sz w:val="16"/>
          <w:szCs w:val="16"/>
          <w:color w:val="auto"/>
        </w:rPr>
      </w:pPr>
    </w:p>
    <w:p>
      <w:pPr>
        <w:ind w:left="120" w:hanging="109"/>
        <w:spacing w:after="0"/>
        <w:tabs>
          <w:tab w:leader="none" w:pos="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Ended 2018 with $393.1 million of cash and aggregate availability under our credit agreement</w:t>
      </w:r>
    </w:p>
    <w:p>
      <w:pPr>
        <w:spacing w:after="0" w:line="32" w:lineRule="exact"/>
        <w:rPr>
          <w:rFonts w:ascii="Arial" w:cs="Arial" w:eastAsia="Arial" w:hAnsi="Arial"/>
          <w:sz w:val="16"/>
          <w:szCs w:val="16"/>
          <w:color w:val="auto"/>
        </w:rPr>
      </w:pPr>
    </w:p>
    <w:p>
      <w:pPr>
        <w:ind w:left="80" w:right="1440" w:hanging="69"/>
        <w:spacing w:after="0" w:line="260" w:lineRule="auto"/>
        <w:tabs>
          <w:tab w:leader="none" w:pos="104"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Repurchased 442,632 shares of our outstanding common stock, or approximately 1% of outstanding shares, for approximately $12.1 million, during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-399415</wp:posOffset>
            </wp:positionV>
            <wp:extent cx="607187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71870"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-5080</wp:posOffset>
            </wp:positionV>
            <wp:extent cx="60718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294640</wp:posOffset>
            </wp:positionV>
            <wp:extent cx="607187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6" w:right="115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Arial" w:cs="Arial" w:eastAsia="Arial" w:hAnsi="Arial"/>
          <w:sz w:val="47"/>
          <w:szCs w:val="47"/>
          <w:color w:val="000562"/>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Borders>
              <w:top w:val="single" w:sz="8" w:color="000562"/>
              <w:bottom w:val="single" w:sz="8" w:color="0000EE"/>
            </w:tcBorders>
            <w:gridSpan w:val="5"/>
          </w:tcPr>
          <w:p>
            <w:pPr>
              <w:spacing w:after="0" w:line="216" w:lineRule="exact"/>
              <w:rPr>
                <w:rFonts w:ascii="Arial" w:cs="Arial" w:eastAsia="Arial" w:hAnsi="Arial"/>
                <w:sz w:val="19"/>
                <w:szCs w:val="19"/>
                <w:b w:val="1"/>
                <w:bCs w:val="1"/>
                <w:color w:val="0000EE"/>
                <w:w w:val="98"/>
              </w:rPr>
            </w:pPr>
            <w:hyperlink w:anchor="page7">
              <w:r>
                <w:rPr>
                  <w:rFonts w:ascii="Arial" w:cs="Arial" w:eastAsia="Arial" w:hAnsi="Arial"/>
                  <w:sz w:val="19"/>
                  <w:szCs w:val="19"/>
                  <w:b w:val="1"/>
                  <w:bCs w:val="1"/>
                  <w:color w:val="0000EE"/>
                  <w:w w:val="98"/>
                </w:rPr>
                <w:t>PROPOSAL 1 – ELECTION OF DIRECTORS</w:t>
              </w:r>
            </w:hyperlink>
          </w:p>
        </w:tc>
        <w:tc>
          <w:tcPr>
            <w:tcW w:w="4960" w:type="dxa"/>
            <w:vAlign w:val="bottom"/>
            <w:tcBorders>
              <w:top w:val="single" w:sz="8" w:color="000562"/>
            </w:tcBorders>
            <w:gridSpan w:val="8"/>
          </w:tcPr>
          <w:p>
            <w:pPr>
              <w:spacing w:after="0"/>
              <w:rPr>
                <w:sz w:val="18"/>
                <w:szCs w:val="18"/>
                <w:color w:val="auto"/>
              </w:rPr>
            </w:pPr>
          </w:p>
        </w:tc>
        <w:tc>
          <w:tcPr>
            <w:tcW w:w="520" w:type="dxa"/>
            <w:vAlign w:val="bottom"/>
            <w:tcBorders>
              <w:top w:val="single" w:sz="8" w:color="000562"/>
            </w:tcBorders>
            <w:gridSpan w:val="2"/>
          </w:tcPr>
          <w:p>
            <w:pPr>
              <w:spacing w:after="0"/>
              <w:rPr>
                <w:sz w:val="18"/>
                <w:szCs w:val="18"/>
                <w:color w:val="auto"/>
              </w:rPr>
            </w:pPr>
          </w:p>
        </w:tc>
        <w:tc>
          <w:tcPr>
            <w:tcW w:w="100" w:type="dxa"/>
            <w:vAlign w:val="bottom"/>
            <w:tcBorders>
              <w:top w:val="single" w:sz="8" w:color="000562"/>
              <w:bottom w:val="single" w:sz="8" w:color="0000EE"/>
            </w:tcBorders>
          </w:tcPr>
          <w:p>
            <w:pPr>
              <w:jc w:val="right"/>
              <w:spacing w:after="0" w:line="216" w:lineRule="exact"/>
              <w:rPr>
                <w:rFonts w:ascii="Arial" w:cs="Arial" w:eastAsia="Arial" w:hAnsi="Arial"/>
                <w:sz w:val="19"/>
                <w:szCs w:val="19"/>
                <w:b w:val="1"/>
                <w:bCs w:val="1"/>
                <w:color w:val="0000EE"/>
                <w:w w:val="75"/>
              </w:rPr>
            </w:pPr>
            <w:hyperlink w:anchor="page7">
              <w:r>
                <w:rPr>
                  <w:rFonts w:ascii="Arial" w:cs="Arial" w:eastAsia="Arial" w:hAnsi="Arial"/>
                  <w:sz w:val="19"/>
                  <w:szCs w:val="19"/>
                  <w:b w:val="1"/>
                  <w:bCs w:val="1"/>
                  <w:color w:val="0000EE"/>
                  <w:w w:val="75"/>
                </w:rPr>
                <w:t>1</w:t>
              </w:r>
            </w:hyperlink>
          </w:p>
        </w:tc>
        <w:tc>
          <w:tcPr>
            <w:tcW w:w="120" w:type="dxa"/>
            <w:vAlign w:val="bottom"/>
            <w:tcBorders>
              <w:top w:val="single" w:sz="8" w:color="000562"/>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60" w:type="dxa"/>
            <w:vAlign w:val="bottom"/>
            <w:gridSpan w:val="2"/>
          </w:tcPr>
          <w:p>
            <w:pPr>
              <w:spacing w:after="0"/>
              <w:rPr>
                <w:rFonts w:ascii="Arial" w:cs="Arial" w:eastAsia="Arial" w:hAnsi="Arial"/>
                <w:sz w:val="19"/>
                <w:szCs w:val="19"/>
                <w:b w:val="1"/>
                <w:bCs w:val="1"/>
                <w:color w:val="0000EE"/>
                <w:w w:val="97"/>
              </w:rPr>
            </w:pPr>
            <w:hyperlink w:anchor="page18">
              <w:r>
                <w:rPr>
                  <w:rFonts w:ascii="Arial" w:cs="Arial" w:eastAsia="Arial" w:hAnsi="Arial"/>
                  <w:sz w:val="19"/>
                  <w:szCs w:val="19"/>
                  <w:b w:val="1"/>
                  <w:bCs w:val="1"/>
                  <w:color w:val="0000EE"/>
                  <w:w w:val="97"/>
                </w:rPr>
                <w:t>DIRECTOR COMPENSATION</w:t>
              </w:r>
            </w:hyperlink>
          </w:p>
        </w:tc>
        <w:tc>
          <w:tcPr>
            <w:tcW w:w="6260" w:type="dxa"/>
            <w:vAlign w:val="bottom"/>
            <w:gridSpan w:val="11"/>
          </w:tcPr>
          <w:p>
            <w:pPr>
              <w:spacing w:after="0"/>
              <w:rPr>
                <w:sz w:val="19"/>
                <w:szCs w:val="19"/>
                <w:color w:val="auto"/>
              </w:rPr>
            </w:pPr>
          </w:p>
        </w:tc>
        <w:tc>
          <w:tcPr>
            <w:tcW w:w="620" w:type="dxa"/>
            <w:vAlign w:val="bottom"/>
            <w:gridSpan w:val="3"/>
          </w:tcPr>
          <w:p>
            <w:pPr>
              <w:jc w:val="right"/>
              <w:spacing w:after="0"/>
              <w:rPr>
                <w:rFonts w:ascii="Arial" w:cs="Arial" w:eastAsia="Arial" w:hAnsi="Arial"/>
                <w:sz w:val="19"/>
                <w:szCs w:val="19"/>
                <w:b w:val="1"/>
                <w:bCs w:val="1"/>
                <w:color w:val="0000EE"/>
              </w:rPr>
            </w:pPr>
            <w:hyperlink w:anchor="page18">
              <w:r>
                <w:rPr>
                  <w:rFonts w:ascii="Arial" w:cs="Arial" w:eastAsia="Arial" w:hAnsi="Arial"/>
                  <w:sz w:val="19"/>
                  <w:szCs w:val="19"/>
                  <w:b w:val="1"/>
                  <w:bCs w:val="1"/>
                  <w:color w:val="0000EE"/>
                </w:rPr>
                <w:t>12</w:t>
              </w:r>
            </w:hyperlink>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60" w:type="dxa"/>
            <w:vAlign w:val="bottom"/>
            <w:gridSpan w:val="8"/>
          </w:tcPr>
          <w:p>
            <w:pPr>
              <w:spacing w:after="0"/>
              <w:rPr>
                <w:rFonts w:ascii="Arial" w:cs="Arial" w:eastAsia="Arial" w:hAnsi="Arial"/>
                <w:sz w:val="19"/>
                <w:szCs w:val="19"/>
                <w:b w:val="1"/>
                <w:bCs w:val="1"/>
                <w:color w:val="0000EE"/>
                <w:w w:val="97"/>
              </w:rPr>
            </w:pPr>
            <w:hyperlink w:anchor="page21">
              <w:r>
                <w:rPr>
                  <w:rFonts w:ascii="Arial" w:cs="Arial" w:eastAsia="Arial" w:hAnsi="Arial"/>
                  <w:sz w:val="19"/>
                  <w:szCs w:val="19"/>
                  <w:b w:val="1"/>
                  <w:bCs w:val="1"/>
                  <w:color w:val="0000EE"/>
                  <w:w w:val="97"/>
                </w:rPr>
                <w:t>REPORT OF THE AUDIT COMMITTEE OF THE BOARD OF DIRECTORS</w:t>
              </w:r>
            </w:hyperlink>
          </w:p>
        </w:tc>
        <w:tc>
          <w:tcPr>
            <w:tcW w:w="2560" w:type="dxa"/>
            <w:vAlign w:val="bottom"/>
            <w:gridSpan w:val="5"/>
          </w:tcPr>
          <w:p>
            <w:pPr>
              <w:spacing w:after="0"/>
              <w:rPr>
                <w:sz w:val="19"/>
                <w:szCs w:val="19"/>
                <w:color w:val="auto"/>
              </w:rPr>
            </w:pPr>
          </w:p>
        </w:tc>
        <w:tc>
          <w:tcPr>
            <w:tcW w:w="620" w:type="dxa"/>
            <w:vAlign w:val="bottom"/>
            <w:gridSpan w:val="3"/>
          </w:tcPr>
          <w:p>
            <w:pPr>
              <w:jc w:val="right"/>
              <w:spacing w:after="0"/>
              <w:rPr>
                <w:rFonts w:ascii="Arial" w:cs="Arial" w:eastAsia="Arial" w:hAnsi="Arial"/>
                <w:sz w:val="19"/>
                <w:szCs w:val="19"/>
                <w:b w:val="1"/>
                <w:bCs w:val="1"/>
                <w:color w:val="0000EE"/>
              </w:rPr>
            </w:pPr>
            <w:hyperlink w:anchor="page21">
              <w:r>
                <w:rPr>
                  <w:rFonts w:ascii="Arial" w:cs="Arial" w:eastAsia="Arial" w:hAnsi="Arial"/>
                  <w:sz w:val="19"/>
                  <w:szCs w:val="19"/>
                  <w:b w:val="1"/>
                  <w:bCs w:val="1"/>
                  <w:color w:val="0000EE"/>
                </w:rPr>
                <w:t>15</w:t>
              </w:r>
            </w:hyperlink>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20" w:type="dxa"/>
            <w:vAlign w:val="bottom"/>
            <w:gridSpan w:val="13"/>
          </w:tcPr>
          <w:p>
            <w:pPr>
              <w:spacing w:after="0"/>
              <w:rPr>
                <w:rFonts w:ascii="Arial" w:cs="Arial" w:eastAsia="Arial" w:hAnsi="Arial"/>
                <w:sz w:val="19"/>
                <w:szCs w:val="19"/>
                <w:b w:val="1"/>
                <w:bCs w:val="1"/>
                <w:color w:val="0000EE"/>
              </w:rPr>
            </w:pPr>
            <w:hyperlink w:anchor="page22">
              <w:r>
                <w:rPr>
                  <w:rFonts w:ascii="Arial" w:cs="Arial" w:eastAsia="Arial" w:hAnsi="Arial"/>
                  <w:sz w:val="19"/>
                  <w:szCs w:val="19"/>
                  <w:b w:val="1"/>
                  <w:bCs w:val="1"/>
                  <w:color w:val="0000EE"/>
                </w:rPr>
                <w:t>PROPOSAL 2 – RATIFICATION OF APPOINTMENT OF INDEPENDENT REGISTERED PUBLIC</w:t>
              </w:r>
            </w:hyperlink>
          </w:p>
        </w:tc>
        <w:tc>
          <w:tcPr>
            <w:tcW w:w="620" w:type="dxa"/>
            <w:vAlign w:val="bottom"/>
            <w:gridSpan w:val="3"/>
            <w:vMerge w:val="restart"/>
          </w:tcPr>
          <w:p>
            <w:pPr>
              <w:jc w:val="right"/>
              <w:spacing w:after="0"/>
              <w:rPr>
                <w:rFonts w:ascii="Arial" w:cs="Arial" w:eastAsia="Arial" w:hAnsi="Arial"/>
                <w:sz w:val="19"/>
                <w:szCs w:val="19"/>
                <w:b w:val="1"/>
                <w:bCs w:val="1"/>
                <w:color w:val="0000EE"/>
              </w:rPr>
            </w:pPr>
            <w:hyperlink w:anchor="page22">
              <w:r>
                <w:rPr>
                  <w:rFonts w:ascii="Arial" w:cs="Arial" w:eastAsia="Arial" w:hAnsi="Arial"/>
                  <w:sz w:val="19"/>
                  <w:szCs w:val="19"/>
                  <w:b w:val="1"/>
                  <w:bCs w:val="1"/>
                  <w:color w:val="0000EE"/>
                </w:rPr>
                <w:t>16</w:t>
              </w:r>
            </w:hyperlink>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240" w:type="dxa"/>
            <w:vAlign w:val="bottom"/>
            <w:tcBorders>
              <w:top w:val="single" w:sz="8" w:color="0000EE"/>
            </w:tcBorders>
            <w:gridSpan w:val="11"/>
          </w:tcPr>
          <w:p>
            <w:pPr>
              <w:spacing w:after="0" w:line="196" w:lineRule="exact"/>
              <w:rPr>
                <w:rFonts w:ascii="Arial" w:cs="Arial" w:eastAsia="Arial" w:hAnsi="Arial"/>
                <w:sz w:val="19"/>
                <w:szCs w:val="19"/>
                <w:b w:val="1"/>
                <w:bCs w:val="1"/>
                <w:color w:val="0000EE"/>
              </w:rPr>
            </w:pPr>
            <w:hyperlink w:anchor="page22">
              <w:r>
                <w:rPr>
                  <w:rFonts w:ascii="Arial" w:cs="Arial" w:eastAsia="Arial" w:hAnsi="Arial"/>
                  <w:sz w:val="19"/>
                  <w:szCs w:val="19"/>
                  <w:b w:val="1"/>
                  <w:bCs w:val="1"/>
                  <w:color w:val="0000EE"/>
                </w:rPr>
                <w:t>ACCOUNTING FIRM</w:t>
              </w:r>
            </w:hyperlink>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20" w:type="dxa"/>
            <w:vAlign w:val="bottom"/>
            <w:gridSpan w:val="13"/>
          </w:tcPr>
          <w:p>
            <w:pPr>
              <w:spacing w:after="0"/>
              <w:rPr>
                <w:rFonts w:ascii="Arial" w:cs="Arial" w:eastAsia="Arial" w:hAnsi="Arial"/>
                <w:sz w:val="19"/>
                <w:szCs w:val="19"/>
                <w:b w:val="1"/>
                <w:bCs w:val="1"/>
                <w:color w:val="0000EE"/>
              </w:rPr>
            </w:pPr>
            <w:hyperlink w:anchor="page24">
              <w:r>
                <w:rPr>
                  <w:rFonts w:ascii="Arial" w:cs="Arial" w:eastAsia="Arial" w:hAnsi="Arial"/>
                  <w:sz w:val="19"/>
                  <w:szCs w:val="19"/>
                  <w:b w:val="1"/>
                  <w:bCs w:val="1"/>
                  <w:color w:val="0000EE"/>
                </w:rPr>
                <w:t>PROPOSAL 3 – APPROVAL, ON A NON-BINDING ADVISORY BASIS, OF THE COMPENSATION</w:t>
              </w:r>
            </w:hyperlink>
          </w:p>
        </w:tc>
        <w:tc>
          <w:tcPr>
            <w:tcW w:w="620" w:type="dxa"/>
            <w:vAlign w:val="bottom"/>
            <w:gridSpan w:val="3"/>
            <w:vMerge w:val="restart"/>
          </w:tcPr>
          <w:p>
            <w:pPr>
              <w:jc w:val="right"/>
              <w:spacing w:after="0"/>
              <w:rPr>
                <w:rFonts w:ascii="Arial" w:cs="Arial" w:eastAsia="Arial" w:hAnsi="Arial"/>
                <w:sz w:val="19"/>
                <w:szCs w:val="19"/>
                <w:b w:val="1"/>
                <w:bCs w:val="1"/>
                <w:color w:val="0000EE"/>
              </w:rPr>
            </w:pPr>
            <w:hyperlink w:anchor="page24">
              <w:r>
                <w:rPr>
                  <w:rFonts w:ascii="Arial" w:cs="Arial" w:eastAsia="Arial" w:hAnsi="Arial"/>
                  <w:sz w:val="19"/>
                  <w:szCs w:val="19"/>
                  <w:b w:val="1"/>
                  <w:bCs w:val="1"/>
                  <w:color w:val="0000EE"/>
                </w:rPr>
                <w:t>18</w:t>
              </w:r>
            </w:hyperlink>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40" w:type="dxa"/>
            <w:vAlign w:val="bottom"/>
            <w:tcBorders>
              <w:top w:val="single" w:sz="8" w:color="0000EE"/>
            </w:tcBorders>
            <w:gridSpan w:val="7"/>
          </w:tcPr>
          <w:p>
            <w:pPr>
              <w:spacing w:after="0" w:line="196" w:lineRule="exact"/>
              <w:rPr>
                <w:rFonts w:ascii="Arial" w:cs="Arial" w:eastAsia="Arial" w:hAnsi="Arial"/>
                <w:sz w:val="19"/>
                <w:szCs w:val="19"/>
                <w:b w:val="1"/>
                <w:bCs w:val="1"/>
                <w:color w:val="0000EE"/>
                <w:w w:val="98"/>
              </w:rPr>
            </w:pPr>
            <w:hyperlink w:anchor="page24">
              <w:r>
                <w:rPr>
                  <w:rFonts w:ascii="Arial" w:cs="Arial" w:eastAsia="Arial" w:hAnsi="Arial"/>
                  <w:sz w:val="19"/>
                  <w:szCs w:val="19"/>
                  <w:b w:val="1"/>
                  <w:bCs w:val="1"/>
                  <w:color w:val="0000EE"/>
                  <w:w w:val="98"/>
                </w:rPr>
                <w:t>PAID TO THE COMPANY’S NAMED EXECUTIVE OFFICERS</w:t>
              </w:r>
            </w:hyperlink>
          </w:p>
        </w:tc>
        <w:tc>
          <w:tcPr>
            <w:tcW w:w="3180" w:type="dxa"/>
            <w:vAlign w:val="bottom"/>
            <w:tcBorders>
              <w:top w:val="single" w:sz="8" w:color="0000EE"/>
            </w:tcBorders>
            <w:gridSpan w:val="5"/>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60" w:type="dxa"/>
            <w:vAlign w:val="bottom"/>
            <w:tcBorders>
              <w:right w:val="single" w:sz="8" w:color="0000EE"/>
            </w:tcBorders>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20" w:type="dxa"/>
            <w:vAlign w:val="bottom"/>
            <w:gridSpan w:val="13"/>
          </w:tcPr>
          <w:p>
            <w:pPr>
              <w:spacing w:after="0"/>
              <w:rPr>
                <w:rFonts w:ascii="Arial" w:cs="Arial" w:eastAsia="Arial" w:hAnsi="Arial"/>
                <w:sz w:val="19"/>
                <w:szCs w:val="19"/>
                <w:b w:val="1"/>
                <w:bCs w:val="1"/>
                <w:color w:val="0000EE"/>
              </w:rPr>
            </w:pPr>
            <w:hyperlink w:anchor="page26">
              <w:r>
                <w:rPr>
                  <w:rFonts w:ascii="Arial" w:cs="Arial" w:eastAsia="Arial" w:hAnsi="Arial"/>
                  <w:sz w:val="19"/>
                  <w:szCs w:val="19"/>
                  <w:b w:val="1"/>
                  <w:bCs w:val="1"/>
                  <w:color w:val="0000EE"/>
                </w:rPr>
                <w:t>SECURITY OWNERSHIP OF CERTAIN BENEFICIAL OWNERS AND MANAGEMENT AND</w:t>
              </w:r>
            </w:hyperlink>
          </w:p>
        </w:tc>
        <w:tc>
          <w:tcPr>
            <w:tcW w:w="620" w:type="dxa"/>
            <w:vAlign w:val="bottom"/>
            <w:gridSpan w:val="3"/>
            <w:vMerge w:val="restart"/>
          </w:tcPr>
          <w:p>
            <w:pPr>
              <w:jc w:val="right"/>
              <w:spacing w:after="0"/>
              <w:rPr>
                <w:rFonts w:ascii="Arial" w:cs="Arial" w:eastAsia="Arial" w:hAnsi="Arial"/>
                <w:sz w:val="19"/>
                <w:szCs w:val="19"/>
                <w:b w:val="1"/>
                <w:bCs w:val="1"/>
                <w:color w:val="0000EE"/>
              </w:rPr>
            </w:pPr>
            <w:hyperlink w:anchor="page26">
              <w:r>
                <w:rPr>
                  <w:rFonts w:ascii="Arial" w:cs="Arial" w:eastAsia="Arial" w:hAnsi="Arial"/>
                  <w:sz w:val="19"/>
                  <w:szCs w:val="19"/>
                  <w:b w:val="1"/>
                  <w:bCs w:val="1"/>
                  <w:color w:val="0000EE"/>
                </w:rPr>
                <w:t>20</w:t>
              </w:r>
            </w:hyperlink>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340" w:type="dxa"/>
            <w:vAlign w:val="bottom"/>
            <w:tcBorders>
              <w:top w:val="single" w:sz="8" w:color="0000EE"/>
            </w:tcBorders>
            <w:gridSpan w:val="3"/>
          </w:tcPr>
          <w:p>
            <w:pPr>
              <w:spacing w:after="0" w:line="196" w:lineRule="exact"/>
              <w:rPr>
                <w:rFonts w:ascii="Arial" w:cs="Arial" w:eastAsia="Arial" w:hAnsi="Arial"/>
                <w:sz w:val="19"/>
                <w:szCs w:val="19"/>
                <w:b w:val="1"/>
                <w:bCs w:val="1"/>
                <w:color w:val="0000EE"/>
                <w:w w:val="97"/>
              </w:rPr>
            </w:pPr>
            <w:hyperlink w:anchor="page26">
              <w:r>
                <w:rPr>
                  <w:rFonts w:ascii="Arial" w:cs="Arial" w:eastAsia="Arial" w:hAnsi="Arial"/>
                  <w:sz w:val="19"/>
                  <w:szCs w:val="19"/>
                  <w:b w:val="1"/>
                  <w:bCs w:val="1"/>
                  <w:color w:val="0000EE"/>
                  <w:w w:val="97"/>
                </w:rPr>
                <w:t>RELATED SHAREHOLDER MATTERS</w:t>
              </w:r>
            </w:hyperlink>
          </w:p>
        </w:tc>
        <w:tc>
          <w:tcPr>
            <w:tcW w:w="4460" w:type="dxa"/>
            <w:vAlign w:val="bottom"/>
            <w:tcBorders>
              <w:top w:val="single" w:sz="8" w:color="0000EE"/>
            </w:tcBorders>
            <w:gridSpan w:val="7"/>
          </w:tcPr>
          <w:p>
            <w:pPr>
              <w:spacing w:after="0"/>
              <w:rPr>
                <w:sz w:val="17"/>
                <w:szCs w:val="17"/>
                <w:color w:val="auto"/>
              </w:rPr>
            </w:pPr>
          </w:p>
        </w:tc>
        <w:tc>
          <w:tcPr>
            <w:tcW w:w="1020" w:type="dxa"/>
            <w:vAlign w:val="bottom"/>
            <w:gridSpan w:val="3"/>
          </w:tcPr>
          <w:p>
            <w:pPr>
              <w:spacing w:after="0"/>
              <w:rPr>
                <w:sz w:val="17"/>
                <w:szCs w:val="17"/>
                <w:color w:val="auto"/>
              </w:rPr>
            </w:pPr>
          </w:p>
        </w:tc>
        <w:tc>
          <w:tcPr>
            <w:tcW w:w="6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60" w:type="dxa"/>
            <w:vAlign w:val="bottom"/>
            <w:tcBorders>
              <w:right w:val="single" w:sz="8" w:color="0000EE"/>
            </w:tcBorders>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20" w:type="dxa"/>
            <w:vAlign w:val="bottom"/>
            <w:gridSpan w:val="13"/>
          </w:tcPr>
          <w:p>
            <w:pPr>
              <w:spacing w:after="0"/>
              <w:rPr>
                <w:rFonts w:ascii="Arial" w:cs="Arial" w:eastAsia="Arial" w:hAnsi="Arial"/>
                <w:sz w:val="19"/>
                <w:szCs w:val="19"/>
                <w:b w:val="1"/>
                <w:bCs w:val="1"/>
                <w:color w:val="0000EE"/>
              </w:rPr>
            </w:pPr>
            <w:hyperlink w:anchor="page28">
              <w:r>
                <w:rPr>
                  <w:rFonts w:ascii="Arial" w:cs="Arial" w:eastAsia="Arial" w:hAnsi="Arial"/>
                  <w:sz w:val="19"/>
                  <w:szCs w:val="19"/>
                  <w:b w:val="1"/>
                  <w:bCs w:val="1"/>
                  <w:color w:val="0000EE"/>
                </w:rPr>
                <w:t>SECTION 16(A) BENEFICIAL OWNERSHIP REPORTING COMPLIANCE</w:t>
              </w:r>
            </w:hyperlink>
          </w:p>
        </w:tc>
        <w:tc>
          <w:tcPr>
            <w:tcW w:w="620" w:type="dxa"/>
            <w:vAlign w:val="bottom"/>
            <w:gridSpan w:val="3"/>
          </w:tcPr>
          <w:p>
            <w:pPr>
              <w:jc w:val="right"/>
              <w:spacing w:after="0"/>
              <w:rPr>
                <w:rFonts w:ascii="Arial" w:cs="Arial" w:eastAsia="Arial" w:hAnsi="Arial"/>
                <w:sz w:val="19"/>
                <w:szCs w:val="19"/>
                <w:b w:val="1"/>
                <w:bCs w:val="1"/>
                <w:color w:val="0000EE"/>
              </w:rPr>
            </w:pPr>
            <w:hyperlink w:anchor="page28">
              <w:r>
                <w:rPr>
                  <w:rFonts w:ascii="Arial" w:cs="Arial" w:eastAsia="Arial" w:hAnsi="Arial"/>
                  <w:sz w:val="19"/>
                  <w:szCs w:val="19"/>
                  <w:b w:val="1"/>
                  <w:bCs w:val="1"/>
                  <w:color w:val="0000EE"/>
                </w:rPr>
                <w:t>22</w:t>
              </w:r>
            </w:hyperlink>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gridSpan w:val="6"/>
          </w:tcPr>
          <w:p>
            <w:pPr>
              <w:spacing w:after="0"/>
              <w:rPr>
                <w:rFonts w:ascii="Arial" w:cs="Arial" w:eastAsia="Arial" w:hAnsi="Arial"/>
                <w:sz w:val="19"/>
                <w:szCs w:val="19"/>
                <w:b w:val="1"/>
                <w:bCs w:val="1"/>
                <w:color w:val="0000EE"/>
                <w:w w:val="98"/>
              </w:rPr>
            </w:pPr>
            <w:hyperlink w:anchor="page29">
              <w:r>
                <w:rPr>
                  <w:rFonts w:ascii="Arial" w:cs="Arial" w:eastAsia="Arial" w:hAnsi="Arial"/>
                  <w:sz w:val="19"/>
                  <w:szCs w:val="19"/>
                  <w:b w:val="1"/>
                  <w:bCs w:val="1"/>
                  <w:color w:val="0000EE"/>
                  <w:w w:val="98"/>
                </w:rPr>
                <w:t>TRANSACTIONS WITH RELATED PERSONS</w:t>
              </w:r>
            </w:hyperlink>
          </w:p>
        </w:tc>
        <w:tc>
          <w:tcPr>
            <w:tcW w:w="2320" w:type="dxa"/>
            <w:vAlign w:val="bottom"/>
            <w:gridSpan w:val="2"/>
          </w:tcPr>
          <w:p>
            <w:pPr>
              <w:spacing w:after="0"/>
              <w:rPr>
                <w:sz w:val="19"/>
                <w:szCs w:val="19"/>
                <w:color w:val="auto"/>
              </w:rPr>
            </w:pPr>
          </w:p>
        </w:tc>
        <w:tc>
          <w:tcPr>
            <w:tcW w:w="2560" w:type="dxa"/>
            <w:vAlign w:val="bottom"/>
            <w:gridSpan w:val="5"/>
          </w:tcPr>
          <w:p>
            <w:pPr>
              <w:spacing w:after="0"/>
              <w:rPr>
                <w:sz w:val="19"/>
                <w:szCs w:val="19"/>
                <w:color w:val="auto"/>
              </w:rPr>
            </w:pPr>
          </w:p>
        </w:tc>
        <w:tc>
          <w:tcPr>
            <w:tcW w:w="620" w:type="dxa"/>
            <w:vAlign w:val="bottom"/>
            <w:gridSpan w:val="3"/>
          </w:tcPr>
          <w:p>
            <w:pPr>
              <w:jc w:val="right"/>
              <w:spacing w:after="0"/>
              <w:rPr>
                <w:rFonts w:ascii="Arial" w:cs="Arial" w:eastAsia="Arial" w:hAnsi="Arial"/>
                <w:sz w:val="19"/>
                <w:szCs w:val="19"/>
                <w:b w:val="1"/>
                <w:bCs w:val="1"/>
                <w:color w:val="0000EE"/>
              </w:rPr>
            </w:pPr>
            <w:hyperlink w:anchor="page29">
              <w:r>
                <w:rPr>
                  <w:rFonts w:ascii="Arial" w:cs="Arial" w:eastAsia="Arial" w:hAnsi="Arial"/>
                  <w:sz w:val="19"/>
                  <w:szCs w:val="19"/>
                  <w:b w:val="1"/>
                  <w:bCs w:val="1"/>
                  <w:color w:val="0000EE"/>
                </w:rPr>
                <w:t>23</w:t>
              </w:r>
            </w:hyperlink>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gridSpan w:val="9"/>
          </w:tcPr>
          <w:p>
            <w:pPr>
              <w:spacing w:after="0"/>
              <w:rPr>
                <w:rFonts w:ascii="Arial" w:cs="Arial" w:eastAsia="Arial" w:hAnsi="Arial"/>
                <w:sz w:val="19"/>
                <w:szCs w:val="19"/>
                <w:b w:val="1"/>
                <w:bCs w:val="1"/>
                <w:color w:val="0000EE"/>
                <w:w w:val="98"/>
              </w:rPr>
            </w:pPr>
            <w:hyperlink w:anchor="page30">
              <w:r>
                <w:rPr>
                  <w:rFonts w:ascii="Arial" w:cs="Arial" w:eastAsia="Arial" w:hAnsi="Arial"/>
                  <w:sz w:val="19"/>
                  <w:szCs w:val="19"/>
                  <w:b w:val="1"/>
                  <w:bCs w:val="1"/>
                  <w:color w:val="0000EE"/>
                  <w:w w:val="98"/>
                </w:rPr>
                <w:t>EXECUTIVE COMPENSATION — COMPENSATION DISCUSSION AND ANALYSIS</w:t>
              </w:r>
            </w:hyperlink>
          </w:p>
        </w:tc>
        <w:tc>
          <w:tcPr>
            <w:tcW w:w="1660" w:type="dxa"/>
            <w:vAlign w:val="bottom"/>
            <w:gridSpan w:val="4"/>
          </w:tcPr>
          <w:p>
            <w:pPr>
              <w:spacing w:after="0"/>
              <w:rPr>
                <w:sz w:val="19"/>
                <w:szCs w:val="19"/>
                <w:color w:val="auto"/>
              </w:rPr>
            </w:pPr>
          </w:p>
        </w:tc>
        <w:tc>
          <w:tcPr>
            <w:tcW w:w="620" w:type="dxa"/>
            <w:vAlign w:val="bottom"/>
            <w:gridSpan w:val="3"/>
          </w:tcPr>
          <w:p>
            <w:pPr>
              <w:jc w:val="right"/>
              <w:spacing w:after="0"/>
              <w:rPr>
                <w:rFonts w:ascii="Arial" w:cs="Arial" w:eastAsia="Arial" w:hAnsi="Arial"/>
                <w:sz w:val="19"/>
                <w:szCs w:val="19"/>
                <w:b w:val="1"/>
                <w:bCs w:val="1"/>
                <w:color w:val="0000EE"/>
              </w:rPr>
            </w:pPr>
            <w:hyperlink w:anchor="page30">
              <w:r>
                <w:rPr>
                  <w:rFonts w:ascii="Arial" w:cs="Arial" w:eastAsia="Arial" w:hAnsi="Arial"/>
                  <w:sz w:val="19"/>
                  <w:szCs w:val="19"/>
                  <w:b w:val="1"/>
                  <w:bCs w:val="1"/>
                  <w:color w:val="0000EE"/>
                </w:rPr>
                <w:t>24</w:t>
              </w:r>
            </w:hyperlink>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600" w:type="dxa"/>
            <w:vAlign w:val="bottom"/>
            <w:gridSpan w:val="5"/>
            <w:shd w:val="clear" w:color="auto" w:fill="0000EE"/>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60" w:type="dxa"/>
            <w:vAlign w:val="bottom"/>
            <w:gridSpan w:val="4"/>
          </w:tcPr>
          <w:p>
            <w:pPr>
              <w:spacing w:after="0"/>
              <w:rPr>
                <w:rFonts w:ascii="Arial" w:cs="Arial" w:eastAsia="Arial" w:hAnsi="Arial"/>
                <w:sz w:val="19"/>
                <w:szCs w:val="19"/>
                <w:b w:val="1"/>
                <w:bCs w:val="1"/>
                <w:color w:val="0000EE"/>
                <w:w w:val="98"/>
              </w:rPr>
            </w:pPr>
            <w:hyperlink w:anchor="page46">
              <w:r>
                <w:rPr>
                  <w:rFonts w:ascii="Arial" w:cs="Arial" w:eastAsia="Arial" w:hAnsi="Arial"/>
                  <w:sz w:val="19"/>
                  <w:szCs w:val="19"/>
                  <w:b w:val="1"/>
                  <w:bCs w:val="1"/>
                  <w:color w:val="0000EE"/>
                  <w:w w:val="98"/>
                </w:rPr>
                <w:t>COMPENSATION COMMITTEE REPORT</w:t>
              </w:r>
            </w:hyperlink>
          </w:p>
        </w:tc>
        <w:tc>
          <w:tcPr>
            <w:tcW w:w="3600" w:type="dxa"/>
            <w:vAlign w:val="bottom"/>
            <w:gridSpan w:val="5"/>
          </w:tcPr>
          <w:p>
            <w:pPr>
              <w:spacing w:after="0"/>
              <w:rPr>
                <w:sz w:val="19"/>
                <w:szCs w:val="19"/>
                <w:color w:val="auto"/>
              </w:rPr>
            </w:pPr>
          </w:p>
        </w:tc>
        <w:tc>
          <w:tcPr>
            <w:tcW w:w="1660" w:type="dxa"/>
            <w:vAlign w:val="bottom"/>
            <w:gridSpan w:val="4"/>
          </w:tcPr>
          <w:p>
            <w:pPr>
              <w:spacing w:after="0"/>
              <w:rPr>
                <w:sz w:val="19"/>
                <w:szCs w:val="19"/>
                <w:color w:val="auto"/>
              </w:rPr>
            </w:pPr>
          </w:p>
        </w:tc>
        <w:tc>
          <w:tcPr>
            <w:tcW w:w="620" w:type="dxa"/>
            <w:vAlign w:val="bottom"/>
            <w:gridSpan w:val="3"/>
          </w:tcPr>
          <w:p>
            <w:pPr>
              <w:jc w:val="right"/>
              <w:spacing w:after="0"/>
              <w:rPr>
                <w:rFonts w:ascii="Arial" w:cs="Arial" w:eastAsia="Arial" w:hAnsi="Arial"/>
                <w:sz w:val="19"/>
                <w:szCs w:val="19"/>
                <w:b w:val="1"/>
                <w:bCs w:val="1"/>
                <w:color w:val="0000EE"/>
              </w:rPr>
            </w:pPr>
            <w:hyperlink w:anchor="page46">
              <w:r>
                <w:rPr>
                  <w:rFonts w:ascii="Arial" w:cs="Arial" w:eastAsia="Arial" w:hAnsi="Arial"/>
                  <w:sz w:val="19"/>
                  <w:szCs w:val="19"/>
                  <w:b w:val="1"/>
                  <w:bCs w:val="1"/>
                  <w:color w:val="0000EE"/>
                </w:rPr>
                <w:t>40</w:t>
              </w:r>
            </w:hyperlink>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5260" w:type="dxa"/>
            <w:vAlign w:val="bottom"/>
            <w:gridSpan w:val="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60" w:type="dxa"/>
            <w:vAlign w:val="bottom"/>
            <w:gridSpan w:val="4"/>
          </w:tcPr>
          <w:p>
            <w:pPr>
              <w:spacing w:after="0"/>
              <w:rPr>
                <w:rFonts w:ascii="Arial" w:cs="Arial" w:eastAsia="Arial" w:hAnsi="Arial"/>
                <w:sz w:val="19"/>
                <w:szCs w:val="19"/>
                <w:b w:val="1"/>
                <w:bCs w:val="1"/>
                <w:color w:val="0000EE"/>
              </w:rPr>
            </w:pPr>
            <w:hyperlink w:anchor="page55">
              <w:r>
                <w:rPr>
                  <w:rFonts w:ascii="Arial" w:cs="Arial" w:eastAsia="Arial" w:hAnsi="Arial"/>
                  <w:sz w:val="19"/>
                  <w:szCs w:val="19"/>
                  <w:b w:val="1"/>
                  <w:bCs w:val="1"/>
                  <w:color w:val="0000EE"/>
                </w:rPr>
                <w:t>ADDITIONAL INFORMATION</w:t>
              </w:r>
            </w:hyperlink>
          </w:p>
        </w:tc>
        <w:tc>
          <w:tcPr>
            <w:tcW w:w="5260" w:type="dxa"/>
            <w:vAlign w:val="bottom"/>
            <w:gridSpan w:val="9"/>
          </w:tcPr>
          <w:p>
            <w:pPr>
              <w:spacing w:after="0"/>
              <w:rPr>
                <w:sz w:val="19"/>
                <w:szCs w:val="19"/>
                <w:color w:val="auto"/>
              </w:rPr>
            </w:pPr>
          </w:p>
        </w:tc>
        <w:tc>
          <w:tcPr>
            <w:tcW w:w="620" w:type="dxa"/>
            <w:vAlign w:val="bottom"/>
            <w:gridSpan w:val="3"/>
          </w:tcPr>
          <w:p>
            <w:pPr>
              <w:jc w:val="right"/>
              <w:spacing w:after="0"/>
              <w:rPr>
                <w:rFonts w:ascii="Arial" w:cs="Arial" w:eastAsia="Arial" w:hAnsi="Arial"/>
                <w:sz w:val="19"/>
                <w:szCs w:val="19"/>
                <w:b w:val="1"/>
                <w:bCs w:val="1"/>
                <w:color w:val="0000EE"/>
              </w:rPr>
            </w:pPr>
            <w:hyperlink w:anchor="page55">
              <w:r>
                <w:rPr>
                  <w:rFonts w:ascii="Arial" w:cs="Arial" w:eastAsia="Arial" w:hAnsi="Arial"/>
                  <w:sz w:val="19"/>
                  <w:szCs w:val="19"/>
                  <w:b w:val="1"/>
                  <w:bCs w:val="1"/>
                  <w:color w:val="0000EE"/>
                </w:rPr>
                <w:t>49</w:t>
              </w:r>
            </w:hyperlink>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17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780" w:type="dxa"/>
            <w:vAlign w:val="bottom"/>
            <w:shd w:val="clear" w:color="auto" w:fill="000000"/>
          </w:tcPr>
          <w:p>
            <w:pPr>
              <w:spacing w:after="0"/>
              <w:rPr>
                <w:sz w:val="5"/>
                <w:szCs w:val="5"/>
                <w:color w:val="auto"/>
              </w:rPr>
            </w:pPr>
          </w:p>
        </w:tc>
        <w:tc>
          <w:tcPr>
            <w:tcW w:w="780" w:type="dxa"/>
            <w:vAlign w:val="bottom"/>
            <w:tcBorders>
              <w:right w:val="single" w:sz="8" w:color="auto"/>
            </w:tcBorders>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30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900" w:type="dxa"/>
            <w:vAlign w:val="bottom"/>
            <w:tcBorders>
              <w:left w:val="single" w:sz="8" w:color="auto"/>
            </w:tcBorders>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000562"/>
        </w:rPr>
        <w:t>TriMas Corporation</w:t>
      </w:r>
    </w:p>
    <w:p>
      <w:pPr>
        <w:spacing w:after="0" w:line="201" w:lineRule="exact"/>
        <w:rPr>
          <w:sz w:val="20"/>
          <w:szCs w:val="20"/>
          <w:color w:val="auto"/>
        </w:rPr>
      </w:pPr>
    </w:p>
    <w:p>
      <w:pPr>
        <w:spacing w:after="0"/>
        <w:rPr>
          <w:sz w:val="20"/>
          <w:szCs w:val="20"/>
          <w:color w:val="auto"/>
        </w:rPr>
      </w:pPr>
      <w:r>
        <w:rPr>
          <w:rFonts w:ascii="Arial" w:cs="Arial" w:eastAsia="Arial" w:hAnsi="Arial"/>
          <w:sz w:val="43"/>
          <w:szCs w:val="43"/>
          <w:color w:val="000562"/>
        </w:rPr>
        <w:t>PROPOSAL 1 – ELECTION OF DIRECTORS</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is divided into three classes, each class consisting of approximately one-third of the Company’s directors. Class I directors’ terms will expire at the Annual Meeting. Messrs. Thomas A. Amato and Jeffrey M. Greene, and Ms. Nancy S. Gougarty have consented to stand for re-election to serve until the 2022 Annual Meeting of Shareholders. If any of them should become unavailable, the Board may designate a substitute nominee. In that case, the proxy holders named as proxies in the accompanying proxy card will vote for the Board’s substitute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6071870" cy="283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71870" cy="283210"/>
                    </a:xfrm>
                    <a:prstGeom prst="rect">
                      <a:avLst/>
                    </a:prstGeom>
                    <a:noFill/>
                  </pic:spPr>
                </pic:pic>
              </a:graphicData>
            </a:graphic>
          </wp:anchor>
        </w:drawing>
      </w:r>
    </w:p>
    <w:p>
      <w:pPr>
        <w:spacing w:after="0" w:line="28" w:lineRule="exact"/>
        <w:rPr>
          <w:sz w:val="20"/>
          <w:szCs w:val="20"/>
          <w:color w:val="auto"/>
        </w:rPr>
      </w:pPr>
    </w:p>
    <w:p>
      <w:pPr>
        <w:ind w:left="20" w:right="200"/>
        <w:spacing w:after="0" w:line="302" w:lineRule="auto"/>
        <w:rPr>
          <w:sz w:val="20"/>
          <w:szCs w:val="20"/>
          <w:color w:val="auto"/>
        </w:rPr>
      </w:pPr>
      <w:r>
        <w:rPr>
          <w:rFonts w:ascii="Arial" w:cs="Arial" w:eastAsia="Arial" w:hAnsi="Arial"/>
          <w:sz w:val="17"/>
          <w:szCs w:val="17"/>
          <w:b w:val="1"/>
          <w:bCs w:val="1"/>
          <w:color w:val="auto"/>
        </w:rPr>
        <w:t>THE COMPANY’S BOARD OF DIRECTORS RECOMMENDS A VOTE “FOR” EACH OF THE THREE DIRECTORS LISTED BELOW WHO STANDS FOR RE-ELECTION, TO SERVE UNTIL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60718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2"/>
        </w:rPr>
        <w:t>Vote Required</w:t>
      </w:r>
    </w:p>
    <w:p>
      <w:pPr>
        <w:spacing w:after="0" w:line="1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three individuals who receive the most votes cast at the Annual Meeting will be elected as directors, provided a quorum of at least a majority of the outstanding shares of the Company’s common stock (the “Common Stock”) is represented at the meeting. However, we have adopted a majority voting policy that is applicable in uncontested director elections. This means that the plurality standard will determine whether a director nominee is elected, but our majority voting policy will further require that the number of votes cast “for” a director must exceed the number of votes “withheld” from that director or the director must submit his or her resignation. The Board, taking into account the recommendation of the Governance and Nominating Committee, would then determine whether to accept or reject any required resignation. A proxy card marked “Withhold” or “For All Except” with respect to the election of one or more directors will not be voted with respect to the director or directors indicated. Abstentions and broker non-votes will each be counted as present for purposes of determining the presence of a quorum, but will have no effect on the election of directors.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the directors and director nominees of the Company is set forth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2"/>
        </w:rPr>
        <w:t>Directors and Director Nominees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Board currently consists of nine members divided into three classes serving staggered terms.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000562"/>
              </w:rPr>
              <w:t>Term</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000562"/>
                <w:w w:val="94"/>
              </w:rPr>
              <w:t>Class</w:t>
            </w:r>
            <w:r>
              <w:rPr>
                <w:rFonts w:ascii="Arial" w:cs="Arial" w:eastAsia="Arial" w:hAnsi="Arial"/>
                <w:sz w:val="24"/>
                <w:szCs w:val="24"/>
                <w:b w:val="1"/>
                <w:bCs w:val="1"/>
                <w:color w:val="000562"/>
                <w:w w:val="94"/>
                <w:vertAlign w:val="superscript"/>
              </w:rPr>
              <w:t>(2)</w:t>
            </w:r>
          </w:p>
        </w:tc>
        <w:tc>
          <w:tcPr>
            <w:tcW w:w="0" w:type="dxa"/>
            <w:vAlign w:val="bottom"/>
          </w:tcPr>
          <w:p>
            <w:pPr>
              <w:spacing w:after="0"/>
              <w:rPr>
                <w:sz w:val="1"/>
                <w:szCs w:val="1"/>
                <w:color w:val="auto"/>
              </w:rPr>
            </w:pPr>
          </w:p>
        </w:tc>
      </w:tr>
      <w:tr>
        <w:trPr>
          <w:trHeight w:val="189"/>
        </w:trPr>
        <w:tc>
          <w:tcPr>
            <w:tcW w:w="2280" w:type="dxa"/>
            <w:vAlign w:val="bottom"/>
            <w:tcBorders>
              <w:bottom w:val="single" w:sz="8" w:color="000562"/>
            </w:tcBorders>
          </w:tcPr>
          <w:p>
            <w:pPr>
              <w:ind w:left="20"/>
              <w:spacing w:after="0"/>
              <w:rPr>
                <w:sz w:val="20"/>
                <w:szCs w:val="20"/>
                <w:color w:val="auto"/>
              </w:rPr>
            </w:pPr>
            <w:r>
              <w:rPr>
                <w:rFonts w:ascii="Arial" w:cs="Arial" w:eastAsia="Arial" w:hAnsi="Arial"/>
                <w:sz w:val="14"/>
                <w:szCs w:val="14"/>
                <w:b w:val="1"/>
                <w:bCs w:val="1"/>
                <w:color w:val="000562"/>
              </w:rPr>
              <w:t>Name</w:t>
            </w:r>
          </w:p>
        </w:tc>
        <w:tc>
          <w:tcPr>
            <w:tcW w:w="4500" w:type="dxa"/>
            <w:vAlign w:val="bottom"/>
            <w:tcBorders>
              <w:bottom w:val="single" w:sz="8" w:color="000562"/>
            </w:tcBorders>
          </w:tcPr>
          <w:p>
            <w:pPr>
              <w:jc w:val="center"/>
              <w:ind w:left="232"/>
              <w:spacing w:after="0"/>
              <w:rPr>
                <w:sz w:val="20"/>
                <w:szCs w:val="20"/>
                <w:color w:val="auto"/>
              </w:rPr>
            </w:pPr>
            <w:r>
              <w:rPr>
                <w:rFonts w:ascii="Arial" w:cs="Arial" w:eastAsia="Arial" w:hAnsi="Arial"/>
                <w:sz w:val="14"/>
                <w:szCs w:val="14"/>
                <w:b w:val="1"/>
                <w:bCs w:val="1"/>
                <w:color w:val="000562"/>
              </w:rPr>
              <w:t>Title</w:t>
            </w:r>
          </w:p>
        </w:tc>
        <w:tc>
          <w:tcPr>
            <w:tcW w:w="1260" w:type="dxa"/>
            <w:vAlign w:val="bottom"/>
            <w:tcBorders>
              <w:bottom w:val="single" w:sz="8" w:color="000562"/>
            </w:tcBorders>
          </w:tcPr>
          <w:p>
            <w:pPr>
              <w:jc w:val="center"/>
              <w:ind w:left="12"/>
              <w:spacing w:after="0"/>
              <w:rPr>
                <w:sz w:val="20"/>
                <w:szCs w:val="20"/>
                <w:color w:val="auto"/>
              </w:rPr>
            </w:pPr>
            <w:r>
              <w:rPr>
                <w:rFonts w:ascii="Arial" w:cs="Arial" w:eastAsia="Arial" w:hAnsi="Arial"/>
                <w:sz w:val="14"/>
                <w:szCs w:val="14"/>
                <w:b w:val="1"/>
                <w:bCs w:val="1"/>
                <w:color w:val="000562"/>
              </w:rPr>
              <w:t>Committees*</w:t>
            </w:r>
          </w:p>
        </w:tc>
        <w:tc>
          <w:tcPr>
            <w:tcW w:w="760" w:type="dxa"/>
            <w:vAlign w:val="bottom"/>
            <w:tcBorders>
              <w:bottom w:val="single" w:sz="8" w:color="000562"/>
            </w:tcBorders>
          </w:tcPr>
          <w:p>
            <w:pPr>
              <w:jc w:val="center"/>
              <w:spacing w:after="0"/>
              <w:rPr>
                <w:sz w:val="20"/>
                <w:szCs w:val="20"/>
                <w:color w:val="auto"/>
              </w:rPr>
            </w:pPr>
            <w:r>
              <w:rPr>
                <w:rFonts w:ascii="Arial" w:cs="Arial" w:eastAsia="Arial" w:hAnsi="Arial"/>
                <w:sz w:val="14"/>
                <w:szCs w:val="14"/>
                <w:b w:val="1"/>
                <w:bCs w:val="1"/>
                <w:color w:val="000562"/>
              </w:rPr>
              <w:t>Ending</w:t>
            </w:r>
          </w:p>
        </w:tc>
        <w:tc>
          <w:tcPr>
            <w:tcW w:w="760" w:type="dxa"/>
            <w:vAlign w:val="bottom"/>
            <w:tcBorders>
              <w:bottom w:val="single" w:sz="8" w:color="000562"/>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280" w:type="dxa"/>
            <w:vAlign w:val="bottom"/>
            <w:shd w:val="clear" w:color="auto" w:fill="E9EFEE"/>
          </w:tcPr>
          <w:p>
            <w:pPr>
              <w:ind w:left="20"/>
              <w:spacing w:after="0" w:line="223" w:lineRule="exact"/>
              <w:rPr>
                <w:sz w:val="20"/>
                <w:szCs w:val="20"/>
                <w:color w:val="auto"/>
              </w:rPr>
            </w:pPr>
            <w:r>
              <w:rPr>
                <w:rFonts w:ascii="Arial" w:cs="Arial" w:eastAsia="Arial" w:hAnsi="Arial"/>
                <w:sz w:val="16"/>
                <w:szCs w:val="16"/>
                <w:color w:val="auto"/>
              </w:rPr>
              <w:t>Thomas A. Amato</w:t>
            </w:r>
            <w:r>
              <w:rPr>
                <w:rFonts w:ascii="Arial" w:cs="Arial" w:eastAsia="Arial" w:hAnsi="Arial"/>
                <w:sz w:val="25"/>
                <w:szCs w:val="25"/>
                <w:color w:val="auto"/>
                <w:vertAlign w:val="superscript"/>
              </w:rPr>
              <w:t>(1)</w:t>
            </w:r>
          </w:p>
        </w:tc>
        <w:tc>
          <w:tcPr>
            <w:tcW w:w="4500" w:type="dxa"/>
            <w:vAlign w:val="bottom"/>
            <w:shd w:val="clear" w:color="auto" w:fill="E9EFEE"/>
          </w:tcPr>
          <w:p>
            <w:pPr>
              <w:jc w:val="center"/>
              <w:ind w:left="232"/>
              <w:spacing w:after="0"/>
              <w:rPr>
                <w:sz w:val="20"/>
                <w:szCs w:val="20"/>
                <w:color w:val="auto"/>
              </w:rPr>
            </w:pPr>
            <w:r>
              <w:rPr>
                <w:rFonts w:ascii="Arial" w:cs="Arial" w:eastAsia="Arial" w:hAnsi="Arial"/>
                <w:sz w:val="18"/>
                <w:szCs w:val="18"/>
                <w:color w:val="auto"/>
                <w:w w:val="99"/>
              </w:rPr>
              <w:t>Director, President and Chief Executive Officer</w:t>
            </w:r>
          </w:p>
        </w:tc>
        <w:tc>
          <w:tcPr>
            <w:tcW w:w="1260" w:type="dxa"/>
            <w:vAlign w:val="bottom"/>
            <w:shd w:val="clear" w:color="auto" w:fill="E9EFEE"/>
          </w:tcPr>
          <w:p>
            <w:pPr>
              <w:jc w:val="center"/>
              <w:ind w:left="32"/>
              <w:spacing w:after="0"/>
              <w:rPr>
                <w:sz w:val="20"/>
                <w:szCs w:val="20"/>
                <w:color w:val="auto"/>
              </w:rPr>
            </w:pPr>
            <w:r>
              <w:rPr>
                <w:rFonts w:ascii="Arial" w:cs="Arial" w:eastAsia="Arial" w:hAnsi="Arial"/>
                <w:sz w:val="18"/>
                <w:szCs w:val="18"/>
                <w:color w:val="auto"/>
                <w:w w:val="99"/>
              </w:rPr>
              <w:t>N/A</w:t>
            </w:r>
          </w:p>
        </w:tc>
        <w:tc>
          <w:tcPr>
            <w:tcW w:w="760" w:type="dxa"/>
            <w:vAlign w:val="bottom"/>
            <w:shd w:val="clear" w:color="auto" w:fill="E9EFEE"/>
          </w:tcPr>
          <w:p>
            <w:pPr>
              <w:jc w:val="center"/>
              <w:spacing w:after="0"/>
              <w:rPr>
                <w:sz w:val="20"/>
                <w:szCs w:val="20"/>
                <w:color w:val="auto"/>
              </w:rPr>
            </w:pPr>
            <w:r>
              <w:rPr>
                <w:rFonts w:ascii="Arial" w:cs="Arial" w:eastAsia="Arial" w:hAnsi="Arial"/>
                <w:sz w:val="18"/>
                <w:szCs w:val="18"/>
                <w:color w:val="auto"/>
                <w:w w:val="99"/>
              </w:rPr>
              <w:t>2019</w:t>
            </w:r>
          </w:p>
        </w:tc>
        <w:tc>
          <w:tcPr>
            <w:tcW w:w="760" w:type="dxa"/>
            <w:vAlign w:val="bottom"/>
            <w:shd w:val="clear" w:color="auto" w:fill="E9EFEE"/>
          </w:tcPr>
          <w:p>
            <w:pPr>
              <w:jc w:val="center"/>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line="230" w:lineRule="exact"/>
              <w:rPr>
                <w:sz w:val="20"/>
                <w:szCs w:val="20"/>
                <w:color w:val="auto"/>
              </w:rPr>
            </w:pPr>
            <w:r>
              <w:rPr>
                <w:rFonts w:ascii="Arial" w:cs="Arial" w:eastAsia="Arial" w:hAnsi="Arial"/>
                <w:sz w:val="16"/>
                <w:szCs w:val="16"/>
                <w:color w:val="auto"/>
              </w:rPr>
              <w:t>Nancy S. Gougarty</w:t>
            </w:r>
            <w:r>
              <w:rPr>
                <w:rFonts w:ascii="Arial" w:cs="Arial" w:eastAsia="Arial" w:hAnsi="Arial"/>
                <w:sz w:val="26"/>
                <w:szCs w:val="26"/>
                <w:color w:val="auto"/>
                <w:vertAlign w:val="superscript"/>
              </w:rPr>
              <w:t>(1)</w:t>
            </w:r>
          </w:p>
        </w:tc>
        <w:tc>
          <w:tcPr>
            <w:tcW w:w="4500" w:type="dxa"/>
            <w:vAlign w:val="bottom"/>
          </w:tcPr>
          <w:p>
            <w:pPr>
              <w:jc w:val="center"/>
              <w:ind w:left="232"/>
              <w:spacing w:after="0"/>
              <w:rPr>
                <w:sz w:val="20"/>
                <w:szCs w:val="20"/>
                <w:color w:val="auto"/>
              </w:rPr>
            </w:pPr>
            <w:r>
              <w:rPr>
                <w:rFonts w:ascii="Arial" w:cs="Arial" w:eastAsia="Arial" w:hAnsi="Arial"/>
                <w:sz w:val="18"/>
                <w:szCs w:val="18"/>
                <w:color w:val="auto"/>
                <w:w w:val="98"/>
              </w:rPr>
              <w:t>Director</w:t>
            </w:r>
          </w:p>
        </w:tc>
        <w:tc>
          <w:tcPr>
            <w:tcW w:w="1260" w:type="dxa"/>
            <w:vAlign w:val="bottom"/>
          </w:tcPr>
          <w:p>
            <w:pPr>
              <w:jc w:val="center"/>
              <w:ind w:left="32"/>
              <w:spacing w:after="0"/>
              <w:rPr>
                <w:sz w:val="20"/>
                <w:szCs w:val="20"/>
                <w:color w:val="auto"/>
              </w:rPr>
            </w:pPr>
            <w:r>
              <w:rPr>
                <w:rFonts w:ascii="Arial" w:cs="Arial" w:eastAsia="Arial" w:hAnsi="Arial"/>
                <w:sz w:val="18"/>
                <w:szCs w:val="18"/>
                <w:color w:val="auto"/>
                <w:w w:val="98"/>
              </w:rPr>
              <w:t>A, C, G</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2019</w:t>
            </w:r>
          </w:p>
        </w:tc>
        <w:tc>
          <w:tcPr>
            <w:tcW w:w="760" w:type="dxa"/>
            <w:vAlign w:val="bottom"/>
          </w:tcPr>
          <w:p>
            <w:pPr>
              <w:jc w:val="center"/>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30"/>
        </w:trPr>
        <w:tc>
          <w:tcPr>
            <w:tcW w:w="2280" w:type="dxa"/>
            <w:vAlign w:val="bottom"/>
            <w:shd w:val="clear" w:color="auto" w:fill="E9EFEE"/>
          </w:tcPr>
          <w:p>
            <w:pPr>
              <w:ind w:left="20"/>
              <w:spacing w:after="0" w:line="230" w:lineRule="exact"/>
              <w:rPr>
                <w:sz w:val="20"/>
                <w:szCs w:val="20"/>
                <w:color w:val="auto"/>
              </w:rPr>
            </w:pPr>
            <w:r>
              <w:rPr>
                <w:rFonts w:ascii="Arial" w:cs="Arial" w:eastAsia="Arial" w:hAnsi="Arial"/>
                <w:sz w:val="16"/>
                <w:szCs w:val="16"/>
                <w:color w:val="auto"/>
              </w:rPr>
              <w:t>Jeffrey M. Greene</w:t>
            </w:r>
            <w:r>
              <w:rPr>
                <w:rFonts w:ascii="Arial" w:cs="Arial" w:eastAsia="Arial" w:hAnsi="Arial"/>
                <w:sz w:val="26"/>
                <w:szCs w:val="26"/>
                <w:color w:val="auto"/>
                <w:vertAlign w:val="superscript"/>
              </w:rPr>
              <w:t>(1)</w:t>
            </w:r>
          </w:p>
        </w:tc>
        <w:tc>
          <w:tcPr>
            <w:tcW w:w="4500" w:type="dxa"/>
            <w:vAlign w:val="bottom"/>
            <w:shd w:val="clear" w:color="auto" w:fill="E9EFEE"/>
          </w:tcPr>
          <w:p>
            <w:pPr>
              <w:jc w:val="center"/>
              <w:ind w:left="232"/>
              <w:spacing w:after="0"/>
              <w:rPr>
                <w:sz w:val="20"/>
                <w:szCs w:val="20"/>
                <w:color w:val="auto"/>
              </w:rPr>
            </w:pPr>
            <w:r>
              <w:rPr>
                <w:rFonts w:ascii="Arial" w:cs="Arial" w:eastAsia="Arial" w:hAnsi="Arial"/>
                <w:sz w:val="18"/>
                <w:szCs w:val="18"/>
                <w:color w:val="auto"/>
                <w:w w:val="98"/>
              </w:rPr>
              <w:t>Director</w:t>
            </w:r>
          </w:p>
        </w:tc>
        <w:tc>
          <w:tcPr>
            <w:tcW w:w="1260" w:type="dxa"/>
            <w:vAlign w:val="bottom"/>
            <w:shd w:val="clear" w:color="auto" w:fill="E9EFEE"/>
          </w:tcPr>
          <w:p>
            <w:pPr>
              <w:jc w:val="center"/>
              <w:ind w:left="32"/>
              <w:spacing w:after="0"/>
              <w:rPr>
                <w:sz w:val="20"/>
                <w:szCs w:val="20"/>
                <w:color w:val="auto"/>
              </w:rPr>
            </w:pPr>
            <w:r>
              <w:rPr>
                <w:rFonts w:ascii="Arial" w:cs="Arial" w:eastAsia="Arial" w:hAnsi="Arial"/>
                <w:sz w:val="18"/>
                <w:szCs w:val="18"/>
                <w:color w:val="auto"/>
                <w:w w:val="99"/>
              </w:rPr>
              <w:t>N/A</w:t>
            </w:r>
          </w:p>
        </w:tc>
        <w:tc>
          <w:tcPr>
            <w:tcW w:w="760" w:type="dxa"/>
            <w:vAlign w:val="bottom"/>
            <w:shd w:val="clear" w:color="auto" w:fill="E9EFEE"/>
          </w:tcPr>
          <w:p>
            <w:pPr>
              <w:jc w:val="center"/>
              <w:spacing w:after="0"/>
              <w:rPr>
                <w:sz w:val="20"/>
                <w:szCs w:val="20"/>
                <w:color w:val="auto"/>
              </w:rPr>
            </w:pPr>
            <w:r>
              <w:rPr>
                <w:rFonts w:ascii="Arial" w:cs="Arial" w:eastAsia="Arial" w:hAnsi="Arial"/>
                <w:sz w:val="18"/>
                <w:szCs w:val="18"/>
                <w:color w:val="auto"/>
                <w:w w:val="99"/>
              </w:rPr>
              <w:t>2019</w:t>
            </w:r>
          </w:p>
        </w:tc>
        <w:tc>
          <w:tcPr>
            <w:tcW w:w="760" w:type="dxa"/>
            <w:vAlign w:val="bottom"/>
            <w:shd w:val="clear" w:color="auto" w:fill="E9EFEE"/>
          </w:tcPr>
          <w:p>
            <w:pPr>
              <w:jc w:val="center"/>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Arial" w:cs="Arial" w:eastAsia="Arial" w:hAnsi="Arial"/>
                <w:sz w:val="18"/>
                <w:szCs w:val="18"/>
                <w:color w:val="auto"/>
              </w:rPr>
              <w:t>Richard M. Gabrys</w:t>
            </w:r>
          </w:p>
        </w:tc>
        <w:tc>
          <w:tcPr>
            <w:tcW w:w="4500" w:type="dxa"/>
            <w:vAlign w:val="bottom"/>
          </w:tcPr>
          <w:p>
            <w:pPr>
              <w:jc w:val="center"/>
              <w:ind w:left="232"/>
              <w:spacing w:after="0"/>
              <w:rPr>
                <w:sz w:val="20"/>
                <w:szCs w:val="20"/>
                <w:color w:val="auto"/>
              </w:rPr>
            </w:pPr>
            <w:r>
              <w:rPr>
                <w:rFonts w:ascii="Arial" w:cs="Arial" w:eastAsia="Arial" w:hAnsi="Arial"/>
                <w:sz w:val="18"/>
                <w:szCs w:val="18"/>
                <w:color w:val="auto"/>
                <w:w w:val="98"/>
              </w:rPr>
              <w:t>Director</w:t>
            </w:r>
          </w:p>
        </w:tc>
        <w:tc>
          <w:tcPr>
            <w:tcW w:w="1260" w:type="dxa"/>
            <w:vAlign w:val="bottom"/>
          </w:tcPr>
          <w:p>
            <w:pPr>
              <w:jc w:val="center"/>
              <w:ind w:left="32"/>
              <w:spacing w:after="0"/>
              <w:rPr>
                <w:sz w:val="20"/>
                <w:szCs w:val="20"/>
                <w:color w:val="auto"/>
              </w:rPr>
            </w:pPr>
            <w:r>
              <w:rPr>
                <w:rFonts w:ascii="Arial" w:cs="Arial" w:eastAsia="Arial" w:hAnsi="Arial"/>
                <w:sz w:val="18"/>
                <w:szCs w:val="18"/>
                <w:color w:val="auto"/>
              </w:rPr>
              <w:t>A**, C, G</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II</w:t>
            </w:r>
          </w:p>
        </w:tc>
        <w:tc>
          <w:tcPr>
            <w:tcW w:w="0" w:type="dxa"/>
            <w:vAlign w:val="bottom"/>
          </w:tcPr>
          <w:p>
            <w:pPr>
              <w:spacing w:after="0"/>
              <w:rPr>
                <w:sz w:val="1"/>
                <w:szCs w:val="1"/>
                <w:color w:val="auto"/>
              </w:rPr>
            </w:pPr>
          </w:p>
        </w:tc>
      </w:tr>
      <w:tr>
        <w:trPr>
          <w:trHeight w:val="230"/>
        </w:trPr>
        <w:tc>
          <w:tcPr>
            <w:tcW w:w="2280" w:type="dxa"/>
            <w:vAlign w:val="bottom"/>
            <w:shd w:val="clear" w:color="auto" w:fill="E9EFEE"/>
          </w:tcPr>
          <w:p>
            <w:pPr>
              <w:ind w:left="20"/>
              <w:spacing w:after="0"/>
              <w:rPr>
                <w:sz w:val="20"/>
                <w:szCs w:val="20"/>
                <w:color w:val="auto"/>
              </w:rPr>
            </w:pPr>
            <w:r>
              <w:rPr>
                <w:rFonts w:ascii="Arial" w:cs="Arial" w:eastAsia="Arial" w:hAnsi="Arial"/>
                <w:sz w:val="18"/>
                <w:szCs w:val="18"/>
                <w:color w:val="auto"/>
              </w:rPr>
              <w:t>Eugene A. Miller</w:t>
            </w:r>
          </w:p>
        </w:tc>
        <w:tc>
          <w:tcPr>
            <w:tcW w:w="4500" w:type="dxa"/>
            <w:vAlign w:val="bottom"/>
            <w:shd w:val="clear" w:color="auto" w:fill="E9EFEE"/>
          </w:tcPr>
          <w:p>
            <w:pPr>
              <w:jc w:val="center"/>
              <w:ind w:left="232"/>
              <w:spacing w:after="0"/>
              <w:rPr>
                <w:sz w:val="20"/>
                <w:szCs w:val="20"/>
                <w:color w:val="auto"/>
              </w:rPr>
            </w:pPr>
            <w:r>
              <w:rPr>
                <w:rFonts w:ascii="Arial" w:cs="Arial" w:eastAsia="Arial" w:hAnsi="Arial"/>
                <w:sz w:val="18"/>
                <w:szCs w:val="18"/>
                <w:color w:val="auto"/>
                <w:w w:val="98"/>
              </w:rPr>
              <w:t>Director</w:t>
            </w:r>
          </w:p>
        </w:tc>
        <w:tc>
          <w:tcPr>
            <w:tcW w:w="1260" w:type="dxa"/>
            <w:vAlign w:val="bottom"/>
            <w:shd w:val="clear" w:color="auto" w:fill="E9EFEE"/>
          </w:tcPr>
          <w:p>
            <w:pPr>
              <w:jc w:val="center"/>
              <w:ind w:left="32"/>
              <w:spacing w:after="0"/>
              <w:rPr>
                <w:sz w:val="20"/>
                <w:szCs w:val="20"/>
                <w:color w:val="auto"/>
              </w:rPr>
            </w:pPr>
            <w:r>
              <w:rPr>
                <w:rFonts w:ascii="Arial" w:cs="Arial" w:eastAsia="Arial" w:hAnsi="Arial"/>
                <w:sz w:val="18"/>
                <w:szCs w:val="18"/>
                <w:color w:val="auto"/>
              </w:rPr>
              <w:t>A, C, G**</w:t>
            </w:r>
          </w:p>
        </w:tc>
        <w:tc>
          <w:tcPr>
            <w:tcW w:w="760" w:type="dxa"/>
            <w:vAlign w:val="bottom"/>
            <w:shd w:val="clear" w:color="auto" w:fill="E9EFEE"/>
          </w:tcPr>
          <w:p>
            <w:pPr>
              <w:jc w:val="center"/>
              <w:spacing w:after="0"/>
              <w:rPr>
                <w:sz w:val="20"/>
                <w:szCs w:val="20"/>
                <w:color w:val="auto"/>
              </w:rPr>
            </w:pPr>
            <w:r>
              <w:rPr>
                <w:rFonts w:ascii="Arial" w:cs="Arial" w:eastAsia="Arial" w:hAnsi="Arial"/>
                <w:sz w:val="18"/>
                <w:szCs w:val="18"/>
                <w:color w:val="auto"/>
                <w:w w:val="99"/>
              </w:rPr>
              <w:t>2020</w:t>
            </w:r>
          </w:p>
        </w:tc>
        <w:tc>
          <w:tcPr>
            <w:tcW w:w="760" w:type="dxa"/>
            <w:vAlign w:val="bottom"/>
            <w:shd w:val="clear" w:color="auto" w:fill="E9EFEE"/>
          </w:tcPr>
          <w:p>
            <w:pPr>
              <w:jc w:val="center"/>
              <w:spacing w:after="0"/>
              <w:rPr>
                <w:sz w:val="20"/>
                <w:szCs w:val="20"/>
                <w:color w:val="auto"/>
              </w:rPr>
            </w:pPr>
            <w:r>
              <w:rPr>
                <w:rFonts w:ascii="Arial" w:cs="Arial" w:eastAsia="Arial" w:hAnsi="Arial"/>
                <w:sz w:val="18"/>
                <w:szCs w:val="18"/>
                <w:color w:val="auto"/>
                <w:w w:val="99"/>
              </w:rPr>
              <w:t>II</w:t>
            </w: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Arial" w:cs="Arial" w:eastAsia="Arial" w:hAnsi="Arial"/>
                <w:sz w:val="18"/>
                <w:szCs w:val="18"/>
                <w:color w:val="auto"/>
              </w:rPr>
              <w:t>Herbert K. Parker</w:t>
            </w:r>
          </w:p>
        </w:tc>
        <w:tc>
          <w:tcPr>
            <w:tcW w:w="4500" w:type="dxa"/>
            <w:vAlign w:val="bottom"/>
          </w:tcPr>
          <w:p>
            <w:pPr>
              <w:jc w:val="center"/>
              <w:ind w:left="232"/>
              <w:spacing w:after="0"/>
              <w:rPr>
                <w:sz w:val="20"/>
                <w:szCs w:val="20"/>
                <w:color w:val="auto"/>
              </w:rPr>
            </w:pPr>
            <w:r>
              <w:rPr>
                <w:rFonts w:ascii="Arial" w:cs="Arial" w:eastAsia="Arial" w:hAnsi="Arial"/>
                <w:sz w:val="18"/>
                <w:szCs w:val="18"/>
                <w:color w:val="auto"/>
                <w:w w:val="98"/>
              </w:rPr>
              <w:t>Director</w:t>
            </w:r>
          </w:p>
        </w:tc>
        <w:tc>
          <w:tcPr>
            <w:tcW w:w="1260" w:type="dxa"/>
            <w:vAlign w:val="bottom"/>
          </w:tcPr>
          <w:p>
            <w:pPr>
              <w:jc w:val="center"/>
              <w:ind w:left="32"/>
              <w:spacing w:after="0"/>
              <w:rPr>
                <w:sz w:val="20"/>
                <w:szCs w:val="20"/>
                <w:color w:val="auto"/>
              </w:rPr>
            </w:pPr>
            <w:r>
              <w:rPr>
                <w:rFonts w:ascii="Arial" w:cs="Arial" w:eastAsia="Arial" w:hAnsi="Arial"/>
                <w:sz w:val="18"/>
                <w:szCs w:val="18"/>
                <w:color w:val="auto"/>
                <w:w w:val="98"/>
              </w:rPr>
              <w:t>A, C, G</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II</w:t>
            </w:r>
          </w:p>
        </w:tc>
        <w:tc>
          <w:tcPr>
            <w:tcW w:w="0" w:type="dxa"/>
            <w:vAlign w:val="bottom"/>
          </w:tcPr>
          <w:p>
            <w:pPr>
              <w:spacing w:after="0"/>
              <w:rPr>
                <w:sz w:val="1"/>
                <w:szCs w:val="1"/>
                <w:color w:val="auto"/>
              </w:rPr>
            </w:pPr>
          </w:p>
        </w:tc>
      </w:tr>
      <w:tr>
        <w:trPr>
          <w:trHeight w:val="230"/>
        </w:trPr>
        <w:tc>
          <w:tcPr>
            <w:tcW w:w="2280" w:type="dxa"/>
            <w:vAlign w:val="bottom"/>
            <w:shd w:val="clear" w:color="auto" w:fill="E9EFEE"/>
          </w:tcPr>
          <w:p>
            <w:pPr>
              <w:ind w:left="20"/>
              <w:spacing w:after="0"/>
              <w:rPr>
                <w:sz w:val="20"/>
                <w:szCs w:val="20"/>
                <w:color w:val="auto"/>
              </w:rPr>
            </w:pPr>
            <w:r>
              <w:rPr>
                <w:rFonts w:ascii="Arial" w:cs="Arial" w:eastAsia="Arial" w:hAnsi="Arial"/>
                <w:sz w:val="18"/>
                <w:szCs w:val="18"/>
                <w:color w:val="auto"/>
              </w:rPr>
              <w:t>Nick L. Stanage</w:t>
            </w:r>
          </w:p>
        </w:tc>
        <w:tc>
          <w:tcPr>
            <w:tcW w:w="4500" w:type="dxa"/>
            <w:vAlign w:val="bottom"/>
            <w:shd w:val="clear" w:color="auto" w:fill="E9EFEE"/>
          </w:tcPr>
          <w:p>
            <w:pPr>
              <w:jc w:val="center"/>
              <w:ind w:left="232"/>
              <w:spacing w:after="0"/>
              <w:rPr>
                <w:sz w:val="20"/>
                <w:szCs w:val="20"/>
                <w:color w:val="auto"/>
              </w:rPr>
            </w:pPr>
            <w:r>
              <w:rPr>
                <w:rFonts w:ascii="Arial" w:cs="Arial" w:eastAsia="Arial" w:hAnsi="Arial"/>
                <w:sz w:val="18"/>
                <w:szCs w:val="18"/>
                <w:color w:val="auto"/>
                <w:w w:val="98"/>
              </w:rPr>
              <w:t>Director</w:t>
            </w:r>
          </w:p>
        </w:tc>
        <w:tc>
          <w:tcPr>
            <w:tcW w:w="1260" w:type="dxa"/>
            <w:vAlign w:val="bottom"/>
            <w:shd w:val="clear" w:color="auto" w:fill="E9EFEE"/>
          </w:tcPr>
          <w:p>
            <w:pPr>
              <w:jc w:val="center"/>
              <w:ind w:left="32"/>
              <w:spacing w:after="0"/>
              <w:rPr>
                <w:sz w:val="20"/>
                <w:szCs w:val="20"/>
                <w:color w:val="auto"/>
              </w:rPr>
            </w:pPr>
            <w:r>
              <w:rPr>
                <w:rFonts w:ascii="Arial" w:cs="Arial" w:eastAsia="Arial" w:hAnsi="Arial"/>
                <w:sz w:val="18"/>
                <w:szCs w:val="18"/>
                <w:color w:val="auto"/>
                <w:w w:val="98"/>
              </w:rPr>
              <w:t>A, C, G</w:t>
            </w:r>
          </w:p>
        </w:tc>
        <w:tc>
          <w:tcPr>
            <w:tcW w:w="760" w:type="dxa"/>
            <w:vAlign w:val="bottom"/>
            <w:shd w:val="clear" w:color="auto" w:fill="E9EFEE"/>
          </w:tcPr>
          <w:p>
            <w:pPr>
              <w:jc w:val="center"/>
              <w:spacing w:after="0"/>
              <w:rPr>
                <w:sz w:val="20"/>
                <w:szCs w:val="20"/>
                <w:color w:val="auto"/>
              </w:rPr>
            </w:pPr>
            <w:r>
              <w:rPr>
                <w:rFonts w:ascii="Arial" w:cs="Arial" w:eastAsia="Arial" w:hAnsi="Arial"/>
                <w:sz w:val="18"/>
                <w:szCs w:val="18"/>
                <w:color w:val="auto"/>
                <w:w w:val="99"/>
              </w:rPr>
              <w:t>2021</w:t>
            </w:r>
          </w:p>
        </w:tc>
        <w:tc>
          <w:tcPr>
            <w:tcW w:w="760" w:type="dxa"/>
            <w:vAlign w:val="bottom"/>
            <w:shd w:val="clear" w:color="auto" w:fill="E9EFEE"/>
          </w:tcPr>
          <w:p>
            <w:pPr>
              <w:jc w:val="center"/>
              <w:spacing w:after="0"/>
              <w:rPr>
                <w:sz w:val="20"/>
                <w:szCs w:val="20"/>
                <w:color w:val="auto"/>
              </w:rPr>
            </w:pPr>
            <w:r>
              <w:rPr>
                <w:rFonts w:ascii="Arial" w:cs="Arial" w:eastAsia="Arial" w:hAnsi="Arial"/>
                <w:sz w:val="18"/>
                <w:szCs w:val="18"/>
                <w:color w:val="auto"/>
                <w:w w:val="92"/>
              </w:rPr>
              <w:t>III</w:t>
            </w: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Arial" w:cs="Arial" w:eastAsia="Arial" w:hAnsi="Arial"/>
                <w:sz w:val="18"/>
                <w:szCs w:val="18"/>
                <w:color w:val="auto"/>
              </w:rPr>
              <w:t>Daniel P. Tredwell</w:t>
            </w:r>
          </w:p>
        </w:tc>
        <w:tc>
          <w:tcPr>
            <w:tcW w:w="4500" w:type="dxa"/>
            <w:vAlign w:val="bottom"/>
          </w:tcPr>
          <w:p>
            <w:pPr>
              <w:jc w:val="center"/>
              <w:ind w:left="232"/>
              <w:spacing w:after="0"/>
              <w:rPr>
                <w:sz w:val="20"/>
                <w:szCs w:val="20"/>
                <w:color w:val="auto"/>
              </w:rPr>
            </w:pPr>
            <w:r>
              <w:rPr>
                <w:rFonts w:ascii="Arial" w:cs="Arial" w:eastAsia="Arial" w:hAnsi="Arial"/>
                <w:sz w:val="18"/>
                <w:szCs w:val="18"/>
                <w:color w:val="auto"/>
                <w:w w:val="98"/>
              </w:rPr>
              <w:t>Director</w:t>
            </w:r>
          </w:p>
        </w:tc>
        <w:tc>
          <w:tcPr>
            <w:tcW w:w="1260" w:type="dxa"/>
            <w:vAlign w:val="bottom"/>
          </w:tcPr>
          <w:p>
            <w:pPr>
              <w:jc w:val="center"/>
              <w:ind w:left="32"/>
              <w:spacing w:after="0"/>
              <w:rPr>
                <w:sz w:val="20"/>
                <w:szCs w:val="20"/>
                <w:color w:val="auto"/>
              </w:rPr>
            </w:pPr>
            <w:r>
              <w:rPr>
                <w:rFonts w:ascii="Arial" w:cs="Arial" w:eastAsia="Arial" w:hAnsi="Arial"/>
                <w:sz w:val="18"/>
                <w:szCs w:val="18"/>
                <w:color w:val="auto"/>
                <w:w w:val="98"/>
              </w:rPr>
              <w:t>A, C, G</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2021</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III</w:t>
            </w:r>
          </w:p>
        </w:tc>
        <w:tc>
          <w:tcPr>
            <w:tcW w:w="0" w:type="dxa"/>
            <w:vAlign w:val="bottom"/>
          </w:tcPr>
          <w:p>
            <w:pPr>
              <w:spacing w:after="0"/>
              <w:rPr>
                <w:sz w:val="1"/>
                <w:szCs w:val="1"/>
                <w:color w:val="auto"/>
              </w:rPr>
            </w:pPr>
          </w:p>
        </w:tc>
      </w:tr>
      <w:tr>
        <w:trPr>
          <w:trHeight w:val="230"/>
        </w:trPr>
        <w:tc>
          <w:tcPr>
            <w:tcW w:w="2280" w:type="dxa"/>
            <w:vAlign w:val="bottom"/>
            <w:tcBorders>
              <w:bottom w:val="single" w:sz="8" w:color="000562"/>
            </w:tcBorders>
            <w:shd w:val="clear" w:color="auto" w:fill="E9EFEE"/>
          </w:tcPr>
          <w:p>
            <w:pPr>
              <w:ind w:left="20"/>
              <w:spacing w:after="0"/>
              <w:rPr>
                <w:sz w:val="20"/>
                <w:szCs w:val="20"/>
                <w:color w:val="auto"/>
              </w:rPr>
            </w:pPr>
            <w:r>
              <w:rPr>
                <w:rFonts w:ascii="Arial" w:cs="Arial" w:eastAsia="Arial" w:hAnsi="Arial"/>
                <w:sz w:val="18"/>
                <w:szCs w:val="18"/>
                <w:color w:val="auto"/>
              </w:rPr>
              <w:t>Samuel Valenti III</w:t>
            </w:r>
          </w:p>
        </w:tc>
        <w:tc>
          <w:tcPr>
            <w:tcW w:w="4500" w:type="dxa"/>
            <w:vAlign w:val="bottom"/>
            <w:tcBorders>
              <w:bottom w:val="single" w:sz="8" w:color="000562"/>
            </w:tcBorders>
            <w:shd w:val="clear" w:color="auto" w:fill="E9EFEE"/>
          </w:tcPr>
          <w:p>
            <w:pPr>
              <w:jc w:val="center"/>
              <w:ind w:left="232"/>
              <w:spacing w:after="0"/>
              <w:rPr>
                <w:sz w:val="20"/>
                <w:szCs w:val="20"/>
                <w:color w:val="auto"/>
              </w:rPr>
            </w:pPr>
            <w:r>
              <w:rPr>
                <w:rFonts w:ascii="Arial" w:cs="Arial" w:eastAsia="Arial" w:hAnsi="Arial"/>
                <w:sz w:val="18"/>
                <w:szCs w:val="18"/>
                <w:color w:val="auto"/>
                <w:w w:val="99"/>
              </w:rPr>
              <w:t>Chair of the Board</w:t>
            </w:r>
          </w:p>
        </w:tc>
        <w:tc>
          <w:tcPr>
            <w:tcW w:w="1260" w:type="dxa"/>
            <w:vAlign w:val="bottom"/>
            <w:tcBorders>
              <w:bottom w:val="single" w:sz="8" w:color="000562"/>
            </w:tcBorders>
            <w:shd w:val="clear" w:color="auto" w:fill="E9EFEE"/>
          </w:tcPr>
          <w:p>
            <w:pPr>
              <w:jc w:val="center"/>
              <w:ind w:left="32"/>
              <w:spacing w:after="0"/>
              <w:rPr>
                <w:sz w:val="20"/>
                <w:szCs w:val="20"/>
                <w:color w:val="auto"/>
              </w:rPr>
            </w:pPr>
            <w:r>
              <w:rPr>
                <w:rFonts w:ascii="Arial" w:cs="Arial" w:eastAsia="Arial" w:hAnsi="Arial"/>
                <w:sz w:val="18"/>
                <w:szCs w:val="18"/>
                <w:color w:val="auto"/>
              </w:rPr>
              <w:t>A, C**, G</w:t>
            </w:r>
          </w:p>
        </w:tc>
        <w:tc>
          <w:tcPr>
            <w:tcW w:w="760" w:type="dxa"/>
            <w:vAlign w:val="bottom"/>
            <w:tcBorders>
              <w:bottom w:val="single" w:sz="8" w:color="000562"/>
            </w:tcBorders>
            <w:shd w:val="clear" w:color="auto" w:fill="E9EFEE"/>
          </w:tcPr>
          <w:p>
            <w:pPr>
              <w:jc w:val="center"/>
              <w:spacing w:after="0"/>
              <w:rPr>
                <w:sz w:val="20"/>
                <w:szCs w:val="20"/>
                <w:color w:val="auto"/>
              </w:rPr>
            </w:pPr>
            <w:r>
              <w:rPr>
                <w:rFonts w:ascii="Arial" w:cs="Arial" w:eastAsia="Arial" w:hAnsi="Arial"/>
                <w:sz w:val="18"/>
                <w:szCs w:val="18"/>
                <w:color w:val="auto"/>
                <w:w w:val="99"/>
              </w:rPr>
              <w:t>2021</w:t>
            </w:r>
          </w:p>
        </w:tc>
        <w:tc>
          <w:tcPr>
            <w:tcW w:w="760" w:type="dxa"/>
            <w:vAlign w:val="bottom"/>
            <w:tcBorders>
              <w:bottom w:val="single" w:sz="8" w:color="000562"/>
            </w:tcBorders>
            <w:shd w:val="clear" w:color="auto" w:fill="E9EFEE"/>
          </w:tcPr>
          <w:p>
            <w:pPr>
              <w:jc w:val="center"/>
              <w:spacing w:after="0"/>
              <w:rPr>
                <w:sz w:val="20"/>
                <w:szCs w:val="20"/>
                <w:color w:val="auto"/>
              </w:rPr>
            </w:pPr>
            <w:r>
              <w:rPr>
                <w:rFonts w:ascii="Arial" w:cs="Arial" w:eastAsia="Arial" w:hAnsi="Arial"/>
                <w:sz w:val="18"/>
                <w:szCs w:val="18"/>
                <w:color w:val="auto"/>
                <w:w w:val="92"/>
              </w:rPr>
              <w:t>III</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40" w:right="2900" w:firstLine="7"/>
        <w:spacing w:after="0" w:line="402" w:lineRule="auto"/>
        <w:tabs>
          <w:tab w:leader="none" w:pos="391" w:val="left"/>
        </w:tabs>
        <w:numPr>
          <w:ilvl w:val="0"/>
          <w:numId w:val="7"/>
        </w:numPr>
        <w:rPr>
          <w:rFonts w:ascii="Arial" w:cs="Arial" w:eastAsia="Arial" w:hAnsi="Arial"/>
          <w:sz w:val="14"/>
          <w:szCs w:val="14"/>
          <w:color w:val="auto"/>
        </w:rPr>
      </w:pPr>
      <w:r>
        <w:rPr>
          <w:rFonts w:ascii="Arial" w:cs="Arial" w:eastAsia="Arial" w:hAnsi="Arial"/>
          <w:sz w:val="14"/>
          <w:szCs w:val="14"/>
          <w:color w:val="auto"/>
        </w:rPr>
        <w:t>A = Audit Committee; C = Compensation Committee; G = Governance and Nominating Committee ** Chair of Committee</w:t>
      </w:r>
    </w:p>
    <w:p>
      <w:pPr>
        <w:spacing w:after="0" w:line="1" w:lineRule="exact"/>
        <w:rPr>
          <w:sz w:val="20"/>
          <w:szCs w:val="20"/>
          <w:color w:val="auto"/>
        </w:rPr>
      </w:pPr>
    </w:p>
    <w:p>
      <w:pPr>
        <w:ind w:left="400" w:hanging="353"/>
        <w:spacing w:after="0"/>
        <w:tabs>
          <w:tab w:leader="none" w:pos="400" w:val="left"/>
        </w:tabs>
        <w:numPr>
          <w:ilvl w:val="0"/>
          <w:numId w:val="8"/>
        </w:numPr>
        <w:rPr>
          <w:rFonts w:ascii="Arial" w:cs="Arial" w:eastAsia="Arial" w:hAnsi="Arial"/>
          <w:sz w:val="14"/>
          <w:szCs w:val="14"/>
          <w:color w:val="auto"/>
        </w:rPr>
      </w:pPr>
      <w:r>
        <w:rPr>
          <w:rFonts w:ascii="Arial" w:cs="Arial" w:eastAsia="Arial" w:hAnsi="Arial"/>
          <w:sz w:val="14"/>
          <w:szCs w:val="14"/>
          <w:color w:val="auto"/>
        </w:rPr>
        <w:t>Standing for re-election at the Annual Meeting.</w:t>
      </w:r>
    </w:p>
    <w:p>
      <w:pPr>
        <w:spacing w:after="0" w:line="109" w:lineRule="exact"/>
        <w:rPr>
          <w:rFonts w:ascii="Arial" w:cs="Arial" w:eastAsia="Arial" w:hAnsi="Arial"/>
          <w:sz w:val="14"/>
          <w:szCs w:val="14"/>
          <w:color w:val="auto"/>
        </w:rPr>
      </w:pPr>
    </w:p>
    <w:p>
      <w:pPr>
        <w:ind w:left="400" w:right="20" w:hanging="353"/>
        <w:spacing w:after="0" w:line="258" w:lineRule="auto"/>
        <w:tabs>
          <w:tab w:leader="none" w:pos="400" w:val="left"/>
        </w:tabs>
        <w:numPr>
          <w:ilvl w:val="0"/>
          <w:numId w:val="8"/>
        </w:numPr>
        <w:rPr>
          <w:rFonts w:ascii="Arial" w:cs="Arial" w:eastAsia="Arial" w:hAnsi="Arial"/>
          <w:sz w:val="14"/>
          <w:szCs w:val="14"/>
          <w:color w:val="auto"/>
        </w:rPr>
      </w:pPr>
      <w:r>
        <w:rPr>
          <w:rFonts w:ascii="Arial" w:cs="Arial" w:eastAsia="Arial" w:hAnsi="Arial"/>
          <w:sz w:val="14"/>
          <w:szCs w:val="14"/>
          <w:color w:val="auto"/>
        </w:rPr>
        <w:t>Class I term expires at the Annual Meeting; Class II term expires at the 2020 Annual Meeting of Shareholders (“2020 Annual Meeting”); Class III term expires at the 2021 Annual Meeting of Shareholders.</w:t>
      </w:r>
    </w:p>
    <w:p>
      <w:pPr>
        <w:spacing w:after="0" w:line="170" w:lineRule="exact"/>
        <w:rPr>
          <w:sz w:val="20"/>
          <w:szCs w:val="20"/>
          <w:color w:val="auto"/>
        </w:rPr>
      </w:pPr>
    </w:p>
    <w:p>
      <w:pPr>
        <w:jc w:val="right"/>
        <w:spacing w:after="0"/>
        <w:tabs>
          <w:tab w:leader="none" w:pos="380" w:val="left"/>
          <w:tab w:leader="none" w:pos="80" w:val="left"/>
        </w:tabs>
        <w:rPr>
          <w:sz w:val="20"/>
          <w:szCs w:val="20"/>
          <w:color w:val="auto"/>
        </w:rPr>
      </w:pPr>
      <w:r>
        <w:rPr>
          <w:rFonts w:ascii="Arial" w:cs="Arial" w:eastAsia="Arial" w:hAnsi="Arial"/>
          <w:sz w:val="18"/>
          <w:szCs w:val="18"/>
          <w:i w:val="1"/>
          <w:iCs w:val="1"/>
          <w:color w:val="auto"/>
        </w:rPr>
        <w:t>2019 Proxy Statement</w:t>
      </w:r>
      <w:r>
        <w:rPr>
          <w:sz w:val="20"/>
          <w:szCs w:val="20"/>
          <w:color w:val="auto"/>
        </w:rPr>
        <w:tab/>
      </w:r>
      <w:r>
        <w:rPr>
          <w:rFonts w:ascii="Arial" w:cs="Arial" w:eastAsia="Arial" w:hAnsi="Arial"/>
          <w:sz w:val="22"/>
          <w:szCs w:val="22"/>
          <w:b w:val="1"/>
          <w:bCs w:val="1"/>
          <w:color w:val="000562"/>
        </w:rPr>
        <w:t>I</w:t>
      </w:r>
      <w:r>
        <w:rPr>
          <w:sz w:val="20"/>
          <w:szCs w:val="20"/>
          <w:color w:val="auto"/>
        </w:rPr>
        <w:tab/>
      </w:r>
      <w:r>
        <w:rPr>
          <w:rFonts w:ascii="Arial" w:cs="Arial" w:eastAsia="Arial" w:hAnsi="Arial"/>
          <w:sz w:val="17"/>
          <w:szCs w:val="17"/>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07187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000562"/>
        </w:rPr>
        <w:t>TriMas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2"/>
        </w:rPr>
        <w:t>Director Background, Experience and Qualifications</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includes a brief overview of the experience, qualifications, attributes and skills that led to the conclusion that the directors and nominees should serve on the Board at this time. The Governance and Nominating Committee considers the experience, mix of skills and other qualities of the existing Board to ensure appropriate Board composition. The Governance and Nominating Committee believes that directors must have demonstrated excellence in their chosen field, high ethical standards and integrity, and sound business judgment. In addition, it seeks to ensure the Board includes members with diverse backgrounds, skills and experience, including appropriate financial and other expertise relevant to the Company’s business.</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more fully reflected in the chart below, the Board believes that the directors and nominees have an appropriate balance of knowledge, experience, attributes, skills and expertise as a whole to ensure the Board appropriately fulfills its oversight responsibilities and acts in the best interests of shareholders. The Board believes that each director satisfies its criteria for demonstrating excellence in his or her chosen field, high ethical standards and integrity, and sound business judgment. In addition, the Board has eight independent directors in accordance with the applicable independence rules of Nasdaq and such directors are also independent of the influence of any particular shareholder or shareholder groups whose interests may diverge from the interests of the shareholders as a whole. Further, each director or nominee brings a strong background and set of skills to the Board, giving the Board, as a whole, competence and experience in a wide variety of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66675</wp:posOffset>
            </wp:positionV>
            <wp:extent cx="5240020" cy="32931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40020"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60" w:hanging="249"/>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22"/>
          <w:szCs w:val="22"/>
          <w:b w:val="1"/>
          <w:bCs w:val="1"/>
          <w:color w:val="000562"/>
        </w:rPr>
        <w:t xml:space="preserve">I </w:t>
      </w:r>
      <w:r>
        <w:rPr>
          <w:rFonts w:ascii="Arial" w:cs="Arial" w:eastAsia="Arial" w:hAnsi="Arial"/>
          <w:sz w:val="18"/>
          <w:szCs w:val="18"/>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07187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7340" w:type="dxa"/>
            <w:vAlign w:val="bottom"/>
          </w:tcPr>
          <w:p>
            <w:pPr>
              <w:ind w:left="3300"/>
              <w:spacing w:after="0"/>
              <w:rPr>
                <w:sz w:val="20"/>
                <w:szCs w:val="20"/>
                <w:color w:val="auto"/>
              </w:rPr>
            </w:pPr>
            <w:r>
              <w:rPr>
                <w:rFonts w:ascii="Arial" w:cs="Arial" w:eastAsia="Arial" w:hAnsi="Arial"/>
                <w:sz w:val="20"/>
                <w:szCs w:val="20"/>
                <w:b w:val="1"/>
                <w:bCs w:val="1"/>
                <w:color w:val="000562"/>
                <w:w w:val="98"/>
              </w:rPr>
              <w:t>PROPOSAL 1 – ELECTION OF DIRECTORS</w:t>
            </w:r>
          </w:p>
        </w:tc>
      </w:tr>
      <w:tr>
        <w:trPr>
          <w:trHeight w:val="185"/>
        </w:trPr>
        <w:tc>
          <w:tcPr>
            <w:tcW w:w="1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340" w:type="dxa"/>
            <w:vAlign w:val="bottom"/>
          </w:tcPr>
          <w:p>
            <w:pPr>
              <w:spacing w:after="0"/>
              <w:rPr>
                <w:sz w:val="16"/>
                <w:szCs w:val="16"/>
                <w:color w:val="auto"/>
              </w:rPr>
            </w:pPr>
          </w:p>
        </w:tc>
      </w:tr>
      <w:tr>
        <w:trPr>
          <w:trHeight w:val="243"/>
        </w:trPr>
        <w:tc>
          <w:tcPr>
            <w:tcW w:w="120" w:type="dxa"/>
            <w:vAlign w:val="bottom"/>
            <w:shd w:val="clear" w:color="auto" w:fill="000000"/>
          </w:tcPr>
          <w:p>
            <w:pPr>
              <w:spacing w:after="0"/>
              <w:rPr>
                <w:sz w:val="21"/>
                <w:szCs w:val="21"/>
                <w:color w:val="auto"/>
              </w:rPr>
            </w:pPr>
          </w:p>
        </w:tc>
        <w:tc>
          <w:tcPr>
            <w:tcW w:w="2100" w:type="dxa"/>
            <w:vAlign w:val="bottom"/>
            <w:shd w:val="clear" w:color="auto" w:fill="000000"/>
          </w:tcPr>
          <w:p>
            <w:pPr>
              <w:spacing w:after="0"/>
              <w:rPr>
                <w:sz w:val="21"/>
                <w:szCs w:val="21"/>
                <w:color w:val="auto"/>
              </w:rPr>
            </w:pPr>
          </w:p>
        </w:tc>
        <w:tc>
          <w:tcPr>
            <w:tcW w:w="7340" w:type="dxa"/>
            <w:vAlign w:val="bottom"/>
            <w:shd w:val="clear" w:color="auto" w:fill="000000"/>
          </w:tcPr>
          <w:p>
            <w:pPr>
              <w:ind w:left="1880"/>
              <w:spacing w:after="0"/>
              <w:rPr>
                <w:sz w:val="20"/>
                <w:szCs w:val="20"/>
                <w:color w:val="auto"/>
              </w:rPr>
            </w:pPr>
            <w:r>
              <w:rPr>
                <w:rFonts w:ascii="Arial" w:cs="Arial" w:eastAsia="Arial" w:hAnsi="Arial"/>
                <w:sz w:val="18"/>
                <w:szCs w:val="18"/>
                <w:b w:val="1"/>
                <w:bCs w:val="1"/>
                <w:color w:val="FFFFFF"/>
              </w:rPr>
              <w:t>Board Members</w:t>
            </w:r>
          </w:p>
        </w:tc>
      </w:tr>
      <w:tr>
        <w:trPr>
          <w:trHeight w:val="215"/>
        </w:trPr>
        <w:tc>
          <w:tcPr>
            <w:tcW w:w="2220" w:type="dxa"/>
            <w:vAlign w:val="bottom"/>
            <w:gridSpan w:val="2"/>
          </w:tcPr>
          <w:p>
            <w:pPr>
              <w:ind w:left="120"/>
              <w:spacing w:after="0" w:line="216" w:lineRule="exact"/>
              <w:rPr>
                <w:sz w:val="20"/>
                <w:szCs w:val="20"/>
                <w:color w:val="auto"/>
              </w:rPr>
            </w:pPr>
            <w:r>
              <w:rPr>
                <w:rFonts w:ascii="Arial" w:cs="Arial" w:eastAsia="Arial" w:hAnsi="Arial"/>
                <w:sz w:val="22"/>
                <w:szCs w:val="22"/>
                <w:b w:val="1"/>
                <w:bCs w:val="1"/>
                <w:color w:val="auto"/>
              </w:rPr>
              <w:t>Thomas A. Amato</w:t>
            </w:r>
          </w:p>
        </w:tc>
        <w:tc>
          <w:tcPr>
            <w:tcW w:w="7340" w:type="dxa"/>
            <w:vAlign w:val="bottom"/>
          </w:tcPr>
          <w:p>
            <w:pPr>
              <w:ind w:left="200"/>
              <w:spacing w:after="0"/>
              <w:rPr>
                <w:sz w:val="20"/>
                <w:szCs w:val="20"/>
                <w:color w:val="auto"/>
              </w:rPr>
            </w:pPr>
            <w:r>
              <w:rPr>
                <w:rFonts w:ascii="Arial" w:cs="Arial" w:eastAsia="Arial" w:hAnsi="Arial"/>
                <w:sz w:val="18"/>
                <w:szCs w:val="18"/>
                <w:color w:val="auto"/>
              </w:rPr>
              <w:t>Mr. Amato has served as president, chief executive officer and a director of the</w:t>
            </w:r>
          </w:p>
        </w:tc>
      </w:tr>
      <w:tr>
        <w:trPr>
          <w:trHeight w:val="203"/>
        </w:trPr>
        <w:tc>
          <w:tcPr>
            <w:tcW w:w="120" w:type="dxa"/>
            <w:vAlign w:val="bottom"/>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7340" w:type="dxa"/>
            <w:vAlign w:val="bottom"/>
          </w:tcPr>
          <w:p>
            <w:pPr>
              <w:ind w:left="200"/>
              <w:spacing w:after="0" w:line="202" w:lineRule="exact"/>
              <w:rPr>
                <w:sz w:val="20"/>
                <w:szCs w:val="20"/>
                <w:color w:val="auto"/>
              </w:rPr>
            </w:pPr>
            <w:r>
              <w:rPr>
                <w:rFonts w:ascii="Arial" w:cs="Arial" w:eastAsia="Arial" w:hAnsi="Arial"/>
                <w:sz w:val="18"/>
                <w:szCs w:val="18"/>
                <w:color w:val="auto"/>
              </w:rPr>
              <w:t>Company since July 2016. Mr. Amato brings more than 25 years of broad industrial</w:t>
            </w:r>
          </w:p>
        </w:tc>
      </w:tr>
      <w:tr>
        <w:trPr>
          <w:trHeight w:val="183"/>
        </w:trPr>
        <w:tc>
          <w:tcPr>
            <w:tcW w:w="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340" w:type="dxa"/>
            <w:vAlign w:val="bottom"/>
          </w:tcPr>
          <w:p>
            <w:pPr>
              <w:ind w:left="200"/>
              <w:spacing w:after="0" w:line="182" w:lineRule="exact"/>
              <w:rPr>
                <w:sz w:val="20"/>
                <w:szCs w:val="20"/>
                <w:color w:val="auto"/>
              </w:rPr>
            </w:pPr>
            <w:r>
              <w:rPr>
                <w:rFonts w:ascii="Arial" w:cs="Arial" w:eastAsia="Arial" w:hAnsi="Arial"/>
                <w:sz w:val="18"/>
                <w:szCs w:val="18"/>
                <w:color w:val="auto"/>
              </w:rPr>
              <w:t>experience, having served in several leadership positions at global, multi-billion dollar</w:t>
            </w:r>
          </w:p>
        </w:tc>
      </w:tr>
      <w:tr>
        <w:trPr>
          <w:trHeight w:val="203"/>
        </w:trPr>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340" w:type="dxa"/>
            <w:vAlign w:val="bottom"/>
          </w:tcPr>
          <w:p>
            <w:pPr>
              <w:ind w:left="200"/>
              <w:spacing w:after="0" w:line="202" w:lineRule="exact"/>
              <w:rPr>
                <w:sz w:val="20"/>
                <w:szCs w:val="20"/>
                <w:color w:val="auto"/>
              </w:rPr>
            </w:pPr>
            <w:r>
              <w:rPr>
                <w:rFonts w:ascii="Arial" w:cs="Arial" w:eastAsia="Arial" w:hAnsi="Arial"/>
                <w:sz w:val="18"/>
                <w:szCs w:val="18"/>
                <w:color w:val="auto"/>
              </w:rPr>
              <w:t>businesses. From October 2009 through December 2015, he served as chair, chief</w:t>
            </w:r>
          </w:p>
        </w:tc>
      </w:tr>
      <w:tr>
        <w:trPr>
          <w:trHeight w:val="203"/>
        </w:trPr>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340" w:type="dxa"/>
            <w:vAlign w:val="bottom"/>
          </w:tcPr>
          <w:p>
            <w:pPr>
              <w:ind w:left="200"/>
              <w:spacing w:after="0" w:line="202" w:lineRule="exact"/>
              <w:rPr>
                <w:sz w:val="20"/>
                <w:szCs w:val="20"/>
                <w:color w:val="auto"/>
              </w:rPr>
            </w:pPr>
            <w:r>
              <w:rPr>
                <w:rFonts w:ascii="Arial" w:cs="Arial" w:eastAsia="Arial" w:hAnsi="Arial"/>
                <w:sz w:val="18"/>
                <w:szCs w:val="18"/>
                <w:color w:val="auto"/>
              </w:rPr>
              <w:t>executive  officer  and  president  of  Metaldyne,  LLC,  an  engineered  products</w:t>
            </w:r>
          </w:p>
        </w:tc>
      </w:tr>
      <w:tr>
        <w:trPr>
          <w:trHeight w:val="203"/>
        </w:trPr>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340" w:type="dxa"/>
            <w:vAlign w:val="bottom"/>
          </w:tcPr>
          <w:p>
            <w:pPr>
              <w:ind w:left="200"/>
              <w:spacing w:after="0" w:line="202" w:lineRule="exact"/>
              <w:rPr>
                <w:sz w:val="20"/>
                <w:szCs w:val="20"/>
                <w:color w:val="auto"/>
              </w:rPr>
            </w:pPr>
            <w:r>
              <w:rPr>
                <w:rFonts w:ascii="Arial" w:cs="Arial" w:eastAsia="Arial" w:hAnsi="Arial"/>
                <w:sz w:val="18"/>
                <w:szCs w:val="18"/>
                <w:color w:val="auto"/>
              </w:rPr>
              <w:t>manufacturing company, and from August 2014 through December 2015, as co-</w:t>
            </w:r>
          </w:p>
        </w:tc>
      </w:tr>
      <w:tr>
        <w:trPr>
          <w:trHeight w:val="203"/>
        </w:trPr>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340" w:type="dxa"/>
            <w:vAlign w:val="bottom"/>
          </w:tcPr>
          <w:p>
            <w:pPr>
              <w:ind w:left="200"/>
              <w:spacing w:after="0" w:line="202" w:lineRule="exact"/>
              <w:rPr>
                <w:sz w:val="20"/>
                <w:szCs w:val="20"/>
                <w:color w:val="auto"/>
              </w:rPr>
            </w:pPr>
            <w:r>
              <w:rPr>
                <w:rFonts w:ascii="Arial" w:cs="Arial" w:eastAsia="Arial" w:hAnsi="Arial"/>
                <w:sz w:val="18"/>
                <w:szCs w:val="18"/>
                <w:color w:val="auto"/>
              </w:rPr>
              <w:t>president and chief integration officer of Metaldyne Performance Group, a global</w:t>
            </w:r>
          </w:p>
        </w:tc>
      </w:tr>
      <w:tr>
        <w:trPr>
          <w:trHeight w:val="203"/>
        </w:trPr>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340" w:type="dxa"/>
            <w:vAlign w:val="bottom"/>
          </w:tcPr>
          <w:p>
            <w:pPr>
              <w:ind w:left="200"/>
              <w:spacing w:after="0" w:line="202" w:lineRule="exact"/>
              <w:rPr>
                <w:sz w:val="20"/>
                <w:szCs w:val="20"/>
                <w:color w:val="auto"/>
              </w:rPr>
            </w:pPr>
            <w:r>
              <w:rPr>
                <w:rFonts w:ascii="Arial" w:cs="Arial" w:eastAsia="Arial" w:hAnsi="Arial"/>
                <w:sz w:val="18"/>
                <w:szCs w:val="18"/>
                <w:color w:val="auto"/>
              </w:rPr>
              <w:t>manufacturing company. Prior to leading Metaldyne, LLC in October 2009, he served as</w:t>
            </w:r>
          </w:p>
        </w:tc>
      </w:tr>
      <w:tr>
        <w:trPr>
          <w:trHeight w:val="203"/>
        </w:trPr>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340" w:type="dxa"/>
            <w:vAlign w:val="bottom"/>
          </w:tcPr>
          <w:p>
            <w:pPr>
              <w:ind w:left="200"/>
              <w:spacing w:after="0" w:line="202" w:lineRule="exact"/>
              <w:rPr>
                <w:sz w:val="20"/>
                <w:szCs w:val="20"/>
                <w:color w:val="auto"/>
              </w:rPr>
            </w:pPr>
            <w:r>
              <w:rPr>
                <w:rFonts w:ascii="Arial" w:cs="Arial" w:eastAsia="Arial" w:hAnsi="Arial"/>
                <w:sz w:val="18"/>
                <w:szCs w:val="18"/>
                <w:color w:val="auto"/>
              </w:rPr>
              <w:t>chair,  chief  executive  officer,  and  president  of  Metaldyne  Corporation,  a  global</w:t>
            </w:r>
          </w:p>
        </w:tc>
      </w:tr>
      <w:tr>
        <w:trPr>
          <w:trHeight w:val="203"/>
        </w:trPr>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340" w:type="dxa"/>
            <w:vAlign w:val="bottom"/>
          </w:tcPr>
          <w:p>
            <w:pPr>
              <w:ind w:left="200"/>
              <w:spacing w:after="0" w:line="202" w:lineRule="exact"/>
              <w:rPr>
                <w:sz w:val="20"/>
                <w:szCs w:val="20"/>
                <w:color w:val="auto"/>
              </w:rPr>
            </w:pPr>
            <w:r>
              <w:rPr>
                <w:rFonts w:ascii="Arial" w:cs="Arial" w:eastAsia="Arial" w:hAnsi="Arial"/>
                <w:sz w:val="18"/>
                <w:szCs w:val="18"/>
                <w:color w:val="auto"/>
              </w:rPr>
              <w:t>components manufacturer, and co-chief executive officer of Asahi Tec Corporation, a</w:t>
            </w:r>
          </w:p>
        </w:tc>
      </w:tr>
      <w:tr>
        <w:trPr>
          <w:trHeight w:val="203"/>
        </w:trPr>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340" w:type="dxa"/>
            <w:vAlign w:val="bottom"/>
          </w:tcPr>
          <w:p>
            <w:pPr>
              <w:ind w:left="200"/>
              <w:spacing w:after="0" w:line="202" w:lineRule="exact"/>
              <w:rPr>
                <w:sz w:val="20"/>
                <w:szCs w:val="20"/>
                <w:color w:val="auto"/>
              </w:rPr>
            </w:pPr>
            <w:r>
              <w:rPr>
                <w:rFonts w:ascii="Arial" w:cs="Arial" w:eastAsia="Arial" w:hAnsi="Arial"/>
                <w:sz w:val="18"/>
                <w:szCs w:val="18"/>
                <w:color w:val="auto"/>
              </w:rPr>
              <w:t>Japanese casting and forging company. Prior to this, Mr. Amato worked at MascoTech</w:t>
            </w:r>
          </w:p>
        </w:tc>
      </w:tr>
      <w:tr>
        <w:trPr>
          <w:trHeight w:val="203"/>
        </w:trPr>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340" w:type="dxa"/>
            <w:vAlign w:val="bottom"/>
          </w:tcPr>
          <w:p>
            <w:pPr>
              <w:ind w:left="200"/>
              <w:spacing w:after="0" w:line="202" w:lineRule="exact"/>
              <w:rPr>
                <w:sz w:val="20"/>
                <w:szCs w:val="20"/>
                <w:color w:val="auto"/>
              </w:rPr>
            </w:pPr>
            <w:r>
              <w:rPr>
                <w:rFonts w:ascii="Arial" w:cs="Arial" w:eastAsia="Arial" w:hAnsi="Arial"/>
                <w:sz w:val="18"/>
                <w:szCs w:val="18"/>
                <w:color w:val="auto"/>
              </w:rPr>
              <w:t>in  positions  of  increasing  responsibility,  including  as  vice  president  of  corporate</w:t>
            </w:r>
          </w:p>
        </w:tc>
      </w:tr>
      <w:tr>
        <w:trPr>
          <w:trHeight w:val="217"/>
        </w:trPr>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-1689100</wp:posOffset>
            </wp:positionV>
            <wp:extent cx="6071870" cy="385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71870" cy="385064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p>
      <w:pPr>
        <w:spacing w:after="0" w:line="234"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Current Directorships:</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Ametek, Inc.</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Former Directorships: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Asahi Tec Corporation</w:t>
      </w:r>
    </w:p>
    <w:p>
      <w:pPr>
        <w:ind w:left="120"/>
        <w:spacing w:after="0" w:line="234" w:lineRule="auto"/>
        <w:rPr>
          <w:sz w:val="20"/>
          <w:szCs w:val="20"/>
          <w:color w:val="auto"/>
        </w:rPr>
      </w:pPr>
      <w:r>
        <w:rPr>
          <w:rFonts w:ascii="Arial" w:cs="Arial" w:eastAsia="Arial" w:hAnsi="Arial"/>
          <w:sz w:val="18"/>
          <w:szCs w:val="18"/>
          <w:color w:val="auto"/>
        </w:rPr>
        <w:t>Wolverine Tube</w:t>
      </w:r>
    </w:p>
    <w:p>
      <w:pPr>
        <w:ind w:left="120"/>
        <w:spacing w:after="0" w:line="235" w:lineRule="auto"/>
        <w:rPr>
          <w:sz w:val="20"/>
          <w:szCs w:val="20"/>
          <w:color w:val="auto"/>
        </w:rPr>
      </w:pPr>
      <w:r>
        <w:rPr>
          <w:rFonts w:ascii="Arial" w:cs="Arial" w:eastAsia="Arial" w:hAnsi="Arial"/>
          <w:sz w:val="18"/>
          <w:szCs w:val="18"/>
          <w:color w:val="auto"/>
        </w:rPr>
        <w:t>Continental Structural</w:t>
      </w:r>
    </w:p>
    <w:p>
      <w:pPr>
        <w:ind w:left="260"/>
        <w:spacing w:after="0" w:line="235" w:lineRule="auto"/>
        <w:rPr>
          <w:sz w:val="20"/>
          <w:szCs w:val="20"/>
          <w:color w:val="auto"/>
        </w:rPr>
      </w:pPr>
      <w:r>
        <w:rPr>
          <w:rFonts w:ascii="Arial" w:cs="Arial" w:eastAsia="Arial" w:hAnsi="Arial"/>
          <w:sz w:val="18"/>
          <w:szCs w:val="18"/>
          <w:color w:val="auto"/>
        </w:rPr>
        <w:t>Plastics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Unifrax</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55</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2016</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18"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Mr. Amato has extensive knowledge and experience in executive leadership, industrial operations and financial transactions. His breadth of experience provides him with subject matter expertise in business portfolio development and management, investor relations, acquisitions and divestitures, and international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-1536065</wp:posOffset>
            </wp:positionH>
            <wp:positionV relativeFrom="paragraph">
              <wp:posOffset>1483995</wp:posOffset>
            </wp:positionV>
            <wp:extent cx="6071870" cy="33705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71870" cy="3370580"/>
                    </a:xfrm>
                    <a:prstGeom prst="rect">
                      <a:avLst/>
                    </a:prstGeom>
                    <a:noFill/>
                  </pic:spPr>
                </pic:pic>
              </a:graphicData>
            </a:graphic>
          </wp:anchor>
        </w:drawing>
      </w:r>
    </w:p>
    <w:p>
      <w:pPr>
        <w:spacing w:after="0" w:line="1856" w:lineRule="exact"/>
        <w:rPr>
          <w:sz w:val="20"/>
          <w:szCs w:val="20"/>
          <w:color w:val="auto"/>
        </w:rPr>
      </w:pPr>
    </w:p>
    <w:p>
      <w:pPr>
        <w:sectPr>
          <w:pgSz w:w="11900" w:h="16838" w:orient="portrait"/>
          <w:cols w:equalWidth="0" w:num="2">
            <w:col w:w="2040" w:space="380"/>
            <w:col w:w="7140"/>
          </w:cols>
          <w:pgMar w:left="1180" w:top="279" w:right="115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auto"/>
        </w:rPr>
        <w:t>Nancy S. Gougarty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Current Directorships:</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AB SKF</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Former Directorships: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Westport Innovations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63</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From July 2016 to February 2019, Ms. Gougarty was the chief executive officer and a director of Westport Fuel Systems, Inc., a producer of natural gas engines and fuel system components for on and off-highway commercial vehicles, as well as passenger automobiles. From July 2013 to July 2016, Ms. Gougarty was president and chief operating officer of Westport Innovations, a global leader in alternative fuel, low-emissions transportation technologies. Ms. Gougarty served as the vice president for TRW Automotive Corporation, a worldwide automotive supplier, for operations in the Asia-Pacific region from 2008 to 2012. Joining TRW in 2005, her previous positions included vice president of product planning, business planning and business development, and vice president of braking, electronics and modules for Asia Pacific. Ms. Gougarty has held additional leadership positions in the automotive sector, including managing director for General Motors’ joint venture in Shanghai, director for Delphi Packard, Asia Pacific, global account director for General Motors, and vice president for Delphi Automotive Systems, Japan and Korea.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18"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Ms. Gougarty has extensive operational leadership expertise directing the development and implementation of strategic and operational plans, as well as international operations. She also brings extensive subject matter expertise in managing acquisitions and divestitures.</w:t>
      </w:r>
    </w:p>
    <w:p>
      <w:pPr>
        <w:spacing w:after="0" w:line="843" w:lineRule="exact"/>
        <w:rPr>
          <w:sz w:val="20"/>
          <w:szCs w:val="20"/>
          <w:color w:val="auto"/>
        </w:rPr>
      </w:pPr>
    </w:p>
    <w:p>
      <w:pPr>
        <w:sectPr>
          <w:pgSz w:w="11900" w:h="16838" w:orient="portrait"/>
          <w:cols w:equalWidth="0" w:num="2">
            <w:col w:w="2040" w:space="380"/>
            <w:col w:w="7140"/>
          </w:cols>
          <w:pgMar w:left="1180" w:top="279" w:right="115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ind w:left="7220"/>
        <w:spacing w:after="0"/>
        <w:tabs>
          <w:tab w:leader="none" w:pos="9140" w:val="left"/>
          <w:tab w:leader="none" w:pos="9440" w:val="left"/>
        </w:tabs>
        <w:rPr>
          <w:sz w:val="20"/>
          <w:szCs w:val="20"/>
          <w:color w:val="auto"/>
        </w:rPr>
      </w:pPr>
      <w:r>
        <w:rPr>
          <w:rFonts w:ascii="Arial" w:cs="Arial" w:eastAsia="Arial" w:hAnsi="Arial"/>
          <w:sz w:val="18"/>
          <w:szCs w:val="18"/>
          <w:i w:val="1"/>
          <w:iCs w:val="1"/>
          <w:color w:val="auto"/>
        </w:rPr>
        <w:t>2019 Proxy Statement</w:t>
      </w:r>
      <w:r>
        <w:rPr>
          <w:sz w:val="20"/>
          <w:szCs w:val="20"/>
          <w:color w:val="auto"/>
        </w:rPr>
        <w:tab/>
      </w:r>
      <w:r>
        <w:rPr>
          <w:rFonts w:ascii="Arial" w:cs="Arial" w:eastAsia="Arial" w:hAnsi="Arial"/>
          <w:sz w:val="22"/>
          <w:szCs w:val="22"/>
          <w:b w:val="1"/>
          <w:bCs w:val="1"/>
          <w:color w:val="000562"/>
        </w:rPr>
        <w:t>I</w:t>
      </w:r>
      <w:r>
        <w:rPr>
          <w:sz w:val="20"/>
          <w:szCs w:val="20"/>
          <w:color w:val="auto"/>
        </w:rPr>
        <w:tab/>
      </w:r>
      <w:r>
        <w:rPr>
          <w:rFonts w:ascii="Arial" w:cs="Arial" w:eastAsia="Arial" w:hAnsi="Arial"/>
          <w:sz w:val="17"/>
          <w:szCs w:val="17"/>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07187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color w:val="000562"/>
        </w:rPr>
        <w:t>TriMas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153035</wp:posOffset>
            </wp:positionV>
            <wp:extent cx="6071870" cy="40132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71870" cy="401320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Jeffrey M. Greene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Current Directorships: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Thiele Kaolin</w:t>
      </w:r>
    </w:p>
    <w:p>
      <w:pPr>
        <w:ind w:left="260"/>
        <w:spacing w:after="0" w:line="234" w:lineRule="auto"/>
        <w:rPr>
          <w:sz w:val="20"/>
          <w:szCs w:val="20"/>
          <w:color w:val="auto"/>
        </w:rPr>
      </w:pPr>
      <w:r>
        <w:rPr>
          <w:rFonts w:ascii="Arial" w:cs="Arial" w:eastAsia="Arial" w:hAnsi="Arial"/>
          <w:sz w:val="18"/>
          <w:szCs w:val="18"/>
          <w:color w:val="auto"/>
        </w:rPr>
        <w:t>Company</w:t>
      </w:r>
    </w:p>
    <w:p>
      <w:pPr>
        <w:ind w:left="120"/>
        <w:spacing w:after="0" w:line="235" w:lineRule="auto"/>
        <w:rPr>
          <w:sz w:val="20"/>
          <w:szCs w:val="20"/>
          <w:color w:val="auto"/>
        </w:rPr>
      </w:pPr>
      <w:r>
        <w:rPr>
          <w:rFonts w:ascii="Arial" w:cs="Arial" w:eastAsia="Arial" w:hAnsi="Arial"/>
          <w:sz w:val="18"/>
          <w:szCs w:val="18"/>
          <w:color w:val="auto"/>
        </w:rPr>
        <w:t>Pretium Packaging</w:t>
      </w:r>
    </w:p>
    <w:p>
      <w:pPr>
        <w:ind w:left="260"/>
        <w:spacing w:after="0" w:line="235" w:lineRule="auto"/>
        <w:rPr>
          <w:sz w:val="20"/>
          <w:szCs w:val="20"/>
          <w:color w:val="auto"/>
        </w:rPr>
      </w:pPr>
      <w:r>
        <w:rPr>
          <w:rFonts w:ascii="Arial" w:cs="Arial" w:eastAsia="Arial" w:hAnsi="Arial"/>
          <w:sz w:val="18"/>
          <w:szCs w:val="18"/>
          <w:color w:val="auto"/>
        </w:rPr>
        <w:t>LLC</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Tekni-Plex, Inc.</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Former Directorships: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CSP Technologies, Inc.</w:t>
      </w:r>
    </w:p>
    <w:p>
      <w:pPr>
        <w:ind w:left="120"/>
        <w:spacing w:after="0"/>
        <w:rPr>
          <w:sz w:val="20"/>
          <w:szCs w:val="20"/>
          <w:color w:val="auto"/>
        </w:rPr>
      </w:pPr>
      <w:r>
        <w:rPr>
          <w:rFonts w:ascii="Arial" w:cs="Arial" w:eastAsia="Arial" w:hAnsi="Arial"/>
          <w:sz w:val="18"/>
          <w:szCs w:val="18"/>
          <w:color w:val="auto"/>
        </w:rPr>
        <w:t>Solo Cup Company</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59</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Since July 2014, Mr. Greene has served as an advisor, and is the founding partner, of Orion Advisors Group, a firm specializing in supporting companies with buy-side due diligence, operations planning, supply chain optimization and executive development. Prior to July 2014, he served as president and chief executive officer of Consolidated Container, a rigid plastic packaging company from October 2005 to May 2014. In addition, he held the roles of senior vice president - consumer packaging group of Consolidated Container, senior vice president - operations of Exopack LLC and president - CPG products and director - strategic accounts of Union Camp Corporation.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Mr. Greene has significant leadership and governance experience, with more than 35 years at companies in the packaging, consumer products and industrial markets. Mr. Greene brings extensive knowledge and experience in executive leadership and acquisitions and divestitures, as well as expertise in the development and implementation of strategic and operational plans.</w:t>
      </w:r>
    </w:p>
    <w:p>
      <w:pPr>
        <w:spacing w:after="0" w:line="2870" w:lineRule="exact"/>
        <w:rPr>
          <w:sz w:val="20"/>
          <w:szCs w:val="20"/>
          <w:color w:val="auto"/>
        </w:rPr>
      </w:pPr>
    </w:p>
    <w:p>
      <w:pPr>
        <w:sectPr>
          <w:pgSz w:w="11900" w:h="16838" w:orient="portrait"/>
          <w:cols w:equalWidth="0" w:num="2">
            <w:col w:w="2040" w:space="380"/>
            <w:col w:w="7020"/>
          </w:cols>
          <w:pgMar w:left="1180" w:top="279" w:right="127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ind w:left="260" w:hanging="249"/>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22"/>
          <w:szCs w:val="22"/>
          <w:b w:val="1"/>
          <w:bCs w:val="1"/>
          <w:color w:val="000562"/>
        </w:rPr>
        <w:t xml:space="preserve">I </w:t>
      </w:r>
      <w:r>
        <w:rPr>
          <w:rFonts w:ascii="Arial" w:cs="Arial" w:eastAsia="Arial" w:hAnsi="Arial"/>
          <w:sz w:val="18"/>
          <w:szCs w:val="18"/>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07187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type w:val="continuous"/>
        </w:sectPr>
      </w:pPr>
    </w:p>
    <w:bookmarkStart w:id="10" w:name="page11"/>
    <w:bookmarkEnd w:id="1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0562"/>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071870" cy="37560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1870" cy="375602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p>
      <w:pPr>
        <w:spacing w:after="0" w:line="251"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auto"/>
        </w:rPr>
        <w:t>Richard M. Gabrys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Current Directorships:</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Former Directorships: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CMS Energy Company</w:t>
      </w:r>
    </w:p>
    <w:p>
      <w:pPr>
        <w:ind w:left="120"/>
        <w:spacing w:after="0" w:line="234" w:lineRule="auto"/>
        <w:rPr>
          <w:sz w:val="20"/>
          <w:szCs w:val="20"/>
          <w:color w:val="auto"/>
        </w:rPr>
      </w:pPr>
      <w:r>
        <w:rPr>
          <w:rFonts w:ascii="Arial" w:cs="Arial" w:eastAsia="Arial" w:hAnsi="Arial"/>
          <w:sz w:val="18"/>
          <w:szCs w:val="18"/>
          <w:color w:val="auto"/>
        </w:rPr>
        <w:t>La-Z-Boy Inc.</w:t>
      </w:r>
    </w:p>
    <w:p>
      <w:pPr>
        <w:ind w:left="120"/>
        <w:spacing w:after="0" w:line="235" w:lineRule="auto"/>
        <w:rPr>
          <w:sz w:val="20"/>
          <w:szCs w:val="20"/>
          <w:color w:val="auto"/>
        </w:rPr>
      </w:pPr>
      <w:r>
        <w:rPr>
          <w:rFonts w:ascii="Arial" w:cs="Arial" w:eastAsia="Arial" w:hAnsi="Arial"/>
          <w:sz w:val="18"/>
          <w:szCs w:val="18"/>
          <w:color w:val="auto"/>
        </w:rPr>
        <w:t>Massey Energy</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Company</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77</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2006</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both"/>
        <w:ind w:right="140"/>
        <w:spacing w:after="0" w:line="236" w:lineRule="auto"/>
        <w:rPr>
          <w:sz w:val="20"/>
          <w:szCs w:val="20"/>
          <w:color w:val="auto"/>
        </w:rPr>
      </w:pPr>
      <w:r>
        <w:rPr>
          <w:rFonts w:ascii="Arial" w:cs="Arial" w:eastAsia="Arial" w:hAnsi="Arial"/>
          <w:sz w:val="18"/>
          <w:szCs w:val="18"/>
          <w:color w:val="auto"/>
        </w:rPr>
        <w:t>Mr. Gabrys has served as the president and chief executive officer of Mears Investments, LLC, a private family investment company, since 2005. Mr. Gabrys retired from Deloitte &amp; Touche LLP in 2004 after 42 years, where he served a variety of public companies, financial services institutions, public utilities and health care entities. Mr. Gabrys was vice chair of Deloitte’s United States Global Strategic Client Group and served as a member of its Global Strategic Client Council. During his tenure with Deloitte, he also served as the managing partner of the firm’s Michigan practice. From 2006 to 2007, Mr. Gabrys served as the interim dean of the School of Business Administration of Wayne State University.</w:t>
      </w:r>
    </w:p>
    <w:p>
      <w:pPr>
        <w:spacing w:after="0" w:line="194"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Mr. Gabrys also serves on the boards of several non-profit organizations, including the Karmanos Cancer Institute, where he has been Board Chair since 2015, Alliance for Safer Streets in Detroit (Crime Stoppers), Detroit Regional Chamber and the Detroit Institute of Arts. He is a member of the advisory board of Renaissance Venture Capital Fund, an affiliate of Business Leaders for Michigan, a non-profit executive leadership organization.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18"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Mr. Gabrys has extensive knowledge and expertise in financial reporting, accounting and Sarbanes-Oxley compliance for public companies. His experiences serving as a director of other significant corporations contributes to his leadership skills, the breadth of his experience in auditing, finance and other areas of risk oversight, as well as experience in acquisitions and divestitures. Mr. Gabrys continues to maintain an active CPA license in Michigan.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-1536065</wp:posOffset>
            </wp:positionH>
            <wp:positionV relativeFrom="paragraph">
              <wp:posOffset>654050</wp:posOffset>
            </wp:positionV>
            <wp:extent cx="6071870" cy="33959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71870" cy="3395980"/>
                    </a:xfrm>
                    <a:prstGeom prst="rect">
                      <a:avLst/>
                    </a:prstGeom>
                    <a:noFill/>
                  </pic:spPr>
                </pic:pic>
              </a:graphicData>
            </a:graphic>
          </wp:anchor>
        </w:drawing>
      </w:r>
    </w:p>
    <w:p>
      <w:pPr>
        <w:spacing w:after="0" w:line="644" w:lineRule="exact"/>
        <w:rPr>
          <w:sz w:val="20"/>
          <w:szCs w:val="20"/>
          <w:color w:val="auto"/>
        </w:rPr>
      </w:pPr>
    </w:p>
    <w:p>
      <w:pPr>
        <w:sectPr>
          <w:pgSz w:w="11900" w:h="16838" w:orient="portrait"/>
          <w:cols w:equalWidth="0" w:num="2">
            <w:col w:w="2040" w:space="380"/>
            <w:col w:w="7140"/>
          </w:cols>
          <w:pgMar w:left="1180" w:top="279" w:right="1159"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Eugene A. Miller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Current Directorships:</w:t>
      </w:r>
    </w:p>
    <w:p>
      <w:pPr>
        <w:spacing w:after="0" w:line="29" w:lineRule="exact"/>
        <w:rPr>
          <w:sz w:val="20"/>
          <w:szCs w:val="20"/>
          <w:color w:val="auto"/>
        </w:rPr>
      </w:pPr>
    </w:p>
    <w:p>
      <w:pPr>
        <w:ind w:left="120" w:right="40"/>
        <w:spacing w:after="0" w:line="373" w:lineRule="auto"/>
        <w:rPr>
          <w:sz w:val="20"/>
          <w:szCs w:val="20"/>
          <w:color w:val="auto"/>
        </w:rPr>
      </w:pPr>
      <w:r>
        <w:rPr>
          <w:rFonts w:ascii="Arial" w:cs="Arial" w:eastAsia="Arial" w:hAnsi="Arial"/>
          <w:sz w:val="17"/>
          <w:szCs w:val="17"/>
          <w:color w:val="auto"/>
        </w:rPr>
        <w:t xml:space="preserve">McKinley Associates </w:t>
      </w:r>
      <w:r>
        <w:rPr>
          <w:rFonts w:ascii="Arial" w:cs="Arial" w:eastAsia="Arial" w:hAnsi="Arial"/>
          <w:sz w:val="17"/>
          <w:szCs w:val="17"/>
          <w:b w:val="1"/>
          <w:bCs w:val="1"/>
          <w:color w:val="auto"/>
        </w:rPr>
        <w:t>Former Directorships:</w:t>
      </w:r>
    </w:p>
    <w:p>
      <w:pPr>
        <w:ind w:left="120" w:right="180"/>
        <w:spacing w:after="0" w:line="275" w:lineRule="auto"/>
        <w:rPr>
          <w:sz w:val="20"/>
          <w:szCs w:val="20"/>
          <w:color w:val="auto"/>
        </w:rPr>
      </w:pPr>
      <w:r>
        <w:rPr>
          <w:rFonts w:ascii="Arial" w:cs="Arial" w:eastAsia="Arial" w:hAnsi="Arial"/>
          <w:sz w:val="17"/>
          <w:szCs w:val="17"/>
          <w:color w:val="auto"/>
        </w:rPr>
        <w:t>DTE Energy Handleman Company</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81</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auto"/>
        </w:rPr>
        <w:t>Mr. Miller is the retired chair and chief executive officer of Comerica Incorporated and Comerica Bank, a financial services company operating principally in Michigan, Texas, California, Arizona and Florida. He served as chief executive officer from 1993 to 2002 prior to which time he held various positions of increasing responsibilities including president and chief administrative officer, chief financial officer, and chief investment officer. He started with the company in 1955.</w:t>
      </w:r>
    </w:p>
    <w:p>
      <w:pPr>
        <w:spacing w:after="0" w:line="192"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Mr. Miller has led many Detroit community organizations serving as chair of the Community Foundation of Southeast Michigan, the United Way of Southeast Michigan, the McGregor Fund, Detroit Renaissance, the Detroit Medical Center and the Cranbrook Educational Community.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18"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Mr. Miller has extensive knowledge and expertise in management, finance, acquisitions and divestitures, and executive compensation matters related to public companies. His experiences serving as chair and chief executive officer of Comerica Incorporated and as a public company director also provide him with subject matter expertise in risk management, finance and professional standards.</w:t>
      </w:r>
    </w:p>
    <w:p>
      <w:pPr>
        <w:spacing w:after="0" w:line="1289" w:lineRule="exact"/>
        <w:rPr>
          <w:sz w:val="20"/>
          <w:szCs w:val="20"/>
          <w:color w:val="auto"/>
        </w:rPr>
      </w:pPr>
    </w:p>
    <w:p>
      <w:pPr>
        <w:sectPr>
          <w:pgSz w:w="11900" w:h="16838" w:orient="portrait"/>
          <w:cols w:equalWidth="0" w:num="2">
            <w:col w:w="2040" w:space="380"/>
            <w:col w:w="7140"/>
          </w:cols>
          <w:pgMar w:left="1180" w:top="279" w:right="115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ind w:left="7220"/>
        <w:spacing w:after="0"/>
        <w:tabs>
          <w:tab w:leader="none" w:pos="9140" w:val="left"/>
          <w:tab w:leader="none" w:pos="9440" w:val="left"/>
        </w:tabs>
        <w:rPr>
          <w:sz w:val="20"/>
          <w:szCs w:val="20"/>
          <w:color w:val="auto"/>
        </w:rPr>
      </w:pPr>
      <w:r>
        <w:rPr>
          <w:rFonts w:ascii="Arial" w:cs="Arial" w:eastAsia="Arial" w:hAnsi="Arial"/>
          <w:sz w:val="18"/>
          <w:szCs w:val="18"/>
          <w:i w:val="1"/>
          <w:iCs w:val="1"/>
          <w:color w:val="auto"/>
        </w:rPr>
        <w:t>2019 Proxy Statement</w:t>
      </w:r>
      <w:r>
        <w:rPr>
          <w:sz w:val="20"/>
          <w:szCs w:val="20"/>
          <w:color w:val="auto"/>
        </w:rPr>
        <w:tab/>
      </w:r>
      <w:r>
        <w:rPr>
          <w:rFonts w:ascii="Arial" w:cs="Arial" w:eastAsia="Arial" w:hAnsi="Arial"/>
          <w:sz w:val="22"/>
          <w:szCs w:val="22"/>
          <w:b w:val="1"/>
          <w:bCs w:val="1"/>
          <w:color w:val="000562"/>
        </w:rPr>
        <w:t>I</w:t>
      </w:r>
      <w:r>
        <w:rPr>
          <w:sz w:val="20"/>
          <w:szCs w:val="20"/>
          <w:color w:val="auto"/>
        </w:rPr>
        <w:tab/>
      </w:r>
      <w:r>
        <w:rPr>
          <w:rFonts w:ascii="Arial" w:cs="Arial" w:eastAsia="Arial" w:hAnsi="Arial"/>
          <w:sz w:val="17"/>
          <w:szCs w:val="17"/>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11" w:name="page12"/>
    <w:bookmarkEnd w:id="1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000562"/>
        </w:rPr>
        <w:t>TriMas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153035</wp:posOffset>
            </wp:positionV>
            <wp:extent cx="6071870" cy="41421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71870" cy="4142105"/>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Herbert K. Parker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Current Directorships: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Apogee Enterprises,</w:t>
      </w:r>
    </w:p>
    <w:p>
      <w:pPr>
        <w:ind w:left="260"/>
        <w:spacing w:after="0" w:line="234" w:lineRule="auto"/>
        <w:rPr>
          <w:sz w:val="20"/>
          <w:szCs w:val="20"/>
          <w:color w:val="auto"/>
        </w:rPr>
      </w:pPr>
      <w:r>
        <w:rPr>
          <w:rFonts w:ascii="Arial" w:cs="Arial" w:eastAsia="Arial" w:hAnsi="Arial"/>
          <w:sz w:val="18"/>
          <w:szCs w:val="18"/>
          <w:color w:val="auto"/>
        </w:rPr>
        <w:t>Inc.</w:t>
      </w:r>
    </w:p>
    <w:p>
      <w:pPr>
        <w:spacing w:after="0" w:line="1" w:lineRule="exact"/>
        <w:rPr>
          <w:sz w:val="20"/>
          <w:szCs w:val="20"/>
          <w:color w:val="auto"/>
        </w:rPr>
      </w:pPr>
    </w:p>
    <w:p>
      <w:pPr>
        <w:ind w:left="120" w:right="540"/>
        <w:spacing w:after="0" w:line="248" w:lineRule="auto"/>
        <w:rPr>
          <w:sz w:val="20"/>
          <w:szCs w:val="20"/>
          <w:color w:val="auto"/>
        </w:rPr>
      </w:pPr>
      <w:r>
        <w:rPr>
          <w:rFonts w:ascii="Arial" w:cs="Arial" w:eastAsia="Arial" w:hAnsi="Arial"/>
          <w:sz w:val="17"/>
          <w:szCs w:val="17"/>
          <w:color w:val="auto"/>
        </w:rPr>
        <w:t>nVent Electric plc American Axle</w:t>
      </w:r>
    </w:p>
    <w:p>
      <w:pPr>
        <w:spacing w:after="0" w:line="1" w:lineRule="exact"/>
        <w:rPr>
          <w:sz w:val="20"/>
          <w:szCs w:val="20"/>
          <w:color w:val="auto"/>
        </w:rPr>
      </w:pPr>
    </w:p>
    <w:p>
      <w:pPr>
        <w:ind w:left="260" w:right="460" w:firstLine="5"/>
        <w:spacing w:after="0" w:line="246" w:lineRule="auto"/>
        <w:tabs>
          <w:tab w:leader="none" w:pos="4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Manufacturing Holdings,Inc.</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Former Directorships: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TMS International</w:t>
      </w:r>
    </w:p>
    <w:p>
      <w:pPr>
        <w:ind w:left="260"/>
        <w:spacing w:after="0"/>
        <w:rPr>
          <w:sz w:val="20"/>
          <w:szCs w:val="20"/>
          <w:color w:val="auto"/>
        </w:rPr>
      </w:pPr>
      <w:r>
        <w:rPr>
          <w:rFonts w:ascii="Arial" w:cs="Arial" w:eastAsia="Arial" w:hAnsi="Arial"/>
          <w:sz w:val="18"/>
          <w:szCs w:val="18"/>
          <w:color w:val="auto"/>
        </w:rPr>
        <w:t>Corporation</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2015</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Mr. Parker is the retired executive vice president – operational excellence of Harman International Industries, Inc., a worldwide leader in the development, manufacture and marketing of high quality, high-fidelity audio products, lighting solutions and electronic systems. Mr. Parker joined Harman International in June 2008 as executive vice president and chief financial officer, and held the position of executive vice president - operational excellence from January 2015 through March 2016. Previously, Mr. Parker served in various senior financial positions with ABB Ltd. (known as ABB Group), a global power and technology company, from 1980 to 2006, including as the chief financial officer of the global automation division from 2002 to 2005 and the Americas region from 2006 to 2008. Mr. Parker began his career as a staff accountant with C-E Systems. Additionally, Mr. Parker currently serves as board chair of the Stamford, CT YMCA.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Mr. Parker has extensive experience in financial reporting, accounting and Sarbanes-Oxley compliance for public companies. His experience serving as a financial executive with multiple public companies provides him with subject matter expertise in acquisitions (including the integration process) and divestitures, capital asset allocation, restructuring and realigning operational functions and other areas of risk oversight. Due to Mr. Parker’s non-U.S. based professional assignments, he has significant experience in international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-1536065</wp:posOffset>
            </wp:positionH>
            <wp:positionV relativeFrom="paragraph">
              <wp:posOffset>1424940</wp:posOffset>
            </wp:positionV>
            <wp:extent cx="6071870" cy="33705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71870" cy="3370580"/>
                    </a:xfrm>
                    <a:prstGeom prst="rect">
                      <a:avLst/>
                    </a:prstGeom>
                    <a:noFill/>
                  </pic:spPr>
                </pic:pic>
              </a:graphicData>
            </a:graphic>
          </wp:anchor>
        </w:drawing>
      </w:r>
    </w:p>
    <w:p>
      <w:pPr>
        <w:spacing w:after="0" w:line="1844" w:lineRule="exact"/>
        <w:rPr>
          <w:sz w:val="20"/>
          <w:szCs w:val="20"/>
          <w:color w:val="auto"/>
        </w:rPr>
      </w:pPr>
    </w:p>
    <w:p>
      <w:pPr>
        <w:sectPr>
          <w:pgSz w:w="11900" w:h="16838" w:orient="portrait"/>
          <w:cols w:equalWidth="0" w:num="2">
            <w:col w:w="2040" w:space="380"/>
            <w:col w:w="7020"/>
          </w:cols>
          <w:pgMar w:left="1180" w:top="279" w:right="127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Nick L. Stanage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Current Directorships:</w:t>
      </w:r>
    </w:p>
    <w:p>
      <w:pPr>
        <w:spacing w:after="0" w:line="29" w:lineRule="exact"/>
        <w:rPr>
          <w:sz w:val="20"/>
          <w:szCs w:val="20"/>
          <w:color w:val="auto"/>
        </w:rPr>
      </w:pPr>
    </w:p>
    <w:p>
      <w:pPr>
        <w:ind w:left="120" w:right="40"/>
        <w:spacing w:after="0" w:line="373" w:lineRule="auto"/>
        <w:rPr>
          <w:sz w:val="20"/>
          <w:szCs w:val="20"/>
          <w:color w:val="auto"/>
        </w:rPr>
      </w:pPr>
      <w:r>
        <w:rPr>
          <w:rFonts w:ascii="Arial" w:cs="Arial" w:eastAsia="Arial" w:hAnsi="Arial"/>
          <w:sz w:val="17"/>
          <w:szCs w:val="17"/>
          <w:color w:val="auto"/>
        </w:rPr>
        <w:t xml:space="preserve">Hexcel Corporation </w:t>
      </w:r>
      <w:r>
        <w:rPr>
          <w:rFonts w:ascii="Arial" w:cs="Arial" w:eastAsia="Arial" w:hAnsi="Arial"/>
          <w:sz w:val="17"/>
          <w:szCs w:val="17"/>
          <w:b w:val="1"/>
          <w:bCs w:val="1"/>
          <w:color w:val="auto"/>
        </w:rPr>
        <w:t>Former Directorships:</w:t>
      </w:r>
    </w:p>
    <w:p>
      <w:pPr>
        <w:ind w:left="12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November 2009, Mr. Stanage joined Hexcel Corporation, a worldwide manufacturer of advanced material solutions, carbon fiber, reinforcement fabrics and tooling materials, as president. In 2012, he became chief operating officer and in 2013 he was appointed chief executive officer. Prior to joining Hexcel, Mr. Stanage served as president of the heavy vehicle products group at Dana Holding Corporation, a manufacturer of high quality automotive product solutions, from 2005 to 2009. From 1986 to 2005, Mr. Stanage held positions of increasing responsibility in engineering, operations and marketing with Honeywell Inc. (formerly AlliedSignal Inc.), a provider of energy, chemical and mechanical technology solutions.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Mr. Stanage brings extensive knowledge and experience in the aerospace industry, executive leadership, and operational and management issues relevant to manufacturing environments. He has subject matter expertise in global restructuring, program and project management, customer relationship management, production and executive compensation.</w:t>
      </w:r>
    </w:p>
    <w:p>
      <w:pPr>
        <w:spacing w:after="0" w:line="1641" w:lineRule="exact"/>
        <w:rPr>
          <w:sz w:val="20"/>
          <w:szCs w:val="20"/>
          <w:color w:val="auto"/>
        </w:rPr>
      </w:pPr>
    </w:p>
    <w:p>
      <w:pPr>
        <w:sectPr>
          <w:pgSz w:w="11900" w:h="16838" w:orient="portrait"/>
          <w:cols w:equalWidth="0" w:num="2">
            <w:col w:w="2040" w:space="380"/>
            <w:col w:w="7020"/>
          </w:cols>
          <w:pgMar w:left="1180" w:top="279" w:right="127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ind w:left="260" w:hanging="249"/>
        <w:spacing w:after="0"/>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22"/>
          <w:szCs w:val="22"/>
          <w:b w:val="1"/>
          <w:bCs w:val="1"/>
          <w:color w:val="000562"/>
        </w:rPr>
        <w:t xml:space="preserve">I </w:t>
      </w:r>
      <w:r>
        <w:rPr>
          <w:rFonts w:ascii="Arial" w:cs="Arial" w:eastAsia="Arial" w:hAnsi="Arial"/>
          <w:sz w:val="18"/>
          <w:szCs w:val="18"/>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07187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type w:val="continuous"/>
        </w:sectPr>
      </w:pPr>
    </w:p>
    <w:bookmarkStart w:id="12" w:name="page13"/>
    <w:bookmarkEnd w:id="1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0562"/>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071870" cy="42710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71870" cy="427101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Daniel P. Tredwell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Current Directorships:</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ind w:left="120" w:right="40"/>
        <w:spacing w:after="0" w:line="254" w:lineRule="auto"/>
        <w:rPr>
          <w:sz w:val="20"/>
          <w:szCs w:val="20"/>
          <w:color w:val="auto"/>
        </w:rPr>
      </w:pPr>
      <w:r>
        <w:rPr>
          <w:rFonts w:ascii="Arial" w:cs="Arial" w:eastAsia="Arial" w:hAnsi="Arial"/>
          <w:sz w:val="17"/>
          <w:szCs w:val="17"/>
          <w:b w:val="1"/>
          <w:bCs w:val="1"/>
          <w:color w:val="auto"/>
        </w:rPr>
        <w:t xml:space="preserve">Former Directorships: </w:t>
      </w:r>
      <w:r>
        <w:rPr>
          <w:rFonts w:ascii="Arial" w:cs="Arial" w:eastAsia="Arial" w:hAnsi="Arial"/>
          <w:sz w:val="17"/>
          <w:szCs w:val="17"/>
          <w:color w:val="auto"/>
        </w:rPr>
        <w:t>Springs Industries, Inc. Metaldyne Corporation Asahi Tec Corporation Companhia de Tecidos</w:t>
      </w:r>
    </w:p>
    <w:p>
      <w:pPr>
        <w:spacing w:after="0" w:line="1" w:lineRule="exact"/>
        <w:rPr>
          <w:sz w:val="20"/>
          <w:szCs w:val="20"/>
          <w:color w:val="auto"/>
        </w:rPr>
      </w:pPr>
    </w:p>
    <w:p>
      <w:pPr>
        <w:ind w:left="260" w:right="520"/>
        <w:spacing w:after="0" w:line="234" w:lineRule="auto"/>
        <w:rPr>
          <w:sz w:val="20"/>
          <w:szCs w:val="20"/>
          <w:color w:val="auto"/>
        </w:rPr>
      </w:pPr>
      <w:r>
        <w:rPr>
          <w:rFonts w:ascii="Arial" w:cs="Arial" w:eastAsia="Arial" w:hAnsi="Arial"/>
          <w:sz w:val="18"/>
          <w:szCs w:val="18"/>
          <w:color w:val="auto"/>
        </w:rPr>
        <w:t>Norte De Minas (Coteminas)</w:t>
      </w:r>
    </w:p>
    <w:p>
      <w:pPr>
        <w:spacing w:after="0" w:line="2" w:lineRule="exact"/>
        <w:rPr>
          <w:sz w:val="20"/>
          <w:szCs w:val="20"/>
          <w:color w:val="auto"/>
        </w:rPr>
      </w:pPr>
    </w:p>
    <w:p>
      <w:pPr>
        <w:ind w:left="260" w:right="300" w:hanging="149"/>
        <w:spacing w:after="0" w:line="246" w:lineRule="auto"/>
        <w:rPr>
          <w:sz w:val="20"/>
          <w:szCs w:val="20"/>
          <w:color w:val="auto"/>
        </w:rPr>
      </w:pPr>
      <w:r>
        <w:rPr>
          <w:rFonts w:ascii="Arial" w:cs="Arial" w:eastAsia="Arial" w:hAnsi="Arial"/>
          <w:sz w:val="18"/>
          <w:szCs w:val="18"/>
          <w:color w:val="auto"/>
        </w:rPr>
        <w:t>Springs Global Participações S.A.</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2002</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Mr. Tredwell is one of the co-founders and, since 2009, the managing member of CoveView Advisors LLC, an independent financial advisory firm, and CoveView Capital LLC, a credit opportunities investment fund. He also served as managing member of Heartland Industrial Partners, L.P., an investment firm, since 2006. He has three decades of private equity and investment banking experience. Mr. Tredwell served as a managing director at Chase Securities Inc., an investment banking, security brokerage and dealership service company (and predecessor of J.P. Morgan Securities, Inc.), until 1999 and had been with Chase Securities since 1985.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18"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Mr. Tredwell has extensive knowledge and subject matter expertise in corporate strategy, finance, banking, acquisitions and divestitures, economics, asset management and business development. Through his former membership on the board of directors of several global corporations (including as the chair of audit and compensation committees), Mr. Tredwell also brings expertise in risk management, executive compensation, crisis management, corporate oversight and audit.</w:t>
      </w:r>
    </w:p>
    <w:p>
      <w:pPr>
        <w:spacing w:after="0" w:line="3075" w:lineRule="exact"/>
        <w:rPr>
          <w:sz w:val="20"/>
          <w:szCs w:val="20"/>
          <w:color w:val="auto"/>
        </w:rPr>
      </w:pPr>
    </w:p>
    <w:p>
      <w:pPr>
        <w:sectPr>
          <w:pgSz w:w="11900" w:h="16838" w:orient="portrait"/>
          <w:cols w:equalWidth="0" w:num="2">
            <w:col w:w="2040" w:space="380"/>
            <w:col w:w="7140"/>
          </w:cols>
          <w:pgMar w:left="1180" w:top="279" w:right="115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ind w:left="7220"/>
        <w:spacing w:after="0"/>
        <w:tabs>
          <w:tab w:leader="none" w:pos="9140" w:val="left"/>
          <w:tab w:leader="none" w:pos="9440" w:val="left"/>
        </w:tabs>
        <w:rPr>
          <w:sz w:val="20"/>
          <w:szCs w:val="20"/>
          <w:color w:val="auto"/>
        </w:rPr>
      </w:pPr>
      <w:r>
        <w:rPr>
          <w:rFonts w:ascii="Arial" w:cs="Arial" w:eastAsia="Arial" w:hAnsi="Arial"/>
          <w:sz w:val="18"/>
          <w:szCs w:val="18"/>
          <w:i w:val="1"/>
          <w:iCs w:val="1"/>
          <w:color w:val="auto"/>
        </w:rPr>
        <w:t>2019 Proxy Statement</w:t>
      </w:r>
      <w:r>
        <w:rPr>
          <w:sz w:val="20"/>
          <w:szCs w:val="20"/>
          <w:color w:val="auto"/>
        </w:rPr>
        <w:tab/>
      </w:r>
      <w:r>
        <w:rPr>
          <w:rFonts w:ascii="Arial" w:cs="Arial" w:eastAsia="Arial" w:hAnsi="Arial"/>
          <w:sz w:val="22"/>
          <w:szCs w:val="22"/>
          <w:b w:val="1"/>
          <w:bCs w:val="1"/>
          <w:color w:val="000562"/>
        </w:rPr>
        <w:t>I</w:t>
      </w:r>
      <w:r>
        <w:rPr>
          <w:sz w:val="20"/>
          <w:szCs w:val="20"/>
          <w:color w:val="auto"/>
        </w:rPr>
        <w:tab/>
      </w:r>
      <w:r>
        <w:rPr>
          <w:rFonts w:ascii="Arial" w:cs="Arial" w:eastAsia="Arial" w:hAnsi="Arial"/>
          <w:sz w:val="17"/>
          <w:szCs w:val="17"/>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07187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13" w:name="page14"/>
    <w:bookmarkEnd w:id="1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color w:val="000562"/>
        </w:rPr>
        <w:t>TriMas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153035</wp:posOffset>
            </wp:positionV>
            <wp:extent cx="6071870" cy="40132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71870" cy="401320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Samuel Valenti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Current Directorships:</w:t>
      </w:r>
    </w:p>
    <w:p>
      <w:pPr>
        <w:spacing w:after="0" w:line="29" w:lineRule="exact"/>
        <w:rPr>
          <w:sz w:val="20"/>
          <w:szCs w:val="20"/>
          <w:color w:val="auto"/>
        </w:rPr>
      </w:pPr>
    </w:p>
    <w:p>
      <w:pPr>
        <w:jc w:val="right"/>
        <w:ind w:left="120" w:right="600"/>
        <w:spacing w:after="0"/>
        <w:rPr>
          <w:sz w:val="20"/>
          <w:szCs w:val="20"/>
          <w:color w:val="auto"/>
        </w:rPr>
      </w:pPr>
      <w:r>
        <w:rPr>
          <w:rFonts w:ascii="Arial" w:cs="Arial" w:eastAsia="Arial" w:hAnsi="Arial"/>
          <w:sz w:val="18"/>
          <w:szCs w:val="18"/>
          <w:color w:val="auto"/>
        </w:rPr>
        <w:t>American Axle &amp; Manufacturing Holdings, Inc.</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Former Directorships: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Horizon Global</w:t>
      </w:r>
    </w:p>
    <w:p>
      <w:pPr>
        <w:ind w:left="260"/>
        <w:spacing w:after="0" w:line="234" w:lineRule="auto"/>
        <w:rPr>
          <w:sz w:val="20"/>
          <w:szCs w:val="20"/>
          <w:color w:val="auto"/>
        </w:rPr>
      </w:pPr>
      <w:r>
        <w:rPr>
          <w:rFonts w:ascii="Arial" w:cs="Arial" w:eastAsia="Arial" w:hAnsi="Arial"/>
          <w:sz w:val="18"/>
          <w:szCs w:val="18"/>
          <w:color w:val="auto"/>
        </w:rPr>
        <w:t>Corporation</w:t>
      </w:r>
    </w:p>
    <w:p>
      <w:pPr>
        <w:ind w:left="120"/>
        <w:spacing w:after="0" w:line="235" w:lineRule="auto"/>
        <w:rPr>
          <w:sz w:val="20"/>
          <w:szCs w:val="20"/>
          <w:color w:val="auto"/>
        </w:rPr>
      </w:pPr>
      <w:r>
        <w:rPr>
          <w:rFonts w:ascii="Arial" w:cs="Arial" w:eastAsia="Arial" w:hAnsi="Arial"/>
          <w:sz w:val="18"/>
          <w:szCs w:val="18"/>
          <w:color w:val="auto"/>
        </w:rPr>
        <w:t>Masco Capital</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Corporation</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73</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2002</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Mr. Valenti is currently chair and chief executive officer of Valenti Capital LLC. Mr. Valenti was employed by Masco Corporation, a home improvement and building products manufacturer, from 1968 through 2008. From 1988 through 2008, Mr. Valenti was president of Masco Capital Corporation, and was vice president-investments of Masco Corporation from 1974 to 1998.</w:t>
      </w:r>
    </w:p>
    <w:p>
      <w:pPr>
        <w:spacing w:after="0" w:line="189"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Mr. Valenti is the former chair of the investment advisory committee of the State of Michigan retirement system and served on the Harvard Business School Advisory Council. He currently serves on the advisory council at the University of Notre Dame and the advisory board at the University of Michigan Business School Zell-Lurie Institute. Mr. Valenti is a member of Business Leaders for Michigan and serves as chair of the Renaissance Venture Capital Fund.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chair of the Company’s board since 2002 and as an executive of Masco for 40 years, Mr. Valenti has extensive knowledge and expertise in the management of diversified manufacturing businesses and subject matter expertise in the areas of finance, economics, acquisitions and divestitures, corporate governance and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-1536065</wp:posOffset>
            </wp:positionH>
            <wp:positionV relativeFrom="paragraph">
              <wp:posOffset>1552575</wp:posOffset>
            </wp:positionV>
            <wp:extent cx="6071870" cy="5657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71870" cy="565785"/>
                    </a:xfrm>
                    <a:prstGeom prst="rect">
                      <a:avLst/>
                    </a:prstGeom>
                    <a:noFill/>
                  </pic:spPr>
                </pic:pic>
              </a:graphicData>
            </a:graphic>
          </wp:anchor>
        </w:drawing>
      </w:r>
    </w:p>
    <w:p>
      <w:pPr>
        <w:spacing w:after="0" w:line="2059" w:lineRule="exact"/>
        <w:rPr>
          <w:sz w:val="20"/>
          <w:szCs w:val="20"/>
          <w:color w:val="auto"/>
        </w:rPr>
      </w:pPr>
    </w:p>
    <w:p>
      <w:pPr>
        <w:sectPr>
          <w:pgSz w:w="11900" w:h="16838" w:orient="portrait"/>
          <w:cols w:equalWidth="0" w:num="2">
            <w:col w:w="2040" w:space="380"/>
            <w:col w:w="7020"/>
          </w:cols>
          <w:pgMar w:left="1180" w:top="279" w:right="1279" w:bottom="1440" w:gutter="0" w:footer="0" w:header="0"/>
          <w:type w:val="continuous"/>
        </w:sectPr>
      </w:pP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Board Skills Legend</w:t>
      </w:r>
    </w:p>
    <w:p>
      <w:pPr>
        <w:spacing w:after="0" w:line="200" w:lineRule="exact"/>
        <w:rPr>
          <w:sz w:val="20"/>
          <w:szCs w:val="20"/>
          <w:color w:val="auto"/>
        </w:rPr>
      </w:pPr>
    </w:p>
    <w:p>
      <w:pPr>
        <w:spacing w:after="0" w:line="288" w:lineRule="exact"/>
        <w:rPr>
          <w:sz w:val="20"/>
          <w:szCs w:val="20"/>
          <w:color w:val="auto"/>
        </w:rPr>
      </w:pPr>
    </w:p>
    <w:p>
      <w:pPr>
        <w:ind w:left="360"/>
        <w:spacing w:after="0"/>
        <w:tabs>
          <w:tab w:leader="none" w:pos="1920" w:val="left"/>
          <w:tab w:leader="none" w:pos="3460" w:val="left"/>
          <w:tab w:leader="none" w:pos="5060" w:val="left"/>
          <w:tab w:leader="none" w:pos="6200" w:val="left"/>
          <w:tab w:leader="none" w:pos="8620" w:val="left"/>
        </w:tabs>
        <w:rPr>
          <w:sz w:val="20"/>
          <w:szCs w:val="20"/>
          <w:color w:val="auto"/>
        </w:rPr>
      </w:pPr>
      <w:r>
        <w:rPr>
          <w:rFonts w:ascii="Arial" w:cs="Arial" w:eastAsia="Arial" w:hAnsi="Arial"/>
          <w:sz w:val="15"/>
          <w:szCs w:val="15"/>
          <w:color w:val="auto"/>
        </w:rPr>
        <w:t>CEO Experience</w:t>
      </w:r>
      <w:r>
        <w:rPr>
          <w:sz w:val="20"/>
          <w:szCs w:val="20"/>
          <w:color w:val="auto"/>
        </w:rPr>
        <w:tab/>
      </w:r>
      <w:r>
        <w:rPr>
          <w:rFonts w:ascii="Arial" w:cs="Arial" w:eastAsia="Arial" w:hAnsi="Arial"/>
          <w:sz w:val="15"/>
          <w:szCs w:val="15"/>
          <w:color w:val="auto"/>
        </w:rPr>
        <w:t>Manufacturing</w:t>
      </w:r>
      <w:r>
        <w:rPr>
          <w:sz w:val="20"/>
          <w:szCs w:val="20"/>
          <w:color w:val="auto"/>
        </w:rPr>
        <w:tab/>
      </w:r>
      <w:r>
        <w:rPr>
          <w:rFonts w:ascii="Arial" w:cs="Arial" w:eastAsia="Arial" w:hAnsi="Arial"/>
          <w:sz w:val="15"/>
          <w:szCs w:val="15"/>
          <w:color w:val="auto"/>
        </w:rPr>
        <w:t>Global Business</w:t>
      </w:r>
      <w:r>
        <w:rPr>
          <w:sz w:val="20"/>
          <w:szCs w:val="20"/>
          <w:color w:val="auto"/>
        </w:rPr>
        <w:tab/>
      </w:r>
      <w:r>
        <w:rPr>
          <w:rFonts w:ascii="Arial" w:cs="Arial" w:eastAsia="Arial" w:hAnsi="Arial"/>
          <w:sz w:val="15"/>
          <w:szCs w:val="15"/>
          <w:color w:val="auto"/>
        </w:rPr>
        <w:t>Strategy</w:t>
      </w:r>
      <w:r>
        <w:rPr>
          <w:sz w:val="20"/>
          <w:szCs w:val="20"/>
          <w:color w:val="auto"/>
        </w:rPr>
        <w:tab/>
      </w:r>
      <w:r>
        <w:rPr>
          <w:rFonts w:ascii="Arial" w:cs="Arial" w:eastAsia="Arial" w:hAnsi="Arial"/>
          <w:sz w:val="15"/>
          <w:szCs w:val="15"/>
          <w:color w:val="auto"/>
        </w:rPr>
        <w:t>Engineering and Innovation</w:t>
      </w:r>
      <w:r>
        <w:rPr>
          <w:sz w:val="20"/>
          <w:szCs w:val="20"/>
          <w:color w:val="auto"/>
        </w:rPr>
        <w:tab/>
      </w:r>
      <w:r>
        <w:rPr>
          <w:rFonts w:ascii="Arial" w:cs="Arial" w:eastAsia="Arial" w:hAnsi="Arial"/>
          <w:sz w:val="15"/>
          <w:szCs w:val="15"/>
          <w:color w:val="auto"/>
        </w:rPr>
        <w:t>Finance</w:t>
      </w:r>
    </w:p>
    <w:p>
      <w:pPr>
        <w:spacing w:after="0" w:line="217" w:lineRule="exact"/>
        <w:rPr>
          <w:sz w:val="20"/>
          <w:szCs w:val="20"/>
          <w:color w:val="auto"/>
        </w:rPr>
      </w:pPr>
    </w:p>
    <w:p>
      <w:pPr>
        <w:ind w:left="260" w:hanging="249"/>
        <w:spacing w:after="0"/>
        <w:tabs>
          <w:tab w:leader="none" w:pos="260" w:val="left"/>
        </w:tabs>
        <w:numPr>
          <w:ilvl w:val="0"/>
          <w:numId w:val="13"/>
        </w:numPr>
        <w:rPr>
          <w:rFonts w:ascii="Arial" w:cs="Arial" w:eastAsia="Arial" w:hAnsi="Arial"/>
          <w:sz w:val="18"/>
          <w:szCs w:val="18"/>
          <w:b w:val="1"/>
          <w:bCs w:val="1"/>
          <w:color w:val="auto"/>
        </w:rPr>
      </w:pPr>
      <w:r>
        <w:rPr>
          <w:rFonts w:ascii="Arial" w:cs="Arial" w:eastAsia="Arial" w:hAnsi="Arial"/>
          <w:sz w:val="22"/>
          <w:szCs w:val="22"/>
          <w:b w:val="1"/>
          <w:bCs w:val="1"/>
          <w:color w:val="000562"/>
        </w:rPr>
        <w:t xml:space="preserve">I </w:t>
      </w:r>
      <w:r>
        <w:rPr>
          <w:rFonts w:ascii="Arial" w:cs="Arial" w:eastAsia="Arial" w:hAnsi="Arial"/>
          <w:sz w:val="18"/>
          <w:szCs w:val="18"/>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07187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type w:val="continuous"/>
        </w:sectPr>
      </w:pPr>
    </w:p>
    <w:bookmarkStart w:id="14" w:name="page15"/>
    <w:bookmarkEnd w:id="1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0562"/>
        </w:rPr>
        <w:t>PROPOSAL 1 – ELECTION OF DIRECTORS</w:t>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The Board of Directors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0718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Since June 2002, the Company has separated the roles of the Board chair and chief executive officer. Mr. Valenti has served as Board chair since 2002 and has been an independent director since November 2008.</w:t>
      </w:r>
    </w:p>
    <w:p>
      <w:pPr>
        <w:spacing w:after="0" w:line="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of Directors Risk Management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0718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part of its oversight function, the Board monitors how management operates the Company, in part via its committee structure. When granting authority to management, approving strategies, and receiving management reports, the Board considers, among other things, the risks and vulnerabilities the Company faces. The Audit Committee considers risk issues associated with the Company’s overall financial reporting, disclosure process and legal compliance, as well as reviewing policies on risk control assessment and accounting risk exposure. In addition to its regularly scheduled meetings, the Audit Committee meets with the corporate audit team and the independent registered public accounting firm in executive sessions at least quarterly, and with the general counsel and chief compliance officer as determined from time to time by the Audit Committee. The Compensation Committee and the Governance and Nominating Committee each considers risk issues associated with the substantive matters addressed by the committee.</w:t>
      </w:r>
    </w:p>
    <w:p>
      <w:pPr>
        <w:spacing w:after="0" w:line="1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2018, the Board consisted of eight directors until Jeffrey M. Greene joined the Board on December 12, 2018, at which time there were nine directors. During 2018, the Board held nine meetings, the Audit Committee held five meetings, the Compensation Committee held three meetings, and the Governance and Nominating Committee held six meetings.</w:t>
      </w:r>
    </w:p>
    <w:p>
      <w:pPr>
        <w:spacing w:after="0" w:line="8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0718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noted above, the Company’s Board of Directors currently consists of nine directors, divided into three classes equal in number. The members of each class serve for staggered, three-year terms. Upon the expiration of the term of a class of directors, directors in that class may be asked to stand for re-election for a three-year term at the annual meeting in the year in which their term expires.</w:t>
      </w:r>
    </w:p>
    <w:p>
      <w:pPr>
        <w:spacing w:after="0" w:line="9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in the case of Mr. Greene, any additional directorships resulting from an increase in the number of directors will be distributed among the three classes so that, as nearly as possible, each class will consist of one-third of the Company’s directors.</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Board has determined, after considering all of the relevant facts and circumstances, that Messrs. Gabrys, Greene, Miller, Parker, Stanage, Tredwell and Valenti, and Ms. Gougarty are “independent” from management in accordance with the Nasdaq listing standards and the Company’s Corporate Governance Guidelines. To be considered independent, the Board must determine that a director does not have any direct or indirect material relationships with the Company and must meet the criteria for independence set forth in the Company’s Corporate Governance Guidelines. With respect to Mr. Valenti who during a portion of 2018 also served as a member of the board of directors of Horizon Global Corporation (“Horizon”) , which was a subsidiary of the Company that became an independent public company pursuant to a spin-off that was effective as of June 30, 2015, the Board determined that his prior service on the board of directors of Horizon does not impair his independence after giving consideration to the transitional relationships between the companies that were put in place in connection with the spin-off, including pursuant to a Separation and Distribution Agreement, a Tax Sharing Agreement, an Employee Matters Agreement, a Transition Services Agreement and a Noncompetition and Nonsolicitation Agreement. With respect to Mr. Tredwell, the Board considered that the Company has agreed to pay certain fees related to an ongoing environmental matter to Heartland Industrial Partners, L.P. (in an amount less than $120,000).</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2018, all current directors attended at least 75%, in aggregate, of the meetings of the Board and all committees of the Board on which they served. All of the current directors who were serving on the Board at the time of the 2018 Annual Meeting of Shareholders attended the 2018 Annual Meeting. All directors are expected to attend all meetings, including the annual meeting. In addition to attending Board and committee</w:t>
      </w:r>
    </w:p>
    <w:p>
      <w:pPr>
        <w:spacing w:after="0" w:line="186" w:lineRule="exact"/>
        <w:rPr>
          <w:sz w:val="20"/>
          <w:szCs w:val="20"/>
          <w:color w:val="auto"/>
        </w:rPr>
      </w:pPr>
    </w:p>
    <w:p>
      <w:pPr>
        <w:ind w:left="7220"/>
        <w:spacing w:after="0"/>
        <w:tabs>
          <w:tab w:leader="none" w:pos="9140" w:val="left"/>
          <w:tab w:leader="none" w:pos="9440" w:val="left"/>
        </w:tabs>
        <w:rPr>
          <w:sz w:val="20"/>
          <w:szCs w:val="20"/>
          <w:color w:val="auto"/>
        </w:rPr>
      </w:pPr>
      <w:r>
        <w:rPr>
          <w:rFonts w:ascii="Arial" w:cs="Arial" w:eastAsia="Arial" w:hAnsi="Arial"/>
          <w:sz w:val="18"/>
          <w:szCs w:val="18"/>
          <w:i w:val="1"/>
          <w:iCs w:val="1"/>
          <w:color w:val="auto"/>
        </w:rPr>
        <w:t>2019 Proxy Statement</w:t>
      </w:r>
      <w:r>
        <w:rPr>
          <w:sz w:val="20"/>
          <w:szCs w:val="20"/>
          <w:color w:val="auto"/>
        </w:rPr>
        <w:tab/>
      </w:r>
      <w:r>
        <w:rPr>
          <w:rFonts w:ascii="Arial" w:cs="Arial" w:eastAsia="Arial" w:hAnsi="Arial"/>
          <w:sz w:val="22"/>
          <w:szCs w:val="22"/>
          <w:b w:val="1"/>
          <w:bCs w:val="1"/>
          <w:color w:val="000562"/>
        </w:rPr>
        <w:t>I</w:t>
      </w:r>
      <w:r>
        <w:rPr>
          <w:sz w:val="20"/>
          <w:szCs w:val="20"/>
          <w:color w:val="auto"/>
        </w:rPr>
        <w:tab/>
      </w:r>
      <w:r>
        <w:rPr>
          <w:rFonts w:ascii="Arial" w:cs="Arial" w:eastAsia="Arial" w:hAnsi="Arial"/>
          <w:sz w:val="17"/>
          <w:szCs w:val="17"/>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07187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000562"/>
        </w:rPr>
        <w:t>TriMas Corporation</w:t>
      </w:r>
    </w:p>
    <w:p>
      <w:pPr>
        <w:spacing w:after="0" w:line="2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meetings, directors fulfill their responsibilities by consulting with the president and chief executive officer and other members of management on matters that affect the Company.</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Independent directors hold regularly scheduled executive sessions in which independent directors meet without the presence of management. These executive sessions generally occur around regularly scheduled meetings of the Board. For information on how you can communicate with the Company’s non-management directors, see “Communicating with the Board.”</w:t>
      </w:r>
    </w:p>
    <w:p>
      <w:pPr>
        <w:spacing w:after="0" w:line="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000562"/>
        </w:rPr>
        <w:t>Audit Committee</w:t>
      </w:r>
      <w:r>
        <w:rPr>
          <w:rFonts w:ascii="Arial" w:cs="Arial" w:eastAsia="Arial" w:hAnsi="Arial"/>
          <w:sz w:val="18"/>
          <w:szCs w:val="18"/>
          <w:b w:val="1"/>
          <w:bCs w:val="1"/>
          <w:i w:val="1"/>
          <w:iCs w:val="1"/>
          <w:color w:val="000000"/>
        </w:rPr>
        <w:t>.</w:t>
      </w:r>
      <w:r>
        <w:rPr>
          <w:rFonts w:ascii="Arial" w:cs="Arial" w:eastAsia="Arial" w:hAnsi="Arial"/>
          <w:sz w:val="18"/>
          <w:szCs w:val="18"/>
          <w:b w:val="1"/>
          <w:bCs w:val="1"/>
          <w:i w:val="1"/>
          <w:iCs w:val="1"/>
          <w:color w:val="000562"/>
        </w:rPr>
        <w:t xml:space="preserve"> </w:t>
      </w:r>
      <w:r>
        <w:rPr>
          <w:rFonts w:ascii="Arial" w:cs="Arial" w:eastAsia="Arial" w:hAnsi="Arial"/>
          <w:sz w:val="18"/>
          <w:szCs w:val="18"/>
          <w:color w:val="000000"/>
        </w:rPr>
        <w:t>The Audit Committee is responsible for providing independent, objective oversight and review of the</w:t>
      </w:r>
      <w:r>
        <w:rPr>
          <w:rFonts w:ascii="Arial" w:cs="Arial" w:eastAsia="Arial" w:hAnsi="Arial"/>
          <w:sz w:val="18"/>
          <w:szCs w:val="18"/>
          <w:b w:val="1"/>
          <w:bCs w:val="1"/>
          <w:i w:val="1"/>
          <w:iCs w:val="1"/>
          <w:color w:val="000562"/>
        </w:rPr>
        <w:t xml:space="preserve"> </w:t>
      </w:r>
      <w:r>
        <w:rPr>
          <w:rFonts w:ascii="Arial" w:cs="Arial" w:eastAsia="Arial" w:hAnsi="Arial"/>
          <w:sz w:val="18"/>
          <w:szCs w:val="18"/>
          <w:color w:val="000000"/>
        </w:rPr>
        <w:t xml:space="preserve">Company’s auditing, accounting and financial reporting processes, including reviewing the audit results and monitoring the effectiveness of the Company’s internal audit function. In addition, the Audit Committee is responsible for (1) selecting the Company’s independent registered public accounting firm, (2) approving the overall scope of the audit, (3) assisting the Board in monitoring the integrity of the Company’s financial statements, the independent registered public accounting firm’s qualifications and independence, the performance of the Company’s independent registered public accounting firm and the Company’s internal audit function, and compliance with relevant legal and regulatory requirements, (4) annually reviewing the Company’s independent registered public accounting firm’s report describing the auditing firm’s internal quality control procedures and any material issues raised by the most recent internal quality control review, or peer review, of the auditing firm, (5) discussing the annual audited financial and quarterly statements with management and the independent registered public accounting firm, (6) discussing earnings press releases and any financial information or earnings guidance provided to analysts and rating agencies, (7) discussing policies with respect to risk assessment and risk management, (8) meeting separately and periodically, with management, internal auditors, and the independent registered public accounting firm, (9) reviewing with the independent auditor any audit problems or difficulties and management’s responses, (10) setting clear hiring policies for employees or former employees of the independent registered public accounting firm, (11) handling such other matters that are specifically delegated to the Audit Committee by applicable law or regulation or by the Board, and (12) reporting regularly to the full Board. See “Report of the Audit Committee.” The Audit Committee’s charter is available on the Company’s website, </w:t>
      </w:r>
      <w:r>
        <w:rPr>
          <w:rFonts w:ascii="Arial" w:cs="Arial" w:eastAsia="Arial" w:hAnsi="Arial"/>
          <w:sz w:val="18"/>
          <w:szCs w:val="18"/>
          <w:i w:val="1"/>
          <w:iCs w:val="1"/>
          <w:color w:val="000000"/>
        </w:rPr>
        <w:t>www.trimascorp.com</w:t>
      </w:r>
      <w:r>
        <w:rPr>
          <w:rFonts w:ascii="Arial" w:cs="Arial" w:eastAsia="Arial" w:hAnsi="Arial"/>
          <w:sz w:val="18"/>
          <w:szCs w:val="18"/>
          <w:color w:val="000000"/>
        </w:rPr>
        <w:t>, in the Corporate Governance subsection of the Investor page.</w:t>
      </w:r>
    </w:p>
    <w:p>
      <w:pPr>
        <w:spacing w:after="0" w:line="10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Each of the directors on the Audit Committee is financially literate. The Board has determined that each of Messrs. Gabrys, Miller, Parker and Tredwell qualifies as an “audit committee financial expert” within the meaning of Securities and Exchange Commission (“SEC”) regulations and that each member on the Audit Committee has the accounting and related financial management expertise required by the Nasdaq listing standards and that each is “independent” from management in accordance with Nasdaq listing standards and the Company’s Corporate Governance Guidelines.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000562"/>
        </w:rPr>
        <w:t>Compensation Committee</w:t>
      </w:r>
      <w:r>
        <w:rPr>
          <w:rFonts w:ascii="Arial" w:cs="Arial" w:eastAsia="Arial" w:hAnsi="Arial"/>
          <w:sz w:val="18"/>
          <w:szCs w:val="18"/>
          <w:b w:val="1"/>
          <w:bCs w:val="1"/>
          <w:i w:val="1"/>
          <w:iCs w:val="1"/>
          <w:color w:val="000000"/>
        </w:rPr>
        <w:t>.</w:t>
      </w:r>
      <w:r>
        <w:rPr>
          <w:rFonts w:ascii="Arial" w:cs="Arial" w:eastAsia="Arial" w:hAnsi="Arial"/>
          <w:sz w:val="18"/>
          <w:szCs w:val="18"/>
          <w:b w:val="1"/>
          <w:bCs w:val="1"/>
          <w:i w:val="1"/>
          <w:iCs w:val="1"/>
          <w:color w:val="000562"/>
        </w:rPr>
        <w:t xml:space="preserve"> </w:t>
      </w:r>
      <w:r>
        <w:rPr>
          <w:rFonts w:ascii="Arial" w:cs="Arial" w:eastAsia="Arial" w:hAnsi="Arial"/>
          <w:sz w:val="18"/>
          <w:szCs w:val="18"/>
          <w:color w:val="000000"/>
        </w:rPr>
        <w:t>The Compensation Committee is responsible for developing and maintaining the</w:t>
      </w:r>
      <w:r>
        <w:rPr>
          <w:rFonts w:ascii="Arial" w:cs="Arial" w:eastAsia="Arial" w:hAnsi="Arial"/>
          <w:sz w:val="18"/>
          <w:szCs w:val="18"/>
          <w:b w:val="1"/>
          <w:bCs w:val="1"/>
          <w:i w:val="1"/>
          <w:iCs w:val="1"/>
          <w:color w:val="000562"/>
        </w:rPr>
        <w:t xml:space="preserve"> </w:t>
      </w:r>
      <w:r>
        <w:rPr>
          <w:rFonts w:ascii="Arial" w:cs="Arial" w:eastAsia="Arial" w:hAnsi="Arial"/>
          <w:sz w:val="18"/>
          <w:szCs w:val="18"/>
          <w:color w:val="000000"/>
        </w:rPr>
        <w:t>Company’s compensation strategies and policies, including (1) reviewing and approving the Company’s overall executive and director compensation philosophy and the executive and director compensation programs to support the Company’s overall business strategy and objectives, (2) overseeing the management continuity and succession planning process (except as otherwise within the scope of the Governance and Nominating Committee) with respect to the Company’s officers, and (3) preparing any report on executive compensation required by the applicable rules and regulations of the SEC and other regulatory bodies.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Compensation Committee is responsible for monitoring and administering the Company’s compensation and employee benefit plans and reviewing, among other things, base salary levels, incentive awards and bonus awards for officers and key executives, and such other matters that are specifically delegated to the Compensation Committee by applicable law or regulation, or by the Board. The Compensation Committee’s charter reflects such responsibilities and is available on the Company’s website, </w:t>
      </w:r>
      <w:r>
        <w:rPr>
          <w:rFonts w:ascii="Arial" w:cs="Arial" w:eastAsia="Arial" w:hAnsi="Arial"/>
          <w:sz w:val="18"/>
          <w:szCs w:val="18"/>
          <w:i w:val="1"/>
          <w:iCs w:val="1"/>
          <w:color w:val="auto"/>
        </w:rPr>
        <w:t>www.trimascorp.com</w:t>
      </w:r>
      <w:r>
        <w:rPr>
          <w:rFonts w:ascii="Arial" w:cs="Arial" w:eastAsia="Arial" w:hAnsi="Arial"/>
          <w:sz w:val="18"/>
          <w:szCs w:val="18"/>
          <w:color w:val="auto"/>
        </w:rPr>
        <w:t>, in the Corporate Governance subsection of the Investors page. Each of the directors on the Compensation Committee is “independent” from management in accordance with Nasdaq listing standards (including those standards particular to Compensation Committee membership) and the</w:t>
      </w:r>
    </w:p>
    <w:p>
      <w:pPr>
        <w:spacing w:after="0" w:line="189" w:lineRule="exact"/>
        <w:rPr>
          <w:sz w:val="20"/>
          <w:szCs w:val="20"/>
          <w:color w:val="auto"/>
        </w:rPr>
      </w:pPr>
    </w:p>
    <w:p>
      <w:pPr>
        <w:ind w:left="360" w:hanging="349"/>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22"/>
          <w:szCs w:val="22"/>
          <w:b w:val="1"/>
          <w:bCs w:val="1"/>
          <w:color w:val="000562"/>
        </w:rPr>
        <w:t xml:space="preserve">I </w:t>
      </w:r>
      <w:r>
        <w:rPr>
          <w:rFonts w:ascii="Arial" w:cs="Arial" w:eastAsia="Arial" w:hAnsi="Arial"/>
          <w:sz w:val="18"/>
          <w:szCs w:val="18"/>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07187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5520"/>
        <w:spacing w:after="0"/>
        <w:rPr>
          <w:sz w:val="20"/>
          <w:szCs w:val="20"/>
          <w:color w:val="auto"/>
        </w:rPr>
      </w:pPr>
      <w:r>
        <w:rPr>
          <w:rFonts w:ascii="Arial" w:cs="Arial" w:eastAsia="Arial" w:hAnsi="Arial"/>
          <w:sz w:val="19"/>
          <w:szCs w:val="19"/>
          <w:b w:val="1"/>
          <w:bCs w:val="1"/>
          <w:color w:val="000562"/>
        </w:rPr>
        <w:t>PROPOSAL 1 – ELECTION OF DIRECTORS</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Company’s Corporate Governance Guidelines. </w:t>
      </w:r>
      <w:r>
        <w:rPr>
          <w:rFonts w:ascii="Arial" w:cs="Arial" w:eastAsia="Arial" w:hAnsi="Arial"/>
          <w:sz w:val="18"/>
          <w:szCs w:val="18"/>
          <w:i w:val="1"/>
          <w:iCs w:val="1"/>
          <w:color w:val="auto"/>
        </w:rPr>
        <w:t>See also “Compensation Discussion and Analysis - Role of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Committee.” </w:t>
      </w:r>
      <w:r>
        <w:rPr>
          <w:rFonts w:ascii="Arial" w:cs="Arial" w:eastAsia="Arial" w:hAnsi="Arial"/>
          <w:sz w:val="18"/>
          <w:szCs w:val="18"/>
          <w:color w:val="auto"/>
        </w:rPr>
        <w:t>The Compensation Committee is entitled to delegate certain of its responsibilities to</w:t>
      </w:r>
      <w:r>
        <w:rPr>
          <w:rFonts w:ascii="Arial" w:cs="Arial" w:eastAsia="Arial" w:hAnsi="Arial"/>
          <w:sz w:val="18"/>
          <w:szCs w:val="18"/>
          <w:i w:val="1"/>
          <w:iCs w:val="1"/>
          <w:color w:val="auto"/>
        </w:rPr>
        <w:t xml:space="preserve"> </w:t>
      </w:r>
      <w:r>
        <w:rPr>
          <w:rFonts w:ascii="Arial" w:cs="Arial" w:eastAsia="Arial" w:hAnsi="Arial"/>
          <w:sz w:val="18"/>
          <w:szCs w:val="18"/>
          <w:color w:val="auto"/>
        </w:rPr>
        <w:t>subcommittees of the Compensation Committee or other committees of the Board, subject to applicable law.</w:t>
      </w:r>
    </w:p>
    <w:p>
      <w:pPr>
        <w:spacing w:after="0" w:line="6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000562"/>
        </w:rPr>
        <w:t>Governance and Nominating Committee</w:t>
      </w:r>
      <w:r>
        <w:rPr>
          <w:rFonts w:ascii="Arial" w:cs="Arial" w:eastAsia="Arial" w:hAnsi="Arial"/>
          <w:sz w:val="18"/>
          <w:szCs w:val="18"/>
          <w:b w:val="1"/>
          <w:bCs w:val="1"/>
          <w:i w:val="1"/>
          <w:iCs w:val="1"/>
          <w:color w:val="000000"/>
        </w:rPr>
        <w:t>.</w:t>
      </w:r>
      <w:r>
        <w:rPr>
          <w:rFonts w:ascii="Arial" w:cs="Arial" w:eastAsia="Arial" w:hAnsi="Arial"/>
          <w:sz w:val="18"/>
          <w:szCs w:val="18"/>
          <w:b w:val="1"/>
          <w:bCs w:val="1"/>
          <w:i w:val="1"/>
          <w:iCs w:val="1"/>
          <w:color w:val="000562"/>
        </w:rPr>
        <w:t xml:space="preserve"> </w:t>
      </w:r>
      <w:r>
        <w:rPr>
          <w:rFonts w:ascii="Arial" w:cs="Arial" w:eastAsia="Arial" w:hAnsi="Arial"/>
          <w:sz w:val="18"/>
          <w:szCs w:val="18"/>
          <w:color w:val="000000"/>
        </w:rPr>
        <w:t>The Governance and Nominating Committee is responsible for identifying</w:t>
      </w:r>
      <w:r>
        <w:rPr>
          <w:rFonts w:ascii="Arial" w:cs="Arial" w:eastAsia="Arial" w:hAnsi="Arial"/>
          <w:sz w:val="18"/>
          <w:szCs w:val="18"/>
          <w:b w:val="1"/>
          <w:bCs w:val="1"/>
          <w:i w:val="1"/>
          <w:iCs w:val="1"/>
          <w:color w:val="000562"/>
        </w:rPr>
        <w:t xml:space="preserve"> </w:t>
      </w:r>
      <w:r>
        <w:rPr>
          <w:rFonts w:ascii="Arial" w:cs="Arial" w:eastAsia="Arial" w:hAnsi="Arial"/>
          <w:sz w:val="18"/>
          <w:szCs w:val="18"/>
          <w:color w:val="000000"/>
        </w:rPr>
        <w:t>and nominating individuals qualified to serve as Board members and recommending directors for each Board committee. Generally, the Governance and Nominating Committee will re-nominate incumbent directors who continue to satisfy its criteria for membership on the Board, who it believes will continue to make important contributions to the Board and who consent to continue their service on the Board.</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recommending candidates to the Board, the Governance and Nominating Committee reviews the experience, mix of skills and other qualities of a nominee to assure appropriate Board composition after taking into account the current Board members and the specific needs of the Company and the Board. The Board looks for individuals who have demonstrated excellence in their chosen field, high ethical standards and integrity, and sound business judgment. The Governance and Nominating Committee does not have a formal policy with respect to diversity; however, the Board and the Governance and Nominating Committee believe that it is essential that the Board members represent diverse viewpoints. As required by Nasdaq, SEC or such other applicable regulatory requirements, a majority of the Board will be comprised of independent directors.</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Governance and Nominating Committee generally relies on multiple sources for identifying and evaluating nominees, including referrals from the Company’s current directors and management. Mr. Greene was recommended to the Governance and Nominating Committee as a candidate for director in consultation with a third-party search firm. The Governance and Nominating Committee does not solicit director nominations, but will consider recommendations by shareholders with respect to elections to be held at an annual meeting, so long as such recommendations are sent on a timely basis to the corporate secretary of the Company and are in accordance with the Company’s bylaws. The Governance and Nominating Committee will evaluate nominees recommended by shareholders against the same criteria. The Company did not receive any nominations of directors by shareholders for the Annual Meeting. See “</w:t>
      </w:r>
      <w:r>
        <w:rPr>
          <w:rFonts w:ascii="Arial" w:cs="Arial" w:eastAsia="Arial" w:hAnsi="Arial"/>
          <w:sz w:val="18"/>
          <w:szCs w:val="18"/>
          <w:i w:val="1"/>
          <w:iCs w:val="1"/>
          <w:color w:val="auto"/>
        </w:rPr>
        <w:t>How</w:t>
      </w:r>
      <w:r>
        <w:rPr>
          <w:rFonts w:ascii="Arial" w:cs="Arial" w:eastAsia="Arial" w:hAnsi="Arial"/>
          <w:sz w:val="18"/>
          <w:szCs w:val="18"/>
          <w:color w:val="auto"/>
        </w:rPr>
        <w:t xml:space="preserve"> </w:t>
      </w:r>
      <w:r>
        <w:rPr>
          <w:rFonts w:ascii="Arial" w:cs="Arial" w:eastAsia="Arial" w:hAnsi="Arial"/>
          <w:sz w:val="18"/>
          <w:szCs w:val="18"/>
          <w:i w:val="1"/>
          <w:iCs w:val="1"/>
          <w:color w:val="auto"/>
        </w:rPr>
        <w:t>and when may I submit a shareholder proposal or director nomination for the 2020 Annual Meeting?</w:t>
      </w:r>
      <w:r>
        <w:rPr>
          <w:rFonts w:ascii="Arial" w:cs="Arial" w:eastAsia="Arial" w:hAnsi="Arial"/>
          <w:sz w:val="18"/>
          <w:szCs w:val="18"/>
          <w:color w:val="auto"/>
        </w:rPr>
        <w:t>”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10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Governance and Nominating Committee is also responsible for recommending to the Board appropriate Corporate Governance Guidelines applicable to the Company and overseeing governance issues.</w:t>
      </w:r>
    </w:p>
    <w:p>
      <w:pPr>
        <w:spacing w:after="0" w:line="7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The Governance and Nominating Committee’s charter is available on the Company’s website, </w:t>
      </w:r>
      <w:r>
        <w:rPr>
          <w:rFonts w:ascii="Arial" w:cs="Arial" w:eastAsia="Arial" w:hAnsi="Arial"/>
          <w:sz w:val="18"/>
          <w:szCs w:val="18"/>
          <w:i w:val="1"/>
          <w:iCs w:val="1"/>
          <w:color w:val="auto"/>
        </w:rPr>
        <w:t>www.trimascorp.com</w:t>
      </w:r>
      <w:r>
        <w:rPr>
          <w:rFonts w:ascii="Arial" w:cs="Arial" w:eastAsia="Arial" w:hAnsi="Arial"/>
          <w:sz w:val="18"/>
          <w:szCs w:val="18"/>
          <w:color w:val="auto"/>
        </w:rPr>
        <w:t>, in the Corporate Governance subsection of the Investors page.</w:t>
      </w:r>
    </w:p>
    <w:p>
      <w:pPr>
        <w:spacing w:after="0" w:line="5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000562"/>
        </w:rPr>
        <w:t>Compensation Committee Interlocks and Insider Participation</w:t>
      </w:r>
      <w:r>
        <w:rPr>
          <w:rFonts w:ascii="Arial" w:cs="Arial" w:eastAsia="Arial" w:hAnsi="Arial"/>
          <w:sz w:val="18"/>
          <w:szCs w:val="18"/>
          <w:b w:val="1"/>
          <w:bCs w:val="1"/>
          <w:i w:val="1"/>
          <w:iCs w:val="1"/>
          <w:color w:val="000000"/>
        </w:rPr>
        <w:t>.</w:t>
      </w:r>
      <w:r>
        <w:rPr>
          <w:rFonts w:ascii="Arial" w:cs="Arial" w:eastAsia="Arial" w:hAnsi="Arial"/>
          <w:sz w:val="18"/>
          <w:szCs w:val="18"/>
          <w:b w:val="1"/>
          <w:bCs w:val="1"/>
          <w:i w:val="1"/>
          <w:iCs w:val="1"/>
          <w:color w:val="000562"/>
        </w:rPr>
        <w:t xml:space="preserve"> </w:t>
      </w:r>
      <w:r>
        <w:rPr>
          <w:rFonts w:ascii="Arial" w:cs="Arial" w:eastAsia="Arial" w:hAnsi="Arial"/>
          <w:sz w:val="18"/>
          <w:szCs w:val="18"/>
          <w:color w:val="000000"/>
        </w:rPr>
        <w:t>No member of the Compensation Committee is or</w:t>
      </w:r>
      <w:r>
        <w:rPr>
          <w:rFonts w:ascii="Arial" w:cs="Arial" w:eastAsia="Arial" w:hAnsi="Arial"/>
          <w:sz w:val="18"/>
          <w:szCs w:val="18"/>
          <w:b w:val="1"/>
          <w:bCs w:val="1"/>
          <w:i w:val="1"/>
          <w:iCs w:val="1"/>
          <w:color w:val="000562"/>
        </w:rPr>
        <w:t xml:space="preserve"> </w:t>
      </w:r>
      <w:r>
        <w:rPr>
          <w:rFonts w:ascii="Arial" w:cs="Arial" w:eastAsia="Arial" w:hAnsi="Arial"/>
          <w:sz w:val="18"/>
          <w:szCs w:val="18"/>
          <w:color w:val="000000"/>
        </w:rPr>
        <w:t>was previously an employee of the Company. Ms. Gougarty and Messrs. Gabrys, Miller, Parker, Stanage, Tredwell and Valenti are the current members of the Company’s Compensation Committee.</w:t>
      </w:r>
    </w:p>
    <w:p>
      <w:pPr>
        <w:spacing w:after="0" w:line="60" w:lineRule="exact"/>
        <w:rPr>
          <w:sz w:val="20"/>
          <w:szCs w:val="20"/>
          <w:color w:val="auto"/>
        </w:rPr>
      </w:pPr>
    </w:p>
    <w:p>
      <w:pPr>
        <w:jc w:val="both"/>
        <w:spacing w:after="0" w:line="227" w:lineRule="auto"/>
        <w:rPr>
          <w:sz w:val="20"/>
          <w:szCs w:val="20"/>
          <w:color w:val="auto"/>
        </w:rPr>
      </w:pPr>
      <w:r>
        <w:rPr>
          <w:rFonts w:ascii="Arial" w:cs="Arial" w:eastAsia="Arial" w:hAnsi="Arial"/>
          <w:sz w:val="18"/>
          <w:szCs w:val="18"/>
          <w:b w:val="1"/>
          <w:bCs w:val="1"/>
          <w:i w:val="1"/>
          <w:iCs w:val="1"/>
          <w:color w:val="000562"/>
        </w:rPr>
        <w:t>Retirement Age and Term Limits</w:t>
      </w:r>
      <w:r>
        <w:rPr>
          <w:rFonts w:ascii="Arial" w:cs="Arial" w:eastAsia="Arial" w:hAnsi="Arial"/>
          <w:sz w:val="18"/>
          <w:szCs w:val="18"/>
          <w:b w:val="1"/>
          <w:bCs w:val="1"/>
          <w:i w:val="1"/>
          <w:iCs w:val="1"/>
          <w:color w:val="000000"/>
        </w:rPr>
        <w:t>.</w:t>
      </w:r>
      <w:r>
        <w:rPr>
          <w:rFonts w:ascii="Arial" w:cs="Arial" w:eastAsia="Arial" w:hAnsi="Arial"/>
          <w:sz w:val="18"/>
          <w:szCs w:val="18"/>
          <w:b w:val="1"/>
          <w:bCs w:val="1"/>
          <w:i w:val="1"/>
          <w:iCs w:val="1"/>
          <w:color w:val="000562"/>
        </w:rPr>
        <w:t xml:space="preserve"> </w:t>
      </w:r>
      <w:r>
        <w:rPr>
          <w:rFonts w:ascii="Arial" w:cs="Arial" w:eastAsia="Arial" w:hAnsi="Arial"/>
          <w:sz w:val="18"/>
          <w:szCs w:val="18"/>
          <w:color w:val="000000"/>
        </w:rPr>
        <w:t>The Corporate Governance Guidelines provide that a director (excluding directors</w:t>
      </w:r>
      <w:r>
        <w:rPr>
          <w:rFonts w:ascii="Arial" w:cs="Arial" w:eastAsia="Arial" w:hAnsi="Arial"/>
          <w:sz w:val="18"/>
          <w:szCs w:val="18"/>
          <w:b w:val="1"/>
          <w:bCs w:val="1"/>
          <w:i w:val="1"/>
          <w:iCs w:val="1"/>
          <w:color w:val="000562"/>
        </w:rPr>
        <w:t xml:space="preserve"> </w:t>
      </w:r>
      <w:r>
        <w:rPr>
          <w:rFonts w:ascii="Arial" w:cs="Arial" w:eastAsia="Arial" w:hAnsi="Arial"/>
          <w:sz w:val="18"/>
          <w:szCs w:val="18"/>
          <w:color w:val="000000"/>
        </w:rPr>
        <w:t>serving on the Board as of February 25, 2013) is expected to submit his or her resignation from the Board at the first annual meeting of shareholders following the director’s 75</w:t>
      </w:r>
      <w:r>
        <w:rPr>
          <w:rFonts w:ascii="Arial" w:cs="Arial" w:eastAsia="Arial" w:hAnsi="Arial"/>
          <w:sz w:val="29"/>
          <w:szCs w:val="29"/>
          <w:color w:val="000000"/>
          <w:vertAlign w:val="superscript"/>
        </w:rPr>
        <w:t>th</w:t>
      </w:r>
      <w:r>
        <w:rPr>
          <w:rFonts w:ascii="Arial" w:cs="Arial" w:eastAsia="Arial" w:hAnsi="Arial"/>
          <w:sz w:val="18"/>
          <w:szCs w:val="18"/>
          <w:color w:val="000000"/>
        </w:rPr>
        <w:t xml:space="preserve"> birthday. The Board may accept or reject such resignation in its discretion after consultation with the Governance and Nominating Committee. The Board has not established term limits for the directors.</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000562"/>
        </w:rPr>
        <w:t>Assessment of Board and Committee Performance</w:t>
      </w:r>
      <w:r>
        <w:rPr>
          <w:rFonts w:ascii="Arial" w:cs="Arial" w:eastAsia="Arial" w:hAnsi="Arial"/>
          <w:sz w:val="18"/>
          <w:szCs w:val="18"/>
          <w:b w:val="1"/>
          <w:bCs w:val="1"/>
          <w:i w:val="1"/>
          <w:iCs w:val="1"/>
          <w:color w:val="000000"/>
        </w:rPr>
        <w:t>.</w:t>
      </w:r>
      <w:r>
        <w:rPr>
          <w:rFonts w:ascii="Arial" w:cs="Arial" w:eastAsia="Arial" w:hAnsi="Arial"/>
          <w:sz w:val="18"/>
          <w:szCs w:val="18"/>
          <w:b w:val="1"/>
          <w:bCs w:val="1"/>
          <w:i w:val="1"/>
          <w:iCs w:val="1"/>
          <w:color w:val="000562"/>
        </w:rPr>
        <w:t xml:space="preserve"> </w:t>
      </w:r>
      <w:r>
        <w:rPr>
          <w:rFonts w:ascii="Arial" w:cs="Arial" w:eastAsia="Arial" w:hAnsi="Arial"/>
          <w:sz w:val="18"/>
          <w:szCs w:val="18"/>
          <w:color w:val="000000"/>
        </w:rPr>
        <w:t>The Board evaluates its performance annually. In addition, each</w:t>
      </w:r>
      <w:r>
        <w:rPr>
          <w:rFonts w:ascii="Arial" w:cs="Arial" w:eastAsia="Arial" w:hAnsi="Arial"/>
          <w:sz w:val="18"/>
          <w:szCs w:val="18"/>
          <w:b w:val="1"/>
          <w:bCs w:val="1"/>
          <w:i w:val="1"/>
          <w:iCs w:val="1"/>
          <w:color w:val="000562"/>
        </w:rPr>
        <w:t xml:space="preserve"> </w:t>
      </w:r>
      <w:r>
        <w:rPr>
          <w:rFonts w:ascii="Arial" w:cs="Arial" w:eastAsia="Arial" w:hAnsi="Arial"/>
          <w:sz w:val="18"/>
          <w:szCs w:val="18"/>
          <w:color w:val="000000"/>
        </w:rPr>
        <w:t>Board committee performs an annual self-assessment to determine its effectiveness. The results of the Board and committee self-assessments are discussed with the Board and each Committee, respectively.</w:t>
      </w:r>
    </w:p>
    <w:p>
      <w:pPr>
        <w:spacing w:after="0" w:line="172" w:lineRule="exact"/>
        <w:rPr>
          <w:sz w:val="20"/>
          <w:szCs w:val="20"/>
          <w:color w:val="auto"/>
        </w:rPr>
      </w:pPr>
    </w:p>
    <w:p>
      <w:pPr>
        <w:ind w:left="7140"/>
        <w:spacing w:after="0"/>
        <w:tabs>
          <w:tab w:leader="none" w:pos="9040" w:val="left"/>
          <w:tab w:leader="none" w:pos="9340" w:val="left"/>
        </w:tabs>
        <w:rPr>
          <w:sz w:val="20"/>
          <w:szCs w:val="20"/>
          <w:color w:val="auto"/>
        </w:rPr>
      </w:pPr>
      <w:r>
        <w:rPr>
          <w:rFonts w:ascii="Arial" w:cs="Arial" w:eastAsia="Arial" w:hAnsi="Arial"/>
          <w:sz w:val="18"/>
          <w:szCs w:val="18"/>
          <w:i w:val="1"/>
          <w:iCs w:val="1"/>
          <w:color w:val="auto"/>
        </w:rPr>
        <w:t>2019 Proxy Statement</w:t>
      </w:r>
      <w:r>
        <w:rPr>
          <w:sz w:val="20"/>
          <w:szCs w:val="20"/>
          <w:color w:val="auto"/>
        </w:rPr>
        <w:tab/>
      </w:r>
      <w:r>
        <w:rPr>
          <w:rFonts w:ascii="Arial" w:cs="Arial" w:eastAsia="Arial" w:hAnsi="Arial"/>
          <w:sz w:val="22"/>
          <w:szCs w:val="22"/>
          <w:b w:val="1"/>
          <w:bCs w:val="1"/>
          <w:color w:val="000562"/>
        </w:rPr>
        <w:t>I</w:t>
      </w:r>
      <w:r>
        <w:rPr>
          <w:sz w:val="20"/>
          <w:szCs w:val="20"/>
          <w:color w:val="auto"/>
        </w:rPr>
        <w:tab/>
      </w:r>
      <w:r>
        <w:rPr>
          <w:rFonts w:ascii="Arial" w:cs="Arial" w:eastAsia="Arial" w:hAnsi="Arial"/>
          <w:sz w:val="17"/>
          <w:szCs w:val="17"/>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07187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000562"/>
        </w:rPr>
        <w:t>TriMas Corporation</w:t>
      </w:r>
    </w:p>
    <w:p>
      <w:pPr>
        <w:spacing w:after="0" w:line="228" w:lineRule="exact"/>
        <w:rPr>
          <w:sz w:val="20"/>
          <w:szCs w:val="20"/>
          <w:color w:val="auto"/>
        </w:rPr>
      </w:pPr>
    </w:p>
    <w:p>
      <w:pPr>
        <w:spacing w:after="0"/>
        <w:rPr>
          <w:sz w:val="20"/>
          <w:szCs w:val="20"/>
          <w:color w:val="auto"/>
        </w:rPr>
      </w:pPr>
      <w:r>
        <w:rPr>
          <w:rFonts w:ascii="Arial" w:cs="Arial" w:eastAsia="Arial" w:hAnsi="Arial"/>
          <w:sz w:val="43"/>
          <w:szCs w:val="43"/>
          <w:color w:val="000562"/>
        </w:rPr>
        <w:t>DIRECTOR COMPENSATION</w:t>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Compensation Committee is responsible for reviewing director compensation and making recommendations to the Board with respect to that compensation, as appropriate. The Compensation Committee and Board believe that directors should receive a mix of cash and equity over their tenure. The combination of cash and equity compensation is intended to provide incentives for directors to continue to serve on the Board and to attract new directors with outstanding qualifications. Directors may make an annual election to defer receipt of Board compensation, provided the election is made prior to the fiscal year in which the deferral is effective.</w:t>
      </w:r>
    </w:p>
    <w:p>
      <w:pPr>
        <w:spacing w:after="0" w:line="7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000562"/>
        </w:rPr>
        <w:t>Annual Cash Retainer and Meeting Fees</w:t>
      </w:r>
      <w:r>
        <w:rPr>
          <w:rFonts w:ascii="Arial" w:cs="Arial" w:eastAsia="Arial" w:hAnsi="Arial"/>
          <w:sz w:val="18"/>
          <w:szCs w:val="18"/>
          <w:b w:val="1"/>
          <w:bCs w:val="1"/>
          <w:i w:val="1"/>
          <w:iCs w:val="1"/>
          <w:color w:val="000000"/>
        </w:rPr>
        <w:t>.</w:t>
      </w:r>
      <w:r>
        <w:rPr>
          <w:rFonts w:ascii="Arial" w:cs="Arial" w:eastAsia="Arial" w:hAnsi="Arial"/>
          <w:sz w:val="18"/>
          <w:szCs w:val="18"/>
          <w:b w:val="1"/>
          <w:bCs w:val="1"/>
          <w:i w:val="1"/>
          <w:iCs w:val="1"/>
          <w:color w:val="000562"/>
        </w:rPr>
        <w:t xml:space="preserve"> </w:t>
      </w:r>
      <w:r>
        <w:rPr>
          <w:rFonts w:ascii="Arial" w:cs="Arial" w:eastAsia="Arial" w:hAnsi="Arial"/>
          <w:sz w:val="18"/>
          <w:szCs w:val="18"/>
          <w:color w:val="000000"/>
        </w:rPr>
        <w:t>For 2018, each independent director, with the exception of Mr. Greene,</w:t>
      </w:r>
      <w:r>
        <w:rPr>
          <w:rFonts w:ascii="Arial" w:cs="Arial" w:eastAsia="Arial" w:hAnsi="Arial"/>
          <w:sz w:val="18"/>
          <w:szCs w:val="18"/>
          <w:b w:val="1"/>
          <w:bCs w:val="1"/>
          <w:i w:val="1"/>
          <w:iCs w:val="1"/>
          <w:color w:val="000562"/>
        </w:rPr>
        <w:t xml:space="preserve"> </w:t>
      </w:r>
      <w:r>
        <w:rPr>
          <w:rFonts w:ascii="Arial" w:cs="Arial" w:eastAsia="Arial" w:hAnsi="Arial"/>
          <w:sz w:val="18"/>
          <w:szCs w:val="18"/>
          <w:color w:val="000000"/>
        </w:rPr>
        <w:t>received an annual cash retainer of $100,000 and a meeting fee of $1,000 for each Board or committee meeting attended. Mr. Greene earned a pro-rated portion of his 2018 retainer based on his appointment date of December 12, 2018. The chair of the Board and of each of the Audit, Compensation, and Governance and Nominating Committees received an additional annual cash retainer in the amounts of $125,000, $15,000, $10,000 and $5,000, respectively.</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implemented a director retainer share election program in 2014 to permit directors to make an annual election to receive unrestricted stock for deferred or non-deferred compensation for board service in lieu of cash at the time payment is made each quarter. For 2018, two of the eight independent directors (Ms. Gougarty and Mr. Miller) elected to defer receipt of all or part of their Board compensation.</w:t>
      </w:r>
    </w:p>
    <w:p>
      <w:pPr>
        <w:spacing w:after="0" w:line="7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i w:val="1"/>
          <w:iCs w:val="1"/>
          <w:color w:val="000562"/>
        </w:rPr>
        <w:t>Equity Compensation</w:t>
      </w:r>
      <w:r>
        <w:rPr>
          <w:rFonts w:ascii="Arial" w:cs="Arial" w:eastAsia="Arial" w:hAnsi="Arial"/>
          <w:sz w:val="18"/>
          <w:szCs w:val="18"/>
          <w:b w:val="1"/>
          <w:bCs w:val="1"/>
          <w:i w:val="1"/>
          <w:iCs w:val="1"/>
          <w:color w:val="000000"/>
        </w:rPr>
        <w:t>.</w:t>
      </w:r>
      <w:r>
        <w:rPr>
          <w:rFonts w:ascii="Arial" w:cs="Arial" w:eastAsia="Arial" w:hAnsi="Arial"/>
          <w:sz w:val="18"/>
          <w:szCs w:val="18"/>
          <w:b w:val="1"/>
          <w:bCs w:val="1"/>
          <w:i w:val="1"/>
          <w:iCs w:val="1"/>
          <w:color w:val="000562"/>
        </w:rPr>
        <w:t xml:space="preserve"> </w:t>
      </w:r>
      <w:r>
        <w:rPr>
          <w:rFonts w:ascii="Arial" w:cs="Arial" w:eastAsia="Arial" w:hAnsi="Arial"/>
          <w:sz w:val="18"/>
          <w:szCs w:val="18"/>
          <w:color w:val="000000"/>
        </w:rPr>
        <w:t>As part of the independent directors’ annual compensation package, each independent director</w:t>
      </w:r>
      <w:r>
        <w:rPr>
          <w:rFonts w:ascii="Arial" w:cs="Arial" w:eastAsia="Arial" w:hAnsi="Arial"/>
          <w:sz w:val="18"/>
          <w:szCs w:val="18"/>
          <w:b w:val="1"/>
          <w:bCs w:val="1"/>
          <w:i w:val="1"/>
          <w:iCs w:val="1"/>
          <w:color w:val="000562"/>
        </w:rPr>
        <w:t xml:space="preserve"> </w:t>
      </w:r>
      <w:r>
        <w:rPr>
          <w:rFonts w:ascii="Arial" w:cs="Arial" w:eastAsia="Arial" w:hAnsi="Arial"/>
          <w:sz w:val="18"/>
          <w:szCs w:val="18"/>
          <w:color w:val="000000"/>
        </w:rPr>
        <w:t>receives an annual grant of restricted stock units with a grant date fair market value of $100,000 (subject to rounding), with each grant generally subject to the director’s continued service on the Board for a one-year vesting period. In May 2018, the Company made the annual grant to each of the then current independent directors on the same terms.</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000562"/>
        </w:rPr>
        <w:t>Director Stock Ownership</w:t>
      </w:r>
      <w:r>
        <w:rPr>
          <w:rFonts w:ascii="Arial" w:cs="Arial" w:eastAsia="Arial" w:hAnsi="Arial"/>
          <w:sz w:val="18"/>
          <w:szCs w:val="18"/>
          <w:b w:val="1"/>
          <w:bCs w:val="1"/>
          <w:i w:val="1"/>
          <w:iCs w:val="1"/>
          <w:color w:val="000000"/>
        </w:rPr>
        <w:t>.</w:t>
      </w:r>
      <w:r>
        <w:rPr>
          <w:rFonts w:ascii="Arial" w:cs="Arial" w:eastAsia="Arial" w:hAnsi="Arial"/>
          <w:sz w:val="18"/>
          <w:szCs w:val="18"/>
          <w:b w:val="1"/>
          <w:bCs w:val="1"/>
          <w:i w:val="1"/>
          <w:iCs w:val="1"/>
          <w:color w:val="000562"/>
        </w:rPr>
        <w:t xml:space="preserve"> </w:t>
      </w:r>
      <w:r>
        <w:rPr>
          <w:rFonts w:ascii="Arial" w:cs="Arial" w:eastAsia="Arial" w:hAnsi="Arial"/>
          <w:sz w:val="18"/>
          <w:szCs w:val="18"/>
          <w:color w:val="000000"/>
        </w:rPr>
        <w:t>We have established stock ownership guidelines for our independent directors to more</w:t>
      </w:r>
      <w:r>
        <w:rPr>
          <w:rFonts w:ascii="Arial" w:cs="Arial" w:eastAsia="Arial" w:hAnsi="Arial"/>
          <w:sz w:val="18"/>
          <w:szCs w:val="18"/>
          <w:b w:val="1"/>
          <w:bCs w:val="1"/>
          <w:i w:val="1"/>
          <w:iCs w:val="1"/>
          <w:color w:val="000562"/>
        </w:rPr>
        <w:t xml:space="preserve"> </w:t>
      </w:r>
      <w:r>
        <w:rPr>
          <w:rFonts w:ascii="Arial" w:cs="Arial" w:eastAsia="Arial" w:hAnsi="Arial"/>
          <w:sz w:val="18"/>
          <w:szCs w:val="18"/>
          <w:color w:val="000000"/>
        </w:rPr>
        <w:t>closely tie their interests to those of shareholders. Under these guidelines, all such directors are required to own, within five years after initial election to the Board as an independent director, shares of Company stock having a value equal to three times their annual cash retainer (excluding any additional retainers for Board and committee chair service). Unrestricted stock, service-based restricted stock units and vested in-the-money options are counted toward fulfillment of this ownership requirement. As of December 31, 2018, each independent director, with the exception of Mr. Greene who was appointed on December 12, 2018, was in compliance with his or her stock ownership requirement. If an independent director does not meet the stock ownership guidelines, the Compensation Committee may consider such fact in determining the award of future equity awards to such director.</w:t>
      </w:r>
    </w:p>
    <w:p>
      <w:pPr>
        <w:spacing w:after="0" w:line="7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000562"/>
        </w:rPr>
        <w:t>Indemnification</w:t>
      </w:r>
      <w:r>
        <w:rPr>
          <w:rFonts w:ascii="Arial" w:cs="Arial" w:eastAsia="Arial" w:hAnsi="Arial"/>
          <w:sz w:val="18"/>
          <w:szCs w:val="18"/>
          <w:b w:val="1"/>
          <w:bCs w:val="1"/>
          <w:i w:val="1"/>
          <w:iCs w:val="1"/>
          <w:color w:val="000000"/>
        </w:rPr>
        <w:t>.</w:t>
      </w:r>
      <w:r>
        <w:rPr>
          <w:rFonts w:ascii="Arial" w:cs="Arial" w:eastAsia="Arial" w:hAnsi="Arial"/>
          <w:sz w:val="18"/>
          <w:szCs w:val="18"/>
          <w:b w:val="1"/>
          <w:bCs w:val="1"/>
          <w:i w:val="1"/>
          <w:iCs w:val="1"/>
          <w:color w:val="000562"/>
        </w:rPr>
        <w:t xml:space="preserve"> </w:t>
      </w:r>
      <w:r>
        <w:rPr>
          <w:rFonts w:ascii="Arial" w:cs="Arial" w:eastAsia="Arial" w:hAnsi="Arial"/>
          <w:sz w:val="18"/>
          <w:szCs w:val="18"/>
          <w:color w:val="000000"/>
        </w:rPr>
        <w:t>The Company has entered into indemnification agreements with each of its directors. These</w:t>
      </w:r>
      <w:r>
        <w:rPr>
          <w:rFonts w:ascii="Arial" w:cs="Arial" w:eastAsia="Arial" w:hAnsi="Arial"/>
          <w:sz w:val="18"/>
          <w:szCs w:val="18"/>
          <w:b w:val="1"/>
          <w:bCs w:val="1"/>
          <w:i w:val="1"/>
          <w:iCs w:val="1"/>
          <w:color w:val="000562"/>
        </w:rPr>
        <w:t xml:space="preserve"> </w:t>
      </w:r>
      <w:r>
        <w:rPr>
          <w:rFonts w:ascii="Arial" w:cs="Arial" w:eastAsia="Arial" w:hAnsi="Arial"/>
          <w:sz w:val="18"/>
          <w:szCs w:val="18"/>
          <w:color w:val="000000"/>
        </w:rPr>
        <w:t>agreements require the Company to indemnify such individuals for certain liabilities to which they may become subject as a result of their affiliation with the Company.</w:t>
      </w:r>
    </w:p>
    <w:p>
      <w:pPr>
        <w:spacing w:after="0" w:line="6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000562"/>
        </w:rPr>
        <w:t>Other</w:t>
      </w:r>
      <w:r>
        <w:rPr>
          <w:rFonts w:ascii="Arial" w:cs="Arial" w:eastAsia="Arial" w:hAnsi="Arial"/>
          <w:sz w:val="18"/>
          <w:szCs w:val="18"/>
          <w:b w:val="1"/>
          <w:bCs w:val="1"/>
          <w:i w:val="1"/>
          <w:iCs w:val="1"/>
          <w:color w:val="000000"/>
        </w:rPr>
        <w:t>.</w:t>
      </w:r>
      <w:r>
        <w:rPr>
          <w:rFonts w:ascii="Arial" w:cs="Arial" w:eastAsia="Arial" w:hAnsi="Arial"/>
          <w:sz w:val="18"/>
          <w:szCs w:val="18"/>
          <w:b w:val="1"/>
          <w:bCs w:val="1"/>
          <w:i w:val="1"/>
          <w:iCs w:val="1"/>
          <w:color w:val="000562"/>
        </w:rPr>
        <w:t xml:space="preserve"> </w:t>
      </w:r>
      <w:r>
        <w:rPr>
          <w:rFonts w:ascii="Arial" w:cs="Arial" w:eastAsia="Arial" w:hAnsi="Arial"/>
          <w:sz w:val="18"/>
          <w:szCs w:val="18"/>
          <w:color w:val="000000"/>
        </w:rPr>
        <w:t>The Company reimburses all directors for expenses incurred in attending Board and committee meetings. The</w:t>
      </w:r>
      <w:r>
        <w:rPr>
          <w:rFonts w:ascii="Arial" w:cs="Arial" w:eastAsia="Arial" w:hAnsi="Arial"/>
          <w:sz w:val="18"/>
          <w:szCs w:val="18"/>
          <w:b w:val="1"/>
          <w:bCs w:val="1"/>
          <w:i w:val="1"/>
          <w:iCs w:val="1"/>
          <w:color w:val="000562"/>
        </w:rPr>
        <w:t xml:space="preserve"> </w:t>
      </w:r>
      <w:r>
        <w:rPr>
          <w:rFonts w:ascii="Arial" w:cs="Arial" w:eastAsia="Arial" w:hAnsi="Arial"/>
          <w:sz w:val="18"/>
          <w:szCs w:val="18"/>
          <w:color w:val="000000"/>
        </w:rPr>
        <w:t>Company does not provide any perquisites to directors.</w:t>
      </w:r>
    </w:p>
    <w:p>
      <w:pPr>
        <w:spacing w:after="0" w:line="157" w:lineRule="exact"/>
        <w:rPr>
          <w:sz w:val="20"/>
          <w:szCs w:val="20"/>
          <w:color w:val="auto"/>
        </w:rPr>
      </w:pPr>
    </w:p>
    <w:p>
      <w:pPr>
        <w:ind w:left="360" w:hanging="349"/>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22"/>
          <w:szCs w:val="22"/>
          <w:b w:val="1"/>
          <w:bCs w:val="1"/>
          <w:color w:val="000562"/>
        </w:rPr>
        <w:t xml:space="preserve">I </w:t>
      </w:r>
      <w:r>
        <w:rPr>
          <w:rFonts w:ascii="Arial" w:cs="Arial" w:eastAsia="Arial" w:hAnsi="Arial"/>
          <w:sz w:val="18"/>
          <w:szCs w:val="18"/>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07187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0562"/>
        </w:rPr>
        <w:t>DIRECTOR COMPENSATION</w:t>
      </w:r>
    </w:p>
    <w:p>
      <w:pPr>
        <w:spacing w:after="0" w:line="1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2018 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0718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3080" w:type="dxa"/>
            <w:vAlign w:val="bottom"/>
          </w:tcPr>
          <w:p>
            <w:pPr>
              <w:jc w:val="center"/>
              <w:ind w:left="775"/>
              <w:spacing w:after="0"/>
              <w:rPr>
                <w:sz w:val="20"/>
                <w:szCs w:val="20"/>
                <w:color w:val="auto"/>
              </w:rPr>
            </w:pPr>
            <w:r>
              <w:rPr>
                <w:rFonts w:ascii="Arial" w:cs="Arial" w:eastAsia="Arial" w:hAnsi="Arial"/>
                <w:sz w:val="14"/>
                <w:szCs w:val="14"/>
                <w:b w:val="1"/>
                <w:bCs w:val="1"/>
                <w:color w:val="000562"/>
              </w:rPr>
              <w:t>Fees Earned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000562"/>
              </w:rPr>
              <w:t>Stock</w:t>
            </w:r>
          </w:p>
        </w:tc>
        <w:tc>
          <w:tcPr>
            <w:tcW w:w="1700" w:type="dxa"/>
            <w:vAlign w:val="bottom"/>
          </w:tcPr>
          <w:p>
            <w:pPr>
              <w:spacing w:after="0"/>
              <w:rPr>
                <w:sz w:val="14"/>
                <w:szCs w:val="14"/>
                <w:color w:val="auto"/>
              </w:rPr>
            </w:pPr>
          </w:p>
        </w:tc>
      </w:tr>
      <w:tr>
        <w:trPr>
          <w:trHeight w:val="148"/>
        </w:trPr>
        <w:tc>
          <w:tcPr>
            <w:tcW w:w="3080" w:type="dxa"/>
            <w:vAlign w:val="bottom"/>
          </w:tcPr>
          <w:p>
            <w:pPr>
              <w:spacing w:after="0"/>
              <w:rPr>
                <w:sz w:val="12"/>
                <w:szCs w:val="12"/>
                <w:color w:val="auto"/>
              </w:rPr>
            </w:pPr>
          </w:p>
        </w:tc>
        <w:tc>
          <w:tcPr>
            <w:tcW w:w="3080" w:type="dxa"/>
            <w:vAlign w:val="bottom"/>
          </w:tcPr>
          <w:p>
            <w:pPr>
              <w:jc w:val="center"/>
              <w:ind w:left="795"/>
              <w:spacing w:after="0" w:line="149" w:lineRule="exact"/>
              <w:rPr>
                <w:sz w:val="20"/>
                <w:szCs w:val="20"/>
                <w:color w:val="auto"/>
              </w:rPr>
            </w:pPr>
            <w:r>
              <w:rPr>
                <w:rFonts w:ascii="Arial" w:cs="Arial" w:eastAsia="Arial" w:hAnsi="Arial"/>
                <w:sz w:val="14"/>
                <w:szCs w:val="14"/>
                <w:b w:val="1"/>
                <w:bCs w:val="1"/>
                <w:color w:val="000562"/>
              </w:rPr>
              <w:t>or Paid in Cash</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000562"/>
              </w:rPr>
              <w:t>Awards</w:t>
            </w:r>
          </w:p>
        </w:tc>
        <w:tc>
          <w:tcPr>
            <w:tcW w:w="1700" w:type="dxa"/>
            <w:vAlign w:val="bottom"/>
          </w:tcPr>
          <w:p>
            <w:pPr>
              <w:jc w:val="right"/>
              <w:ind w:right="534"/>
              <w:spacing w:after="0" w:line="149" w:lineRule="exact"/>
              <w:rPr>
                <w:sz w:val="20"/>
                <w:szCs w:val="20"/>
                <w:color w:val="auto"/>
              </w:rPr>
            </w:pPr>
            <w:r>
              <w:rPr>
                <w:rFonts w:ascii="Arial" w:cs="Arial" w:eastAsia="Arial" w:hAnsi="Arial"/>
                <w:sz w:val="14"/>
                <w:szCs w:val="14"/>
                <w:b w:val="1"/>
                <w:bCs w:val="1"/>
                <w:color w:val="000562"/>
              </w:rPr>
              <w:t>Total</w:t>
            </w:r>
          </w:p>
        </w:tc>
      </w:tr>
      <w:tr>
        <w:trPr>
          <w:trHeight w:val="203"/>
        </w:trPr>
        <w:tc>
          <w:tcPr>
            <w:tcW w:w="3080" w:type="dxa"/>
            <w:vAlign w:val="bottom"/>
            <w:tcBorders>
              <w:bottom w:val="single" w:sz="8" w:color="000562"/>
            </w:tcBorders>
          </w:tcPr>
          <w:p>
            <w:pPr>
              <w:ind w:left="20"/>
              <w:spacing w:after="0"/>
              <w:rPr>
                <w:sz w:val="20"/>
                <w:szCs w:val="20"/>
                <w:color w:val="auto"/>
              </w:rPr>
            </w:pPr>
            <w:r>
              <w:rPr>
                <w:rFonts w:ascii="Arial" w:cs="Arial" w:eastAsia="Arial" w:hAnsi="Arial"/>
                <w:sz w:val="14"/>
                <w:szCs w:val="14"/>
                <w:b w:val="1"/>
                <w:bCs w:val="1"/>
                <w:color w:val="000562"/>
              </w:rPr>
              <w:t>Name</w:t>
            </w:r>
          </w:p>
        </w:tc>
        <w:tc>
          <w:tcPr>
            <w:tcW w:w="3080" w:type="dxa"/>
            <w:vAlign w:val="bottom"/>
            <w:tcBorders>
              <w:bottom w:val="single" w:sz="8" w:color="000562"/>
            </w:tcBorders>
          </w:tcPr>
          <w:p>
            <w:pPr>
              <w:jc w:val="center"/>
              <w:ind w:left="795"/>
              <w:spacing w:after="0" w:line="202" w:lineRule="exact"/>
              <w:rPr>
                <w:sz w:val="20"/>
                <w:szCs w:val="20"/>
                <w:color w:val="auto"/>
              </w:rPr>
            </w:pPr>
            <w:r>
              <w:rPr>
                <w:rFonts w:ascii="Arial" w:cs="Arial" w:eastAsia="Arial" w:hAnsi="Arial"/>
                <w:sz w:val="14"/>
                <w:szCs w:val="14"/>
                <w:b w:val="1"/>
                <w:bCs w:val="1"/>
                <w:color w:val="000562"/>
                <w:w w:val="89"/>
              </w:rPr>
              <w:t>($)</w:t>
            </w:r>
            <w:r>
              <w:rPr>
                <w:rFonts w:ascii="Arial" w:cs="Arial" w:eastAsia="Arial" w:hAnsi="Arial"/>
                <w:sz w:val="23"/>
                <w:szCs w:val="23"/>
                <w:b w:val="1"/>
                <w:bCs w:val="1"/>
                <w:color w:val="000562"/>
                <w:w w:val="89"/>
                <w:vertAlign w:val="superscript"/>
              </w:rPr>
              <w:t>(1)</w:t>
            </w:r>
          </w:p>
        </w:tc>
        <w:tc>
          <w:tcPr>
            <w:tcW w:w="1700" w:type="dxa"/>
            <w:vAlign w:val="bottom"/>
            <w:tcBorders>
              <w:bottom w:val="single" w:sz="8" w:color="000562"/>
            </w:tcBorders>
          </w:tcPr>
          <w:p>
            <w:pPr>
              <w:jc w:val="center"/>
              <w:spacing w:after="0" w:line="202" w:lineRule="exact"/>
              <w:rPr>
                <w:sz w:val="20"/>
                <w:szCs w:val="20"/>
                <w:color w:val="auto"/>
              </w:rPr>
            </w:pPr>
            <w:r>
              <w:rPr>
                <w:rFonts w:ascii="Arial" w:cs="Arial" w:eastAsia="Arial" w:hAnsi="Arial"/>
                <w:sz w:val="14"/>
                <w:szCs w:val="14"/>
                <w:b w:val="1"/>
                <w:bCs w:val="1"/>
                <w:color w:val="000562"/>
                <w:w w:val="89"/>
              </w:rPr>
              <w:t>($)</w:t>
            </w:r>
            <w:r>
              <w:rPr>
                <w:rFonts w:ascii="Arial" w:cs="Arial" w:eastAsia="Arial" w:hAnsi="Arial"/>
                <w:sz w:val="23"/>
                <w:szCs w:val="23"/>
                <w:b w:val="1"/>
                <w:bCs w:val="1"/>
                <w:color w:val="000562"/>
                <w:w w:val="89"/>
                <w:vertAlign w:val="superscript"/>
              </w:rPr>
              <w:t>(2)</w:t>
            </w:r>
          </w:p>
        </w:tc>
        <w:tc>
          <w:tcPr>
            <w:tcW w:w="1700" w:type="dxa"/>
            <w:vAlign w:val="bottom"/>
            <w:tcBorders>
              <w:bottom w:val="single" w:sz="8" w:color="000562"/>
            </w:tcBorders>
          </w:tcPr>
          <w:p>
            <w:pPr>
              <w:jc w:val="right"/>
              <w:ind w:right="614"/>
              <w:spacing w:after="0"/>
              <w:rPr>
                <w:sz w:val="20"/>
                <w:szCs w:val="20"/>
                <w:color w:val="auto"/>
              </w:rPr>
            </w:pPr>
            <w:r>
              <w:rPr>
                <w:rFonts w:ascii="Arial" w:cs="Arial" w:eastAsia="Arial" w:hAnsi="Arial"/>
                <w:sz w:val="14"/>
                <w:szCs w:val="14"/>
                <w:b w:val="1"/>
                <w:bCs w:val="1"/>
                <w:color w:val="000562"/>
              </w:rPr>
              <w:t>($)</w:t>
            </w:r>
          </w:p>
        </w:tc>
      </w:tr>
      <w:tr>
        <w:trPr>
          <w:trHeight w:val="223"/>
        </w:trPr>
        <w:tc>
          <w:tcPr>
            <w:tcW w:w="3080" w:type="dxa"/>
            <w:vAlign w:val="bottom"/>
            <w:shd w:val="clear" w:color="auto" w:fill="E9EFEE"/>
          </w:tcPr>
          <w:p>
            <w:pPr>
              <w:ind w:left="20"/>
              <w:spacing w:after="0"/>
              <w:rPr>
                <w:sz w:val="20"/>
                <w:szCs w:val="20"/>
                <w:color w:val="auto"/>
              </w:rPr>
            </w:pPr>
            <w:r>
              <w:rPr>
                <w:rFonts w:ascii="Arial" w:cs="Arial" w:eastAsia="Arial" w:hAnsi="Arial"/>
                <w:sz w:val="18"/>
                <w:szCs w:val="18"/>
                <w:color w:val="auto"/>
              </w:rPr>
              <w:t>Samuel Valenti III</w:t>
            </w:r>
          </w:p>
        </w:tc>
        <w:tc>
          <w:tcPr>
            <w:tcW w:w="3080" w:type="dxa"/>
            <w:vAlign w:val="bottom"/>
            <w:shd w:val="clear" w:color="auto" w:fill="E9EFEE"/>
          </w:tcPr>
          <w:p>
            <w:pPr>
              <w:jc w:val="right"/>
              <w:ind w:right="675"/>
              <w:spacing w:after="0"/>
              <w:rPr>
                <w:sz w:val="20"/>
                <w:szCs w:val="20"/>
                <w:color w:val="auto"/>
              </w:rPr>
            </w:pPr>
            <w:r>
              <w:rPr>
                <w:rFonts w:ascii="Arial" w:cs="Arial" w:eastAsia="Arial" w:hAnsi="Arial"/>
                <w:sz w:val="18"/>
                <w:szCs w:val="18"/>
                <w:color w:val="auto"/>
              </w:rPr>
              <w:t>251,000</w:t>
            </w:r>
          </w:p>
        </w:tc>
        <w:tc>
          <w:tcPr>
            <w:tcW w:w="1700" w:type="dxa"/>
            <w:vAlign w:val="bottom"/>
            <w:shd w:val="clear" w:color="auto" w:fill="E9EFEE"/>
          </w:tcPr>
          <w:p>
            <w:pPr>
              <w:jc w:val="right"/>
              <w:ind w:right="455"/>
              <w:spacing w:after="0"/>
              <w:rPr>
                <w:sz w:val="20"/>
                <w:szCs w:val="20"/>
                <w:color w:val="auto"/>
              </w:rPr>
            </w:pPr>
            <w:r>
              <w:rPr>
                <w:rFonts w:ascii="Arial" w:cs="Arial" w:eastAsia="Arial" w:hAnsi="Arial"/>
                <w:sz w:val="18"/>
                <w:szCs w:val="18"/>
                <w:color w:val="auto"/>
              </w:rPr>
              <w:t>99,999</w:t>
            </w:r>
          </w:p>
        </w:tc>
        <w:tc>
          <w:tcPr>
            <w:tcW w:w="1700" w:type="dxa"/>
            <w:vAlign w:val="bottom"/>
            <w:shd w:val="clear" w:color="auto" w:fill="E9EFEE"/>
          </w:tcPr>
          <w:p>
            <w:pPr>
              <w:jc w:val="right"/>
              <w:ind w:right="414"/>
              <w:spacing w:after="0"/>
              <w:rPr>
                <w:sz w:val="20"/>
                <w:szCs w:val="20"/>
                <w:color w:val="auto"/>
              </w:rPr>
            </w:pPr>
            <w:r>
              <w:rPr>
                <w:rFonts w:ascii="Arial" w:cs="Arial" w:eastAsia="Arial" w:hAnsi="Arial"/>
                <w:sz w:val="18"/>
                <w:szCs w:val="18"/>
                <w:color w:val="auto"/>
              </w:rPr>
              <w:t>350,999</w:t>
            </w: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Richard M. Gabrys</w:t>
            </w:r>
          </w:p>
        </w:tc>
        <w:tc>
          <w:tcPr>
            <w:tcW w:w="3080" w:type="dxa"/>
            <w:vAlign w:val="bottom"/>
          </w:tcPr>
          <w:p>
            <w:pPr>
              <w:jc w:val="right"/>
              <w:ind w:right="675"/>
              <w:spacing w:after="0"/>
              <w:rPr>
                <w:sz w:val="20"/>
                <w:szCs w:val="20"/>
                <w:color w:val="auto"/>
              </w:rPr>
            </w:pPr>
            <w:r>
              <w:rPr>
                <w:rFonts w:ascii="Arial" w:cs="Arial" w:eastAsia="Arial" w:hAnsi="Arial"/>
                <w:sz w:val="18"/>
                <w:szCs w:val="18"/>
                <w:color w:val="auto"/>
              </w:rPr>
              <w:t>134,000</w:t>
            </w:r>
          </w:p>
        </w:tc>
        <w:tc>
          <w:tcPr>
            <w:tcW w:w="1700" w:type="dxa"/>
            <w:vAlign w:val="bottom"/>
          </w:tcPr>
          <w:p>
            <w:pPr>
              <w:jc w:val="right"/>
              <w:ind w:right="455"/>
              <w:spacing w:after="0"/>
              <w:rPr>
                <w:sz w:val="20"/>
                <w:szCs w:val="20"/>
                <w:color w:val="auto"/>
              </w:rPr>
            </w:pPr>
            <w:r>
              <w:rPr>
                <w:rFonts w:ascii="Arial" w:cs="Arial" w:eastAsia="Arial" w:hAnsi="Arial"/>
                <w:sz w:val="18"/>
                <w:szCs w:val="18"/>
                <w:color w:val="auto"/>
              </w:rPr>
              <w:t>99,999</w:t>
            </w:r>
          </w:p>
        </w:tc>
        <w:tc>
          <w:tcPr>
            <w:tcW w:w="1700" w:type="dxa"/>
            <w:vAlign w:val="bottom"/>
          </w:tcPr>
          <w:p>
            <w:pPr>
              <w:jc w:val="right"/>
              <w:ind w:right="414"/>
              <w:spacing w:after="0"/>
              <w:rPr>
                <w:sz w:val="20"/>
                <w:szCs w:val="20"/>
                <w:color w:val="auto"/>
              </w:rPr>
            </w:pPr>
            <w:r>
              <w:rPr>
                <w:rFonts w:ascii="Arial" w:cs="Arial" w:eastAsia="Arial" w:hAnsi="Arial"/>
                <w:sz w:val="18"/>
                <w:szCs w:val="18"/>
                <w:color w:val="auto"/>
              </w:rPr>
              <w:t>233,999</w:t>
            </w:r>
          </w:p>
        </w:tc>
      </w:tr>
      <w:tr>
        <w:trPr>
          <w:trHeight w:val="230"/>
        </w:trPr>
        <w:tc>
          <w:tcPr>
            <w:tcW w:w="3080" w:type="dxa"/>
            <w:vAlign w:val="bottom"/>
            <w:shd w:val="clear" w:color="auto" w:fill="E9EFEE"/>
          </w:tcPr>
          <w:p>
            <w:pPr>
              <w:ind w:left="20"/>
              <w:spacing w:after="0"/>
              <w:rPr>
                <w:sz w:val="20"/>
                <w:szCs w:val="20"/>
                <w:color w:val="auto"/>
              </w:rPr>
            </w:pPr>
            <w:r>
              <w:rPr>
                <w:rFonts w:ascii="Arial" w:cs="Arial" w:eastAsia="Arial" w:hAnsi="Arial"/>
                <w:sz w:val="18"/>
                <w:szCs w:val="18"/>
                <w:color w:val="auto"/>
              </w:rPr>
              <w:t>Nancy Gougarty</w:t>
            </w:r>
          </w:p>
        </w:tc>
        <w:tc>
          <w:tcPr>
            <w:tcW w:w="3080" w:type="dxa"/>
            <w:vAlign w:val="bottom"/>
            <w:shd w:val="clear" w:color="auto" w:fill="E9EFEE"/>
          </w:tcPr>
          <w:p>
            <w:pPr>
              <w:jc w:val="right"/>
              <w:ind w:right="675"/>
              <w:spacing w:after="0"/>
              <w:rPr>
                <w:sz w:val="20"/>
                <w:szCs w:val="20"/>
                <w:color w:val="auto"/>
              </w:rPr>
            </w:pPr>
            <w:r>
              <w:rPr>
                <w:rFonts w:ascii="Arial" w:cs="Arial" w:eastAsia="Arial" w:hAnsi="Arial"/>
                <w:sz w:val="18"/>
                <w:szCs w:val="18"/>
                <w:color w:val="auto"/>
              </w:rPr>
              <w:t>117,000</w:t>
            </w:r>
          </w:p>
        </w:tc>
        <w:tc>
          <w:tcPr>
            <w:tcW w:w="1700" w:type="dxa"/>
            <w:vAlign w:val="bottom"/>
            <w:shd w:val="clear" w:color="auto" w:fill="E9EFEE"/>
          </w:tcPr>
          <w:p>
            <w:pPr>
              <w:jc w:val="right"/>
              <w:ind w:right="455"/>
              <w:spacing w:after="0"/>
              <w:rPr>
                <w:sz w:val="20"/>
                <w:szCs w:val="20"/>
                <w:color w:val="auto"/>
              </w:rPr>
            </w:pPr>
            <w:r>
              <w:rPr>
                <w:rFonts w:ascii="Arial" w:cs="Arial" w:eastAsia="Arial" w:hAnsi="Arial"/>
                <w:sz w:val="18"/>
                <w:szCs w:val="18"/>
                <w:color w:val="auto"/>
              </w:rPr>
              <w:t>99,999</w:t>
            </w:r>
          </w:p>
        </w:tc>
        <w:tc>
          <w:tcPr>
            <w:tcW w:w="1700" w:type="dxa"/>
            <w:vAlign w:val="bottom"/>
            <w:shd w:val="clear" w:color="auto" w:fill="E9EFEE"/>
          </w:tcPr>
          <w:p>
            <w:pPr>
              <w:jc w:val="right"/>
              <w:ind w:right="414"/>
              <w:spacing w:after="0"/>
              <w:rPr>
                <w:sz w:val="20"/>
                <w:szCs w:val="20"/>
                <w:color w:val="auto"/>
              </w:rPr>
            </w:pPr>
            <w:r>
              <w:rPr>
                <w:rFonts w:ascii="Arial" w:cs="Arial" w:eastAsia="Arial" w:hAnsi="Arial"/>
                <w:sz w:val="18"/>
                <w:szCs w:val="18"/>
                <w:color w:val="auto"/>
              </w:rPr>
              <w:t>216,999</w:t>
            </w:r>
          </w:p>
        </w:tc>
      </w:tr>
      <w:tr>
        <w:trPr>
          <w:trHeight w:val="230"/>
        </w:trPr>
        <w:tc>
          <w:tcPr>
            <w:tcW w:w="3080" w:type="dxa"/>
            <w:vAlign w:val="bottom"/>
          </w:tcPr>
          <w:p>
            <w:pPr>
              <w:ind w:left="20"/>
              <w:spacing w:after="0" w:line="230" w:lineRule="exact"/>
              <w:rPr>
                <w:sz w:val="20"/>
                <w:szCs w:val="20"/>
                <w:color w:val="auto"/>
              </w:rPr>
            </w:pPr>
            <w:r>
              <w:rPr>
                <w:rFonts w:ascii="Arial" w:cs="Arial" w:eastAsia="Arial" w:hAnsi="Arial"/>
                <w:sz w:val="16"/>
                <w:szCs w:val="16"/>
                <w:color w:val="auto"/>
              </w:rPr>
              <w:t>Jeffrey M. Greene</w:t>
            </w:r>
            <w:r>
              <w:rPr>
                <w:rFonts w:ascii="Arial" w:cs="Arial" w:eastAsia="Arial" w:hAnsi="Arial"/>
                <w:sz w:val="26"/>
                <w:szCs w:val="26"/>
                <w:color w:val="auto"/>
                <w:vertAlign w:val="superscript"/>
              </w:rPr>
              <w:t>(3)</w:t>
            </w:r>
          </w:p>
        </w:tc>
        <w:tc>
          <w:tcPr>
            <w:tcW w:w="3080" w:type="dxa"/>
            <w:vAlign w:val="bottom"/>
          </w:tcPr>
          <w:p>
            <w:pPr>
              <w:jc w:val="right"/>
              <w:ind w:right="675"/>
              <w:spacing w:after="0"/>
              <w:rPr>
                <w:sz w:val="20"/>
                <w:szCs w:val="20"/>
                <w:color w:val="auto"/>
              </w:rPr>
            </w:pPr>
            <w:r>
              <w:rPr>
                <w:rFonts w:ascii="Arial" w:cs="Arial" w:eastAsia="Arial" w:hAnsi="Arial"/>
                <w:sz w:val="18"/>
                <w:szCs w:val="18"/>
                <w:color w:val="auto"/>
              </w:rPr>
              <w:t>5,436</w:t>
            </w:r>
          </w:p>
        </w:tc>
        <w:tc>
          <w:tcPr>
            <w:tcW w:w="1700" w:type="dxa"/>
            <w:vAlign w:val="bottom"/>
          </w:tcPr>
          <w:p>
            <w:pPr>
              <w:jc w:val="right"/>
              <w:ind w:right="455"/>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14"/>
              <w:spacing w:after="0"/>
              <w:rPr>
                <w:sz w:val="20"/>
                <w:szCs w:val="20"/>
                <w:color w:val="auto"/>
              </w:rPr>
            </w:pPr>
            <w:r>
              <w:rPr>
                <w:rFonts w:ascii="Arial" w:cs="Arial" w:eastAsia="Arial" w:hAnsi="Arial"/>
                <w:sz w:val="18"/>
                <w:szCs w:val="18"/>
                <w:color w:val="auto"/>
              </w:rPr>
              <w:t>5,436</w:t>
            </w:r>
          </w:p>
        </w:tc>
      </w:tr>
      <w:tr>
        <w:trPr>
          <w:trHeight w:val="230"/>
        </w:trPr>
        <w:tc>
          <w:tcPr>
            <w:tcW w:w="3080" w:type="dxa"/>
            <w:vAlign w:val="bottom"/>
            <w:shd w:val="clear" w:color="auto" w:fill="E9EFEE"/>
          </w:tcPr>
          <w:p>
            <w:pPr>
              <w:ind w:left="20"/>
              <w:spacing w:after="0"/>
              <w:rPr>
                <w:sz w:val="20"/>
                <w:szCs w:val="20"/>
                <w:color w:val="auto"/>
              </w:rPr>
            </w:pPr>
            <w:r>
              <w:rPr>
                <w:rFonts w:ascii="Arial" w:cs="Arial" w:eastAsia="Arial" w:hAnsi="Arial"/>
                <w:sz w:val="18"/>
                <w:szCs w:val="18"/>
                <w:color w:val="auto"/>
              </w:rPr>
              <w:t>Eugene A. Miller</w:t>
            </w:r>
          </w:p>
        </w:tc>
        <w:tc>
          <w:tcPr>
            <w:tcW w:w="3080" w:type="dxa"/>
            <w:vAlign w:val="bottom"/>
            <w:shd w:val="clear" w:color="auto" w:fill="E9EFEE"/>
          </w:tcPr>
          <w:p>
            <w:pPr>
              <w:jc w:val="right"/>
              <w:ind w:right="675"/>
              <w:spacing w:after="0"/>
              <w:rPr>
                <w:sz w:val="20"/>
                <w:szCs w:val="20"/>
                <w:color w:val="auto"/>
              </w:rPr>
            </w:pPr>
            <w:r>
              <w:rPr>
                <w:rFonts w:ascii="Arial" w:cs="Arial" w:eastAsia="Arial" w:hAnsi="Arial"/>
                <w:sz w:val="18"/>
                <w:szCs w:val="18"/>
                <w:color w:val="auto"/>
              </w:rPr>
              <w:t>124,000</w:t>
            </w:r>
          </w:p>
        </w:tc>
        <w:tc>
          <w:tcPr>
            <w:tcW w:w="1700" w:type="dxa"/>
            <w:vAlign w:val="bottom"/>
            <w:shd w:val="clear" w:color="auto" w:fill="E9EFEE"/>
          </w:tcPr>
          <w:p>
            <w:pPr>
              <w:jc w:val="right"/>
              <w:ind w:right="455"/>
              <w:spacing w:after="0"/>
              <w:rPr>
                <w:sz w:val="20"/>
                <w:szCs w:val="20"/>
                <w:color w:val="auto"/>
              </w:rPr>
            </w:pPr>
            <w:r>
              <w:rPr>
                <w:rFonts w:ascii="Arial" w:cs="Arial" w:eastAsia="Arial" w:hAnsi="Arial"/>
                <w:sz w:val="18"/>
                <w:szCs w:val="18"/>
                <w:color w:val="auto"/>
              </w:rPr>
              <w:t>99,999</w:t>
            </w:r>
          </w:p>
        </w:tc>
        <w:tc>
          <w:tcPr>
            <w:tcW w:w="1700" w:type="dxa"/>
            <w:vAlign w:val="bottom"/>
            <w:shd w:val="clear" w:color="auto" w:fill="E9EFEE"/>
          </w:tcPr>
          <w:p>
            <w:pPr>
              <w:jc w:val="right"/>
              <w:ind w:right="414"/>
              <w:spacing w:after="0"/>
              <w:rPr>
                <w:sz w:val="20"/>
                <w:szCs w:val="20"/>
                <w:color w:val="auto"/>
              </w:rPr>
            </w:pPr>
            <w:r>
              <w:rPr>
                <w:rFonts w:ascii="Arial" w:cs="Arial" w:eastAsia="Arial" w:hAnsi="Arial"/>
                <w:sz w:val="18"/>
                <w:szCs w:val="18"/>
                <w:color w:val="auto"/>
              </w:rPr>
              <w:t>223,999</w:t>
            </w: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Herbert K. Parker</w:t>
            </w:r>
          </w:p>
        </w:tc>
        <w:tc>
          <w:tcPr>
            <w:tcW w:w="3080" w:type="dxa"/>
            <w:vAlign w:val="bottom"/>
          </w:tcPr>
          <w:p>
            <w:pPr>
              <w:jc w:val="right"/>
              <w:ind w:right="675"/>
              <w:spacing w:after="0"/>
              <w:rPr>
                <w:sz w:val="20"/>
                <w:szCs w:val="20"/>
                <w:color w:val="auto"/>
              </w:rPr>
            </w:pPr>
            <w:r>
              <w:rPr>
                <w:rFonts w:ascii="Arial" w:cs="Arial" w:eastAsia="Arial" w:hAnsi="Arial"/>
                <w:sz w:val="18"/>
                <w:szCs w:val="18"/>
                <w:color w:val="auto"/>
              </w:rPr>
              <w:t>118,000</w:t>
            </w:r>
          </w:p>
        </w:tc>
        <w:tc>
          <w:tcPr>
            <w:tcW w:w="1700" w:type="dxa"/>
            <w:vAlign w:val="bottom"/>
          </w:tcPr>
          <w:p>
            <w:pPr>
              <w:jc w:val="right"/>
              <w:ind w:right="455"/>
              <w:spacing w:after="0"/>
              <w:rPr>
                <w:sz w:val="20"/>
                <w:szCs w:val="20"/>
                <w:color w:val="auto"/>
              </w:rPr>
            </w:pPr>
            <w:r>
              <w:rPr>
                <w:rFonts w:ascii="Arial" w:cs="Arial" w:eastAsia="Arial" w:hAnsi="Arial"/>
                <w:sz w:val="18"/>
                <w:szCs w:val="18"/>
                <w:color w:val="auto"/>
              </w:rPr>
              <w:t>99,999</w:t>
            </w:r>
          </w:p>
        </w:tc>
        <w:tc>
          <w:tcPr>
            <w:tcW w:w="1700" w:type="dxa"/>
            <w:vAlign w:val="bottom"/>
          </w:tcPr>
          <w:p>
            <w:pPr>
              <w:jc w:val="right"/>
              <w:ind w:right="414"/>
              <w:spacing w:after="0"/>
              <w:rPr>
                <w:sz w:val="20"/>
                <w:szCs w:val="20"/>
                <w:color w:val="auto"/>
              </w:rPr>
            </w:pPr>
            <w:r>
              <w:rPr>
                <w:rFonts w:ascii="Arial" w:cs="Arial" w:eastAsia="Arial" w:hAnsi="Arial"/>
                <w:sz w:val="18"/>
                <w:szCs w:val="18"/>
                <w:color w:val="auto"/>
              </w:rPr>
              <w:t>217,999</w:t>
            </w:r>
          </w:p>
        </w:tc>
      </w:tr>
      <w:tr>
        <w:trPr>
          <w:trHeight w:val="230"/>
        </w:trPr>
        <w:tc>
          <w:tcPr>
            <w:tcW w:w="3080" w:type="dxa"/>
            <w:vAlign w:val="bottom"/>
            <w:shd w:val="clear" w:color="auto" w:fill="E9EFEE"/>
          </w:tcPr>
          <w:p>
            <w:pPr>
              <w:ind w:left="20"/>
              <w:spacing w:after="0"/>
              <w:rPr>
                <w:sz w:val="20"/>
                <w:szCs w:val="20"/>
                <w:color w:val="auto"/>
              </w:rPr>
            </w:pPr>
            <w:r>
              <w:rPr>
                <w:rFonts w:ascii="Arial" w:cs="Arial" w:eastAsia="Arial" w:hAnsi="Arial"/>
                <w:sz w:val="18"/>
                <w:szCs w:val="18"/>
                <w:color w:val="auto"/>
              </w:rPr>
              <w:t>Nick L. Stanage</w:t>
            </w:r>
          </w:p>
        </w:tc>
        <w:tc>
          <w:tcPr>
            <w:tcW w:w="3080" w:type="dxa"/>
            <w:vAlign w:val="bottom"/>
            <w:shd w:val="clear" w:color="auto" w:fill="E9EFEE"/>
          </w:tcPr>
          <w:p>
            <w:pPr>
              <w:jc w:val="right"/>
              <w:ind w:right="675"/>
              <w:spacing w:after="0"/>
              <w:rPr>
                <w:sz w:val="20"/>
                <w:szCs w:val="20"/>
                <w:color w:val="auto"/>
              </w:rPr>
            </w:pPr>
            <w:r>
              <w:rPr>
                <w:rFonts w:ascii="Arial" w:cs="Arial" w:eastAsia="Arial" w:hAnsi="Arial"/>
                <w:sz w:val="18"/>
                <w:szCs w:val="18"/>
                <w:color w:val="auto"/>
              </w:rPr>
              <w:t>118,000</w:t>
            </w:r>
          </w:p>
        </w:tc>
        <w:tc>
          <w:tcPr>
            <w:tcW w:w="1700" w:type="dxa"/>
            <w:vAlign w:val="bottom"/>
            <w:shd w:val="clear" w:color="auto" w:fill="E9EFEE"/>
          </w:tcPr>
          <w:p>
            <w:pPr>
              <w:jc w:val="right"/>
              <w:ind w:right="455"/>
              <w:spacing w:after="0"/>
              <w:rPr>
                <w:sz w:val="20"/>
                <w:szCs w:val="20"/>
                <w:color w:val="auto"/>
              </w:rPr>
            </w:pPr>
            <w:r>
              <w:rPr>
                <w:rFonts w:ascii="Arial" w:cs="Arial" w:eastAsia="Arial" w:hAnsi="Arial"/>
                <w:sz w:val="18"/>
                <w:szCs w:val="18"/>
                <w:color w:val="auto"/>
              </w:rPr>
              <w:t>99,999</w:t>
            </w:r>
          </w:p>
        </w:tc>
        <w:tc>
          <w:tcPr>
            <w:tcW w:w="1700" w:type="dxa"/>
            <w:vAlign w:val="bottom"/>
            <w:shd w:val="clear" w:color="auto" w:fill="E9EFEE"/>
          </w:tcPr>
          <w:p>
            <w:pPr>
              <w:jc w:val="right"/>
              <w:ind w:right="414"/>
              <w:spacing w:after="0"/>
              <w:rPr>
                <w:sz w:val="20"/>
                <w:szCs w:val="20"/>
                <w:color w:val="auto"/>
              </w:rPr>
            </w:pPr>
            <w:r>
              <w:rPr>
                <w:rFonts w:ascii="Arial" w:cs="Arial" w:eastAsia="Arial" w:hAnsi="Arial"/>
                <w:sz w:val="18"/>
                <w:szCs w:val="18"/>
                <w:color w:val="auto"/>
              </w:rPr>
              <w:t>217,999</w:t>
            </w:r>
          </w:p>
        </w:tc>
      </w:tr>
      <w:tr>
        <w:trPr>
          <w:trHeight w:val="230"/>
        </w:trPr>
        <w:tc>
          <w:tcPr>
            <w:tcW w:w="3080" w:type="dxa"/>
            <w:vAlign w:val="bottom"/>
            <w:tcBorders>
              <w:bottom w:val="single" w:sz="8" w:color="000562"/>
            </w:tcBorders>
          </w:tcPr>
          <w:p>
            <w:pPr>
              <w:ind w:left="20"/>
              <w:spacing w:after="0"/>
              <w:rPr>
                <w:sz w:val="20"/>
                <w:szCs w:val="20"/>
                <w:color w:val="auto"/>
              </w:rPr>
            </w:pPr>
            <w:r>
              <w:rPr>
                <w:rFonts w:ascii="Arial" w:cs="Arial" w:eastAsia="Arial" w:hAnsi="Arial"/>
                <w:sz w:val="18"/>
                <w:szCs w:val="18"/>
                <w:color w:val="auto"/>
              </w:rPr>
              <w:t>Daniel P. Tredwell</w:t>
            </w:r>
          </w:p>
        </w:tc>
        <w:tc>
          <w:tcPr>
            <w:tcW w:w="3080" w:type="dxa"/>
            <w:vAlign w:val="bottom"/>
            <w:tcBorders>
              <w:bottom w:val="single" w:sz="8" w:color="000562"/>
            </w:tcBorders>
          </w:tcPr>
          <w:p>
            <w:pPr>
              <w:jc w:val="right"/>
              <w:ind w:right="675"/>
              <w:spacing w:after="0"/>
              <w:rPr>
                <w:sz w:val="20"/>
                <w:szCs w:val="20"/>
                <w:color w:val="auto"/>
              </w:rPr>
            </w:pPr>
            <w:r>
              <w:rPr>
                <w:rFonts w:ascii="Arial" w:cs="Arial" w:eastAsia="Arial" w:hAnsi="Arial"/>
                <w:sz w:val="18"/>
                <w:szCs w:val="18"/>
                <w:color w:val="auto"/>
              </w:rPr>
              <w:t>119,000</w:t>
            </w:r>
          </w:p>
        </w:tc>
        <w:tc>
          <w:tcPr>
            <w:tcW w:w="1700" w:type="dxa"/>
            <w:vAlign w:val="bottom"/>
            <w:tcBorders>
              <w:bottom w:val="single" w:sz="8" w:color="000562"/>
            </w:tcBorders>
          </w:tcPr>
          <w:p>
            <w:pPr>
              <w:jc w:val="right"/>
              <w:ind w:right="455"/>
              <w:spacing w:after="0"/>
              <w:rPr>
                <w:sz w:val="20"/>
                <w:szCs w:val="20"/>
                <w:color w:val="auto"/>
              </w:rPr>
            </w:pPr>
            <w:r>
              <w:rPr>
                <w:rFonts w:ascii="Arial" w:cs="Arial" w:eastAsia="Arial" w:hAnsi="Arial"/>
                <w:sz w:val="18"/>
                <w:szCs w:val="18"/>
                <w:color w:val="auto"/>
              </w:rPr>
              <w:t>99,999</w:t>
            </w:r>
          </w:p>
        </w:tc>
        <w:tc>
          <w:tcPr>
            <w:tcW w:w="1700" w:type="dxa"/>
            <w:vAlign w:val="bottom"/>
            <w:tcBorders>
              <w:bottom w:val="single" w:sz="8" w:color="000562"/>
            </w:tcBorders>
          </w:tcPr>
          <w:p>
            <w:pPr>
              <w:jc w:val="right"/>
              <w:ind w:right="414"/>
              <w:spacing w:after="0"/>
              <w:rPr>
                <w:sz w:val="20"/>
                <w:szCs w:val="20"/>
                <w:color w:val="auto"/>
              </w:rPr>
            </w:pPr>
            <w:r>
              <w:rPr>
                <w:rFonts w:ascii="Arial" w:cs="Arial" w:eastAsia="Arial" w:hAnsi="Arial"/>
                <w:sz w:val="18"/>
                <w:szCs w:val="18"/>
                <w:color w:val="auto"/>
              </w:rPr>
              <w:t>218,999</w:t>
            </w:r>
          </w:p>
        </w:tc>
      </w:tr>
    </w:tbl>
    <w:p>
      <w:pPr>
        <w:spacing w:after="0" w:line="221" w:lineRule="exact"/>
        <w:rPr>
          <w:sz w:val="20"/>
          <w:szCs w:val="20"/>
          <w:color w:val="auto"/>
        </w:rPr>
      </w:pPr>
    </w:p>
    <w:p>
      <w:pPr>
        <w:ind w:left="400" w:right="20" w:hanging="353"/>
        <w:spacing w:after="0" w:line="218" w:lineRule="auto"/>
        <w:tabs>
          <w:tab w:leader="none" w:pos="40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Ms. Gougarty and Mr. Miller elected to defer 100% and 50%, respectively, of their 2018 fees earned as permitted under the Company’s Director Retainer Share Election Program.</w:t>
      </w:r>
    </w:p>
    <w:p>
      <w:pPr>
        <w:spacing w:after="0" w:line="97" w:lineRule="exact"/>
        <w:rPr>
          <w:rFonts w:ascii="Arial" w:cs="Arial" w:eastAsia="Arial" w:hAnsi="Arial"/>
          <w:sz w:val="18"/>
          <w:szCs w:val="18"/>
          <w:color w:val="auto"/>
          <w:vertAlign w:val="superscript"/>
        </w:rPr>
      </w:pPr>
    </w:p>
    <w:p>
      <w:pPr>
        <w:jc w:val="both"/>
        <w:ind w:left="400" w:hanging="353"/>
        <w:spacing w:after="0" w:line="231" w:lineRule="auto"/>
        <w:tabs>
          <w:tab w:leader="none" w:pos="40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The amounts in this column reflect the grant date fair value (computed in accordance with Financial Accounting Standards Board Accounting Standards Codification, or FASB ASC, Topic 718) of the service-based restricted stock units granted to our non-employee directors during 2018. Messrs. Valenti, Gabrys, Miller, Parker, Stanage and Tredwell, and Ms. Gougarty each received 3,690 restricted stock units effective on May 1, 2018. These awards were granted under the Company’s 2017 Equity and Incentive Compensation Plan and vested one year from the date of grant (because the directors did not terminate service on the Board prior to the vesting date).</w:t>
      </w:r>
    </w:p>
    <w:p>
      <w:pPr>
        <w:spacing w:after="0" w:line="64" w:lineRule="exact"/>
        <w:rPr>
          <w:rFonts w:ascii="Arial" w:cs="Arial" w:eastAsia="Arial" w:hAnsi="Arial"/>
          <w:sz w:val="18"/>
          <w:szCs w:val="18"/>
          <w:color w:val="auto"/>
          <w:vertAlign w:val="superscript"/>
        </w:rPr>
      </w:pPr>
    </w:p>
    <w:p>
      <w:pPr>
        <w:ind w:left="400" w:hanging="353"/>
        <w:spacing w:after="0"/>
        <w:tabs>
          <w:tab w:leader="none" w:pos="40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Mr. Greene was appointed to the Board on December 12, 2018.</w:t>
      </w:r>
    </w:p>
    <w:p>
      <w:pPr>
        <w:spacing w:after="0" w:line="9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table below sets forth as to each non-employee director the aggregate number of stock options and restricted stock units outstanding as of December 31, 2018. All of the stock options set forth in the table are fully vested.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60" w:type="dxa"/>
            <w:vAlign w:val="bottom"/>
            <w:tcBorders>
              <w:bottom w:val="single" w:sz="8" w:color="000562"/>
            </w:tcBorders>
          </w:tcPr>
          <w:p>
            <w:pPr>
              <w:ind w:left="20"/>
              <w:spacing w:after="0"/>
              <w:rPr>
                <w:sz w:val="20"/>
                <w:szCs w:val="20"/>
                <w:color w:val="auto"/>
              </w:rPr>
            </w:pPr>
            <w:r>
              <w:rPr>
                <w:rFonts w:ascii="Arial" w:cs="Arial" w:eastAsia="Arial" w:hAnsi="Arial"/>
                <w:sz w:val="14"/>
                <w:szCs w:val="14"/>
                <w:b w:val="1"/>
                <w:bCs w:val="1"/>
                <w:color w:val="000562"/>
              </w:rPr>
              <w:t>Name</w:t>
            </w:r>
          </w:p>
        </w:tc>
        <w:tc>
          <w:tcPr>
            <w:tcW w:w="3840" w:type="dxa"/>
            <w:vAlign w:val="bottom"/>
            <w:tcBorders>
              <w:bottom w:val="single" w:sz="8" w:color="000562"/>
            </w:tcBorders>
          </w:tcPr>
          <w:p>
            <w:pPr>
              <w:jc w:val="right"/>
              <w:ind w:right="492"/>
              <w:spacing w:after="0"/>
              <w:rPr>
                <w:sz w:val="20"/>
                <w:szCs w:val="20"/>
                <w:color w:val="auto"/>
              </w:rPr>
            </w:pPr>
            <w:r>
              <w:rPr>
                <w:rFonts w:ascii="Arial" w:cs="Arial" w:eastAsia="Arial" w:hAnsi="Arial"/>
                <w:sz w:val="14"/>
                <w:szCs w:val="14"/>
                <w:b w:val="1"/>
                <w:bCs w:val="1"/>
                <w:color w:val="000562"/>
              </w:rPr>
              <w:t>Option Awards</w:t>
            </w:r>
          </w:p>
        </w:tc>
        <w:tc>
          <w:tcPr>
            <w:tcW w:w="1960" w:type="dxa"/>
            <w:vAlign w:val="bottom"/>
            <w:tcBorders>
              <w:bottom w:val="single" w:sz="8" w:color="000562"/>
            </w:tcBorders>
          </w:tcPr>
          <w:p>
            <w:pPr>
              <w:jc w:val="right"/>
              <w:ind w:right="352"/>
              <w:spacing w:after="0"/>
              <w:rPr>
                <w:sz w:val="20"/>
                <w:szCs w:val="20"/>
                <w:color w:val="auto"/>
              </w:rPr>
            </w:pPr>
            <w:r>
              <w:rPr>
                <w:rFonts w:ascii="Arial" w:cs="Arial" w:eastAsia="Arial" w:hAnsi="Arial"/>
                <w:sz w:val="14"/>
                <w:szCs w:val="14"/>
                <w:b w:val="1"/>
                <w:bCs w:val="1"/>
                <w:color w:val="000562"/>
              </w:rPr>
              <w:t>Stock Awards</w:t>
            </w:r>
          </w:p>
        </w:tc>
      </w:tr>
      <w:tr>
        <w:trPr>
          <w:trHeight w:val="223"/>
        </w:trPr>
        <w:tc>
          <w:tcPr>
            <w:tcW w:w="3760" w:type="dxa"/>
            <w:vAlign w:val="bottom"/>
            <w:shd w:val="clear" w:color="auto" w:fill="E9EFEE"/>
          </w:tcPr>
          <w:p>
            <w:pPr>
              <w:ind w:left="20"/>
              <w:spacing w:after="0"/>
              <w:rPr>
                <w:sz w:val="20"/>
                <w:szCs w:val="20"/>
                <w:color w:val="auto"/>
              </w:rPr>
            </w:pPr>
            <w:r>
              <w:rPr>
                <w:rFonts w:ascii="Arial" w:cs="Arial" w:eastAsia="Arial" w:hAnsi="Arial"/>
                <w:sz w:val="18"/>
                <w:szCs w:val="18"/>
                <w:color w:val="auto"/>
              </w:rPr>
              <w:t>Samuel Valenti III</w:t>
            </w:r>
          </w:p>
        </w:tc>
        <w:tc>
          <w:tcPr>
            <w:tcW w:w="3840" w:type="dxa"/>
            <w:vAlign w:val="bottom"/>
            <w:shd w:val="clear" w:color="auto" w:fill="E9EFEE"/>
          </w:tcPr>
          <w:p>
            <w:pPr>
              <w:jc w:val="right"/>
              <w:ind w:right="652"/>
              <w:spacing w:after="0"/>
              <w:rPr>
                <w:sz w:val="20"/>
                <w:szCs w:val="20"/>
                <w:color w:val="auto"/>
              </w:rPr>
            </w:pPr>
            <w:r>
              <w:rPr>
                <w:rFonts w:ascii="Arial" w:cs="Arial" w:eastAsia="Arial" w:hAnsi="Arial"/>
                <w:sz w:val="18"/>
                <w:szCs w:val="18"/>
                <w:color w:val="auto"/>
              </w:rPr>
              <w:t>—</w:t>
            </w:r>
          </w:p>
        </w:tc>
        <w:tc>
          <w:tcPr>
            <w:tcW w:w="1960" w:type="dxa"/>
            <w:vAlign w:val="bottom"/>
            <w:shd w:val="clear" w:color="auto" w:fill="E9EFEE"/>
          </w:tcPr>
          <w:p>
            <w:pPr>
              <w:jc w:val="right"/>
              <w:ind w:right="652"/>
              <w:spacing w:after="0"/>
              <w:rPr>
                <w:sz w:val="20"/>
                <w:szCs w:val="20"/>
                <w:color w:val="auto"/>
              </w:rPr>
            </w:pPr>
            <w:r>
              <w:rPr>
                <w:rFonts w:ascii="Arial" w:cs="Arial" w:eastAsia="Arial" w:hAnsi="Arial"/>
                <w:sz w:val="18"/>
                <w:szCs w:val="18"/>
                <w:color w:val="auto"/>
              </w:rPr>
              <w:t>3,690</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Richard M. Gabrys</w:t>
            </w:r>
          </w:p>
        </w:tc>
        <w:tc>
          <w:tcPr>
            <w:tcW w:w="3840" w:type="dxa"/>
            <w:vAlign w:val="bottom"/>
          </w:tcPr>
          <w:p>
            <w:pPr>
              <w:jc w:val="right"/>
              <w:ind w:right="652"/>
              <w:spacing w:after="0"/>
              <w:rPr>
                <w:sz w:val="20"/>
                <w:szCs w:val="20"/>
                <w:color w:val="auto"/>
              </w:rPr>
            </w:pPr>
            <w:r>
              <w:rPr>
                <w:rFonts w:ascii="Arial" w:cs="Arial" w:eastAsia="Arial" w:hAnsi="Arial"/>
                <w:sz w:val="18"/>
                <w:szCs w:val="18"/>
                <w:color w:val="auto"/>
              </w:rPr>
              <w:t>28,427</w:t>
            </w:r>
          </w:p>
        </w:tc>
        <w:tc>
          <w:tcPr>
            <w:tcW w:w="1960" w:type="dxa"/>
            <w:vAlign w:val="bottom"/>
          </w:tcPr>
          <w:p>
            <w:pPr>
              <w:jc w:val="right"/>
              <w:ind w:right="652"/>
              <w:spacing w:after="0"/>
              <w:rPr>
                <w:sz w:val="20"/>
                <w:szCs w:val="20"/>
                <w:color w:val="auto"/>
              </w:rPr>
            </w:pPr>
            <w:r>
              <w:rPr>
                <w:rFonts w:ascii="Arial" w:cs="Arial" w:eastAsia="Arial" w:hAnsi="Arial"/>
                <w:sz w:val="18"/>
                <w:szCs w:val="18"/>
                <w:color w:val="auto"/>
              </w:rPr>
              <w:t>3,690</w:t>
            </w:r>
          </w:p>
        </w:tc>
      </w:tr>
      <w:tr>
        <w:trPr>
          <w:trHeight w:val="230"/>
        </w:trPr>
        <w:tc>
          <w:tcPr>
            <w:tcW w:w="3760" w:type="dxa"/>
            <w:vAlign w:val="bottom"/>
            <w:shd w:val="clear" w:color="auto" w:fill="E9EFEE"/>
          </w:tcPr>
          <w:p>
            <w:pPr>
              <w:ind w:left="20"/>
              <w:spacing w:after="0"/>
              <w:rPr>
                <w:sz w:val="20"/>
                <w:szCs w:val="20"/>
                <w:color w:val="auto"/>
              </w:rPr>
            </w:pPr>
            <w:r>
              <w:rPr>
                <w:rFonts w:ascii="Arial" w:cs="Arial" w:eastAsia="Arial" w:hAnsi="Arial"/>
                <w:sz w:val="18"/>
                <w:szCs w:val="18"/>
                <w:color w:val="auto"/>
              </w:rPr>
              <w:t>Nancy S. Gougarty</w:t>
            </w:r>
          </w:p>
        </w:tc>
        <w:tc>
          <w:tcPr>
            <w:tcW w:w="3840" w:type="dxa"/>
            <w:vAlign w:val="bottom"/>
            <w:shd w:val="clear" w:color="auto" w:fill="E9EFEE"/>
          </w:tcPr>
          <w:p>
            <w:pPr>
              <w:jc w:val="right"/>
              <w:ind w:right="652"/>
              <w:spacing w:after="0"/>
              <w:rPr>
                <w:sz w:val="20"/>
                <w:szCs w:val="20"/>
                <w:color w:val="auto"/>
              </w:rPr>
            </w:pPr>
            <w:r>
              <w:rPr>
                <w:rFonts w:ascii="Arial" w:cs="Arial" w:eastAsia="Arial" w:hAnsi="Arial"/>
                <w:sz w:val="18"/>
                <w:szCs w:val="18"/>
                <w:color w:val="auto"/>
              </w:rPr>
              <w:t>—</w:t>
            </w:r>
          </w:p>
        </w:tc>
        <w:tc>
          <w:tcPr>
            <w:tcW w:w="1960" w:type="dxa"/>
            <w:vAlign w:val="bottom"/>
            <w:shd w:val="clear" w:color="auto" w:fill="E9EFEE"/>
          </w:tcPr>
          <w:p>
            <w:pPr>
              <w:jc w:val="right"/>
              <w:ind w:right="652"/>
              <w:spacing w:after="0"/>
              <w:rPr>
                <w:sz w:val="20"/>
                <w:szCs w:val="20"/>
                <w:color w:val="auto"/>
              </w:rPr>
            </w:pPr>
            <w:r>
              <w:rPr>
                <w:rFonts w:ascii="Arial" w:cs="Arial" w:eastAsia="Arial" w:hAnsi="Arial"/>
                <w:sz w:val="18"/>
                <w:szCs w:val="18"/>
                <w:color w:val="auto"/>
              </w:rPr>
              <w:t>3,690</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Jeffrey M. Greene</w:t>
            </w:r>
          </w:p>
        </w:tc>
        <w:tc>
          <w:tcPr>
            <w:tcW w:w="38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652"/>
              <w:spacing w:after="0"/>
              <w:rPr>
                <w:sz w:val="20"/>
                <w:szCs w:val="20"/>
                <w:color w:val="auto"/>
              </w:rPr>
            </w:pPr>
            <w:r>
              <w:rPr>
                <w:rFonts w:ascii="Arial" w:cs="Arial" w:eastAsia="Arial" w:hAnsi="Arial"/>
                <w:sz w:val="18"/>
                <w:szCs w:val="18"/>
                <w:color w:val="auto"/>
              </w:rPr>
              <w:t>—</w:t>
            </w:r>
          </w:p>
        </w:tc>
      </w:tr>
      <w:tr>
        <w:trPr>
          <w:trHeight w:val="230"/>
        </w:trPr>
        <w:tc>
          <w:tcPr>
            <w:tcW w:w="3760" w:type="dxa"/>
            <w:vAlign w:val="bottom"/>
            <w:shd w:val="clear" w:color="auto" w:fill="E9EFEE"/>
          </w:tcPr>
          <w:p>
            <w:pPr>
              <w:ind w:left="20"/>
              <w:spacing w:after="0"/>
              <w:rPr>
                <w:sz w:val="20"/>
                <w:szCs w:val="20"/>
                <w:color w:val="auto"/>
              </w:rPr>
            </w:pPr>
            <w:r>
              <w:rPr>
                <w:rFonts w:ascii="Arial" w:cs="Arial" w:eastAsia="Arial" w:hAnsi="Arial"/>
                <w:sz w:val="18"/>
                <w:szCs w:val="18"/>
                <w:color w:val="auto"/>
              </w:rPr>
              <w:t>Eugene A. Miller</w:t>
            </w:r>
          </w:p>
        </w:tc>
        <w:tc>
          <w:tcPr>
            <w:tcW w:w="3840" w:type="dxa"/>
            <w:vAlign w:val="bottom"/>
            <w:shd w:val="clear" w:color="auto" w:fill="E9EFEE"/>
          </w:tcPr>
          <w:p>
            <w:pPr>
              <w:jc w:val="right"/>
              <w:ind w:right="652"/>
              <w:spacing w:after="0"/>
              <w:rPr>
                <w:sz w:val="20"/>
                <w:szCs w:val="20"/>
                <w:color w:val="auto"/>
              </w:rPr>
            </w:pPr>
            <w:r>
              <w:rPr>
                <w:rFonts w:ascii="Arial" w:cs="Arial" w:eastAsia="Arial" w:hAnsi="Arial"/>
                <w:sz w:val="18"/>
                <w:szCs w:val="18"/>
                <w:color w:val="auto"/>
              </w:rPr>
              <w:t>28,427</w:t>
            </w:r>
          </w:p>
        </w:tc>
        <w:tc>
          <w:tcPr>
            <w:tcW w:w="1960" w:type="dxa"/>
            <w:vAlign w:val="bottom"/>
            <w:shd w:val="clear" w:color="auto" w:fill="E9EFEE"/>
          </w:tcPr>
          <w:p>
            <w:pPr>
              <w:jc w:val="right"/>
              <w:ind w:right="652"/>
              <w:spacing w:after="0"/>
              <w:rPr>
                <w:sz w:val="20"/>
                <w:szCs w:val="20"/>
                <w:color w:val="auto"/>
              </w:rPr>
            </w:pPr>
            <w:r>
              <w:rPr>
                <w:rFonts w:ascii="Arial" w:cs="Arial" w:eastAsia="Arial" w:hAnsi="Arial"/>
                <w:sz w:val="18"/>
                <w:szCs w:val="18"/>
                <w:color w:val="auto"/>
              </w:rPr>
              <w:t>3,690</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Herbert K. Parker</w:t>
            </w:r>
          </w:p>
        </w:tc>
        <w:tc>
          <w:tcPr>
            <w:tcW w:w="38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652"/>
              <w:spacing w:after="0"/>
              <w:rPr>
                <w:sz w:val="20"/>
                <w:szCs w:val="20"/>
                <w:color w:val="auto"/>
              </w:rPr>
            </w:pPr>
            <w:r>
              <w:rPr>
                <w:rFonts w:ascii="Arial" w:cs="Arial" w:eastAsia="Arial" w:hAnsi="Arial"/>
                <w:sz w:val="18"/>
                <w:szCs w:val="18"/>
                <w:color w:val="auto"/>
              </w:rPr>
              <w:t>3,690</w:t>
            </w:r>
          </w:p>
        </w:tc>
      </w:tr>
      <w:tr>
        <w:trPr>
          <w:trHeight w:val="230"/>
        </w:trPr>
        <w:tc>
          <w:tcPr>
            <w:tcW w:w="3760" w:type="dxa"/>
            <w:vAlign w:val="bottom"/>
            <w:shd w:val="clear" w:color="auto" w:fill="E9EFEE"/>
          </w:tcPr>
          <w:p>
            <w:pPr>
              <w:ind w:left="20"/>
              <w:spacing w:after="0"/>
              <w:rPr>
                <w:sz w:val="20"/>
                <w:szCs w:val="20"/>
                <w:color w:val="auto"/>
              </w:rPr>
            </w:pPr>
            <w:r>
              <w:rPr>
                <w:rFonts w:ascii="Arial" w:cs="Arial" w:eastAsia="Arial" w:hAnsi="Arial"/>
                <w:sz w:val="18"/>
                <w:szCs w:val="18"/>
                <w:color w:val="auto"/>
              </w:rPr>
              <w:t>Nick L. Stanage</w:t>
            </w:r>
          </w:p>
        </w:tc>
        <w:tc>
          <w:tcPr>
            <w:tcW w:w="3840" w:type="dxa"/>
            <w:vAlign w:val="bottom"/>
            <w:shd w:val="clear" w:color="auto" w:fill="E9EFEE"/>
          </w:tcPr>
          <w:p>
            <w:pPr>
              <w:jc w:val="right"/>
              <w:ind w:right="652"/>
              <w:spacing w:after="0"/>
              <w:rPr>
                <w:sz w:val="20"/>
                <w:szCs w:val="20"/>
                <w:color w:val="auto"/>
              </w:rPr>
            </w:pPr>
            <w:r>
              <w:rPr>
                <w:rFonts w:ascii="Arial" w:cs="Arial" w:eastAsia="Arial" w:hAnsi="Arial"/>
                <w:sz w:val="18"/>
                <w:szCs w:val="18"/>
                <w:color w:val="auto"/>
              </w:rPr>
              <w:t>—</w:t>
            </w:r>
          </w:p>
        </w:tc>
        <w:tc>
          <w:tcPr>
            <w:tcW w:w="1960" w:type="dxa"/>
            <w:vAlign w:val="bottom"/>
            <w:shd w:val="clear" w:color="auto" w:fill="E9EFEE"/>
          </w:tcPr>
          <w:p>
            <w:pPr>
              <w:jc w:val="right"/>
              <w:ind w:right="652"/>
              <w:spacing w:after="0"/>
              <w:rPr>
                <w:sz w:val="20"/>
                <w:szCs w:val="20"/>
                <w:color w:val="auto"/>
              </w:rPr>
            </w:pPr>
            <w:r>
              <w:rPr>
                <w:rFonts w:ascii="Arial" w:cs="Arial" w:eastAsia="Arial" w:hAnsi="Arial"/>
                <w:sz w:val="18"/>
                <w:szCs w:val="18"/>
                <w:color w:val="auto"/>
              </w:rPr>
              <w:t>3,690</w:t>
            </w:r>
          </w:p>
        </w:tc>
      </w:tr>
      <w:tr>
        <w:trPr>
          <w:trHeight w:val="230"/>
        </w:trPr>
        <w:tc>
          <w:tcPr>
            <w:tcW w:w="3760" w:type="dxa"/>
            <w:vAlign w:val="bottom"/>
            <w:tcBorders>
              <w:bottom w:val="single" w:sz="8" w:color="000562"/>
            </w:tcBorders>
          </w:tcPr>
          <w:p>
            <w:pPr>
              <w:ind w:left="20"/>
              <w:spacing w:after="0"/>
              <w:rPr>
                <w:sz w:val="20"/>
                <w:szCs w:val="20"/>
                <w:color w:val="auto"/>
              </w:rPr>
            </w:pPr>
            <w:r>
              <w:rPr>
                <w:rFonts w:ascii="Arial" w:cs="Arial" w:eastAsia="Arial" w:hAnsi="Arial"/>
                <w:sz w:val="18"/>
                <w:szCs w:val="18"/>
                <w:color w:val="auto"/>
              </w:rPr>
              <w:t>Daniel P. Tredwell</w:t>
            </w:r>
          </w:p>
        </w:tc>
        <w:tc>
          <w:tcPr>
            <w:tcW w:w="3840" w:type="dxa"/>
            <w:vAlign w:val="bottom"/>
            <w:tcBorders>
              <w:bottom w:val="single" w:sz="8" w:color="000562"/>
            </w:tcBorders>
          </w:tcPr>
          <w:p>
            <w:pPr>
              <w:jc w:val="right"/>
              <w:ind w:right="652"/>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000562"/>
            </w:tcBorders>
          </w:tcPr>
          <w:p>
            <w:pPr>
              <w:jc w:val="right"/>
              <w:ind w:right="652"/>
              <w:spacing w:after="0"/>
              <w:rPr>
                <w:sz w:val="20"/>
                <w:szCs w:val="20"/>
                <w:color w:val="auto"/>
              </w:rPr>
            </w:pPr>
            <w:r>
              <w:rPr>
                <w:rFonts w:ascii="Arial" w:cs="Arial" w:eastAsia="Arial" w:hAnsi="Arial"/>
                <w:sz w:val="18"/>
                <w:szCs w:val="18"/>
                <w:color w:val="auto"/>
              </w:rPr>
              <w:t>3,690</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0718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Board has adopted Corporate Governance Guidelines, a copy of which can be found at the Company’s website, </w:t>
      </w:r>
      <w:r>
        <w:rPr>
          <w:rFonts w:ascii="Arial" w:cs="Arial" w:eastAsia="Arial" w:hAnsi="Arial"/>
          <w:sz w:val="18"/>
          <w:szCs w:val="18"/>
          <w:i w:val="1"/>
          <w:iCs w:val="1"/>
          <w:color w:val="auto"/>
        </w:rPr>
        <w:t>www.trimascorp.com</w:t>
      </w:r>
      <w:r>
        <w:rPr>
          <w:rFonts w:ascii="Arial" w:cs="Arial" w:eastAsia="Arial" w:hAnsi="Arial"/>
          <w:sz w:val="18"/>
          <w:szCs w:val="18"/>
          <w:color w:val="auto"/>
        </w:rPr>
        <w:t>, in the Corporate Governance subsection of the Investors page. These guidelines address, among</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things, director responsibilities, qualifications (including independence) and compensation, and access to the Board. The Governance and Nominating Committee is responsible for overseeing and reviewing these guidelines and recommending any changes to the Board.</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000562"/>
        </w:rPr>
        <w:t>Code of Conduct</w:t>
      </w:r>
      <w:r>
        <w:rPr>
          <w:rFonts w:ascii="Arial" w:cs="Arial" w:eastAsia="Arial" w:hAnsi="Arial"/>
          <w:sz w:val="18"/>
          <w:szCs w:val="18"/>
          <w:b w:val="1"/>
          <w:bCs w:val="1"/>
          <w:i w:val="1"/>
          <w:iCs w:val="1"/>
          <w:color w:val="000000"/>
        </w:rPr>
        <w:t>.</w:t>
      </w:r>
      <w:r>
        <w:rPr>
          <w:rFonts w:ascii="Arial" w:cs="Arial" w:eastAsia="Arial" w:hAnsi="Arial"/>
          <w:sz w:val="18"/>
          <w:szCs w:val="18"/>
          <w:b w:val="1"/>
          <w:bCs w:val="1"/>
          <w:i w:val="1"/>
          <w:iCs w:val="1"/>
          <w:color w:val="000562"/>
        </w:rPr>
        <w:t xml:space="preserve"> </w:t>
      </w:r>
      <w:r>
        <w:rPr>
          <w:rFonts w:ascii="Arial" w:cs="Arial" w:eastAsia="Arial" w:hAnsi="Arial"/>
          <w:sz w:val="18"/>
          <w:szCs w:val="18"/>
          <w:color w:val="000000"/>
        </w:rPr>
        <w:t>Effective January 1, 2012, the Board adopted a revised Code of Conduct that applies to all directors</w:t>
      </w:r>
      <w:r>
        <w:rPr>
          <w:rFonts w:ascii="Arial" w:cs="Arial" w:eastAsia="Arial" w:hAnsi="Arial"/>
          <w:sz w:val="18"/>
          <w:szCs w:val="18"/>
          <w:b w:val="1"/>
          <w:bCs w:val="1"/>
          <w:i w:val="1"/>
          <w:iCs w:val="1"/>
          <w:color w:val="000562"/>
        </w:rPr>
        <w:t xml:space="preserve"> </w:t>
      </w:r>
      <w:r>
        <w:rPr>
          <w:rFonts w:ascii="Arial" w:cs="Arial" w:eastAsia="Arial" w:hAnsi="Arial"/>
          <w:sz w:val="18"/>
          <w:szCs w:val="18"/>
          <w:color w:val="000000"/>
        </w:rPr>
        <w:t xml:space="preserve">and all employees, including the Company’s principal executive officer, principal financial officer and other persons performing similar executive management functions. The Code of Conduct is posted on the Company’s website, </w:t>
      </w:r>
      <w:r>
        <w:rPr>
          <w:rFonts w:ascii="Arial" w:cs="Arial" w:eastAsia="Arial" w:hAnsi="Arial"/>
          <w:sz w:val="18"/>
          <w:szCs w:val="18"/>
          <w:i w:val="1"/>
          <w:iCs w:val="1"/>
          <w:color w:val="000000"/>
        </w:rPr>
        <w:t>www.trimascorp.com</w:t>
      </w:r>
      <w:r>
        <w:rPr>
          <w:rFonts w:ascii="Arial" w:cs="Arial" w:eastAsia="Arial" w:hAnsi="Arial"/>
          <w:sz w:val="18"/>
          <w:szCs w:val="18"/>
          <w:color w:val="000000"/>
        </w:rPr>
        <w:t>, in the Corporate Governance subsection of the Investors page. All amendments to the Company’s</w:t>
      </w:r>
      <w:r>
        <w:rPr>
          <w:rFonts w:ascii="Arial" w:cs="Arial" w:eastAsia="Arial" w:hAnsi="Arial"/>
          <w:sz w:val="18"/>
          <w:szCs w:val="18"/>
          <w:i w:val="1"/>
          <w:iCs w:val="1"/>
          <w:color w:val="000000"/>
        </w:rPr>
        <w:t xml:space="preserve"> </w:t>
      </w:r>
      <w:r>
        <w:rPr>
          <w:rFonts w:ascii="Arial" w:cs="Arial" w:eastAsia="Arial" w:hAnsi="Arial"/>
          <w:sz w:val="18"/>
          <w:szCs w:val="18"/>
          <w:color w:val="000000"/>
        </w:rPr>
        <w:t>Code of Conduct, if any, will be also posted on the Company’s website, along with all waivers, if any, of the Code of Conduct involving senior officers.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copy of the Company’s committee charters, Corporate Governance Guidelines and Code of Conduct will be sent to any shareholder, without charge, upon written request sent to the Company’s executive offices: TriMas Corporation, Attention: Senior Vice President, General Counsel, Chief Compliance Officer and Corporate Secretary, 38505 Woodward Avenue, Suite 200, Bloomfield Hills, Michigan 48304.</w:t>
      </w:r>
    </w:p>
    <w:p>
      <w:pPr>
        <w:spacing w:after="0" w:line="186" w:lineRule="exact"/>
        <w:rPr>
          <w:sz w:val="20"/>
          <w:szCs w:val="20"/>
          <w:color w:val="auto"/>
        </w:rPr>
      </w:pPr>
    </w:p>
    <w:p>
      <w:pPr>
        <w:ind w:left="7140"/>
        <w:spacing w:after="0"/>
        <w:tabs>
          <w:tab w:leader="none" w:pos="9040" w:val="left"/>
          <w:tab w:leader="none" w:pos="9340" w:val="left"/>
        </w:tabs>
        <w:rPr>
          <w:sz w:val="20"/>
          <w:szCs w:val="20"/>
          <w:color w:val="auto"/>
        </w:rPr>
      </w:pPr>
      <w:r>
        <w:rPr>
          <w:rFonts w:ascii="Arial" w:cs="Arial" w:eastAsia="Arial" w:hAnsi="Arial"/>
          <w:sz w:val="18"/>
          <w:szCs w:val="18"/>
          <w:i w:val="1"/>
          <w:iCs w:val="1"/>
          <w:color w:val="auto"/>
        </w:rPr>
        <w:t>2019 Proxy Statement</w:t>
      </w:r>
      <w:r>
        <w:rPr>
          <w:sz w:val="20"/>
          <w:szCs w:val="20"/>
          <w:color w:val="auto"/>
        </w:rPr>
        <w:tab/>
      </w:r>
      <w:r>
        <w:rPr>
          <w:rFonts w:ascii="Arial" w:cs="Arial" w:eastAsia="Arial" w:hAnsi="Arial"/>
          <w:sz w:val="22"/>
          <w:szCs w:val="22"/>
          <w:b w:val="1"/>
          <w:bCs w:val="1"/>
          <w:color w:val="000562"/>
        </w:rPr>
        <w:t>I</w:t>
      </w:r>
      <w:r>
        <w:rPr>
          <w:sz w:val="20"/>
          <w:szCs w:val="20"/>
          <w:color w:val="auto"/>
        </w:rPr>
        <w:tab/>
      </w:r>
      <w:r>
        <w:rPr>
          <w:rFonts w:ascii="Arial" w:cs="Arial" w:eastAsia="Arial" w:hAnsi="Arial"/>
          <w:sz w:val="17"/>
          <w:szCs w:val="17"/>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07187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000562"/>
        </w:rPr>
        <w:t>TriMas Corporation</w:t>
      </w:r>
    </w:p>
    <w:p>
      <w:pPr>
        <w:spacing w:after="0" w:line="1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Communicating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0718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shareholder or interested party who desires to communicate with the Board or any specific director, including the chair, non-management directors or committee members, may write to: TriMas Corporation, Attention: Board of Directors, 38505 Woodward Avenue, Suite 200, Bloomfield Hills, Michigan 48304.</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Depending on the subject matter of the communication, management will:</w:t>
      </w:r>
    </w:p>
    <w:p>
      <w:pPr>
        <w:spacing w:after="0" w:line="104" w:lineRule="exact"/>
        <w:rPr>
          <w:sz w:val="20"/>
          <w:szCs w:val="20"/>
          <w:color w:val="auto"/>
        </w:rPr>
      </w:pPr>
    </w:p>
    <w:p>
      <w:pPr>
        <w:ind w:left="700" w:right="20" w:hanging="356"/>
        <w:spacing w:after="0" w:line="246" w:lineRule="auto"/>
        <w:tabs>
          <w:tab w:leader="none" w:pos="700" w:val="left"/>
        </w:tabs>
        <w:numPr>
          <w:ilvl w:val="0"/>
          <w:numId w:val="17"/>
        </w:numPr>
        <w:rPr>
          <w:rFonts w:ascii="Arial" w:cs="Arial" w:eastAsia="Arial" w:hAnsi="Arial"/>
          <w:sz w:val="18"/>
          <w:szCs w:val="18"/>
          <w:color w:val="000562"/>
        </w:rPr>
      </w:pPr>
      <w:r>
        <w:rPr>
          <w:rFonts w:ascii="Arial" w:cs="Arial" w:eastAsia="Arial" w:hAnsi="Arial"/>
          <w:sz w:val="18"/>
          <w:szCs w:val="18"/>
          <w:color w:val="auto"/>
        </w:rPr>
        <w:t>forward the communication to the director or directors to whom it is addressed (matters addressed to the chair of the Audit Committee will be forwarded unopened directly to the Audit Committee chair);</w:t>
      </w:r>
    </w:p>
    <w:p>
      <w:pPr>
        <w:spacing w:after="0" w:line="88" w:lineRule="exact"/>
        <w:rPr>
          <w:rFonts w:ascii="Arial" w:cs="Arial" w:eastAsia="Arial" w:hAnsi="Arial"/>
          <w:sz w:val="18"/>
          <w:szCs w:val="18"/>
          <w:color w:val="000562"/>
        </w:rPr>
      </w:pPr>
    </w:p>
    <w:p>
      <w:pPr>
        <w:jc w:val="both"/>
        <w:ind w:left="700" w:right="20" w:hanging="356"/>
        <w:spacing w:after="0"/>
        <w:tabs>
          <w:tab w:leader="none" w:pos="700" w:val="left"/>
        </w:tabs>
        <w:numPr>
          <w:ilvl w:val="0"/>
          <w:numId w:val="17"/>
        </w:numPr>
        <w:rPr>
          <w:rFonts w:ascii="Arial" w:cs="Arial" w:eastAsia="Arial" w:hAnsi="Arial"/>
          <w:sz w:val="18"/>
          <w:szCs w:val="18"/>
          <w:color w:val="000562"/>
        </w:rPr>
      </w:pPr>
      <w:r>
        <w:rPr>
          <w:rFonts w:ascii="Arial" w:cs="Arial" w:eastAsia="Arial" w:hAnsi="Arial"/>
          <w:sz w:val="18"/>
          <w:szCs w:val="18"/>
          <w:color w:val="auto"/>
        </w:rPr>
        <w:t>attempt to handle the inquiry directly where the communication does not appear to require direct attention by the Board or an individual member (e.g., the communication is a request for information about the Company or is a stock-related matter); or</w:t>
      </w:r>
    </w:p>
    <w:p>
      <w:pPr>
        <w:spacing w:after="0" w:line="94" w:lineRule="exact"/>
        <w:rPr>
          <w:rFonts w:ascii="Arial" w:cs="Arial" w:eastAsia="Arial" w:hAnsi="Arial"/>
          <w:sz w:val="18"/>
          <w:szCs w:val="18"/>
          <w:color w:val="000562"/>
        </w:rPr>
      </w:pPr>
    </w:p>
    <w:p>
      <w:pPr>
        <w:ind w:left="700" w:right="20" w:hanging="356"/>
        <w:spacing w:after="0" w:line="246" w:lineRule="auto"/>
        <w:tabs>
          <w:tab w:leader="none" w:pos="700" w:val="left"/>
        </w:tabs>
        <w:numPr>
          <w:ilvl w:val="0"/>
          <w:numId w:val="17"/>
        </w:numPr>
        <w:rPr>
          <w:rFonts w:ascii="Arial" w:cs="Arial" w:eastAsia="Arial" w:hAnsi="Arial"/>
          <w:sz w:val="18"/>
          <w:szCs w:val="18"/>
          <w:color w:val="000562"/>
        </w:rPr>
      </w:pPr>
      <w:r>
        <w:rPr>
          <w:rFonts w:ascii="Arial" w:cs="Arial" w:eastAsia="Arial" w:hAnsi="Arial"/>
          <w:sz w:val="18"/>
          <w:szCs w:val="18"/>
          <w:color w:val="auto"/>
        </w:rPr>
        <w:t>not forward the communication if it is primarily commercial in nature or if it relates to an improper or irrelevant topic.</w:t>
      </w:r>
    </w:p>
    <w:p>
      <w:pPr>
        <w:spacing w:after="0" w:line="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To submit concerns regarding accounting matters, shareholders and other interested persons may also call the Company’s toll-free, confidential hotline number published at </w:t>
      </w:r>
      <w:r>
        <w:rPr>
          <w:rFonts w:ascii="Arial" w:cs="Arial" w:eastAsia="Arial" w:hAnsi="Arial"/>
          <w:sz w:val="18"/>
          <w:szCs w:val="18"/>
          <w:i w:val="1"/>
          <w:iCs w:val="1"/>
          <w:color w:val="auto"/>
        </w:rPr>
        <w:t>www.trimascorp.com</w:t>
      </w:r>
      <w:r>
        <w:rPr>
          <w:rFonts w:ascii="Arial" w:cs="Arial" w:eastAsia="Arial" w:hAnsi="Arial"/>
          <w:sz w:val="18"/>
          <w:szCs w:val="18"/>
          <w:color w:val="auto"/>
        </w:rPr>
        <w:t xml:space="preserve"> in the Corporate Governance subsection of the Investors page, in the document entitled Code of Conduct. Concerns may be expressed on a confidential and anonymous basis.</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Communications made through the confidential hotline number are reviewed by the Audit Committee at each regularly scheduled meeting; other communications will be made available to directors at any time upon their request.</w:t>
      </w:r>
    </w:p>
    <w:p>
      <w:pPr>
        <w:spacing w:after="0" w:line="178" w:lineRule="exact"/>
        <w:rPr>
          <w:sz w:val="20"/>
          <w:szCs w:val="20"/>
          <w:color w:val="auto"/>
        </w:rPr>
      </w:pPr>
    </w:p>
    <w:p>
      <w:pPr>
        <w:ind w:left="360" w:hanging="349"/>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22"/>
          <w:szCs w:val="22"/>
          <w:b w:val="1"/>
          <w:bCs w:val="1"/>
          <w:color w:val="000562"/>
        </w:rPr>
        <w:t xml:space="preserve">I </w:t>
      </w:r>
      <w:r>
        <w:rPr>
          <w:rFonts w:ascii="Arial" w:cs="Arial" w:eastAsia="Arial" w:hAnsi="Arial"/>
          <w:sz w:val="18"/>
          <w:szCs w:val="18"/>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07187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0" w:name="page21"/>
    <w:bookmarkEnd w:id="20"/>
    <w:p>
      <w:pPr>
        <w:ind w:left="7"/>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947"/>
        <w:spacing w:after="0"/>
        <w:rPr>
          <w:sz w:val="20"/>
          <w:szCs w:val="20"/>
          <w:color w:val="auto"/>
        </w:rPr>
      </w:pPr>
      <w:r>
        <w:rPr>
          <w:rFonts w:ascii="Arial" w:cs="Arial" w:eastAsia="Arial" w:hAnsi="Arial"/>
          <w:sz w:val="19"/>
          <w:szCs w:val="19"/>
          <w:b w:val="1"/>
          <w:bCs w:val="1"/>
          <w:color w:val="000562"/>
        </w:rPr>
        <w:t>REPORT OF THE AUDIT COMMITTEE OF THE BOARD OF DIRECTORS</w:t>
      </w:r>
    </w:p>
    <w:p>
      <w:pPr>
        <w:spacing w:after="0" w:line="213" w:lineRule="exact"/>
        <w:rPr>
          <w:sz w:val="20"/>
          <w:szCs w:val="20"/>
          <w:color w:val="auto"/>
        </w:rPr>
      </w:pPr>
    </w:p>
    <w:p>
      <w:pPr>
        <w:ind w:left="7" w:right="240"/>
        <w:spacing w:after="0" w:line="231" w:lineRule="auto"/>
        <w:rPr>
          <w:sz w:val="20"/>
          <w:szCs w:val="20"/>
          <w:color w:val="auto"/>
        </w:rPr>
      </w:pPr>
      <w:r>
        <w:rPr>
          <w:rFonts w:ascii="Arial" w:cs="Arial" w:eastAsia="Arial" w:hAnsi="Arial"/>
          <w:sz w:val="43"/>
          <w:szCs w:val="43"/>
          <w:color w:val="000562"/>
        </w:rPr>
        <w:t>REPORT OF THE AUDIT COMMITTEE OF THE BOARD OF DIRECTORS</w:t>
      </w:r>
    </w:p>
    <w:p>
      <w:pPr>
        <w:spacing w:after="0" w:line="48" w:lineRule="exact"/>
        <w:rPr>
          <w:sz w:val="20"/>
          <w:szCs w:val="20"/>
          <w:color w:val="auto"/>
        </w:rPr>
      </w:pPr>
    </w:p>
    <w:p>
      <w:pPr>
        <w:jc w:val="both"/>
        <w:ind w:left="7"/>
        <w:spacing w:after="0" w:line="252" w:lineRule="auto"/>
        <w:rPr>
          <w:sz w:val="20"/>
          <w:szCs w:val="20"/>
          <w:color w:val="auto"/>
        </w:rPr>
      </w:pPr>
      <w:r>
        <w:rPr>
          <w:rFonts w:ascii="Arial" w:cs="Arial" w:eastAsia="Arial" w:hAnsi="Arial"/>
          <w:sz w:val="18"/>
          <w:szCs w:val="18"/>
          <w:color w:val="auto"/>
        </w:rPr>
        <w:t>The Audit Committee represents and assists the Board in fulfilling its responsibilities for general oversight of the integrity of the Company’s financial statements, the Company’s compliance with legal and regulatory requirements, the independent registered public accounting firm’s qualifications and independence, the performance of the Company’s internal audit function and independent registered public accounting firm, and risk assessment and risk management. The Audit Committee manages the Company’s relationship with the independent registered public accounting firm (which reports directly to the Audit Committee). The Audit Committee has the authority to obtain advice and assistance from outside legal, accounting or other advisors as the Audit Committee deems necessary to carry out its duties and receives appropriate funding as determined by the Audit Committee from the Company for such advice and assistance.</w:t>
      </w:r>
    </w:p>
    <w:p>
      <w:pPr>
        <w:spacing w:after="0" w:line="98" w:lineRule="exact"/>
        <w:rPr>
          <w:sz w:val="20"/>
          <w:szCs w:val="20"/>
          <w:color w:val="auto"/>
        </w:rPr>
      </w:pPr>
    </w:p>
    <w:p>
      <w:pPr>
        <w:jc w:val="both"/>
        <w:ind w:left="7"/>
        <w:spacing w:after="0" w:line="252" w:lineRule="auto"/>
        <w:rPr>
          <w:sz w:val="20"/>
          <w:szCs w:val="20"/>
          <w:color w:val="auto"/>
        </w:rPr>
      </w:pPr>
      <w:r>
        <w:rPr>
          <w:rFonts w:ascii="Arial" w:cs="Arial" w:eastAsia="Arial" w:hAnsi="Arial"/>
          <w:sz w:val="18"/>
          <w:szCs w:val="18"/>
          <w:color w:val="auto"/>
        </w:rPr>
        <w:t>The Company’s management is primarily responsible for the Company’s internal control and financial reporting process. The Company’s independent registered public accounting firm, Deloitte, is responsible for performing an independent audit of the Company’s consolidated financial statements and issuing opinions on the conformity of reporting those audited financial statements with United States generally accepted accounting principles and the effectiveness of the Company’s internal control over financial reporting. The Audit Committee monitors the Company’s financial reporting process and reports to the Board on its findings.</w:t>
      </w:r>
    </w:p>
    <w:p>
      <w:pPr>
        <w:spacing w:after="0" w:line="101" w:lineRule="exact"/>
        <w:rPr>
          <w:sz w:val="20"/>
          <w:szCs w:val="20"/>
          <w:color w:val="auto"/>
        </w:rPr>
      </w:pPr>
    </w:p>
    <w:p>
      <w:pPr>
        <w:ind w:left="7"/>
        <w:spacing w:after="0"/>
        <w:rPr>
          <w:sz w:val="20"/>
          <w:szCs w:val="20"/>
          <w:color w:val="auto"/>
        </w:rPr>
      </w:pPr>
      <w:r>
        <w:rPr>
          <w:rFonts w:ascii="Arial" w:cs="Arial" w:eastAsia="Arial" w:hAnsi="Arial"/>
          <w:sz w:val="18"/>
          <w:szCs w:val="18"/>
          <w:color w:val="auto"/>
        </w:rPr>
        <w:t>In this context, the Audit Committee hereby reports as follows:</w:t>
      </w:r>
    </w:p>
    <w:p>
      <w:pPr>
        <w:spacing w:after="0" w:line="104" w:lineRule="exact"/>
        <w:rPr>
          <w:sz w:val="20"/>
          <w:szCs w:val="20"/>
          <w:color w:val="auto"/>
        </w:rPr>
      </w:pPr>
    </w:p>
    <w:p>
      <w:pPr>
        <w:ind w:left="347" w:right="20" w:hanging="347"/>
        <w:spacing w:after="0" w:line="246" w:lineRule="auto"/>
        <w:tabs>
          <w:tab w:leader="none" w:pos="3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Audit Committee has reviewed and discussed the audited financial statements for the fiscal year ended December 31, 2018 with the Company’s management;</w:t>
      </w:r>
    </w:p>
    <w:p>
      <w:pPr>
        <w:spacing w:after="0" w:line="88" w:lineRule="exact"/>
        <w:rPr>
          <w:rFonts w:ascii="Arial" w:cs="Arial" w:eastAsia="Arial" w:hAnsi="Arial"/>
          <w:sz w:val="18"/>
          <w:szCs w:val="18"/>
          <w:color w:val="auto"/>
        </w:rPr>
      </w:pPr>
    </w:p>
    <w:p>
      <w:pPr>
        <w:jc w:val="both"/>
        <w:ind w:left="347" w:hanging="347"/>
        <w:spacing w:after="0"/>
        <w:tabs>
          <w:tab w:leader="none" w:pos="3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Audit Committee has discussed with the independent registered public accounting firm the matters required to be discussed by Auditing Standard No. 1301 issued by the Public Company Accounting Oversight Board (“PCAOB”);</w:t>
      </w:r>
    </w:p>
    <w:p>
      <w:pPr>
        <w:spacing w:after="0" w:line="94" w:lineRule="exact"/>
        <w:rPr>
          <w:rFonts w:ascii="Arial" w:cs="Arial" w:eastAsia="Arial" w:hAnsi="Arial"/>
          <w:sz w:val="18"/>
          <w:szCs w:val="18"/>
          <w:color w:val="auto"/>
        </w:rPr>
      </w:pPr>
    </w:p>
    <w:p>
      <w:pPr>
        <w:ind w:left="347" w:hanging="347"/>
        <w:spacing w:after="0" w:line="246" w:lineRule="auto"/>
        <w:tabs>
          <w:tab w:leader="none" w:pos="3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Audit Committee has received the written disclosures and the letter from the independent registered public accounting firm required by applicable requirements of the PCAOB regarding its independence; and</w:t>
      </w:r>
    </w:p>
    <w:p>
      <w:pPr>
        <w:spacing w:after="0" w:line="88" w:lineRule="exact"/>
        <w:rPr>
          <w:rFonts w:ascii="Arial" w:cs="Arial" w:eastAsia="Arial" w:hAnsi="Arial"/>
          <w:sz w:val="18"/>
          <w:szCs w:val="18"/>
          <w:color w:val="auto"/>
        </w:rPr>
      </w:pPr>
    </w:p>
    <w:p>
      <w:pPr>
        <w:jc w:val="both"/>
        <w:ind w:left="347" w:hanging="347"/>
        <w:spacing w:after="0"/>
        <w:tabs>
          <w:tab w:leader="none" w:pos="3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the review and discussions referred to in paragraphs 1 through 3 above, the Audit Committee recommended to the Board, and the Board has approved, that the audited financial statements be included in the Company’s Annual Report on Form 10-K for the fiscal year ended December 31, 2018, for filing with the SEC.</w:t>
      </w:r>
    </w:p>
    <w:p>
      <w:pPr>
        <w:spacing w:after="0" w:line="95" w:lineRule="exact"/>
        <w:rPr>
          <w:sz w:val="20"/>
          <w:szCs w:val="20"/>
          <w:color w:val="auto"/>
        </w:rPr>
      </w:pPr>
    </w:p>
    <w:p>
      <w:pPr>
        <w:jc w:val="center"/>
        <w:ind w:right="2253"/>
        <w:spacing w:after="0"/>
        <w:rPr>
          <w:sz w:val="20"/>
          <w:szCs w:val="20"/>
          <w:color w:val="auto"/>
        </w:rPr>
      </w:pPr>
      <w:r>
        <w:rPr>
          <w:rFonts w:ascii="Arial" w:cs="Arial" w:eastAsia="Arial" w:hAnsi="Arial"/>
          <w:sz w:val="17"/>
          <w:szCs w:val="17"/>
          <w:color w:val="auto"/>
        </w:rPr>
        <w:t>The undersigned members of the Audit Committee have submitted this Report to the Board.</w:t>
      </w:r>
    </w:p>
    <w:p>
      <w:pPr>
        <w:spacing w:after="0" w:line="93" w:lineRule="exact"/>
        <w:rPr>
          <w:sz w:val="20"/>
          <w:szCs w:val="20"/>
          <w:color w:val="auto"/>
        </w:rPr>
      </w:pPr>
    </w:p>
    <w:p>
      <w:pPr>
        <w:ind w:left="2887"/>
        <w:spacing w:after="0"/>
        <w:rPr>
          <w:sz w:val="20"/>
          <w:szCs w:val="20"/>
          <w:color w:val="auto"/>
        </w:rPr>
      </w:pPr>
      <w:r>
        <w:rPr>
          <w:rFonts w:ascii="Arial" w:cs="Arial" w:eastAsia="Arial" w:hAnsi="Arial"/>
          <w:sz w:val="18"/>
          <w:szCs w:val="18"/>
          <w:b w:val="1"/>
          <w:bCs w:val="1"/>
          <w:color w:val="auto"/>
        </w:rPr>
        <w:t>The Audit Committee</w:t>
      </w:r>
    </w:p>
    <w:p>
      <w:pPr>
        <w:spacing w:after="0" w:line="31" w:lineRule="exact"/>
        <w:rPr>
          <w:sz w:val="20"/>
          <w:szCs w:val="20"/>
          <w:color w:val="auto"/>
        </w:rPr>
      </w:pPr>
    </w:p>
    <w:p>
      <w:pPr>
        <w:ind w:left="2887"/>
        <w:spacing w:after="0"/>
        <w:rPr>
          <w:sz w:val="20"/>
          <w:szCs w:val="20"/>
          <w:color w:val="auto"/>
        </w:rPr>
      </w:pPr>
      <w:r>
        <w:rPr>
          <w:rFonts w:ascii="Arial" w:cs="Arial" w:eastAsia="Arial" w:hAnsi="Arial"/>
          <w:sz w:val="18"/>
          <w:szCs w:val="18"/>
          <w:color w:val="auto"/>
        </w:rPr>
        <w:t>Richard M. Gabrys, Chair</w:t>
      </w:r>
    </w:p>
    <w:p>
      <w:pPr>
        <w:spacing w:after="0" w:line="9" w:lineRule="exact"/>
        <w:rPr>
          <w:sz w:val="20"/>
          <w:szCs w:val="20"/>
          <w:color w:val="auto"/>
        </w:rPr>
      </w:pPr>
    </w:p>
    <w:p>
      <w:pPr>
        <w:ind w:left="2887"/>
        <w:spacing w:after="0"/>
        <w:rPr>
          <w:sz w:val="20"/>
          <w:szCs w:val="20"/>
          <w:color w:val="auto"/>
        </w:rPr>
      </w:pPr>
      <w:r>
        <w:rPr>
          <w:rFonts w:ascii="Arial" w:cs="Arial" w:eastAsia="Arial" w:hAnsi="Arial"/>
          <w:sz w:val="18"/>
          <w:szCs w:val="18"/>
          <w:color w:val="auto"/>
        </w:rPr>
        <w:t>Nancy S. Gougarty</w:t>
      </w:r>
    </w:p>
    <w:p>
      <w:pPr>
        <w:spacing w:after="0" w:line="9" w:lineRule="exact"/>
        <w:rPr>
          <w:sz w:val="20"/>
          <w:szCs w:val="20"/>
          <w:color w:val="auto"/>
        </w:rPr>
      </w:pPr>
    </w:p>
    <w:p>
      <w:pPr>
        <w:ind w:left="2887"/>
        <w:spacing w:after="0"/>
        <w:rPr>
          <w:sz w:val="20"/>
          <w:szCs w:val="20"/>
          <w:color w:val="auto"/>
        </w:rPr>
      </w:pPr>
      <w:r>
        <w:rPr>
          <w:rFonts w:ascii="Arial" w:cs="Arial" w:eastAsia="Arial" w:hAnsi="Arial"/>
          <w:sz w:val="18"/>
          <w:szCs w:val="18"/>
          <w:color w:val="auto"/>
        </w:rPr>
        <w:t>Eugene A. Miller</w:t>
      </w:r>
    </w:p>
    <w:p>
      <w:pPr>
        <w:spacing w:after="0" w:line="9" w:lineRule="exact"/>
        <w:rPr>
          <w:sz w:val="20"/>
          <w:szCs w:val="20"/>
          <w:color w:val="auto"/>
        </w:rPr>
      </w:pPr>
    </w:p>
    <w:p>
      <w:pPr>
        <w:ind w:left="2887"/>
        <w:spacing w:after="0"/>
        <w:rPr>
          <w:sz w:val="20"/>
          <w:szCs w:val="20"/>
          <w:color w:val="auto"/>
        </w:rPr>
      </w:pPr>
      <w:r>
        <w:rPr>
          <w:rFonts w:ascii="Arial" w:cs="Arial" w:eastAsia="Arial" w:hAnsi="Arial"/>
          <w:sz w:val="18"/>
          <w:szCs w:val="18"/>
          <w:color w:val="auto"/>
        </w:rPr>
        <w:t>Herbert K. Parker</w:t>
      </w:r>
    </w:p>
    <w:p>
      <w:pPr>
        <w:spacing w:after="0" w:line="9" w:lineRule="exact"/>
        <w:rPr>
          <w:sz w:val="20"/>
          <w:szCs w:val="20"/>
          <w:color w:val="auto"/>
        </w:rPr>
      </w:pPr>
    </w:p>
    <w:p>
      <w:pPr>
        <w:ind w:left="2887"/>
        <w:spacing w:after="0"/>
        <w:rPr>
          <w:sz w:val="20"/>
          <w:szCs w:val="20"/>
          <w:color w:val="auto"/>
        </w:rPr>
      </w:pPr>
      <w:r>
        <w:rPr>
          <w:rFonts w:ascii="Arial" w:cs="Arial" w:eastAsia="Arial" w:hAnsi="Arial"/>
          <w:sz w:val="18"/>
          <w:szCs w:val="18"/>
          <w:color w:val="auto"/>
        </w:rPr>
        <w:t>Nick L. Stanage</w:t>
      </w:r>
    </w:p>
    <w:p>
      <w:pPr>
        <w:spacing w:after="0" w:line="9" w:lineRule="exact"/>
        <w:rPr>
          <w:sz w:val="20"/>
          <w:szCs w:val="20"/>
          <w:color w:val="auto"/>
        </w:rPr>
      </w:pPr>
    </w:p>
    <w:p>
      <w:pPr>
        <w:ind w:left="2887"/>
        <w:spacing w:after="0"/>
        <w:rPr>
          <w:sz w:val="20"/>
          <w:szCs w:val="20"/>
          <w:color w:val="auto"/>
        </w:rPr>
      </w:pPr>
      <w:r>
        <w:rPr>
          <w:rFonts w:ascii="Arial" w:cs="Arial" w:eastAsia="Arial" w:hAnsi="Arial"/>
          <w:sz w:val="18"/>
          <w:szCs w:val="18"/>
          <w:color w:val="auto"/>
        </w:rPr>
        <w:t>Daniel P. Tredwell</w:t>
      </w:r>
    </w:p>
    <w:p>
      <w:pPr>
        <w:spacing w:after="0" w:line="9" w:lineRule="exact"/>
        <w:rPr>
          <w:sz w:val="20"/>
          <w:szCs w:val="20"/>
          <w:color w:val="auto"/>
        </w:rPr>
      </w:pPr>
    </w:p>
    <w:p>
      <w:pPr>
        <w:ind w:left="2887"/>
        <w:spacing w:after="0"/>
        <w:rPr>
          <w:sz w:val="20"/>
          <w:szCs w:val="20"/>
          <w:color w:val="auto"/>
        </w:rPr>
      </w:pPr>
      <w:r>
        <w:rPr>
          <w:rFonts w:ascii="Arial" w:cs="Arial" w:eastAsia="Arial" w:hAnsi="Arial"/>
          <w:sz w:val="18"/>
          <w:szCs w:val="18"/>
          <w:color w:val="auto"/>
        </w:rPr>
        <w:t>Samuel Valenti III</w:t>
      </w:r>
    </w:p>
    <w:p>
      <w:pPr>
        <w:spacing w:after="0" w:line="207" w:lineRule="exact"/>
        <w:rPr>
          <w:sz w:val="20"/>
          <w:szCs w:val="20"/>
          <w:color w:val="auto"/>
        </w:rPr>
      </w:pPr>
    </w:p>
    <w:p>
      <w:pPr>
        <w:ind w:left="7147"/>
        <w:spacing w:after="0"/>
        <w:tabs>
          <w:tab w:leader="none" w:pos="9046" w:val="left"/>
          <w:tab w:leader="none" w:pos="9346" w:val="left"/>
        </w:tabs>
        <w:rPr>
          <w:sz w:val="20"/>
          <w:szCs w:val="20"/>
          <w:color w:val="auto"/>
        </w:rPr>
      </w:pPr>
      <w:r>
        <w:rPr>
          <w:rFonts w:ascii="Arial" w:cs="Arial" w:eastAsia="Arial" w:hAnsi="Arial"/>
          <w:sz w:val="18"/>
          <w:szCs w:val="18"/>
          <w:i w:val="1"/>
          <w:iCs w:val="1"/>
          <w:color w:val="auto"/>
        </w:rPr>
        <w:t>2019 Proxy Statement</w:t>
      </w:r>
      <w:r>
        <w:rPr>
          <w:sz w:val="20"/>
          <w:szCs w:val="20"/>
          <w:color w:val="auto"/>
        </w:rPr>
        <w:tab/>
      </w:r>
      <w:r>
        <w:rPr>
          <w:rFonts w:ascii="Arial" w:cs="Arial" w:eastAsia="Arial" w:hAnsi="Arial"/>
          <w:sz w:val="22"/>
          <w:szCs w:val="22"/>
          <w:b w:val="1"/>
          <w:bCs w:val="1"/>
          <w:color w:val="000562"/>
        </w:rPr>
        <w:t>I</w:t>
      </w:r>
      <w:r>
        <w:rPr>
          <w:sz w:val="20"/>
          <w:szCs w:val="20"/>
          <w:color w:val="auto"/>
        </w:rPr>
        <w:tab/>
      </w:r>
      <w:r>
        <w:rPr>
          <w:rFonts w:ascii="Arial" w:cs="Arial" w:eastAsia="Arial" w:hAnsi="Arial"/>
          <w:sz w:val="17"/>
          <w:szCs w:val="17"/>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314325</wp:posOffset>
            </wp:positionV>
            <wp:extent cx="607187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000562"/>
        </w:rPr>
        <w:t>TriMas Corporation</w:t>
      </w:r>
    </w:p>
    <w:p>
      <w:pPr>
        <w:spacing w:after="0" w:line="188" w:lineRule="exact"/>
        <w:rPr>
          <w:sz w:val="20"/>
          <w:szCs w:val="20"/>
          <w:color w:val="auto"/>
        </w:rPr>
      </w:pPr>
    </w:p>
    <w:p>
      <w:pPr>
        <w:ind w:right="880"/>
        <w:spacing w:after="0" w:line="224" w:lineRule="auto"/>
        <w:rPr>
          <w:sz w:val="20"/>
          <w:szCs w:val="20"/>
          <w:color w:val="auto"/>
        </w:rPr>
      </w:pPr>
      <w:r>
        <w:rPr>
          <w:rFonts w:ascii="Arial" w:cs="Arial" w:eastAsia="Arial" w:hAnsi="Arial"/>
          <w:sz w:val="43"/>
          <w:szCs w:val="43"/>
          <w:color w:val="000562"/>
        </w:rPr>
        <w:t>PROPOSAL 2 —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60718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 xml:space="preserve">THE COMPANY’S BOARD OF DIRECTORS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RATIFICATION OF THE APPOINTMENT OF DELOITTE AS THE COMPANY’S INDEPENDENT REGISTERED PUBLIC ACCOUNTING FIRM FOR THE FISCAL YEAR ENDING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60718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Audit Committee has appointed Deloitte as the independent registered public accounting firm to audit the Company’s consolidated financial statements for the fiscal year ending December 31, 2019. Deloitte served as the Company’s independent registered public accounting firm for the fiscal years ended December 31, 2018 and December 31, 2017. Representatives of Deloitte are expected to attend the Annual Meeting, where they will be available to respond to appropriate questions and, if they desire, make a statement.</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appointment of Deloitte as the independent registered public accounting firm for the Company is being presented to the shareholders for ratification. The ratification of the appointment of the independent registered public accounting firm requires the affirmative vote of the holders of a majority of the total shares of Common Stock present in person or represented by proxy, provided that a quorum of at least a majority of the outstanding shares are present or represented at the meeting. If you abstain from voting on this matter, your abstention will have the same effect as a vote against the matter. If you hold your shares through a broker and you do not instruct the broker on how to vote on this “routine” proposal, your broker will nevertheless have authority to vote your shares on this “routine” proposal in your broker’s discretion. Proxies submitted pursuant to this solicitation will be voted “FOR” the ratification of Deloitte as the Company’s independent registered public accounting firm for the fiscal year ending December 31, 2019, unless specified otherwise.</w:t>
      </w:r>
    </w:p>
    <w:p>
      <w:pPr>
        <w:spacing w:after="0" w:line="8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Fees Paid to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0718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 presents fees billed by Deloitte for professional audit services rendered related to the audits of the Company’s annual financial statements for the years ended December 31, 2018 and 2017, respectively, and fees for other services rendered during those periods.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1180" w:type="dxa"/>
            <w:vAlign w:val="bottom"/>
          </w:tcPr>
          <w:p>
            <w:pPr>
              <w:jc w:val="right"/>
              <w:ind w:right="335"/>
              <w:spacing w:after="0"/>
              <w:rPr>
                <w:sz w:val="20"/>
                <w:szCs w:val="20"/>
                <w:color w:val="auto"/>
              </w:rPr>
            </w:pPr>
            <w:r>
              <w:rPr>
                <w:rFonts w:ascii="Arial" w:cs="Arial" w:eastAsia="Arial" w:hAnsi="Arial"/>
                <w:sz w:val="14"/>
                <w:szCs w:val="14"/>
                <w:b w:val="1"/>
                <w:bCs w:val="1"/>
                <w:color w:val="000562"/>
              </w:rPr>
              <w:t>2018</w:t>
            </w:r>
          </w:p>
        </w:tc>
        <w:tc>
          <w:tcPr>
            <w:tcW w:w="132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000562"/>
              </w:rPr>
              <w:t>2017</w:t>
            </w:r>
          </w:p>
        </w:tc>
        <w:tc>
          <w:tcPr>
            <w:tcW w:w="100" w:type="dxa"/>
            <w:vAlign w:val="bottom"/>
          </w:tcPr>
          <w:p>
            <w:pPr>
              <w:spacing w:after="0"/>
              <w:rPr>
                <w:sz w:val="14"/>
                <w:szCs w:val="14"/>
                <w:color w:val="auto"/>
              </w:rPr>
            </w:pPr>
          </w:p>
        </w:tc>
      </w:tr>
      <w:tr>
        <w:trPr>
          <w:trHeight w:val="189"/>
        </w:trPr>
        <w:tc>
          <w:tcPr>
            <w:tcW w:w="6960" w:type="dxa"/>
            <w:vAlign w:val="bottom"/>
            <w:tcBorders>
              <w:bottom w:val="single" w:sz="8" w:color="000562"/>
            </w:tcBorders>
          </w:tcPr>
          <w:p>
            <w:pPr>
              <w:spacing w:after="0"/>
              <w:rPr>
                <w:sz w:val="16"/>
                <w:szCs w:val="16"/>
                <w:color w:val="auto"/>
              </w:rPr>
            </w:pPr>
          </w:p>
        </w:tc>
        <w:tc>
          <w:tcPr>
            <w:tcW w:w="1180" w:type="dxa"/>
            <w:vAlign w:val="bottom"/>
            <w:tcBorders>
              <w:bottom w:val="single" w:sz="8" w:color="000562"/>
            </w:tcBorders>
          </w:tcPr>
          <w:p>
            <w:pPr>
              <w:jc w:val="right"/>
              <w:ind w:right="415"/>
              <w:spacing w:after="0"/>
              <w:rPr>
                <w:sz w:val="20"/>
                <w:szCs w:val="20"/>
                <w:color w:val="auto"/>
              </w:rPr>
            </w:pPr>
            <w:r>
              <w:rPr>
                <w:rFonts w:ascii="Arial" w:cs="Arial" w:eastAsia="Arial" w:hAnsi="Arial"/>
                <w:sz w:val="14"/>
                <w:szCs w:val="14"/>
                <w:b w:val="1"/>
                <w:bCs w:val="1"/>
                <w:color w:val="000562"/>
              </w:rPr>
              <w:t>($)</w:t>
            </w:r>
          </w:p>
        </w:tc>
        <w:tc>
          <w:tcPr>
            <w:tcW w:w="1320" w:type="dxa"/>
            <w:vAlign w:val="bottom"/>
            <w:tcBorders>
              <w:bottom w:val="single" w:sz="8" w:color="000562"/>
            </w:tcBorders>
            <w:gridSpan w:val="2"/>
          </w:tcPr>
          <w:p>
            <w:pPr>
              <w:jc w:val="right"/>
              <w:ind w:right="350"/>
              <w:spacing w:after="0"/>
              <w:rPr>
                <w:sz w:val="20"/>
                <w:szCs w:val="20"/>
                <w:color w:val="auto"/>
              </w:rPr>
            </w:pPr>
            <w:r>
              <w:rPr>
                <w:rFonts w:ascii="Arial" w:cs="Arial" w:eastAsia="Arial" w:hAnsi="Arial"/>
                <w:sz w:val="14"/>
                <w:szCs w:val="14"/>
                <w:b w:val="1"/>
                <w:bCs w:val="1"/>
                <w:color w:val="000562"/>
              </w:rPr>
              <w:t>($)</w:t>
            </w:r>
          </w:p>
        </w:tc>
        <w:tc>
          <w:tcPr>
            <w:tcW w:w="100" w:type="dxa"/>
            <w:vAlign w:val="bottom"/>
            <w:tcBorders>
              <w:bottom w:val="single" w:sz="8" w:color="000562"/>
            </w:tcBorders>
          </w:tcPr>
          <w:p>
            <w:pPr>
              <w:spacing w:after="0"/>
              <w:rPr>
                <w:sz w:val="16"/>
                <w:szCs w:val="16"/>
                <w:color w:val="auto"/>
              </w:rPr>
            </w:pPr>
          </w:p>
        </w:tc>
      </w:tr>
      <w:tr>
        <w:trPr>
          <w:trHeight w:val="223"/>
        </w:trPr>
        <w:tc>
          <w:tcPr>
            <w:tcW w:w="6960" w:type="dxa"/>
            <w:vAlign w:val="bottom"/>
            <w:shd w:val="clear" w:color="auto" w:fill="E9EFEE"/>
          </w:tcPr>
          <w:p>
            <w:pPr>
              <w:ind w:left="20"/>
              <w:spacing w:after="0"/>
              <w:rPr>
                <w:sz w:val="20"/>
                <w:szCs w:val="20"/>
                <w:color w:val="auto"/>
              </w:rPr>
            </w:pPr>
            <w:r>
              <w:rPr>
                <w:rFonts w:ascii="Arial" w:cs="Arial" w:eastAsia="Arial" w:hAnsi="Arial"/>
                <w:sz w:val="18"/>
                <w:szCs w:val="18"/>
                <w:color w:val="auto"/>
              </w:rPr>
              <w:t>Audit Fees</w:t>
            </w:r>
          </w:p>
        </w:tc>
        <w:tc>
          <w:tcPr>
            <w:tcW w:w="1180" w:type="dxa"/>
            <w:vAlign w:val="bottom"/>
            <w:shd w:val="clear" w:color="auto" w:fill="E9EFEE"/>
          </w:tcPr>
          <w:p>
            <w:pPr>
              <w:jc w:val="right"/>
              <w:spacing w:after="0"/>
              <w:rPr>
                <w:sz w:val="20"/>
                <w:szCs w:val="20"/>
                <w:color w:val="auto"/>
              </w:rPr>
            </w:pPr>
            <w:r>
              <w:rPr>
                <w:rFonts w:ascii="Arial" w:cs="Arial" w:eastAsia="Arial" w:hAnsi="Arial"/>
                <w:sz w:val="18"/>
                <w:szCs w:val="18"/>
                <w:color w:val="auto"/>
              </w:rPr>
              <w:t>1,090,000</w:t>
            </w:r>
          </w:p>
        </w:tc>
        <w:tc>
          <w:tcPr>
            <w:tcW w:w="1320" w:type="dxa"/>
            <w:vAlign w:val="bottom"/>
            <w:gridSpan w:val="2"/>
            <w:shd w:val="clear" w:color="auto" w:fill="E9EFEE"/>
          </w:tcPr>
          <w:p>
            <w:pPr>
              <w:jc w:val="right"/>
              <w:spacing w:after="0"/>
              <w:rPr>
                <w:sz w:val="20"/>
                <w:szCs w:val="20"/>
                <w:color w:val="auto"/>
              </w:rPr>
            </w:pPr>
            <w:r>
              <w:rPr>
                <w:rFonts w:ascii="Arial" w:cs="Arial" w:eastAsia="Arial" w:hAnsi="Arial"/>
                <w:sz w:val="18"/>
                <w:szCs w:val="18"/>
                <w:color w:val="auto"/>
              </w:rPr>
              <w:t>1,030,000</w:t>
            </w:r>
          </w:p>
        </w:tc>
        <w:tc>
          <w:tcPr>
            <w:tcW w:w="100" w:type="dxa"/>
            <w:vAlign w:val="bottom"/>
            <w:shd w:val="clear" w:color="auto" w:fill="E9EFEE"/>
          </w:tcPr>
          <w:p>
            <w:pPr>
              <w:spacing w:after="0"/>
              <w:rPr>
                <w:sz w:val="19"/>
                <w:szCs w:val="19"/>
                <w:color w:val="auto"/>
              </w:rPr>
            </w:pP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r>
      <w:tr>
        <w:trPr>
          <w:trHeight w:val="230"/>
        </w:trPr>
        <w:tc>
          <w:tcPr>
            <w:tcW w:w="6960" w:type="dxa"/>
            <w:vAlign w:val="bottom"/>
            <w:shd w:val="clear" w:color="auto" w:fill="E9EFEE"/>
          </w:tcPr>
          <w:p>
            <w:pPr>
              <w:ind w:left="20"/>
              <w:spacing w:after="0"/>
              <w:rPr>
                <w:sz w:val="20"/>
                <w:szCs w:val="20"/>
                <w:color w:val="auto"/>
              </w:rPr>
            </w:pPr>
            <w:r>
              <w:rPr>
                <w:rFonts w:ascii="Arial" w:cs="Arial" w:eastAsia="Arial" w:hAnsi="Arial"/>
                <w:sz w:val="18"/>
                <w:szCs w:val="18"/>
                <w:color w:val="auto"/>
              </w:rPr>
              <w:t>Tax Fees</w:t>
            </w:r>
          </w:p>
        </w:tc>
        <w:tc>
          <w:tcPr>
            <w:tcW w:w="1180" w:type="dxa"/>
            <w:vAlign w:val="bottom"/>
            <w:shd w:val="clear" w:color="auto" w:fill="E9EFEE"/>
          </w:tcPr>
          <w:p>
            <w:pPr>
              <w:jc w:val="right"/>
              <w:spacing w:after="0"/>
              <w:rPr>
                <w:sz w:val="20"/>
                <w:szCs w:val="20"/>
                <w:color w:val="auto"/>
              </w:rPr>
            </w:pPr>
            <w:r>
              <w:rPr>
                <w:rFonts w:ascii="Arial" w:cs="Arial" w:eastAsia="Arial" w:hAnsi="Arial"/>
                <w:sz w:val="18"/>
                <w:szCs w:val="18"/>
                <w:color w:val="auto"/>
              </w:rPr>
              <w:t>530,000</w:t>
            </w:r>
          </w:p>
        </w:tc>
        <w:tc>
          <w:tcPr>
            <w:tcW w:w="1320" w:type="dxa"/>
            <w:vAlign w:val="bottom"/>
            <w:gridSpan w:val="2"/>
            <w:shd w:val="clear" w:color="auto" w:fill="E9EFEE"/>
          </w:tcPr>
          <w:p>
            <w:pPr>
              <w:jc w:val="right"/>
              <w:spacing w:after="0"/>
              <w:rPr>
                <w:sz w:val="20"/>
                <w:szCs w:val="20"/>
                <w:color w:val="auto"/>
              </w:rPr>
            </w:pPr>
            <w:r>
              <w:rPr>
                <w:rFonts w:ascii="Arial" w:cs="Arial" w:eastAsia="Arial" w:hAnsi="Arial"/>
                <w:sz w:val="18"/>
                <w:szCs w:val="18"/>
                <w:color w:val="auto"/>
              </w:rPr>
              <w:t>570,000</w:t>
            </w:r>
          </w:p>
        </w:tc>
        <w:tc>
          <w:tcPr>
            <w:tcW w:w="100" w:type="dxa"/>
            <w:vAlign w:val="bottom"/>
            <w:shd w:val="clear" w:color="auto" w:fill="E9EFEE"/>
          </w:tcPr>
          <w:p>
            <w:pPr>
              <w:spacing w:after="0"/>
              <w:rPr>
                <w:sz w:val="19"/>
                <w:szCs w:val="19"/>
                <w:color w:val="auto"/>
              </w:rPr>
            </w:pPr>
          </w:p>
        </w:tc>
      </w:tr>
      <w:tr>
        <w:trPr>
          <w:trHeight w:val="223"/>
        </w:trPr>
        <w:tc>
          <w:tcPr>
            <w:tcW w:w="696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1"/>
        </w:trPr>
        <w:tc>
          <w:tcPr>
            <w:tcW w:w="6960" w:type="dxa"/>
            <w:vAlign w:val="bottom"/>
            <w:tcBorders>
              <w:bottom w:val="single" w:sz="8" w:color="E9EFEE"/>
            </w:tcBorders>
            <w:shd w:val="clear" w:color="auto" w:fill="E9EFEE"/>
          </w:tcPr>
          <w:p>
            <w:pPr>
              <w:ind w:left="20"/>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shd w:val="clear" w:color="auto" w:fill="E9EFEE"/>
          </w:tcPr>
          <w:p>
            <w:pPr>
              <w:jc w:val="right"/>
              <w:spacing w:after="0"/>
              <w:rPr>
                <w:sz w:val="20"/>
                <w:szCs w:val="20"/>
                <w:color w:val="auto"/>
              </w:rPr>
            </w:pPr>
            <w:r>
              <w:rPr>
                <w:rFonts w:ascii="Arial" w:cs="Arial" w:eastAsia="Arial" w:hAnsi="Arial"/>
                <w:sz w:val="18"/>
                <w:szCs w:val="18"/>
                <w:color w:val="auto"/>
              </w:rPr>
              <w:t>1,620,000</w:t>
            </w:r>
          </w:p>
        </w:tc>
        <w:tc>
          <w:tcPr>
            <w:tcW w:w="160" w:type="dxa"/>
            <w:vAlign w:val="bottom"/>
            <w:tcBorders>
              <w:bottom w:val="single" w:sz="8" w:color="E9EFEE"/>
            </w:tcBorders>
            <w:shd w:val="clear" w:color="auto" w:fill="E9EFEE"/>
          </w:tcPr>
          <w:p>
            <w:pPr>
              <w:spacing w:after="0"/>
              <w:rPr>
                <w:sz w:val="20"/>
                <w:szCs w:val="20"/>
                <w:color w:val="auto"/>
              </w:rPr>
            </w:pPr>
          </w:p>
        </w:tc>
        <w:tc>
          <w:tcPr>
            <w:tcW w:w="1160" w:type="dxa"/>
            <w:vAlign w:val="bottom"/>
            <w:tcBorders>
              <w:top w:val="single" w:sz="8" w:color="auto"/>
              <w:bottom w:val="single" w:sz="8" w:color="auto"/>
            </w:tcBorders>
            <w:shd w:val="clear" w:color="auto" w:fill="E9EFEE"/>
          </w:tcPr>
          <w:p>
            <w:pPr>
              <w:jc w:val="right"/>
              <w:spacing w:after="0"/>
              <w:rPr>
                <w:sz w:val="20"/>
                <w:szCs w:val="20"/>
                <w:color w:val="auto"/>
              </w:rPr>
            </w:pPr>
            <w:r>
              <w:rPr>
                <w:rFonts w:ascii="Arial" w:cs="Arial" w:eastAsia="Arial" w:hAnsi="Arial"/>
                <w:sz w:val="18"/>
                <w:szCs w:val="18"/>
                <w:color w:val="auto"/>
              </w:rPr>
              <w:t>1,700,000</w:t>
            </w:r>
          </w:p>
        </w:tc>
        <w:tc>
          <w:tcPr>
            <w:tcW w:w="100" w:type="dxa"/>
            <w:vAlign w:val="bottom"/>
            <w:tcBorders>
              <w:bottom w:val="single" w:sz="8" w:color="E9EFEE"/>
            </w:tcBorders>
            <w:shd w:val="clear" w:color="auto" w:fill="E9EFEE"/>
          </w:tcPr>
          <w:p>
            <w:pPr>
              <w:spacing w:after="0"/>
              <w:rPr>
                <w:sz w:val="20"/>
                <w:szCs w:val="20"/>
                <w:color w:val="auto"/>
              </w:rPr>
            </w:pPr>
          </w:p>
        </w:tc>
      </w:tr>
      <w:tr>
        <w:trPr>
          <w:trHeight w:val="20"/>
        </w:trPr>
        <w:tc>
          <w:tcPr>
            <w:tcW w:w="6960" w:type="dxa"/>
            <w:vAlign w:val="bottom"/>
            <w:tcBorders>
              <w:top w:val="single" w:sz="8" w:color="E9EFEE"/>
            </w:tcBorders>
            <w:shd w:val="clear" w:color="auto" w:fill="000562"/>
          </w:tcPr>
          <w:p>
            <w:pPr>
              <w:spacing w:after="0" w:line="20" w:lineRule="exact"/>
              <w:rPr>
                <w:sz w:val="1"/>
                <w:szCs w:val="1"/>
                <w:color w:val="auto"/>
              </w:rPr>
            </w:pPr>
          </w:p>
        </w:tc>
        <w:tc>
          <w:tcPr>
            <w:tcW w:w="1180" w:type="dxa"/>
            <w:vAlign w:val="bottom"/>
            <w:tcBorders>
              <w:top w:val="single" w:sz="8" w:color="E9EFEE"/>
            </w:tcBorders>
            <w:shd w:val="clear" w:color="auto" w:fill="000562"/>
          </w:tcPr>
          <w:p>
            <w:pPr>
              <w:spacing w:after="0" w:line="20" w:lineRule="exact"/>
              <w:rPr>
                <w:sz w:val="1"/>
                <w:szCs w:val="1"/>
                <w:color w:val="auto"/>
              </w:rPr>
            </w:pPr>
          </w:p>
        </w:tc>
        <w:tc>
          <w:tcPr>
            <w:tcW w:w="160" w:type="dxa"/>
            <w:vAlign w:val="bottom"/>
            <w:tcBorders>
              <w:top w:val="single" w:sz="8" w:color="E9EFEE"/>
            </w:tcBorders>
            <w:shd w:val="clear" w:color="auto" w:fill="000562"/>
          </w:tcPr>
          <w:p>
            <w:pPr>
              <w:spacing w:after="0" w:line="20" w:lineRule="exact"/>
              <w:rPr>
                <w:sz w:val="1"/>
                <w:szCs w:val="1"/>
                <w:color w:val="auto"/>
              </w:rPr>
            </w:pPr>
          </w:p>
        </w:tc>
        <w:tc>
          <w:tcPr>
            <w:tcW w:w="1160" w:type="dxa"/>
            <w:vAlign w:val="bottom"/>
            <w:tcBorders>
              <w:top w:val="single" w:sz="8" w:color="E9EFEE"/>
            </w:tcBorders>
            <w:shd w:val="clear" w:color="auto" w:fill="000562"/>
          </w:tcPr>
          <w:p>
            <w:pPr>
              <w:spacing w:after="0" w:line="20" w:lineRule="exact"/>
              <w:rPr>
                <w:sz w:val="1"/>
                <w:szCs w:val="1"/>
                <w:color w:val="auto"/>
              </w:rPr>
            </w:pPr>
          </w:p>
        </w:tc>
        <w:tc>
          <w:tcPr>
            <w:tcW w:w="100" w:type="dxa"/>
            <w:vAlign w:val="bottom"/>
            <w:tcBorders>
              <w:top w:val="single" w:sz="8" w:color="E9EFEE"/>
            </w:tcBorders>
            <w:shd w:val="clear" w:color="auto" w:fill="000562"/>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2"/>
        </w:rPr>
        <w:t>Audit and Audit-Related Fees</w:t>
      </w:r>
    </w:p>
    <w:p>
      <w:pPr>
        <w:spacing w:after="0" w:line="126"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Integrated audit fees billed for services rendered in connection with the audit of the Company’s annual financial statements and the effectiveness of the Company’s internal control over financial reporting were approximately $1.1 million for 2018 and $ 1.0 million for 2017. In 2017, audit-related fees of $0.1 million were incurred primarily related to procedures performed in connection with the Company’s debt refinance.</w:t>
      </w:r>
    </w:p>
    <w:p>
      <w:pPr>
        <w:spacing w:after="0" w:line="186" w:lineRule="exact"/>
        <w:rPr>
          <w:sz w:val="20"/>
          <w:szCs w:val="20"/>
          <w:color w:val="auto"/>
        </w:rPr>
      </w:pPr>
    </w:p>
    <w:p>
      <w:pPr>
        <w:ind w:left="360" w:hanging="349"/>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22"/>
          <w:szCs w:val="22"/>
          <w:b w:val="1"/>
          <w:bCs w:val="1"/>
          <w:color w:val="000562"/>
        </w:rPr>
        <w:t xml:space="preserve">I </w:t>
      </w:r>
      <w:r>
        <w:rPr>
          <w:rFonts w:ascii="Arial" w:cs="Arial" w:eastAsia="Arial" w:hAnsi="Arial"/>
          <w:sz w:val="18"/>
          <w:szCs w:val="18"/>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07187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2" w:name="page23"/>
    <w:bookmarkEnd w:id="22"/>
    <w:p>
      <w:pPr>
        <w:ind w:left="7"/>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right"/>
        <w:ind w:left="847"/>
        <w:spacing w:after="0" w:line="234" w:lineRule="auto"/>
        <w:rPr>
          <w:sz w:val="20"/>
          <w:szCs w:val="20"/>
          <w:color w:val="auto"/>
        </w:rPr>
      </w:pPr>
      <w:r>
        <w:rPr>
          <w:rFonts w:ascii="Arial" w:cs="Arial" w:eastAsia="Arial" w:hAnsi="Arial"/>
          <w:sz w:val="20"/>
          <w:szCs w:val="20"/>
          <w:b w:val="1"/>
          <w:bCs w:val="1"/>
          <w:color w:val="000562"/>
        </w:rPr>
        <w:t>PROPOSAL 2 — RATIFICATION OF APPOINTMENT OF INDEPENDENT REGISTERED PUBLIC ACCOUNTING FIRM</w:t>
      </w:r>
    </w:p>
    <w:p>
      <w:pPr>
        <w:spacing w:after="0" w:line="164"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000562"/>
        </w:rPr>
        <w:t>Tax Fees</w:t>
      </w:r>
    </w:p>
    <w:p>
      <w:pPr>
        <w:spacing w:after="0" w:line="126" w:lineRule="exact"/>
        <w:rPr>
          <w:sz w:val="20"/>
          <w:szCs w:val="20"/>
          <w:color w:val="auto"/>
        </w:rPr>
      </w:pPr>
    </w:p>
    <w:p>
      <w:pPr>
        <w:jc w:val="both"/>
        <w:ind w:left="7"/>
        <w:spacing w:after="0" w:line="254" w:lineRule="auto"/>
        <w:rPr>
          <w:sz w:val="20"/>
          <w:szCs w:val="20"/>
          <w:color w:val="auto"/>
        </w:rPr>
      </w:pPr>
      <w:r>
        <w:rPr>
          <w:rFonts w:ascii="Arial" w:cs="Arial" w:eastAsia="Arial" w:hAnsi="Arial"/>
          <w:sz w:val="18"/>
          <w:szCs w:val="18"/>
          <w:color w:val="auto"/>
        </w:rPr>
        <w:t>The Company engages Deloitte to assist with its U.S. tax compliance reviews. In addition, tax fees in 2018 and 2017 include amounts incurred in connection with assistance in assessing the provisional and final impacts of tax reform on the Company’s current and future results. Except for the amounts disclosed above, there were no tax fees billed by Deloitte during 2018 or 2017, as the Company retained another firm to provide tax advice.</w:t>
      </w:r>
    </w:p>
    <w:p>
      <w:pPr>
        <w:spacing w:after="0" w:line="96" w:lineRule="exact"/>
        <w:rPr>
          <w:sz w:val="20"/>
          <w:szCs w:val="20"/>
          <w:color w:val="auto"/>
        </w:rPr>
      </w:pPr>
    </w:p>
    <w:p>
      <w:pPr>
        <w:jc w:val="both"/>
        <w:ind w:left="7" w:right="20"/>
        <w:spacing w:after="0" w:line="262" w:lineRule="auto"/>
        <w:rPr>
          <w:sz w:val="20"/>
          <w:szCs w:val="20"/>
          <w:color w:val="auto"/>
        </w:rPr>
      </w:pPr>
      <w:r>
        <w:rPr>
          <w:rFonts w:ascii="Arial" w:cs="Arial" w:eastAsia="Arial" w:hAnsi="Arial"/>
          <w:sz w:val="18"/>
          <w:szCs w:val="18"/>
          <w:color w:val="auto"/>
        </w:rPr>
        <w:t>The Audit Committee has determined that the rendering of all non-audit services by Deloitte in 2018 and in 2017 is compatible with maintaining auditor independence.</w:t>
      </w:r>
    </w:p>
    <w:p>
      <w:pPr>
        <w:spacing w:after="0" w:line="88" w:lineRule="exact"/>
        <w:rPr>
          <w:sz w:val="20"/>
          <w:szCs w:val="20"/>
          <w:color w:val="auto"/>
        </w:rPr>
      </w:pPr>
    </w:p>
    <w:p>
      <w:pPr>
        <w:jc w:val="both"/>
        <w:ind w:left="7" w:right="20"/>
        <w:spacing w:after="0" w:line="262" w:lineRule="auto"/>
        <w:rPr>
          <w:sz w:val="20"/>
          <w:szCs w:val="20"/>
          <w:color w:val="auto"/>
        </w:rPr>
      </w:pPr>
      <w:r>
        <w:rPr>
          <w:rFonts w:ascii="Arial" w:cs="Arial" w:eastAsia="Arial" w:hAnsi="Arial"/>
          <w:sz w:val="18"/>
          <w:szCs w:val="18"/>
          <w:color w:val="auto"/>
        </w:rPr>
        <w:t>We have been advised by Deloitte that neither the firm, nor any member of the firm, has any financial interest, direct or indirect, in any capacity in the Company or its subsidiaries.</w:t>
      </w:r>
    </w:p>
    <w:p>
      <w:pPr>
        <w:spacing w:after="0" w:line="153" w:lineRule="exact"/>
        <w:rPr>
          <w:sz w:val="20"/>
          <w:szCs w:val="20"/>
          <w:color w:val="auto"/>
        </w:rPr>
      </w:pPr>
    </w:p>
    <w:p>
      <w:pPr>
        <w:ind w:left="7" w:right="460"/>
        <w:spacing w:after="0" w:line="254" w:lineRule="auto"/>
        <w:rPr>
          <w:sz w:val="20"/>
          <w:szCs w:val="20"/>
          <w:color w:val="auto"/>
        </w:rPr>
      </w:pPr>
      <w:r>
        <w:rPr>
          <w:rFonts w:ascii="Arial" w:cs="Arial" w:eastAsia="Arial" w:hAnsi="Arial"/>
          <w:sz w:val="25"/>
          <w:szCs w:val="25"/>
          <w:b w:val="1"/>
          <w:bCs w:val="1"/>
          <w:color w:val="auto"/>
        </w:rPr>
        <w:t>Policy on Audit Committee Pre-Approval of Audit and Non-Audit Services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wp:posOffset>
            </wp:positionV>
            <wp:extent cx="60718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52" w:lineRule="exact"/>
        <w:rPr>
          <w:sz w:val="20"/>
          <w:szCs w:val="20"/>
          <w:color w:val="auto"/>
        </w:rPr>
      </w:pPr>
    </w:p>
    <w:p>
      <w:pPr>
        <w:jc w:val="both"/>
        <w:ind w:left="7" w:right="20"/>
        <w:spacing w:after="0" w:line="256" w:lineRule="auto"/>
        <w:rPr>
          <w:sz w:val="20"/>
          <w:szCs w:val="20"/>
          <w:color w:val="auto"/>
        </w:rPr>
      </w:pPr>
      <w:r>
        <w:rPr>
          <w:rFonts w:ascii="Arial" w:cs="Arial" w:eastAsia="Arial" w:hAnsi="Arial"/>
          <w:sz w:val="18"/>
          <w:szCs w:val="18"/>
          <w:color w:val="auto"/>
        </w:rPr>
        <w:t>The Audit Committee is responsible for appointing, setting compensation and overseeing the work of the independent registered public accounting firm. The Audit Committee has established a policy regarding pre-approval of all audit and non-audit services provided by the independent registered public accounting firm.</w:t>
      </w:r>
    </w:p>
    <w:p>
      <w:pPr>
        <w:spacing w:after="0" w:line="94" w:lineRule="exact"/>
        <w:rPr>
          <w:sz w:val="20"/>
          <w:szCs w:val="20"/>
          <w:color w:val="auto"/>
        </w:rPr>
      </w:pPr>
    </w:p>
    <w:p>
      <w:pPr>
        <w:jc w:val="both"/>
        <w:ind w:left="7"/>
        <w:spacing w:after="0" w:line="252" w:lineRule="auto"/>
        <w:rPr>
          <w:sz w:val="20"/>
          <w:szCs w:val="20"/>
          <w:color w:val="auto"/>
        </w:rPr>
      </w:pPr>
      <w:r>
        <w:rPr>
          <w:rFonts w:ascii="Arial" w:cs="Arial" w:eastAsia="Arial" w:hAnsi="Arial"/>
          <w:sz w:val="18"/>
          <w:szCs w:val="18"/>
          <w:color w:val="auto"/>
        </w:rPr>
        <w:t>On an ongoing basis, management communicates specific projects and categories of service for which the advance approval of the Audit Committee is requested. The Audit Committee reviews these requests and advises management if the committee approves the engagement of the independent registered public accounting firm. No services are undertaken which are not pre-approved. On a periodic basis, management reports to the Audit Committee regarding the actual spending for such projects and services compared to the approved amounts. All of the services provided by Deloitte, our independent auditor in 2018 and 2017, including services related to audit, audit-related fees, tax fees and all other fees described above, were approved by the Audit Committee under its pre-approval policies.</w:t>
      </w:r>
    </w:p>
    <w:p>
      <w:pPr>
        <w:spacing w:after="0" w:line="99" w:lineRule="exact"/>
        <w:rPr>
          <w:sz w:val="20"/>
          <w:szCs w:val="20"/>
          <w:color w:val="auto"/>
        </w:rPr>
      </w:pPr>
    </w:p>
    <w:p>
      <w:pPr>
        <w:jc w:val="both"/>
        <w:ind w:left="7"/>
        <w:spacing w:after="0" w:line="262" w:lineRule="auto"/>
        <w:rPr>
          <w:sz w:val="20"/>
          <w:szCs w:val="20"/>
          <w:color w:val="auto"/>
        </w:rPr>
      </w:pPr>
      <w:r>
        <w:rPr>
          <w:rFonts w:ascii="Arial" w:cs="Arial" w:eastAsia="Arial" w:hAnsi="Arial"/>
          <w:sz w:val="18"/>
          <w:szCs w:val="18"/>
          <w:color w:val="auto"/>
        </w:rPr>
        <w:t>The Audit Committee’s policies permit the Company’s independent accountants, Deloitte, to provide audit-related services, tax services and non-audit services to the Company, subject to the following conditions:</w:t>
      </w:r>
    </w:p>
    <w:p>
      <w:pPr>
        <w:spacing w:after="0" w:line="88" w:lineRule="exact"/>
        <w:rPr>
          <w:sz w:val="20"/>
          <w:szCs w:val="20"/>
          <w:color w:val="auto"/>
        </w:rPr>
      </w:pPr>
    </w:p>
    <w:p>
      <w:pPr>
        <w:ind w:left="347" w:right="20" w:hanging="347"/>
        <w:spacing w:after="0" w:line="246" w:lineRule="auto"/>
        <w:tabs>
          <w:tab w:leader="none" w:pos="3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Deloitte will not be engaged to provide any services that may compromise its independence under applicable laws and regulations, including rules and regulations of the SEC and the PCAOB;</w:t>
      </w:r>
    </w:p>
    <w:p>
      <w:pPr>
        <w:spacing w:after="0" w:line="88" w:lineRule="exact"/>
        <w:rPr>
          <w:rFonts w:ascii="Arial" w:cs="Arial" w:eastAsia="Arial" w:hAnsi="Arial"/>
          <w:sz w:val="18"/>
          <w:szCs w:val="18"/>
          <w:color w:val="auto"/>
        </w:rPr>
      </w:pPr>
    </w:p>
    <w:p>
      <w:pPr>
        <w:ind w:left="347" w:hanging="347"/>
        <w:spacing w:after="0" w:line="246" w:lineRule="auto"/>
        <w:tabs>
          <w:tab w:leader="none" w:pos="3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Deloitte and the Company will enter into engagement letters authorizing the specific audit-related services or non-audit services and setting forth the cost of such services;</w:t>
      </w:r>
    </w:p>
    <w:p>
      <w:pPr>
        <w:spacing w:after="0" w:line="88" w:lineRule="exact"/>
        <w:rPr>
          <w:rFonts w:ascii="Arial" w:cs="Arial" w:eastAsia="Arial" w:hAnsi="Arial"/>
          <w:sz w:val="18"/>
          <w:szCs w:val="18"/>
          <w:color w:val="auto"/>
        </w:rPr>
      </w:pPr>
    </w:p>
    <w:p>
      <w:pPr>
        <w:jc w:val="both"/>
        <w:ind w:left="347" w:hanging="347"/>
        <w:spacing w:after="0" w:line="237" w:lineRule="auto"/>
        <w:tabs>
          <w:tab w:leader="none" w:pos="3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is authorized, without additional Audit Committee approval, to engage Deloitte to provide (a) audit-related and tax services, including due diligence and tax planning related to acquisitions where Deloitte does not audit the target company, to the extent that the cost of such engagement does not exceed $250,000, (b) due diligence and tax planning related to acquisitions where Deloitte audits the target company, to the extent the cost of such engagement does not exceed $20,000, and (c) services not otherwise covered by (a) or (b) above to the extent the cost of such engagements does not exceed $150,000; provided, however, that the aggregate amount of all such engagements under (a), (b) and (c) may not exceed $350,000 in any calendar quarter; and</w:t>
      </w:r>
    </w:p>
    <w:p>
      <w:pPr>
        <w:spacing w:after="0" w:line="95" w:lineRule="exact"/>
        <w:rPr>
          <w:rFonts w:ascii="Arial" w:cs="Arial" w:eastAsia="Arial" w:hAnsi="Arial"/>
          <w:sz w:val="18"/>
          <w:szCs w:val="18"/>
          <w:color w:val="auto"/>
        </w:rPr>
      </w:pPr>
    </w:p>
    <w:p>
      <w:pPr>
        <w:ind w:left="347" w:right="20" w:hanging="347"/>
        <w:spacing w:after="0" w:line="246" w:lineRule="auto"/>
        <w:tabs>
          <w:tab w:leader="none" w:pos="3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Chair of the Audit Committee will be promptly notified of each engagement and the Audit Committee will be updated quarterly on all engagements, including fees.</w:t>
      </w:r>
    </w:p>
    <w:p>
      <w:pPr>
        <w:spacing w:after="0" w:line="179" w:lineRule="exact"/>
        <w:rPr>
          <w:sz w:val="20"/>
          <w:szCs w:val="20"/>
          <w:color w:val="auto"/>
        </w:rPr>
      </w:pPr>
    </w:p>
    <w:p>
      <w:pPr>
        <w:jc w:val="right"/>
        <w:spacing w:after="0"/>
        <w:tabs>
          <w:tab w:leader="none" w:pos="480" w:val="left"/>
          <w:tab w:leader="none" w:pos="180" w:val="left"/>
        </w:tabs>
        <w:rPr>
          <w:sz w:val="20"/>
          <w:szCs w:val="20"/>
          <w:color w:val="auto"/>
        </w:rPr>
      </w:pPr>
      <w:r>
        <w:rPr>
          <w:rFonts w:ascii="Arial" w:cs="Arial" w:eastAsia="Arial" w:hAnsi="Arial"/>
          <w:sz w:val="18"/>
          <w:szCs w:val="18"/>
          <w:i w:val="1"/>
          <w:iCs w:val="1"/>
          <w:color w:val="auto"/>
        </w:rPr>
        <w:t>2019 Proxy Statement</w:t>
      </w:r>
      <w:r>
        <w:rPr>
          <w:sz w:val="20"/>
          <w:szCs w:val="20"/>
          <w:color w:val="auto"/>
        </w:rPr>
        <w:tab/>
      </w:r>
      <w:r>
        <w:rPr>
          <w:rFonts w:ascii="Arial" w:cs="Arial" w:eastAsia="Arial" w:hAnsi="Arial"/>
          <w:sz w:val="22"/>
          <w:szCs w:val="22"/>
          <w:b w:val="1"/>
          <w:bCs w:val="1"/>
          <w:color w:val="000562"/>
        </w:rPr>
        <w:t>I</w:t>
      </w:r>
      <w:r>
        <w:rPr>
          <w:sz w:val="20"/>
          <w:szCs w:val="20"/>
          <w:color w:val="auto"/>
        </w:rPr>
        <w:tab/>
      </w:r>
      <w:r>
        <w:rPr>
          <w:rFonts w:ascii="Arial" w:cs="Arial" w:eastAsia="Arial" w:hAnsi="Arial"/>
          <w:sz w:val="17"/>
          <w:szCs w:val="17"/>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306070</wp:posOffset>
            </wp:positionV>
            <wp:extent cx="607187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000562"/>
        </w:rPr>
        <w:t>TriMas Corporation</w:t>
      </w:r>
    </w:p>
    <w:p>
      <w:pPr>
        <w:spacing w:after="0" w:line="188" w:lineRule="exact"/>
        <w:rPr>
          <w:sz w:val="20"/>
          <w:szCs w:val="20"/>
          <w:color w:val="auto"/>
        </w:rPr>
      </w:pPr>
    </w:p>
    <w:p>
      <w:pPr>
        <w:ind w:right="640"/>
        <w:spacing w:after="0" w:line="226" w:lineRule="auto"/>
        <w:rPr>
          <w:sz w:val="20"/>
          <w:szCs w:val="20"/>
          <w:color w:val="auto"/>
        </w:rPr>
      </w:pPr>
      <w:r>
        <w:rPr>
          <w:rFonts w:ascii="Arial" w:cs="Arial" w:eastAsia="Arial" w:hAnsi="Arial"/>
          <w:sz w:val="42"/>
          <w:szCs w:val="42"/>
          <w:color w:val="000562"/>
        </w:rPr>
        <w:t>PROPOSAL 3 - APPROVAL, ON A NON-BINDING ADVISORY BASIS, OF THE COMPENSATION PAID TO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89535</wp:posOffset>
            </wp:positionV>
            <wp:extent cx="60718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19"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b w:val="1"/>
          <w:bCs w:val="1"/>
          <w:color w:val="auto"/>
        </w:rPr>
        <w:t>THE COMPANY’S BOARD OF DIRECTORS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THE APPROVAL, ON A NON-BINDING ADVISORY BASIS, OF THE COMPENSATION PAID TO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60718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7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required pursuant to Section 14A of the Securities Exchange Act of 1934, or the Exchange Act, the Company is providing shareholders with an advisory (non-binding) vote to approve the compensation paid to our NEOs as disclosed in this proxy statement. This advisory vote is commonly known as a “Say-on-Pay” vote. At the 2017 Annual Meeting of Shareholders, a majority of the votes cast on a proposal regarding the frequency for future Say-on-Pay votes approved the Board’s recommendation to hold future Say-on-Pay votes on an annual basis. The Company adopted an annual Say-on-Pay vote program in 2017 after considering these voting results. The last Say-on-Pay vote took place at the 2018 Annual Meeting of Shareholders, during which more than 98% of the shareholders who voted on the Say-on-Pay proposal approved our Say-on-Pay resolution.</w:t>
      </w:r>
    </w:p>
    <w:p>
      <w:pPr>
        <w:spacing w:after="0" w:line="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its first meeting held after our 2018 Say-on-Pay vote, the Compensation Committee reviewed the voting results described above. After taking into consideration the strong level of support expressed by our shareholders for the executive compensation program for our then-NEOs, the Compensation Committee decided to continue to apply the same guiding philosophy and principles to subsequent decisions and when adopting subsequent policies regarding NEO compensation. No changes have been made to our executive compensation program specifically in reaction to the 2018 Say-on-Pay vote. The Compensation Committee also has continued to monitor voting policy changes adopted by our institutional shareholders and their advisors since the 2018 Say-on-Pay vote and expects to continue to take those voting policies into account when considering changes to our executive compensation program.</w:t>
      </w:r>
    </w:p>
    <w:p>
      <w:pPr>
        <w:spacing w:after="0" w:line="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2018 Compensation Program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0718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described in the Compensation Discussion and Analysis within this proxy statement, our NEOs are rewarded when defined financial and operational performance results are achieved and when value is created for our shareholders. Our Compensation Committee believes that our compensation program is effective in implementing our executive compensation philosophy and establishing a link between compensation and shareholder interests.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Highlights of our compensation program include the following:</w:t>
      </w:r>
    </w:p>
    <w:p>
      <w:pPr>
        <w:spacing w:after="0" w:line="104" w:lineRule="exact"/>
        <w:rPr>
          <w:sz w:val="20"/>
          <w:szCs w:val="20"/>
          <w:color w:val="auto"/>
        </w:rPr>
      </w:pPr>
    </w:p>
    <w:p>
      <w:pPr>
        <w:jc w:val="both"/>
        <w:ind w:left="700" w:hanging="356"/>
        <w:spacing w:after="0" w:line="239" w:lineRule="auto"/>
        <w:tabs>
          <w:tab w:leader="none" w:pos="700" w:val="left"/>
        </w:tabs>
        <w:numPr>
          <w:ilvl w:val="0"/>
          <w:numId w:val="22"/>
        </w:numPr>
        <w:rPr>
          <w:rFonts w:ascii="Arial" w:cs="Arial" w:eastAsia="Arial" w:hAnsi="Arial"/>
          <w:sz w:val="18"/>
          <w:szCs w:val="18"/>
          <w:color w:val="000562"/>
        </w:rPr>
      </w:pPr>
      <w:r>
        <w:rPr>
          <w:rFonts w:ascii="Arial" w:cs="Arial" w:eastAsia="Arial" w:hAnsi="Arial"/>
          <w:sz w:val="18"/>
          <w:szCs w:val="18"/>
          <w:color w:val="auto"/>
        </w:rPr>
        <w:t>A substantial percentage of each NEO’s target total direct compensation is variable and consists of incentives that can be earned for achieving annual and long-term performance goals. Our program is weighted toward pay-for-performance and variable compensation to reinforce our philosophy of compensating our executives when they and the Company are successful in ways that support shareholder interests;</w:t>
      </w:r>
    </w:p>
    <w:p>
      <w:pPr>
        <w:spacing w:after="0" w:line="93" w:lineRule="exact"/>
        <w:rPr>
          <w:rFonts w:ascii="Arial" w:cs="Arial" w:eastAsia="Arial" w:hAnsi="Arial"/>
          <w:sz w:val="18"/>
          <w:szCs w:val="18"/>
          <w:color w:val="000562"/>
        </w:rPr>
      </w:pPr>
    </w:p>
    <w:p>
      <w:pPr>
        <w:ind w:left="700" w:right="20" w:hanging="356"/>
        <w:spacing w:after="0" w:line="246" w:lineRule="auto"/>
        <w:tabs>
          <w:tab w:leader="none" w:pos="700" w:val="left"/>
        </w:tabs>
        <w:numPr>
          <w:ilvl w:val="0"/>
          <w:numId w:val="22"/>
        </w:numPr>
        <w:rPr>
          <w:rFonts w:ascii="Arial" w:cs="Arial" w:eastAsia="Arial" w:hAnsi="Arial"/>
          <w:sz w:val="18"/>
          <w:szCs w:val="18"/>
          <w:color w:val="000562"/>
        </w:rPr>
      </w:pPr>
      <w:r>
        <w:rPr>
          <w:rFonts w:ascii="Arial" w:cs="Arial" w:eastAsia="Arial" w:hAnsi="Arial"/>
          <w:sz w:val="18"/>
          <w:szCs w:val="18"/>
          <w:color w:val="auto"/>
        </w:rPr>
        <w:t>Each year, the Compensation Committee establishes performance measures intended to focus executives on the most important Company objectives;</w:t>
      </w:r>
    </w:p>
    <w:p>
      <w:pPr>
        <w:spacing w:after="0" w:line="179" w:lineRule="exact"/>
        <w:rPr>
          <w:sz w:val="20"/>
          <w:szCs w:val="20"/>
          <w:color w:val="auto"/>
        </w:rPr>
      </w:pPr>
    </w:p>
    <w:p>
      <w:pPr>
        <w:ind w:left="360" w:hanging="349"/>
        <w:spacing w:after="0"/>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22"/>
          <w:szCs w:val="22"/>
          <w:b w:val="1"/>
          <w:bCs w:val="1"/>
          <w:color w:val="000562"/>
        </w:rPr>
        <w:t xml:space="preserve">I </w:t>
      </w:r>
      <w:r>
        <w:rPr>
          <w:rFonts w:ascii="Arial" w:cs="Arial" w:eastAsia="Arial" w:hAnsi="Arial"/>
          <w:sz w:val="18"/>
          <w:szCs w:val="18"/>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07187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right"/>
        <w:ind w:left="280"/>
        <w:spacing w:after="0" w:line="234" w:lineRule="auto"/>
        <w:rPr>
          <w:sz w:val="20"/>
          <w:szCs w:val="20"/>
          <w:color w:val="auto"/>
        </w:rPr>
      </w:pPr>
      <w:r>
        <w:rPr>
          <w:rFonts w:ascii="Arial" w:cs="Arial" w:eastAsia="Arial" w:hAnsi="Arial"/>
          <w:sz w:val="20"/>
          <w:szCs w:val="20"/>
          <w:b w:val="1"/>
          <w:bCs w:val="1"/>
          <w:color w:val="000562"/>
        </w:rPr>
        <w:t>PROPOSAL 3 - APPROVAL, ON A NON-BINDING ADVISORY BASIS, OF THE COMPENSATION PAID TO THE COMPANY’S NAMED EXECUTIVE OFFICERS</w:t>
      </w:r>
    </w:p>
    <w:p>
      <w:pPr>
        <w:spacing w:after="0" w:line="186" w:lineRule="exact"/>
        <w:rPr>
          <w:sz w:val="20"/>
          <w:szCs w:val="20"/>
          <w:color w:val="auto"/>
        </w:rPr>
      </w:pPr>
    </w:p>
    <w:p>
      <w:pPr>
        <w:jc w:val="both"/>
        <w:ind w:left="700" w:right="20" w:hanging="356"/>
        <w:spacing w:after="0"/>
        <w:tabs>
          <w:tab w:leader="none" w:pos="700" w:val="left"/>
        </w:tabs>
        <w:numPr>
          <w:ilvl w:val="0"/>
          <w:numId w:val="24"/>
        </w:numPr>
        <w:rPr>
          <w:rFonts w:ascii="Arial" w:cs="Arial" w:eastAsia="Arial" w:hAnsi="Arial"/>
          <w:sz w:val="18"/>
          <w:szCs w:val="18"/>
          <w:color w:val="000562"/>
        </w:rPr>
      </w:pPr>
      <w:r>
        <w:rPr>
          <w:rFonts w:ascii="Arial" w:cs="Arial" w:eastAsia="Arial" w:hAnsi="Arial"/>
          <w:sz w:val="18"/>
          <w:szCs w:val="18"/>
          <w:color w:val="auto"/>
        </w:rPr>
        <w:t>In determining the compensation components for each NEO for 2018, the Compensation Committee generally focused on market values at the size-adjusted median of our peer group. The market information is considered a reference point rather than policy for reviewing competitiveness;</w:t>
      </w:r>
    </w:p>
    <w:p>
      <w:pPr>
        <w:spacing w:after="0" w:line="94" w:lineRule="exact"/>
        <w:rPr>
          <w:rFonts w:ascii="Arial" w:cs="Arial" w:eastAsia="Arial" w:hAnsi="Arial"/>
          <w:sz w:val="18"/>
          <w:szCs w:val="18"/>
          <w:color w:val="000562"/>
        </w:rPr>
      </w:pPr>
    </w:p>
    <w:p>
      <w:pPr>
        <w:ind w:left="700" w:right="20" w:hanging="356"/>
        <w:spacing w:after="0" w:line="246" w:lineRule="auto"/>
        <w:tabs>
          <w:tab w:leader="none" w:pos="700" w:val="left"/>
        </w:tabs>
        <w:numPr>
          <w:ilvl w:val="0"/>
          <w:numId w:val="24"/>
        </w:numPr>
        <w:rPr>
          <w:rFonts w:ascii="Arial" w:cs="Arial" w:eastAsia="Arial" w:hAnsi="Arial"/>
          <w:sz w:val="18"/>
          <w:szCs w:val="18"/>
          <w:color w:val="000562"/>
        </w:rPr>
      </w:pPr>
      <w:r>
        <w:rPr>
          <w:rFonts w:ascii="Arial" w:cs="Arial" w:eastAsia="Arial" w:hAnsi="Arial"/>
          <w:sz w:val="18"/>
          <w:szCs w:val="18"/>
          <w:color w:val="auto"/>
        </w:rPr>
        <w:t>Our expectations for stock ownership align executives’ interests with those of our shareholders and all of the NEOs have exceeded their requirements;</w:t>
      </w:r>
    </w:p>
    <w:p>
      <w:pPr>
        <w:spacing w:after="0" w:line="88" w:lineRule="exact"/>
        <w:rPr>
          <w:rFonts w:ascii="Arial" w:cs="Arial" w:eastAsia="Arial" w:hAnsi="Arial"/>
          <w:sz w:val="18"/>
          <w:szCs w:val="18"/>
          <w:color w:val="000562"/>
        </w:rPr>
      </w:pPr>
    </w:p>
    <w:p>
      <w:pPr>
        <w:jc w:val="both"/>
        <w:ind w:left="700" w:hanging="356"/>
        <w:spacing w:after="0"/>
        <w:tabs>
          <w:tab w:leader="none" w:pos="700" w:val="left"/>
        </w:tabs>
        <w:numPr>
          <w:ilvl w:val="0"/>
          <w:numId w:val="24"/>
        </w:numPr>
        <w:rPr>
          <w:rFonts w:ascii="Arial" w:cs="Arial" w:eastAsia="Arial" w:hAnsi="Arial"/>
          <w:sz w:val="18"/>
          <w:szCs w:val="18"/>
          <w:color w:val="000562"/>
        </w:rPr>
      </w:pPr>
      <w:r>
        <w:rPr>
          <w:rFonts w:ascii="Arial" w:cs="Arial" w:eastAsia="Arial" w:hAnsi="Arial"/>
          <w:sz w:val="18"/>
          <w:szCs w:val="18"/>
          <w:color w:val="auto"/>
        </w:rPr>
        <w:t>The Company’s clawback policy permits the Compensation Committee to recoup or rescind variable compensation to executives, including NEOs, under certain situations, including restatement of financial results;</w:t>
      </w:r>
    </w:p>
    <w:p>
      <w:pPr>
        <w:spacing w:after="0" w:line="94" w:lineRule="exact"/>
        <w:rPr>
          <w:rFonts w:ascii="Arial" w:cs="Arial" w:eastAsia="Arial" w:hAnsi="Arial"/>
          <w:sz w:val="18"/>
          <w:szCs w:val="18"/>
          <w:color w:val="000562"/>
        </w:rPr>
      </w:pPr>
    </w:p>
    <w:p>
      <w:pPr>
        <w:ind w:left="700" w:right="20" w:hanging="356"/>
        <w:spacing w:after="0" w:line="246" w:lineRule="auto"/>
        <w:tabs>
          <w:tab w:leader="none" w:pos="700" w:val="left"/>
        </w:tabs>
        <w:numPr>
          <w:ilvl w:val="0"/>
          <w:numId w:val="24"/>
        </w:numPr>
        <w:rPr>
          <w:rFonts w:ascii="Arial" w:cs="Arial" w:eastAsia="Arial" w:hAnsi="Arial"/>
          <w:sz w:val="18"/>
          <w:szCs w:val="18"/>
          <w:color w:val="000562"/>
        </w:rPr>
      </w:pPr>
      <w:r>
        <w:rPr>
          <w:rFonts w:ascii="Arial" w:cs="Arial" w:eastAsia="Arial" w:hAnsi="Arial"/>
          <w:sz w:val="18"/>
          <w:szCs w:val="18"/>
          <w:color w:val="auto"/>
        </w:rPr>
        <w:t>Our Compensation Committee has retained an independent compensation consultant to advise it with respect to executive and non-employee director compensation matters;</w:t>
      </w:r>
    </w:p>
    <w:p>
      <w:pPr>
        <w:spacing w:after="0" w:line="88" w:lineRule="exact"/>
        <w:rPr>
          <w:rFonts w:ascii="Arial" w:cs="Arial" w:eastAsia="Arial" w:hAnsi="Arial"/>
          <w:sz w:val="18"/>
          <w:szCs w:val="18"/>
          <w:color w:val="000562"/>
        </w:rPr>
      </w:pPr>
    </w:p>
    <w:p>
      <w:pPr>
        <w:ind w:left="700" w:hanging="356"/>
        <w:spacing w:after="0"/>
        <w:tabs>
          <w:tab w:leader="none" w:pos="700" w:val="left"/>
        </w:tabs>
        <w:numPr>
          <w:ilvl w:val="0"/>
          <w:numId w:val="24"/>
        </w:numPr>
        <w:rPr>
          <w:rFonts w:ascii="Arial" w:cs="Arial" w:eastAsia="Arial" w:hAnsi="Arial"/>
          <w:sz w:val="18"/>
          <w:szCs w:val="18"/>
          <w:color w:val="000562"/>
        </w:rPr>
      </w:pPr>
      <w:r>
        <w:rPr>
          <w:rFonts w:ascii="Arial" w:cs="Arial" w:eastAsia="Arial" w:hAnsi="Arial"/>
          <w:sz w:val="18"/>
          <w:szCs w:val="18"/>
          <w:color w:val="auto"/>
        </w:rPr>
        <w:t>We do not have employment agreements with our executives;</w:t>
      </w:r>
    </w:p>
    <w:p>
      <w:pPr>
        <w:spacing w:after="0" w:line="103" w:lineRule="exact"/>
        <w:rPr>
          <w:rFonts w:ascii="Arial" w:cs="Arial" w:eastAsia="Arial" w:hAnsi="Arial"/>
          <w:sz w:val="18"/>
          <w:szCs w:val="18"/>
          <w:color w:val="000562"/>
        </w:rPr>
      </w:pPr>
    </w:p>
    <w:p>
      <w:pPr>
        <w:ind w:left="700" w:hanging="356"/>
        <w:spacing w:after="0" w:line="246" w:lineRule="auto"/>
        <w:tabs>
          <w:tab w:leader="none" w:pos="700" w:val="left"/>
        </w:tabs>
        <w:numPr>
          <w:ilvl w:val="0"/>
          <w:numId w:val="24"/>
        </w:numPr>
        <w:rPr>
          <w:rFonts w:ascii="Arial" w:cs="Arial" w:eastAsia="Arial" w:hAnsi="Arial"/>
          <w:sz w:val="18"/>
          <w:szCs w:val="18"/>
          <w:color w:val="000562"/>
        </w:rPr>
      </w:pPr>
      <w:r>
        <w:rPr>
          <w:rFonts w:ascii="Arial" w:cs="Arial" w:eastAsia="Arial" w:hAnsi="Arial"/>
          <w:sz w:val="18"/>
          <w:szCs w:val="18"/>
          <w:color w:val="auto"/>
        </w:rPr>
        <w:t>We do not permit “underwater” stock options or stock appreciation rights to be repriced without stockholder approval;</w:t>
      </w:r>
    </w:p>
    <w:p>
      <w:pPr>
        <w:spacing w:after="0" w:line="88" w:lineRule="exact"/>
        <w:rPr>
          <w:rFonts w:ascii="Arial" w:cs="Arial" w:eastAsia="Arial" w:hAnsi="Arial"/>
          <w:sz w:val="18"/>
          <w:szCs w:val="18"/>
          <w:color w:val="000562"/>
        </w:rPr>
      </w:pPr>
    </w:p>
    <w:p>
      <w:pPr>
        <w:jc w:val="both"/>
        <w:ind w:left="700" w:hanging="356"/>
        <w:spacing w:after="0" w:line="239" w:lineRule="auto"/>
        <w:tabs>
          <w:tab w:leader="none" w:pos="700" w:val="left"/>
        </w:tabs>
        <w:numPr>
          <w:ilvl w:val="0"/>
          <w:numId w:val="24"/>
        </w:numPr>
        <w:rPr>
          <w:rFonts w:ascii="Arial" w:cs="Arial" w:eastAsia="Arial" w:hAnsi="Arial"/>
          <w:sz w:val="18"/>
          <w:szCs w:val="18"/>
          <w:color w:val="000562"/>
        </w:rPr>
      </w:pPr>
      <w:r>
        <w:rPr>
          <w:rFonts w:ascii="Arial" w:cs="Arial" w:eastAsia="Arial" w:hAnsi="Arial"/>
          <w:sz w:val="18"/>
          <w:szCs w:val="18"/>
          <w:color w:val="auto"/>
        </w:rPr>
        <w:t>The Company’s anti-hedging policy prohibits the Board of Directors and the Company’s executives, including NEOs, from purchasing any financial instrument that is designed to hedge or offset any decrease in the market value of the Common Stock, including prepaid variable forward contracts, equity swaps, collars and exchange funds; and</w:t>
      </w:r>
    </w:p>
    <w:p>
      <w:pPr>
        <w:spacing w:after="0" w:line="93" w:lineRule="exact"/>
        <w:rPr>
          <w:rFonts w:ascii="Arial" w:cs="Arial" w:eastAsia="Arial" w:hAnsi="Arial"/>
          <w:sz w:val="18"/>
          <w:szCs w:val="18"/>
          <w:color w:val="000562"/>
        </w:rPr>
      </w:pPr>
    </w:p>
    <w:p>
      <w:pPr>
        <w:ind w:left="700" w:right="20" w:hanging="356"/>
        <w:spacing w:after="0" w:line="246" w:lineRule="auto"/>
        <w:tabs>
          <w:tab w:leader="none" w:pos="700" w:val="left"/>
        </w:tabs>
        <w:numPr>
          <w:ilvl w:val="0"/>
          <w:numId w:val="24"/>
        </w:numPr>
        <w:rPr>
          <w:rFonts w:ascii="Arial" w:cs="Arial" w:eastAsia="Arial" w:hAnsi="Arial"/>
          <w:sz w:val="18"/>
          <w:szCs w:val="18"/>
          <w:color w:val="000562"/>
        </w:rPr>
      </w:pPr>
      <w:r>
        <w:rPr>
          <w:rFonts w:ascii="Arial" w:cs="Arial" w:eastAsia="Arial" w:hAnsi="Arial"/>
          <w:sz w:val="18"/>
          <w:szCs w:val="18"/>
          <w:color w:val="auto"/>
        </w:rPr>
        <w:t>The Company’s anti-pledging policy prohibits the Board of Directors and the Company’s executives, including NEOs, from pledging with respect to the Company’s Common Stock.</w:t>
      </w:r>
    </w:p>
    <w:p>
      <w:pPr>
        <w:spacing w:after="0" w:line="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Shareholder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0718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asking our shareholders to indicate their support for our NEOs’ compensation as described in this proxy statement. This proposal gives our shareholders the opportunity to express their views on the compensation of our NEOs. This vote is not intended to address any specific item of compensation, but rather the overall compensation of our NEOs and the philosophy, policies and practices described in this proxy statement. Accordingly, we ask our shareholders to vote “FOR” the following resolution at the Annual Meeting:</w:t>
      </w:r>
    </w:p>
    <w:p>
      <w:pPr>
        <w:spacing w:after="0" w:line="75" w:lineRule="exact"/>
        <w:rPr>
          <w:sz w:val="20"/>
          <w:szCs w:val="20"/>
          <w:color w:val="auto"/>
        </w:rPr>
      </w:pPr>
    </w:p>
    <w:p>
      <w:pPr>
        <w:jc w:val="both"/>
        <w:ind w:left="360"/>
        <w:spacing w:after="0" w:line="269" w:lineRule="auto"/>
        <w:rPr>
          <w:sz w:val="20"/>
          <w:szCs w:val="20"/>
          <w:color w:val="auto"/>
        </w:rPr>
      </w:pPr>
      <w:r>
        <w:rPr>
          <w:rFonts w:ascii="Arial" w:cs="Arial" w:eastAsia="Arial" w:hAnsi="Arial"/>
          <w:sz w:val="18"/>
          <w:szCs w:val="18"/>
          <w:b w:val="1"/>
          <w:bCs w:val="1"/>
          <w:color w:val="auto"/>
        </w:rPr>
        <w:t>“RESOLVED, that the Company’s shareholders approve, on an advisory basis, the compensation paid to the Company’s named executive officers, as disclosed in the Compensation Discussion and Analysis, the compensation tables and the related narrative and other disclosures in this proxy statement.”</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an advisory vote, this proposal is not binding on the Company. However, our Compensation Committee and Board value the opinions of our shareholders and expect to consider the outcome of the vote when making future compensation decisions regarding the Company’s NEOs. The next Say-on-Pay vote is expected to be held at our 2020 Annual Meeting.</w:t>
      </w:r>
    </w:p>
    <w:p>
      <w:pPr>
        <w:spacing w:after="0" w:line="186" w:lineRule="exact"/>
        <w:rPr>
          <w:sz w:val="20"/>
          <w:szCs w:val="20"/>
          <w:color w:val="auto"/>
        </w:rPr>
      </w:pPr>
    </w:p>
    <w:p>
      <w:pPr>
        <w:ind w:left="7140"/>
        <w:spacing w:after="0"/>
        <w:tabs>
          <w:tab w:leader="none" w:pos="9040" w:val="left"/>
          <w:tab w:leader="none" w:pos="9340" w:val="left"/>
        </w:tabs>
        <w:rPr>
          <w:sz w:val="20"/>
          <w:szCs w:val="20"/>
          <w:color w:val="auto"/>
        </w:rPr>
      </w:pPr>
      <w:r>
        <w:rPr>
          <w:rFonts w:ascii="Arial" w:cs="Arial" w:eastAsia="Arial" w:hAnsi="Arial"/>
          <w:sz w:val="18"/>
          <w:szCs w:val="18"/>
          <w:i w:val="1"/>
          <w:iCs w:val="1"/>
          <w:color w:val="auto"/>
        </w:rPr>
        <w:t>2019 Proxy Statement</w:t>
      </w:r>
      <w:r>
        <w:rPr>
          <w:sz w:val="20"/>
          <w:szCs w:val="20"/>
          <w:color w:val="auto"/>
        </w:rPr>
        <w:tab/>
      </w:r>
      <w:r>
        <w:rPr>
          <w:rFonts w:ascii="Arial" w:cs="Arial" w:eastAsia="Arial" w:hAnsi="Arial"/>
          <w:sz w:val="22"/>
          <w:szCs w:val="22"/>
          <w:b w:val="1"/>
          <w:bCs w:val="1"/>
          <w:color w:val="000562"/>
        </w:rPr>
        <w:t>I</w:t>
      </w:r>
      <w:r>
        <w:rPr>
          <w:sz w:val="20"/>
          <w:szCs w:val="20"/>
          <w:color w:val="auto"/>
        </w:rPr>
        <w:tab/>
      </w:r>
      <w:r>
        <w:rPr>
          <w:rFonts w:ascii="Arial" w:cs="Arial" w:eastAsia="Arial" w:hAnsi="Arial"/>
          <w:sz w:val="17"/>
          <w:szCs w:val="17"/>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07187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000562"/>
        </w:rPr>
        <w:t>TriMas Corporation</w:t>
      </w:r>
    </w:p>
    <w:p>
      <w:pPr>
        <w:spacing w:after="0" w:line="223" w:lineRule="exact"/>
        <w:rPr>
          <w:sz w:val="20"/>
          <w:szCs w:val="20"/>
          <w:color w:val="auto"/>
        </w:rPr>
      </w:pPr>
    </w:p>
    <w:p>
      <w:pPr>
        <w:ind w:right="1260"/>
        <w:spacing w:after="0" w:line="220" w:lineRule="auto"/>
        <w:rPr>
          <w:sz w:val="20"/>
          <w:szCs w:val="20"/>
          <w:color w:val="auto"/>
        </w:rPr>
      </w:pPr>
      <w:r>
        <w:rPr>
          <w:rFonts w:ascii="Arial" w:cs="Arial" w:eastAsia="Arial" w:hAnsi="Arial"/>
          <w:sz w:val="47"/>
          <w:szCs w:val="47"/>
          <w:color w:val="000562"/>
        </w:rPr>
        <w:t>SECURITY OWNERSHIP OF CERTAIN BENEFICIAL OWNERS AND MANAGEMENT AND RELATED SHAREHOLDER MATTERS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the beneficial ownership of the Common Stock as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Record Date by:</w:t>
      </w:r>
    </w:p>
    <w:p>
      <w:pPr>
        <w:spacing w:after="0" w:line="117" w:lineRule="exact"/>
        <w:rPr>
          <w:sz w:val="20"/>
          <w:szCs w:val="20"/>
          <w:color w:val="auto"/>
        </w:rPr>
      </w:pPr>
    </w:p>
    <w:p>
      <w:pPr>
        <w:ind w:left="700" w:hanging="356"/>
        <w:spacing w:after="0"/>
        <w:tabs>
          <w:tab w:leader="none" w:pos="700" w:val="left"/>
        </w:tabs>
        <w:numPr>
          <w:ilvl w:val="0"/>
          <w:numId w:val="25"/>
        </w:numPr>
        <w:rPr>
          <w:rFonts w:ascii="Arial" w:cs="Arial" w:eastAsia="Arial" w:hAnsi="Arial"/>
          <w:sz w:val="18"/>
          <w:szCs w:val="18"/>
          <w:color w:val="000562"/>
        </w:rPr>
      </w:pPr>
      <w:r>
        <w:rPr>
          <w:rFonts w:ascii="Arial" w:cs="Arial" w:eastAsia="Arial" w:hAnsi="Arial"/>
          <w:sz w:val="18"/>
          <w:szCs w:val="18"/>
          <w:color w:val="auto"/>
        </w:rPr>
        <w:t>each person known by us to beneficially own more than 5% of the Common Stock;</w:t>
      </w:r>
    </w:p>
    <w:p>
      <w:pPr>
        <w:spacing w:after="0" w:line="103" w:lineRule="exact"/>
        <w:rPr>
          <w:rFonts w:ascii="Arial" w:cs="Arial" w:eastAsia="Arial" w:hAnsi="Arial"/>
          <w:sz w:val="18"/>
          <w:szCs w:val="18"/>
          <w:color w:val="000562"/>
        </w:rPr>
      </w:pPr>
    </w:p>
    <w:p>
      <w:pPr>
        <w:ind w:left="700" w:hanging="356"/>
        <w:spacing w:after="0"/>
        <w:tabs>
          <w:tab w:leader="none" w:pos="700" w:val="left"/>
        </w:tabs>
        <w:numPr>
          <w:ilvl w:val="0"/>
          <w:numId w:val="25"/>
        </w:numPr>
        <w:rPr>
          <w:rFonts w:ascii="Arial" w:cs="Arial" w:eastAsia="Arial" w:hAnsi="Arial"/>
          <w:sz w:val="18"/>
          <w:szCs w:val="18"/>
          <w:color w:val="000562"/>
        </w:rPr>
      </w:pPr>
      <w:r>
        <w:rPr>
          <w:rFonts w:ascii="Arial" w:cs="Arial" w:eastAsia="Arial" w:hAnsi="Arial"/>
          <w:sz w:val="18"/>
          <w:szCs w:val="18"/>
          <w:color w:val="auto"/>
        </w:rPr>
        <w:t>each of the Company’s directors and director nominees;</w:t>
      </w:r>
    </w:p>
    <w:p>
      <w:pPr>
        <w:spacing w:after="0" w:line="103" w:lineRule="exact"/>
        <w:rPr>
          <w:rFonts w:ascii="Arial" w:cs="Arial" w:eastAsia="Arial" w:hAnsi="Arial"/>
          <w:sz w:val="18"/>
          <w:szCs w:val="18"/>
          <w:color w:val="000562"/>
        </w:rPr>
      </w:pPr>
    </w:p>
    <w:p>
      <w:pPr>
        <w:ind w:left="700" w:hanging="356"/>
        <w:spacing w:after="0"/>
        <w:tabs>
          <w:tab w:leader="none" w:pos="700" w:val="left"/>
        </w:tabs>
        <w:numPr>
          <w:ilvl w:val="0"/>
          <w:numId w:val="25"/>
        </w:numPr>
        <w:rPr>
          <w:rFonts w:ascii="Arial" w:cs="Arial" w:eastAsia="Arial" w:hAnsi="Arial"/>
          <w:sz w:val="18"/>
          <w:szCs w:val="18"/>
          <w:color w:val="000562"/>
        </w:rPr>
      </w:pPr>
      <w:r>
        <w:rPr>
          <w:rFonts w:ascii="Arial" w:cs="Arial" w:eastAsia="Arial" w:hAnsi="Arial"/>
          <w:sz w:val="18"/>
          <w:szCs w:val="18"/>
          <w:color w:val="auto"/>
        </w:rPr>
        <w:t>each of the NEOs; and</w:t>
      </w:r>
    </w:p>
    <w:p>
      <w:pPr>
        <w:spacing w:after="0" w:line="103" w:lineRule="exact"/>
        <w:rPr>
          <w:rFonts w:ascii="Arial" w:cs="Arial" w:eastAsia="Arial" w:hAnsi="Arial"/>
          <w:sz w:val="18"/>
          <w:szCs w:val="18"/>
          <w:color w:val="000562"/>
        </w:rPr>
      </w:pPr>
    </w:p>
    <w:p>
      <w:pPr>
        <w:ind w:left="700" w:hanging="356"/>
        <w:spacing w:after="0"/>
        <w:tabs>
          <w:tab w:leader="none" w:pos="700" w:val="left"/>
        </w:tabs>
        <w:numPr>
          <w:ilvl w:val="0"/>
          <w:numId w:val="25"/>
        </w:numPr>
        <w:rPr>
          <w:rFonts w:ascii="Arial" w:cs="Arial" w:eastAsia="Arial" w:hAnsi="Arial"/>
          <w:sz w:val="18"/>
          <w:szCs w:val="18"/>
          <w:color w:val="000562"/>
        </w:rPr>
      </w:pPr>
      <w:r>
        <w:rPr>
          <w:rFonts w:ascii="Arial" w:cs="Arial" w:eastAsia="Arial" w:hAnsi="Arial"/>
          <w:sz w:val="18"/>
          <w:szCs w:val="18"/>
          <w:color w:val="auto"/>
        </w:rPr>
        <w:t>all of the Company’s directors and executive officers as a group.</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percentages of Common Stock beneficially owned are reported on the basis of regulations of the SEC governing the determination of beneficial ownership of securities. Under the rules of the SEC, a person is deemed to be a beneficial owner of a security if that person has or shares (1) voting power, which includes the power to vote or to direct the voting of the security, (2) investment power, which includes the power to dispose of or to direct the disposition of the security, or (3) rights to acquire Common Stock that are currently exercisable or convertible, or will become exercisable or convertible within 60 days of the Record Date. Except as indicated in the footnotes to this table, each beneficial owner named in the table below has sole voting and sole investment power with respect to all shares beneficially owned. As of the Record Date, the Company had 45,686,317 shares outstanding.</w:t>
      </w:r>
    </w:p>
    <w:p>
      <w:pPr>
        <w:spacing w:after="0" w:line="45" w:lineRule="exact"/>
        <w:rPr>
          <w:sz w:val="20"/>
          <w:szCs w:val="20"/>
          <w:color w:val="auto"/>
        </w:rPr>
      </w:pPr>
    </w:p>
    <w:p>
      <w:pPr>
        <w:ind w:left="6900"/>
        <w:spacing w:after="0"/>
        <w:rPr>
          <w:sz w:val="20"/>
          <w:szCs w:val="20"/>
          <w:color w:val="auto"/>
        </w:rPr>
      </w:pPr>
      <w:r>
        <w:rPr>
          <w:rFonts w:ascii="Arial" w:cs="Arial" w:eastAsia="Arial" w:hAnsi="Arial"/>
          <w:sz w:val="14"/>
          <w:szCs w:val="14"/>
          <w:b w:val="1"/>
          <w:bCs w:val="1"/>
          <w:color w:val="000562"/>
        </w:rPr>
        <w:t>Shares Beneficially Owned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80" w:type="dxa"/>
            <w:vAlign w:val="bottom"/>
            <w:tcBorders>
              <w:top w:val="single" w:sz="8" w:color="000562"/>
              <w:bottom w:val="single" w:sz="8" w:color="000562"/>
            </w:tcBorders>
          </w:tcPr>
          <w:p>
            <w:pPr>
              <w:ind w:left="20"/>
              <w:spacing w:after="0"/>
              <w:rPr>
                <w:sz w:val="20"/>
                <w:szCs w:val="20"/>
                <w:color w:val="auto"/>
              </w:rPr>
            </w:pPr>
            <w:r>
              <w:rPr>
                <w:rFonts w:ascii="Arial" w:cs="Arial" w:eastAsia="Arial" w:hAnsi="Arial"/>
                <w:sz w:val="14"/>
                <w:szCs w:val="14"/>
                <w:b w:val="1"/>
                <w:bCs w:val="1"/>
                <w:color w:val="000562"/>
              </w:rPr>
              <w:t>Name and Beneficial Owner</w:t>
            </w:r>
          </w:p>
        </w:tc>
        <w:tc>
          <w:tcPr>
            <w:tcW w:w="2040" w:type="dxa"/>
            <w:vAlign w:val="bottom"/>
            <w:tcBorders>
              <w:top w:val="single" w:sz="8" w:color="000562"/>
              <w:bottom w:val="single" w:sz="8" w:color="000562"/>
            </w:tcBorders>
          </w:tcPr>
          <w:p>
            <w:pPr>
              <w:jc w:val="right"/>
              <w:ind w:right="631"/>
              <w:spacing w:after="0"/>
              <w:rPr>
                <w:sz w:val="20"/>
                <w:szCs w:val="20"/>
                <w:color w:val="auto"/>
              </w:rPr>
            </w:pPr>
            <w:r>
              <w:rPr>
                <w:rFonts w:ascii="Arial" w:cs="Arial" w:eastAsia="Arial" w:hAnsi="Arial"/>
                <w:sz w:val="14"/>
                <w:szCs w:val="14"/>
                <w:b w:val="1"/>
                <w:bCs w:val="1"/>
                <w:color w:val="000562"/>
              </w:rPr>
              <w:t>Number</w:t>
            </w:r>
          </w:p>
        </w:tc>
        <w:tc>
          <w:tcPr>
            <w:tcW w:w="1740" w:type="dxa"/>
            <w:vAlign w:val="bottom"/>
            <w:tcBorders>
              <w:top w:val="single" w:sz="8" w:color="000562"/>
              <w:bottom w:val="single" w:sz="8" w:color="000562"/>
            </w:tcBorders>
          </w:tcPr>
          <w:p>
            <w:pPr>
              <w:jc w:val="right"/>
              <w:ind w:right="351"/>
              <w:spacing w:after="0"/>
              <w:rPr>
                <w:sz w:val="20"/>
                <w:szCs w:val="20"/>
                <w:color w:val="auto"/>
              </w:rPr>
            </w:pPr>
            <w:r>
              <w:rPr>
                <w:rFonts w:ascii="Arial" w:cs="Arial" w:eastAsia="Arial" w:hAnsi="Arial"/>
                <w:sz w:val="14"/>
                <w:szCs w:val="14"/>
                <w:b w:val="1"/>
                <w:bCs w:val="1"/>
                <w:color w:val="000562"/>
              </w:rPr>
              <w:t>Percentage</w:t>
            </w:r>
          </w:p>
        </w:tc>
      </w:tr>
      <w:tr>
        <w:trPr>
          <w:trHeight w:val="209"/>
        </w:trPr>
        <w:tc>
          <w:tcPr>
            <w:tcW w:w="5780" w:type="dxa"/>
            <w:vAlign w:val="bottom"/>
            <w:shd w:val="clear" w:color="auto" w:fill="E9EFEE"/>
          </w:tcPr>
          <w:p>
            <w:pPr>
              <w:ind w:left="20"/>
              <w:spacing w:after="0" w:line="209" w:lineRule="exact"/>
              <w:rPr>
                <w:sz w:val="20"/>
                <w:szCs w:val="20"/>
                <w:color w:val="auto"/>
              </w:rPr>
            </w:pPr>
            <w:r>
              <w:rPr>
                <w:rFonts w:ascii="Arial" w:cs="Arial" w:eastAsia="Arial" w:hAnsi="Arial"/>
                <w:sz w:val="15"/>
                <w:szCs w:val="15"/>
                <w:color w:val="auto"/>
              </w:rPr>
              <w:t>Wellington Management Group LLP</w:t>
            </w:r>
            <w:r>
              <w:rPr>
                <w:rFonts w:ascii="Arial" w:cs="Arial" w:eastAsia="Arial" w:hAnsi="Arial"/>
                <w:sz w:val="24"/>
                <w:szCs w:val="24"/>
                <w:color w:val="auto"/>
                <w:vertAlign w:val="superscript"/>
              </w:rPr>
              <w:t>(1)</w:t>
            </w:r>
          </w:p>
        </w:tc>
        <w:tc>
          <w:tcPr>
            <w:tcW w:w="2040" w:type="dxa"/>
            <w:vAlign w:val="bottom"/>
            <w:shd w:val="clear" w:color="auto" w:fill="E9EFEE"/>
          </w:tcPr>
          <w:p>
            <w:pPr>
              <w:spacing w:after="0"/>
              <w:rPr>
                <w:sz w:val="18"/>
                <w:szCs w:val="18"/>
                <w:color w:val="auto"/>
              </w:rPr>
            </w:pPr>
          </w:p>
        </w:tc>
        <w:tc>
          <w:tcPr>
            <w:tcW w:w="1740" w:type="dxa"/>
            <w:vAlign w:val="bottom"/>
            <w:shd w:val="clear" w:color="auto" w:fill="E9EFEE"/>
          </w:tcPr>
          <w:p>
            <w:pPr>
              <w:spacing w:after="0"/>
              <w:rPr>
                <w:sz w:val="18"/>
                <w:szCs w:val="18"/>
                <w:color w:val="auto"/>
              </w:rPr>
            </w:pPr>
          </w:p>
        </w:tc>
      </w:tr>
      <w:tr>
        <w:trPr>
          <w:trHeight w:val="217"/>
        </w:trPr>
        <w:tc>
          <w:tcPr>
            <w:tcW w:w="5780" w:type="dxa"/>
            <w:vAlign w:val="bottom"/>
            <w:shd w:val="clear" w:color="auto" w:fill="E9EFEE"/>
          </w:tcPr>
          <w:p>
            <w:pPr>
              <w:ind w:left="280"/>
              <w:spacing w:after="0"/>
              <w:rPr>
                <w:sz w:val="20"/>
                <w:szCs w:val="20"/>
                <w:color w:val="auto"/>
              </w:rPr>
            </w:pPr>
            <w:r>
              <w:rPr>
                <w:rFonts w:ascii="Arial" w:cs="Arial" w:eastAsia="Arial" w:hAnsi="Arial"/>
                <w:sz w:val="18"/>
                <w:szCs w:val="18"/>
                <w:color w:val="auto"/>
              </w:rPr>
              <w:t>280 Congress Street, Boston, MA 02210</w:t>
            </w:r>
          </w:p>
        </w:tc>
        <w:tc>
          <w:tcPr>
            <w:tcW w:w="2040" w:type="dxa"/>
            <w:vAlign w:val="bottom"/>
            <w:shd w:val="clear" w:color="auto" w:fill="E9EFEE"/>
          </w:tcPr>
          <w:p>
            <w:pPr>
              <w:jc w:val="right"/>
              <w:ind w:right="411"/>
              <w:spacing w:after="0"/>
              <w:rPr>
                <w:sz w:val="20"/>
                <w:szCs w:val="20"/>
                <w:color w:val="auto"/>
              </w:rPr>
            </w:pPr>
            <w:r>
              <w:rPr>
                <w:rFonts w:ascii="Arial" w:cs="Arial" w:eastAsia="Arial" w:hAnsi="Arial"/>
                <w:sz w:val="18"/>
                <w:szCs w:val="18"/>
                <w:color w:val="auto"/>
              </w:rPr>
              <w:t>4,969,342</w:t>
            </w:r>
          </w:p>
        </w:tc>
        <w:tc>
          <w:tcPr>
            <w:tcW w:w="1740" w:type="dxa"/>
            <w:vAlign w:val="bottom"/>
            <w:shd w:val="clear" w:color="auto" w:fill="E9EFEE"/>
          </w:tcPr>
          <w:p>
            <w:pPr>
              <w:jc w:val="right"/>
              <w:ind w:right="391"/>
              <w:spacing w:after="0"/>
              <w:rPr>
                <w:sz w:val="20"/>
                <w:szCs w:val="20"/>
                <w:color w:val="auto"/>
              </w:rPr>
            </w:pPr>
            <w:r>
              <w:rPr>
                <w:rFonts w:ascii="Arial" w:cs="Arial" w:eastAsia="Arial" w:hAnsi="Arial"/>
                <w:sz w:val="18"/>
                <w:szCs w:val="18"/>
                <w:color w:val="auto"/>
              </w:rPr>
              <w:t>10.9%</w:t>
            </w:r>
          </w:p>
        </w:tc>
      </w:tr>
      <w:tr>
        <w:trPr>
          <w:trHeight w:val="215"/>
        </w:trPr>
        <w:tc>
          <w:tcPr>
            <w:tcW w:w="5780" w:type="dxa"/>
            <w:vAlign w:val="bottom"/>
          </w:tcPr>
          <w:p>
            <w:pPr>
              <w:ind w:left="20"/>
              <w:spacing w:after="0" w:line="216" w:lineRule="exact"/>
              <w:rPr>
                <w:sz w:val="20"/>
                <w:szCs w:val="20"/>
                <w:color w:val="auto"/>
              </w:rPr>
            </w:pPr>
            <w:r>
              <w:rPr>
                <w:rFonts w:ascii="Arial" w:cs="Arial" w:eastAsia="Arial" w:hAnsi="Arial"/>
                <w:sz w:val="15"/>
                <w:szCs w:val="15"/>
                <w:color w:val="auto"/>
              </w:rPr>
              <w:t>The Vanguard Group</w:t>
            </w:r>
            <w:r>
              <w:rPr>
                <w:rFonts w:ascii="Arial" w:cs="Arial" w:eastAsia="Arial" w:hAnsi="Arial"/>
                <w:sz w:val="24"/>
                <w:szCs w:val="24"/>
                <w:color w:val="auto"/>
                <w:vertAlign w:val="superscript"/>
              </w:rPr>
              <w:t>(2)</w:t>
            </w:r>
          </w:p>
        </w:tc>
        <w:tc>
          <w:tcPr>
            <w:tcW w:w="20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7"/>
        </w:trPr>
        <w:tc>
          <w:tcPr>
            <w:tcW w:w="5780" w:type="dxa"/>
            <w:vAlign w:val="bottom"/>
          </w:tcPr>
          <w:p>
            <w:pPr>
              <w:ind w:left="280"/>
              <w:spacing w:after="0"/>
              <w:rPr>
                <w:sz w:val="20"/>
                <w:szCs w:val="20"/>
                <w:color w:val="auto"/>
              </w:rPr>
            </w:pPr>
            <w:r>
              <w:rPr>
                <w:rFonts w:ascii="Arial" w:cs="Arial" w:eastAsia="Arial" w:hAnsi="Arial"/>
                <w:sz w:val="18"/>
                <w:szCs w:val="18"/>
                <w:color w:val="auto"/>
              </w:rPr>
              <w:t>100 Vanguard Blvd., Malvern, PA 19355</w:t>
            </w:r>
          </w:p>
        </w:tc>
        <w:tc>
          <w:tcPr>
            <w:tcW w:w="2040" w:type="dxa"/>
            <w:vAlign w:val="bottom"/>
          </w:tcPr>
          <w:p>
            <w:pPr>
              <w:jc w:val="right"/>
              <w:ind w:right="411"/>
              <w:spacing w:after="0"/>
              <w:rPr>
                <w:sz w:val="20"/>
                <w:szCs w:val="20"/>
                <w:color w:val="auto"/>
              </w:rPr>
            </w:pPr>
            <w:r>
              <w:rPr>
                <w:rFonts w:ascii="Arial" w:cs="Arial" w:eastAsia="Arial" w:hAnsi="Arial"/>
                <w:sz w:val="18"/>
                <w:szCs w:val="18"/>
                <w:color w:val="auto"/>
              </w:rPr>
              <w:t>4,040,000</w:t>
            </w:r>
          </w:p>
        </w:tc>
        <w:tc>
          <w:tcPr>
            <w:tcW w:w="1740" w:type="dxa"/>
            <w:vAlign w:val="bottom"/>
          </w:tcPr>
          <w:p>
            <w:pPr>
              <w:jc w:val="right"/>
              <w:ind w:right="391"/>
              <w:spacing w:after="0"/>
              <w:rPr>
                <w:sz w:val="20"/>
                <w:szCs w:val="20"/>
                <w:color w:val="auto"/>
              </w:rPr>
            </w:pPr>
            <w:r>
              <w:rPr>
                <w:rFonts w:ascii="Arial" w:cs="Arial" w:eastAsia="Arial" w:hAnsi="Arial"/>
                <w:sz w:val="18"/>
                <w:szCs w:val="18"/>
                <w:color w:val="auto"/>
              </w:rPr>
              <w:t>8.8%</w:t>
            </w:r>
          </w:p>
        </w:tc>
      </w:tr>
      <w:tr>
        <w:trPr>
          <w:trHeight w:val="215"/>
        </w:trPr>
        <w:tc>
          <w:tcPr>
            <w:tcW w:w="5780" w:type="dxa"/>
            <w:vAlign w:val="bottom"/>
            <w:shd w:val="clear" w:color="auto" w:fill="E9EFEE"/>
          </w:tcPr>
          <w:p>
            <w:pPr>
              <w:ind w:left="20"/>
              <w:spacing w:after="0" w:line="216" w:lineRule="exact"/>
              <w:rPr>
                <w:sz w:val="20"/>
                <w:szCs w:val="20"/>
                <w:color w:val="auto"/>
              </w:rPr>
            </w:pPr>
            <w:r>
              <w:rPr>
                <w:rFonts w:ascii="Arial" w:cs="Arial" w:eastAsia="Arial" w:hAnsi="Arial"/>
                <w:sz w:val="15"/>
                <w:szCs w:val="15"/>
                <w:color w:val="auto"/>
              </w:rPr>
              <w:t>BlackRock, Inc.</w:t>
            </w:r>
            <w:r>
              <w:rPr>
                <w:rFonts w:ascii="Arial" w:cs="Arial" w:eastAsia="Arial" w:hAnsi="Arial"/>
                <w:sz w:val="24"/>
                <w:szCs w:val="24"/>
                <w:color w:val="auto"/>
                <w:vertAlign w:val="superscript"/>
              </w:rPr>
              <w:t>(3)</w:t>
            </w:r>
          </w:p>
        </w:tc>
        <w:tc>
          <w:tcPr>
            <w:tcW w:w="2040" w:type="dxa"/>
            <w:vAlign w:val="bottom"/>
            <w:shd w:val="clear" w:color="auto" w:fill="E9EFEE"/>
          </w:tcPr>
          <w:p>
            <w:pPr>
              <w:spacing w:after="0"/>
              <w:rPr>
                <w:sz w:val="18"/>
                <w:szCs w:val="18"/>
                <w:color w:val="auto"/>
              </w:rPr>
            </w:pPr>
          </w:p>
        </w:tc>
        <w:tc>
          <w:tcPr>
            <w:tcW w:w="1740" w:type="dxa"/>
            <w:vAlign w:val="bottom"/>
            <w:shd w:val="clear" w:color="auto" w:fill="E9EFEE"/>
          </w:tcPr>
          <w:p>
            <w:pPr>
              <w:spacing w:after="0"/>
              <w:rPr>
                <w:sz w:val="18"/>
                <w:szCs w:val="18"/>
                <w:color w:val="auto"/>
              </w:rPr>
            </w:pPr>
          </w:p>
        </w:tc>
      </w:tr>
      <w:tr>
        <w:trPr>
          <w:trHeight w:val="217"/>
        </w:trPr>
        <w:tc>
          <w:tcPr>
            <w:tcW w:w="5780" w:type="dxa"/>
            <w:vAlign w:val="bottom"/>
            <w:shd w:val="clear" w:color="auto" w:fill="E9EFEE"/>
          </w:tcPr>
          <w:p>
            <w:pPr>
              <w:ind w:left="280"/>
              <w:spacing w:after="0"/>
              <w:rPr>
                <w:sz w:val="20"/>
                <w:szCs w:val="20"/>
                <w:color w:val="auto"/>
              </w:rPr>
            </w:pPr>
            <w:r>
              <w:rPr>
                <w:rFonts w:ascii="Arial" w:cs="Arial" w:eastAsia="Arial" w:hAnsi="Arial"/>
                <w:sz w:val="18"/>
                <w:szCs w:val="18"/>
                <w:color w:val="auto"/>
              </w:rPr>
              <w:t>55 East 52nd Street, New York, NY 10055</w:t>
            </w:r>
          </w:p>
        </w:tc>
        <w:tc>
          <w:tcPr>
            <w:tcW w:w="2040" w:type="dxa"/>
            <w:vAlign w:val="bottom"/>
            <w:shd w:val="clear" w:color="auto" w:fill="E9EFEE"/>
          </w:tcPr>
          <w:p>
            <w:pPr>
              <w:jc w:val="right"/>
              <w:ind w:right="411"/>
              <w:spacing w:after="0"/>
              <w:rPr>
                <w:sz w:val="20"/>
                <w:szCs w:val="20"/>
                <w:color w:val="auto"/>
              </w:rPr>
            </w:pPr>
            <w:r>
              <w:rPr>
                <w:rFonts w:ascii="Arial" w:cs="Arial" w:eastAsia="Arial" w:hAnsi="Arial"/>
                <w:sz w:val="18"/>
                <w:szCs w:val="18"/>
                <w:color w:val="auto"/>
              </w:rPr>
              <w:t>3,217,701</w:t>
            </w:r>
          </w:p>
        </w:tc>
        <w:tc>
          <w:tcPr>
            <w:tcW w:w="1740" w:type="dxa"/>
            <w:vAlign w:val="bottom"/>
            <w:shd w:val="clear" w:color="auto" w:fill="E9EFEE"/>
          </w:tcPr>
          <w:p>
            <w:pPr>
              <w:jc w:val="right"/>
              <w:ind w:right="391"/>
              <w:spacing w:after="0"/>
              <w:rPr>
                <w:sz w:val="20"/>
                <w:szCs w:val="20"/>
                <w:color w:val="auto"/>
              </w:rPr>
            </w:pPr>
            <w:r>
              <w:rPr>
                <w:rFonts w:ascii="Arial" w:cs="Arial" w:eastAsia="Arial" w:hAnsi="Arial"/>
                <w:sz w:val="18"/>
                <w:szCs w:val="18"/>
                <w:color w:val="auto"/>
              </w:rPr>
              <w:t>7.0%</w:t>
            </w:r>
          </w:p>
        </w:tc>
      </w:tr>
      <w:tr>
        <w:trPr>
          <w:trHeight w:val="215"/>
        </w:trPr>
        <w:tc>
          <w:tcPr>
            <w:tcW w:w="5780" w:type="dxa"/>
            <w:vAlign w:val="bottom"/>
          </w:tcPr>
          <w:p>
            <w:pPr>
              <w:ind w:left="20"/>
              <w:spacing w:after="0" w:line="216" w:lineRule="exact"/>
              <w:rPr>
                <w:sz w:val="20"/>
                <w:szCs w:val="20"/>
                <w:color w:val="auto"/>
              </w:rPr>
            </w:pPr>
            <w:r>
              <w:rPr>
                <w:rFonts w:ascii="Arial" w:cs="Arial" w:eastAsia="Arial" w:hAnsi="Arial"/>
                <w:sz w:val="15"/>
                <w:szCs w:val="15"/>
                <w:color w:val="auto"/>
              </w:rPr>
              <w:t>Fiduciary Management, Inc.</w:t>
            </w:r>
            <w:r>
              <w:rPr>
                <w:rFonts w:ascii="Arial" w:cs="Arial" w:eastAsia="Arial" w:hAnsi="Arial"/>
                <w:sz w:val="24"/>
                <w:szCs w:val="24"/>
                <w:color w:val="auto"/>
                <w:vertAlign w:val="superscript"/>
              </w:rPr>
              <w:t>(4)</w:t>
            </w:r>
          </w:p>
        </w:tc>
        <w:tc>
          <w:tcPr>
            <w:tcW w:w="20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7"/>
        </w:trPr>
        <w:tc>
          <w:tcPr>
            <w:tcW w:w="5780" w:type="dxa"/>
            <w:vAlign w:val="bottom"/>
          </w:tcPr>
          <w:p>
            <w:pPr>
              <w:ind w:left="280"/>
              <w:spacing w:after="0"/>
              <w:rPr>
                <w:sz w:val="20"/>
                <w:szCs w:val="20"/>
                <w:color w:val="auto"/>
              </w:rPr>
            </w:pPr>
            <w:r>
              <w:rPr>
                <w:rFonts w:ascii="Arial" w:cs="Arial" w:eastAsia="Arial" w:hAnsi="Arial"/>
                <w:sz w:val="18"/>
                <w:szCs w:val="18"/>
                <w:color w:val="auto"/>
              </w:rPr>
              <w:t>100 E. Wisconsin Ave., Suite 2200, Milwaukee, WI 53202</w:t>
            </w:r>
          </w:p>
        </w:tc>
        <w:tc>
          <w:tcPr>
            <w:tcW w:w="2040" w:type="dxa"/>
            <w:vAlign w:val="bottom"/>
          </w:tcPr>
          <w:p>
            <w:pPr>
              <w:jc w:val="right"/>
              <w:ind w:right="411"/>
              <w:spacing w:after="0"/>
              <w:rPr>
                <w:sz w:val="20"/>
                <w:szCs w:val="20"/>
                <w:color w:val="auto"/>
              </w:rPr>
            </w:pPr>
            <w:r>
              <w:rPr>
                <w:rFonts w:ascii="Arial" w:cs="Arial" w:eastAsia="Arial" w:hAnsi="Arial"/>
                <w:sz w:val="18"/>
                <w:szCs w:val="18"/>
                <w:color w:val="auto"/>
              </w:rPr>
              <w:t>2,763,834</w:t>
            </w:r>
          </w:p>
        </w:tc>
        <w:tc>
          <w:tcPr>
            <w:tcW w:w="1740" w:type="dxa"/>
            <w:vAlign w:val="bottom"/>
          </w:tcPr>
          <w:p>
            <w:pPr>
              <w:jc w:val="right"/>
              <w:ind w:right="391"/>
              <w:spacing w:after="0"/>
              <w:rPr>
                <w:sz w:val="20"/>
                <w:szCs w:val="20"/>
                <w:color w:val="auto"/>
              </w:rPr>
            </w:pPr>
            <w:r>
              <w:rPr>
                <w:rFonts w:ascii="Arial" w:cs="Arial" w:eastAsia="Arial" w:hAnsi="Arial"/>
                <w:sz w:val="18"/>
                <w:szCs w:val="18"/>
                <w:color w:val="auto"/>
              </w:rPr>
              <w:t>6.0%</w:t>
            </w:r>
          </w:p>
        </w:tc>
      </w:tr>
      <w:tr>
        <w:trPr>
          <w:trHeight w:val="215"/>
        </w:trPr>
        <w:tc>
          <w:tcPr>
            <w:tcW w:w="5780" w:type="dxa"/>
            <w:vAlign w:val="bottom"/>
            <w:shd w:val="clear" w:color="auto" w:fill="E9EFEE"/>
          </w:tcPr>
          <w:p>
            <w:pPr>
              <w:ind w:left="20"/>
              <w:spacing w:after="0" w:line="216" w:lineRule="exact"/>
              <w:rPr>
                <w:sz w:val="20"/>
                <w:szCs w:val="20"/>
                <w:color w:val="auto"/>
              </w:rPr>
            </w:pPr>
            <w:r>
              <w:rPr>
                <w:rFonts w:ascii="Arial" w:cs="Arial" w:eastAsia="Arial" w:hAnsi="Arial"/>
                <w:sz w:val="15"/>
                <w:szCs w:val="15"/>
                <w:color w:val="auto"/>
              </w:rPr>
              <w:t>Dimensional Fund Advisors LP</w:t>
            </w:r>
            <w:r>
              <w:rPr>
                <w:rFonts w:ascii="Arial" w:cs="Arial" w:eastAsia="Arial" w:hAnsi="Arial"/>
                <w:sz w:val="24"/>
                <w:szCs w:val="24"/>
                <w:color w:val="auto"/>
                <w:vertAlign w:val="superscript"/>
              </w:rPr>
              <w:t>(5)</w:t>
            </w:r>
          </w:p>
        </w:tc>
        <w:tc>
          <w:tcPr>
            <w:tcW w:w="2040" w:type="dxa"/>
            <w:vAlign w:val="bottom"/>
            <w:shd w:val="clear" w:color="auto" w:fill="E9EFEE"/>
          </w:tcPr>
          <w:p>
            <w:pPr>
              <w:spacing w:after="0"/>
              <w:rPr>
                <w:sz w:val="18"/>
                <w:szCs w:val="18"/>
                <w:color w:val="auto"/>
              </w:rPr>
            </w:pPr>
          </w:p>
        </w:tc>
        <w:tc>
          <w:tcPr>
            <w:tcW w:w="1740" w:type="dxa"/>
            <w:vAlign w:val="bottom"/>
            <w:shd w:val="clear" w:color="auto" w:fill="E9EFEE"/>
          </w:tcPr>
          <w:p>
            <w:pPr>
              <w:spacing w:after="0"/>
              <w:rPr>
                <w:sz w:val="18"/>
                <w:szCs w:val="18"/>
                <w:color w:val="auto"/>
              </w:rPr>
            </w:pPr>
          </w:p>
        </w:tc>
      </w:tr>
      <w:tr>
        <w:trPr>
          <w:trHeight w:val="217"/>
        </w:trPr>
        <w:tc>
          <w:tcPr>
            <w:tcW w:w="5780" w:type="dxa"/>
            <w:vAlign w:val="bottom"/>
            <w:shd w:val="clear" w:color="auto" w:fill="E9EFEE"/>
          </w:tcPr>
          <w:p>
            <w:pPr>
              <w:ind w:left="280"/>
              <w:spacing w:after="0"/>
              <w:rPr>
                <w:sz w:val="20"/>
                <w:szCs w:val="20"/>
                <w:color w:val="auto"/>
              </w:rPr>
            </w:pPr>
            <w:r>
              <w:rPr>
                <w:rFonts w:ascii="Arial" w:cs="Arial" w:eastAsia="Arial" w:hAnsi="Arial"/>
                <w:sz w:val="18"/>
                <w:szCs w:val="18"/>
                <w:color w:val="auto"/>
              </w:rPr>
              <w:t>Bldg. One, 6300 Bee Cave Rd., Austin, TX 78746</w:t>
            </w:r>
          </w:p>
        </w:tc>
        <w:tc>
          <w:tcPr>
            <w:tcW w:w="2040" w:type="dxa"/>
            <w:vAlign w:val="bottom"/>
            <w:shd w:val="clear" w:color="auto" w:fill="E9EFEE"/>
          </w:tcPr>
          <w:p>
            <w:pPr>
              <w:jc w:val="right"/>
              <w:ind w:right="411"/>
              <w:spacing w:after="0"/>
              <w:rPr>
                <w:sz w:val="20"/>
                <w:szCs w:val="20"/>
                <w:color w:val="auto"/>
              </w:rPr>
            </w:pPr>
            <w:r>
              <w:rPr>
                <w:rFonts w:ascii="Arial" w:cs="Arial" w:eastAsia="Arial" w:hAnsi="Arial"/>
                <w:sz w:val="18"/>
                <w:szCs w:val="18"/>
                <w:color w:val="auto"/>
              </w:rPr>
              <w:t>2,593,353</w:t>
            </w:r>
          </w:p>
        </w:tc>
        <w:tc>
          <w:tcPr>
            <w:tcW w:w="1740" w:type="dxa"/>
            <w:vAlign w:val="bottom"/>
            <w:shd w:val="clear" w:color="auto" w:fill="E9EFEE"/>
          </w:tcPr>
          <w:p>
            <w:pPr>
              <w:jc w:val="right"/>
              <w:ind w:right="391"/>
              <w:spacing w:after="0"/>
              <w:rPr>
                <w:sz w:val="20"/>
                <w:szCs w:val="20"/>
                <w:color w:val="auto"/>
              </w:rPr>
            </w:pPr>
            <w:r>
              <w:rPr>
                <w:rFonts w:ascii="Arial" w:cs="Arial" w:eastAsia="Arial" w:hAnsi="Arial"/>
                <w:sz w:val="18"/>
                <w:szCs w:val="18"/>
                <w:color w:val="auto"/>
              </w:rPr>
              <w:t>5.7%</w:t>
            </w:r>
          </w:p>
        </w:tc>
      </w:tr>
      <w:tr>
        <w:trPr>
          <w:trHeight w:val="230"/>
        </w:trPr>
        <w:tc>
          <w:tcPr>
            <w:tcW w:w="5780" w:type="dxa"/>
            <w:vAlign w:val="bottom"/>
          </w:tcPr>
          <w:p>
            <w:pPr>
              <w:ind w:left="20"/>
              <w:spacing w:after="0" w:line="230" w:lineRule="exact"/>
              <w:rPr>
                <w:sz w:val="20"/>
                <w:szCs w:val="20"/>
                <w:color w:val="auto"/>
              </w:rPr>
            </w:pPr>
            <w:r>
              <w:rPr>
                <w:rFonts w:ascii="Arial" w:cs="Arial" w:eastAsia="Arial" w:hAnsi="Arial"/>
                <w:sz w:val="16"/>
                <w:szCs w:val="16"/>
                <w:color w:val="auto"/>
              </w:rPr>
              <w:t>Thomas A. Amato</w:t>
            </w:r>
            <w:r>
              <w:rPr>
                <w:rFonts w:ascii="Arial" w:cs="Arial" w:eastAsia="Arial" w:hAnsi="Arial"/>
                <w:sz w:val="26"/>
                <w:szCs w:val="26"/>
                <w:color w:val="auto"/>
                <w:vertAlign w:val="superscript"/>
              </w:rPr>
              <w:t>(6)(7)</w:t>
            </w:r>
          </w:p>
        </w:tc>
        <w:tc>
          <w:tcPr>
            <w:tcW w:w="2040" w:type="dxa"/>
            <w:vAlign w:val="bottom"/>
          </w:tcPr>
          <w:p>
            <w:pPr>
              <w:jc w:val="right"/>
              <w:ind w:right="411"/>
              <w:spacing w:after="0"/>
              <w:rPr>
                <w:sz w:val="20"/>
                <w:szCs w:val="20"/>
                <w:color w:val="auto"/>
              </w:rPr>
            </w:pPr>
            <w:r>
              <w:rPr>
                <w:rFonts w:ascii="Arial" w:cs="Arial" w:eastAsia="Arial" w:hAnsi="Arial"/>
                <w:sz w:val="18"/>
                <w:szCs w:val="18"/>
                <w:color w:val="auto"/>
              </w:rPr>
              <w:t>151,327</w:t>
            </w:r>
          </w:p>
        </w:tc>
        <w:tc>
          <w:tcPr>
            <w:tcW w:w="1740" w:type="dxa"/>
            <w:vAlign w:val="bottom"/>
          </w:tcPr>
          <w:p>
            <w:pPr>
              <w:jc w:val="right"/>
              <w:ind w:right="391"/>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shd w:val="clear" w:color="auto" w:fill="E9EFEE"/>
          </w:tcPr>
          <w:p>
            <w:pPr>
              <w:ind w:left="20"/>
              <w:spacing w:after="0" w:line="230" w:lineRule="exact"/>
              <w:rPr>
                <w:sz w:val="20"/>
                <w:szCs w:val="20"/>
                <w:color w:val="auto"/>
              </w:rPr>
            </w:pPr>
            <w:r>
              <w:rPr>
                <w:rFonts w:ascii="Arial" w:cs="Arial" w:eastAsia="Arial" w:hAnsi="Arial"/>
                <w:sz w:val="16"/>
                <w:szCs w:val="16"/>
                <w:color w:val="auto"/>
              </w:rPr>
              <w:t>Richard M. Gabrys</w:t>
            </w:r>
            <w:r>
              <w:rPr>
                <w:rFonts w:ascii="Arial" w:cs="Arial" w:eastAsia="Arial" w:hAnsi="Arial"/>
                <w:sz w:val="26"/>
                <w:szCs w:val="26"/>
                <w:color w:val="auto"/>
                <w:vertAlign w:val="superscript"/>
              </w:rPr>
              <w:t>(6)(7)</w:t>
            </w:r>
          </w:p>
        </w:tc>
        <w:tc>
          <w:tcPr>
            <w:tcW w:w="2040" w:type="dxa"/>
            <w:vAlign w:val="bottom"/>
            <w:shd w:val="clear" w:color="auto" w:fill="E9EFEE"/>
          </w:tcPr>
          <w:p>
            <w:pPr>
              <w:jc w:val="right"/>
              <w:ind w:right="411"/>
              <w:spacing w:after="0"/>
              <w:rPr>
                <w:sz w:val="20"/>
                <w:szCs w:val="20"/>
                <w:color w:val="auto"/>
              </w:rPr>
            </w:pPr>
            <w:r>
              <w:rPr>
                <w:rFonts w:ascii="Arial" w:cs="Arial" w:eastAsia="Arial" w:hAnsi="Arial"/>
                <w:sz w:val="18"/>
                <w:szCs w:val="18"/>
                <w:color w:val="auto"/>
              </w:rPr>
              <w:t>62,966</w:t>
            </w:r>
          </w:p>
        </w:tc>
        <w:tc>
          <w:tcPr>
            <w:tcW w:w="1740" w:type="dxa"/>
            <w:vAlign w:val="bottom"/>
            <w:shd w:val="clear" w:color="auto" w:fill="E9EFEE"/>
          </w:tcPr>
          <w:p>
            <w:pPr>
              <w:jc w:val="right"/>
              <w:ind w:right="391"/>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tcPr>
          <w:p>
            <w:pPr>
              <w:ind w:left="20"/>
              <w:spacing w:after="0" w:line="230" w:lineRule="exact"/>
              <w:rPr>
                <w:sz w:val="20"/>
                <w:szCs w:val="20"/>
                <w:color w:val="auto"/>
              </w:rPr>
            </w:pPr>
            <w:r>
              <w:rPr>
                <w:rFonts w:ascii="Arial" w:cs="Arial" w:eastAsia="Arial" w:hAnsi="Arial"/>
                <w:sz w:val="16"/>
                <w:szCs w:val="16"/>
                <w:color w:val="auto"/>
              </w:rPr>
              <w:t>Nancy S. Gougarty</w:t>
            </w:r>
            <w:r>
              <w:rPr>
                <w:rFonts w:ascii="Arial" w:cs="Arial" w:eastAsia="Arial" w:hAnsi="Arial"/>
                <w:sz w:val="26"/>
                <w:szCs w:val="26"/>
                <w:color w:val="auto"/>
                <w:vertAlign w:val="superscript"/>
              </w:rPr>
              <w:t>(6)(7)</w:t>
            </w:r>
          </w:p>
        </w:tc>
        <w:tc>
          <w:tcPr>
            <w:tcW w:w="2040" w:type="dxa"/>
            <w:vAlign w:val="bottom"/>
          </w:tcPr>
          <w:p>
            <w:pPr>
              <w:jc w:val="right"/>
              <w:ind w:right="411"/>
              <w:spacing w:after="0"/>
              <w:rPr>
                <w:sz w:val="20"/>
                <w:szCs w:val="20"/>
                <w:color w:val="auto"/>
              </w:rPr>
            </w:pPr>
            <w:r>
              <w:rPr>
                <w:rFonts w:ascii="Arial" w:cs="Arial" w:eastAsia="Arial" w:hAnsi="Arial"/>
                <w:sz w:val="18"/>
                <w:szCs w:val="18"/>
                <w:color w:val="auto"/>
              </w:rPr>
              <w:t>29,206</w:t>
            </w:r>
          </w:p>
        </w:tc>
        <w:tc>
          <w:tcPr>
            <w:tcW w:w="1740" w:type="dxa"/>
            <w:vAlign w:val="bottom"/>
          </w:tcPr>
          <w:p>
            <w:pPr>
              <w:jc w:val="right"/>
              <w:ind w:right="391"/>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shd w:val="clear" w:color="auto" w:fill="E9EFEE"/>
          </w:tcPr>
          <w:p>
            <w:pPr>
              <w:ind w:left="20"/>
              <w:spacing w:after="0" w:line="230" w:lineRule="exact"/>
              <w:rPr>
                <w:sz w:val="20"/>
                <w:szCs w:val="20"/>
                <w:color w:val="auto"/>
              </w:rPr>
            </w:pPr>
            <w:r>
              <w:rPr>
                <w:rFonts w:ascii="Arial" w:cs="Arial" w:eastAsia="Arial" w:hAnsi="Arial"/>
                <w:sz w:val="16"/>
                <w:szCs w:val="16"/>
                <w:color w:val="auto"/>
              </w:rPr>
              <w:t>Jeffrey M. Greene</w:t>
            </w:r>
            <w:r>
              <w:rPr>
                <w:rFonts w:ascii="Arial" w:cs="Arial" w:eastAsia="Arial" w:hAnsi="Arial"/>
                <w:sz w:val="26"/>
                <w:szCs w:val="26"/>
                <w:color w:val="auto"/>
                <w:vertAlign w:val="superscript"/>
              </w:rPr>
              <w:t>(6)(7)</w:t>
            </w:r>
          </w:p>
        </w:tc>
        <w:tc>
          <w:tcPr>
            <w:tcW w:w="2040" w:type="dxa"/>
            <w:vAlign w:val="bottom"/>
            <w:shd w:val="clear" w:color="auto" w:fill="E9EFEE"/>
          </w:tcPr>
          <w:p>
            <w:pPr>
              <w:jc w:val="right"/>
              <w:ind w:right="411"/>
              <w:spacing w:after="0"/>
              <w:rPr>
                <w:sz w:val="20"/>
                <w:szCs w:val="20"/>
                <w:color w:val="auto"/>
              </w:rPr>
            </w:pPr>
            <w:r>
              <w:rPr>
                <w:rFonts w:ascii="Arial" w:cs="Arial" w:eastAsia="Arial" w:hAnsi="Arial"/>
                <w:sz w:val="18"/>
                <w:szCs w:val="18"/>
                <w:color w:val="auto"/>
              </w:rPr>
              <w:t>—</w:t>
            </w:r>
          </w:p>
        </w:tc>
        <w:tc>
          <w:tcPr>
            <w:tcW w:w="1740" w:type="dxa"/>
            <w:vAlign w:val="bottom"/>
            <w:shd w:val="clear" w:color="auto" w:fill="E9EFEE"/>
          </w:tcPr>
          <w:p>
            <w:pPr>
              <w:jc w:val="right"/>
              <w:ind w:right="391"/>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tcPr>
          <w:p>
            <w:pPr>
              <w:ind w:left="20"/>
              <w:spacing w:after="0" w:line="230" w:lineRule="exact"/>
              <w:rPr>
                <w:sz w:val="20"/>
                <w:szCs w:val="20"/>
                <w:color w:val="auto"/>
              </w:rPr>
            </w:pPr>
            <w:r>
              <w:rPr>
                <w:rFonts w:ascii="Arial" w:cs="Arial" w:eastAsia="Arial" w:hAnsi="Arial"/>
                <w:sz w:val="16"/>
                <w:szCs w:val="16"/>
                <w:color w:val="auto"/>
              </w:rPr>
              <w:t>Eugene A. Miller</w:t>
            </w:r>
            <w:r>
              <w:rPr>
                <w:rFonts w:ascii="Arial" w:cs="Arial" w:eastAsia="Arial" w:hAnsi="Arial"/>
                <w:sz w:val="26"/>
                <w:szCs w:val="26"/>
                <w:color w:val="auto"/>
                <w:vertAlign w:val="superscript"/>
              </w:rPr>
              <w:t>(6)(7)</w:t>
            </w:r>
          </w:p>
        </w:tc>
        <w:tc>
          <w:tcPr>
            <w:tcW w:w="2040" w:type="dxa"/>
            <w:vAlign w:val="bottom"/>
          </w:tcPr>
          <w:p>
            <w:pPr>
              <w:jc w:val="right"/>
              <w:ind w:right="411"/>
              <w:spacing w:after="0"/>
              <w:rPr>
                <w:sz w:val="20"/>
                <w:szCs w:val="20"/>
                <w:color w:val="auto"/>
              </w:rPr>
            </w:pPr>
            <w:r>
              <w:rPr>
                <w:rFonts w:ascii="Arial" w:cs="Arial" w:eastAsia="Arial" w:hAnsi="Arial"/>
                <w:sz w:val="18"/>
                <w:szCs w:val="18"/>
                <w:color w:val="auto"/>
              </w:rPr>
              <w:t>105,683</w:t>
            </w:r>
          </w:p>
        </w:tc>
        <w:tc>
          <w:tcPr>
            <w:tcW w:w="1740" w:type="dxa"/>
            <w:vAlign w:val="bottom"/>
          </w:tcPr>
          <w:p>
            <w:pPr>
              <w:jc w:val="right"/>
              <w:ind w:right="391"/>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shd w:val="clear" w:color="auto" w:fill="E9EFEE"/>
          </w:tcPr>
          <w:p>
            <w:pPr>
              <w:ind w:left="20"/>
              <w:spacing w:after="0" w:line="230" w:lineRule="exact"/>
              <w:rPr>
                <w:sz w:val="20"/>
                <w:szCs w:val="20"/>
                <w:color w:val="auto"/>
              </w:rPr>
            </w:pPr>
            <w:r>
              <w:rPr>
                <w:rFonts w:ascii="Arial" w:cs="Arial" w:eastAsia="Arial" w:hAnsi="Arial"/>
                <w:sz w:val="16"/>
                <w:szCs w:val="16"/>
                <w:color w:val="auto"/>
              </w:rPr>
              <w:t>Herbert K. Parker</w:t>
            </w:r>
            <w:r>
              <w:rPr>
                <w:rFonts w:ascii="Arial" w:cs="Arial" w:eastAsia="Arial" w:hAnsi="Arial"/>
                <w:sz w:val="26"/>
                <w:szCs w:val="26"/>
                <w:color w:val="auto"/>
                <w:vertAlign w:val="superscript"/>
              </w:rPr>
              <w:t>(6)(7)</w:t>
            </w:r>
          </w:p>
        </w:tc>
        <w:tc>
          <w:tcPr>
            <w:tcW w:w="2040" w:type="dxa"/>
            <w:vAlign w:val="bottom"/>
            <w:shd w:val="clear" w:color="auto" w:fill="E9EFEE"/>
          </w:tcPr>
          <w:p>
            <w:pPr>
              <w:jc w:val="right"/>
              <w:ind w:right="411"/>
              <w:spacing w:after="0"/>
              <w:rPr>
                <w:sz w:val="20"/>
                <w:szCs w:val="20"/>
                <w:color w:val="auto"/>
              </w:rPr>
            </w:pPr>
            <w:r>
              <w:rPr>
                <w:rFonts w:ascii="Arial" w:cs="Arial" w:eastAsia="Arial" w:hAnsi="Arial"/>
                <w:sz w:val="18"/>
                <w:szCs w:val="18"/>
                <w:color w:val="auto"/>
              </w:rPr>
              <w:t>31,360</w:t>
            </w:r>
          </w:p>
        </w:tc>
        <w:tc>
          <w:tcPr>
            <w:tcW w:w="1740" w:type="dxa"/>
            <w:vAlign w:val="bottom"/>
            <w:shd w:val="clear" w:color="auto" w:fill="E9EFEE"/>
          </w:tcPr>
          <w:p>
            <w:pPr>
              <w:jc w:val="right"/>
              <w:ind w:right="391"/>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tcPr>
          <w:p>
            <w:pPr>
              <w:ind w:left="20"/>
              <w:spacing w:after="0" w:line="230" w:lineRule="exact"/>
              <w:rPr>
                <w:sz w:val="20"/>
                <w:szCs w:val="20"/>
                <w:color w:val="auto"/>
              </w:rPr>
            </w:pPr>
            <w:r>
              <w:rPr>
                <w:rFonts w:ascii="Arial" w:cs="Arial" w:eastAsia="Arial" w:hAnsi="Arial"/>
                <w:sz w:val="16"/>
                <w:szCs w:val="16"/>
                <w:color w:val="auto"/>
              </w:rPr>
              <w:t>Joshua A. Sherbin</w:t>
            </w:r>
            <w:r>
              <w:rPr>
                <w:rFonts w:ascii="Arial" w:cs="Arial" w:eastAsia="Arial" w:hAnsi="Arial"/>
                <w:sz w:val="26"/>
                <w:szCs w:val="26"/>
                <w:color w:val="auto"/>
                <w:vertAlign w:val="superscript"/>
              </w:rPr>
              <w:t>(6)(7)</w:t>
            </w:r>
          </w:p>
        </w:tc>
        <w:tc>
          <w:tcPr>
            <w:tcW w:w="2040" w:type="dxa"/>
            <w:vAlign w:val="bottom"/>
          </w:tcPr>
          <w:p>
            <w:pPr>
              <w:jc w:val="right"/>
              <w:ind w:right="411"/>
              <w:spacing w:after="0"/>
              <w:rPr>
                <w:sz w:val="20"/>
                <w:szCs w:val="20"/>
                <w:color w:val="auto"/>
              </w:rPr>
            </w:pPr>
            <w:r>
              <w:rPr>
                <w:rFonts w:ascii="Arial" w:cs="Arial" w:eastAsia="Arial" w:hAnsi="Arial"/>
                <w:sz w:val="18"/>
                <w:szCs w:val="18"/>
                <w:color w:val="auto"/>
              </w:rPr>
              <w:t>69,544</w:t>
            </w:r>
          </w:p>
        </w:tc>
        <w:tc>
          <w:tcPr>
            <w:tcW w:w="1740" w:type="dxa"/>
            <w:vAlign w:val="bottom"/>
          </w:tcPr>
          <w:p>
            <w:pPr>
              <w:jc w:val="right"/>
              <w:ind w:right="391"/>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shd w:val="clear" w:color="auto" w:fill="E9EFEE"/>
          </w:tcPr>
          <w:p>
            <w:pPr>
              <w:ind w:left="20"/>
              <w:spacing w:after="0" w:line="230" w:lineRule="exact"/>
              <w:rPr>
                <w:sz w:val="20"/>
                <w:szCs w:val="20"/>
                <w:color w:val="auto"/>
              </w:rPr>
            </w:pPr>
            <w:r>
              <w:rPr>
                <w:rFonts w:ascii="Arial" w:cs="Arial" w:eastAsia="Arial" w:hAnsi="Arial"/>
                <w:sz w:val="16"/>
                <w:szCs w:val="16"/>
                <w:color w:val="auto"/>
              </w:rPr>
              <w:t>Nick L. Stanage</w:t>
            </w:r>
            <w:r>
              <w:rPr>
                <w:rFonts w:ascii="Arial" w:cs="Arial" w:eastAsia="Arial" w:hAnsi="Arial"/>
                <w:sz w:val="26"/>
                <w:szCs w:val="26"/>
                <w:color w:val="auto"/>
                <w:vertAlign w:val="superscript"/>
              </w:rPr>
              <w:t>(6)(7)</w:t>
            </w:r>
          </w:p>
        </w:tc>
        <w:tc>
          <w:tcPr>
            <w:tcW w:w="2040" w:type="dxa"/>
            <w:vAlign w:val="bottom"/>
            <w:shd w:val="clear" w:color="auto" w:fill="E9EFEE"/>
          </w:tcPr>
          <w:p>
            <w:pPr>
              <w:jc w:val="right"/>
              <w:ind w:right="411"/>
              <w:spacing w:after="0"/>
              <w:rPr>
                <w:sz w:val="20"/>
                <w:szCs w:val="20"/>
                <w:color w:val="auto"/>
              </w:rPr>
            </w:pPr>
            <w:r>
              <w:rPr>
                <w:rFonts w:ascii="Arial" w:cs="Arial" w:eastAsia="Arial" w:hAnsi="Arial"/>
                <w:sz w:val="18"/>
                <w:szCs w:val="18"/>
                <w:color w:val="auto"/>
              </w:rPr>
              <w:t>25,505</w:t>
            </w:r>
          </w:p>
        </w:tc>
        <w:tc>
          <w:tcPr>
            <w:tcW w:w="1740" w:type="dxa"/>
            <w:vAlign w:val="bottom"/>
            <w:shd w:val="clear" w:color="auto" w:fill="E9EFEE"/>
          </w:tcPr>
          <w:p>
            <w:pPr>
              <w:jc w:val="right"/>
              <w:ind w:right="391"/>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tcPr>
          <w:p>
            <w:pPr>
              <w:ind w:left="20"/>
              <w:spacing w:after="0" w:line="230" w:lineRule="exact"/>
              <w:rPr>
                <w:sz w:val="20"/>
                <w:szCs w:val="20"/>
                <w:color w:val="auto"/>
              </w:rPr>
            </w:pPr>
            <w:r>
              <w:rPr>
                <w:rFonts w:ascii="Arial" w:cs="Arial" w:eastAsia="Arial" w:hAnsi="Arial"/>
                <w:sz w:val="16"/>
                <w:szCs w:val="16"/>
                <w:color w:val="auto"/>
              </w:rPr>
              <w:t>Daniel P. Tredwell</w:t>
            </w:r>
            <w:r>
              <w:rPr>
                <w:rFonts w:ascii="Arial" w:cs="Arial" w:eastAsia="Arial" w:hAnsi="Arial"/>
                <w:sz w:val="26"/>
                <w:szCs w:val="26"/>
                <w:color w:val="auto"/>
                <w:vertAlign w:val="superscript"/>
              </w:rPr>
              <w:t>(6)(7)</w:t>
            </w:r>
          </w:p>
        </w:tc>
        <w:tc>
          <w:tcPr>
            <w:tcW w:w="2040" w:type="dxa"/>
            <w:vAlign w:val="bottom"/>
          </w:tcPr>
          <w:p>
            <w:pPr>
              <w:jc w:val="right"/>
              <w:ind w:right="411"/>
              <w:spacing w:after="0"/>
              <w:rPr>
                <w:sz w:val="20"/>
                <w:szCs w:val="20"/>
                <w:color w:val="auto"/>
              </w:rPr>
            </w:pPr>
            <w:r>
              <w:rPr>
                <w:rFonts w:ascii="Arial" w:cs="Arial" w:eastAsia="Arial" w:hAnsi="Arial"/>
                <w:sz w:val="18"/>
                <w:szCs w:val="18"/>
                <w:color w:val="auto"/>
              </w:rPr>
              <w:t>31,848</w:t>
            </w:r>
          </w:p>
        </w:tc>
        <w:tc>
          <w:tcPr>
            <w:tcW w:w="1740" w:type="dxa"/>
            <w:vAlign w:val="bottom"/>
          </w:tcPr>
          <w:p>
            <w:pPr>
              <w:jc w:val="right"/>
              <w:ind w:right="391"/>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shd w:val="clear" w:color="auto" w:fill="E9EFEE"/>
          </w:tcPr>
          <w:p>
            <w:pPr>
              <w:ind w:left="20"/>
              <w:spacing w:after="0" w:line="230" w:lineRule="exact"/>
              <w:rPr>
                <w:sz w:val="20"/>
                <w:szCs w:val="20"/>
                <w:color w:val="auto"/>
              </w:rPr>
            </w:pPr>
            <w:r>
              <w:rPr>
                <w:rFonts w:ascii="Arial" w:cs="Arial" w:eastAsia="Arial" w:hAnsi="Arial"/>
                <w:sz w:val="16"/>
                <w:szCs w:val="16"/>
                <w:color w:val="auto"/>
              </w:rPr>
              <w:t>Samuel Valenti III</w:t>
            </w:r>
            <w:r>
              <w:rPr>
                <w:rFonts w:ascii="Arial" w:cs="Arial" w:eastAsia="Arial" w:hAnsi="Arial"/>
                <w:sz w:val="26"/>
                <w:szCs w:val="26"/>
                <w:color w:val="auto"/>
                <w:vertAlign w:val="superscript"/>
              </w:rPr>
              <w:t>(6)(7)</w:t>
            </w:r>
          </w:p>
        </w:tc>
        <w:tc>
          <w:tcPr>
            <w:tcW w:w="2040" w:type="dxa"/>
            <w:vAlign w:val="bottom"/>
            <w:shd w:val="clear" w:color="auto" w:fill="E9EFEE"/>
          </w:tcPr>
          <w:p>
            <w:pPr>
              <w:jc w:val="right"/>
              <w:ind w:right="411"/>
              <w:spacing w:after="0"/>
              <w:rPr>
                <w:sz w:val="20"/>
                <w:szCs w:val="20"/>
                <w:color w:val="auto"/>
              </w:rPr>
            </w:pPr>
            <w:r>
              <w:rPr>
                <w:rFonts w:ascii="Arial" w:cs="Arial" w:eastAsia="Arial" w:hAnsi="Arial"/>
                <w:sz w:val="18"/>
                <w:szCs w:val="18"/>
                <w:color w:val="auto"/>
              </w:rPr>
              <w:t>31,306</w:t>
            </w:r>
          </w:p>
        </w:tc>
        <w:tc>
          <w:tcPr>
            <w:tcW w:w="1740" w:type="dxa"/>
            <w:vAlign w:val="bottom"/>
            <w:shd w:val="clear" w:color="auto" w:fill="E9EFEE"/>
          </w:tcPr>
          <w:p>
            <w:pPr>
              <w:jc w:val="right"/>
              <w:ind w:right="391"/>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tcPr>
          <w:p>
            <w:pPr>
              <w:ind w:left="20"/>
              <w:spacing w:after="0" w:line="230" w:lineRule="exact"/>
              <w:rPr>
                <w:sz w:val="20"/>
                <w:szCs w:val="20"/>
                <w:color w:val="auto"/>
              </w:rPr>
            </w:pPr>
            <w:r>
              <w:rPr>
                <w:rFonts w:ascii="Arial" w:cs="Arial" w:eastAsia="Arial" w:hAnsi="Arial"/>
                <w:sz w:val="16"/>
                <w:szCs w:val="16"/>
                <w:color w:val="auto"/>
              </w:rPr>
              <w:t>Robert J. Zalupski</w:t>
            </w:r>
            <w:r>
              <w:rPr>
                <w:rFonts w:ascii="Arial" w:cs="Arial" w:eastAsia="Arial" w:hAnsi="Arial"/>
                <w:sz w:val="26"/>
                <w:szCs w:val="26"/>
                <w:color w:val="auto"/>
                <w:vertAlign w:val="superscript"/>
              </w:rPr>
              <w:t>(6)(7)</w:t>
            </w:r>
          </w:p>
        </w:tc>
        <w:tc>
          <w:tcPr>
            <w:tcW w:w="2040" w:type="dxa"/>
            <w:vAlign w:val="bottom"/>
          </w:tcPr>
          <w:p>
            <w:pPr>
              <w:jc w:val="right"/>
              <w:ind w:right="411"/>
              <w:spacing w:after="0"/>
              <w:rPr>
                <w:sz w:val="20"/>
                <w:szCs w:val="20"/>
                <w:color w:val="auto"/>
              </w:rPr>
            </w:pPr>
            <w:r>
              <w:rPr>
                <w:rFonts w:ascii="Arial" w:cs="Arial" w:eastAsia="Arial" w:hAnsi="Arial"/>
                <w:sz w:val="18"/>
                <w:szCs w:val="18"/>
                <w:color w:val="auto"/>
              </w:rPr>
              <w:t>77,495</w:t>
            </w:r>
          </w:p>
        </w:tc>
        <w:tc>
          <w:tcPr>
            <w:tcW w:w="1740" w:type="dxa"/>
            <w:vAlign w:val="bottom"/>
          </w:tcPr>
          <w:p>
            <w:pPr>
              <w:jc w:val="right"/>
              <w:ind w:right="391"/>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tcBorders>
              <w:bottom w:val="single" w:sz="8" w:color="000562"/>
            </w:tcBorders>
            <w:shd w:val="clear" w:color="auto" w:fill="E9EFEE"/>
          </w:tcPr>
          <w:p>
            <w:pPr>
              <w:ind w:left="20"/>
              <w:spacing w:after="0" w:line="230" w:lineRule="exact"/>
              <w:rPr>
                <w:sz w:val="20"/>
                <w:szCs w:val="20"/>
                <w:color w:val="auto"/>
              </w:rPr>
            </w:pPr>
            <w:r>
              <w:rPr>
                <w:rFonts w:ascii="Arial" w:cs="Arial" w:eastAsia="Arial" w:hAnsi="Arial"/>
                <w:sz w:val="16"/>
                <w:szCs w:val="16"/>
                <w:color w:val="auto"/>
              </w:rPr>
              <w:t>All executive officers and directors as a group (11 persons)</w:t>
            </w:r>
            <w:r>
              <w:rPr>
                <w:rFonts w:ascii="Arial" w:cs="Arial" w:eastAsia="Arial" w:hAnsi="Arial"/>
                <w:sz w:val="26"/>
                <w:szCs w:val="26"/>
                <w:color w:val="auto"/>
                <w:vertAlign w:val="superscript"/>
              </w:rPr>
              <w:t>(6)(7)</w:t>
            </w:r>
          </w:p>
        </w:tc>
        <w:tc>
          <w:tcPr>
            <w:tcW w:w="2040" w:type="dxa"/>
            <w:vAlign w:val="bottom"/>
            <w:tcBorders>
              <w:bottom w:val="single" w:sz="8" w:color="000562"/>
            </w:tcBorders>
            <w:shd w:val="clear" w:color="auto" w:fill="E9EFEE"/>
          </w:tcPr>
          <w:p>
            <w:pPr>
              <w:jc w:val="right"/>
              <w:ind w:right="411"/>
              <w:spacing w:after="0"/>
              <w:rPr>
                <w:sz w:val="20"/>
                <w:szCs w:val="20"/>
                <w:color w:val="auto"/>
              </w:rPr>
            </w:pPr>
            <w:r>
              <w:rPr>
                <w:rFonts w:ascii="Arial" w:cs="Arial" w:eastAsia="Arial" w:hAnsi="Arial"/>
                <w:sz w:val="18"/>
                <w:szCs w:val="18"/>
                <w:color w:val="auto"/>
              </w:rPr>
              <w:t>616,240</w:t>
            </w:r>
          </w:p>
        </w:tc>
        <w:tc>
          <w:tcPr>
            <w:tcW w:w="1740" w:type="dxa"/>
            <w:vAlign w:val="bottom"/>
            <w:tcBorders>
              <w:bottom w:val="single" w:sz="8" w:color="000562"/>
            </w:tcBorders>
            <w:shd w:val="clear" w:color="auto" w:fill="E9EFEE"/>
          </w:tcPr>
          <w:p>
            <w:pPr>
              <w:jc w:val="right"/>
              <w:ind w:right="391"/>
              <w:spacing w:after="0"/>
              <w:rPr>
                <w:sz w:val="20"/>
                <w:szCs w:val="20"/>
                <w:color w:val="auto"/>
              </w:rPr>
            </w:pPr>
            <w:r>
              <w:rPr>
                <w:rFonts w:ascii="Arial" w:cs="Arial" w:eastAsia="Arial" w:hAnsi="Arial"/>
                <w:sz w:val="18"/>
                <w:szCs w:val="18"/>
                <w:color w:val="auto"/>
              </w:rPr>
              <w:t>1.3%</w:t>
            </w:r>
          </w:p>
        </w:tc>
      </w:tr>
    </w:tbl>
    <w:p>
      <w:pPr>
        <w:spacing w:after="0" w:line="197" w:lineRule="exact"/>
        <w:rPr>
          <w:sz w:val="20"/>
          <w:szCs w:val="20"/>
          <w:color w:val="auto"/>
        </w:rPr>
      </w:pPr>
    </w:p>
    <w:p>
      <w:pPr>
        <w:ind w:left="360" w:hanging="349"/>
        <w:spacing w:after="0"/>
        <w:tabs>
          <w:tab w:leader="none" w:pos="360" w:val="left"/>
        </w:tabs>
        <w:numPr>
          <w:ilvl w:val="0"/>
          <w:numId w:val="26"/>
        </w:numPr>
        <w:rPr>
          <w:rFonts w:ascii="Arial" w:cs="Arial" w:eastAsia="Arial" w:hAnsi="Arial"/>
          <w:sz w:val="18"/>
          <w:szCs w:val="18"/>
          <w:b w:val="1"/>
          <w:bCs w:val="1"/>
          <w:color w:val="auto"/>
        </w:rPr>
      </w:pPr>
      <w:r>
        <w:rPr>
          <w:rFonts w:ascii="Arial" w:cs="Arial" w:eastAsia="Arial" w:hAnsi="Arial"/>
          <w:sz w:val="22"/>
          <w:szCs w:val="22"/>
          <w:b w:val="1"/>
          <w:bCs w:val="1"/>
          <w:color w:val="000562"/>
        </w:rPr>
        <w:t xml:space="preserve">I </w:t>
      </w:r>
      <w:r>
        <w:rPr>
          <w:rFonts w:ascii="Arial" w:cs="Arial" w:eastAsia="Arial" w:hAnsi="Arial"/>
          <w:sz w:val="18"/>
          <w:szCs w:val="18"/>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07187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80" w:type="dxa"/>
            <w:vAlign w:val="bottom"/>
          </w:tcPr>
          <w:p>
            <w:pPr>
              <w:jc w:val="right"/>
              <w:ind w:right="53"/>
              <w:spacing w:after="0"/>
              <w:rPr>
                <w:sz w:val="20"/>
                <w:szCs w:val="20"/>
                <w:color w:val="auto"/>
              </w:rPr>
            </w:pPr>
            <w:r>
              <w:rPr>
                <w:rFonts w:ascii="Arial" w:cs="Arial" w:eastAsia="Arial" w:hAnsi="Arial"/>
                <w:sz w:val="9"/>
                <w:szCs w:val="9"/>
                <w:color w:val="auto"/>
              </w:rPr>
              <w:t>(1)</w:t>
            </w:r>
          </w:p>
        </w:tc>
        <w:tc>
          <w:tcPr>
            <w:tcW w:w="9280" w:type="dxa"/>
            <w:vAlign w:val="bottom"/>
            <w:gridSpan w:val="17"/>
            <w:vMerge w:val="restart"/>
          </w:tcPr>
          <w:p>
            <w:pPr>
              <w:ind w:left="120"/>
              <w:spacing w:after="0"/>
              <w:rPr>
                <w:sz w:val="20"/>
                <w:szCs w:val="20"/>
                <w:color w:val="auto"/>
              </w:rPr>
            </w:pPr>
            <w:r>
              <w:rPr>
                <w:rFonts w:ascii="Arial" w:cs="Arial" w:eastAsia="Arial" w:hAnsi="Arial"/>
                <w:sz w:val="14"/>
                <w:szCs w:val="14"/>
                <w:color w:val="auto"/>
              </w:rPr>
              <w:t>Information contained in the columns above and this footnote is based on a report on Schedule 13G/A filed with the SEC on February 12, 2019</w:t>
            </w:r>
          </w:p>
        </w:tc>
        <w:tc>
          <w:tcPr>
            <w:tcW w:w="0" w:type="dxa"/>
            <w:vAlign w:val="bottom"/>
          </w:tcPr>
          <w:p>
            <w:pPr>
              <w:spacing w:after="0"/>
              <w:rPr>
                <w:sz w:val="1"/>
                <w:szCs w:val="1"/>
                <w:color w:val="auto"/>
              </w:rPr>
            </w:pPr>
          </w:p>
        </w:tc>
      </w:tr>
      <w:tr>
        <w:trPr>
          <w:trHeight w:val="73"/>
        </w:trPr>
        <w:tc>
          <w:tcPr>
            <w:tcW w:w="280" w:type="dxa"/>
            <w:vAlign w:val="bottom"/>
          </w:tcPr>
          <w:p>
            <w:pPr>
              <w:spacing w:after="0"/>
              <w:rPr>
                <w:sz w:val="6"/>
                <w:szCs w:val="6"/>
                <w:color w:val="auto"/>
              </w:rPr>
            </w:pPr>
          </w:p>
        </w:tc>
        <w:tc>
          <w:tcPr>
            <w:tcW w:w="9280" w:type="dxa"/>
            <w:vAlign w:val="bottom"/>
            <w:gridSpan w:val="1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9280" w:type="dxa"/>
            <w:vAlign w:val="bottom"/>
            <w:gridSpan w:val="17"/>
          </w:tcPr>
          <w:p>
            <w:pPr>
              <w:ind w:left="120"/>
              <w:spacing w:after="0"/>
              <w:rPr>
                <w:sz w:val="20"/>
                <w:szCs w:val="20"/>
                <w:color w:val="auto"/>
              </w:rPr>
            </w:pPr>
            <w:r>
              <w:rPr>
                <w:rFonts w:ascii="Arial" w:cs="Arial" w:eastAsia="Arial" w:hAnsi="Arial"/>
                <w:sz w:val="14"/>
                <w:szCs w:val="14"/>
                <w:color w:val="auto"/>
              </w:rPr>
              <w:t>by Wellington Management Group LLP, Wellington Group Holdings LLP, Wellington Investment Advisors Holdings LLP and Wellington</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9280" w:type="dxa"/>
            <w:vAlign w:val="bottom"/>
            <w:gridSpan w:val="17"/>
          </w:tcPr>
          <w:p>
            <w:pPr>
              <w:ind w:left="120"/>
              <w:spacing w:after="0"/>
              <w:rPr>
                <w:sz w:val="20"/>
                <w:szCs w:val="20"/>
                <w:color w:val="auto"/>
              </w:rPr>
            </w:pPr>
            <w:r>
              <w:rPr>
                <w:rFonts w:ascii="Arial" w:cs="Arial" w:eastAsia="Arial" w:hAnsi="Arial"/>
                <w:sz w:val="14"/>
                <w:szCs w:val="14"/>
                <w:color w:val="auto"/>
              </w:rPr>
              <w:t>Management Company LLP (“Wellington”). As of December 31, 2018, Wellington had shared voting power with respect to 3,867,672 shares of</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7180" w:type="dxa"/>
            <w:vAlign w:val="bottom"/>
            <w:gridSpan w:val="12"/>
          </w:tcPr>
          <w:p>
            <w:pPr>
              <w:ind w:left="120"/>
              <w:spacing w:after="0"/>
              <w:rPr>
                <w:sz w:val="20"/>
                <w:szCs w:val="20"/>
                <w:color w:val="auto"/>
              </w:rPr>
            </w:pPr>
            <w:r>
              <w:rPr>
                <w:rFonts w:ascii="Arial" w:cs="Arial" w:eastAsia="Arial" w:hAnsi="Arial"/>
                <w:sz w:val="14"/>
                <w:szCs w:val="14"/>
                <w:color w:val="auto"/>
              </w:rPr>
              <w:t>Common Stock and shared dispositive power with respect to 4,969,342 shares of Common Stock.</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80" w:type="dxa"/>
            <w:vAlign w:val="bottom"/>
          </w:tcPr>
          <w:p>
            <w:pPr>
              <w:jc w:val="right"/>
              <w:ind w:right="53"/>
              <w:spacing w:after="0"/>
              <w:rPr>
                <w:sz w:val="20"/>
                <w:szCs w:val="20"/>
                <w:color w:val="auto"/>
              </w:rPr>
            </w:pPr>
            <w:r>
              <w:rPr>
                <w:rFonts w:ascii="Arial" w:cs="Arial" w:eastAsia="Arial" w:hAnsi="Arial"/>
                <w:sz w:val="9"/>
                <w:szCs w:val="9"/>
                <w:color w:val="auto"/>
              </w:rPr>
              <w:t>(2)</w:t>
            </w:r>
          </w:p>
        </w:tc>
        <w:tc>
          <w:tcPr>
            <w:tcW w:w="9280" w:type="dxa"/>
            <w:vAlign w:val="bottom"/>
            <w:gridSpan w:val="17"/>
            <w:vMerge w:val="restart"/>
          </w:tcPr>
          <w:p>
            <w:pPr>
              <w:ind w:left="120"/>
              <w:spacing w:after="0"/>
              <w:rPr>
                <w:sz w:val="20"/>
                <w:szCs w:val="20"/>
                <w:color w:val="auto"/>
              </w:rPr>
            </w:pPr>
            <w:r>
              <w:rPr>
                <w:rFonts w:ascii="Arial" w:cs="Arial" w:eastAsia="Arial" w:hAnsi="Arial"/>
                <w:sz w:val="14"/>
                <w:szCs w:val="14"/>
                <w:color w:val="auto"/>
              </w:rPr>
              <w:t>Information contained in the columns above and this footnote is based on a report on Schedule 13G/A filed with the SEC on February 12, 2019</w:t>
            </w:r>
          </w:p>
        </w:tc>
        <w:tc>
          <w:tcPr>
            <w:tcW w:w="0" w:type="dxa"/>
            <w:vAlign w:val="bottom"/>
          </w:tcPr>
          <w:p>
            <w:pPr>
              <w:spacing w:after="0"/>
              <w:rPr>
                <w:sz w:val="1"/>
                <w:szCs w:val="1"/>
                <w:color w:val="auto"/>
              </w:rPr>
            </w:pPr>
          </w:p>
        </w:tc>
      </w:tr>
      <w:tr>
        <w:trPr>
          <w:trHeight w:val="73"/>
        </w:trPr>
        <w:tc>
          <w:tcPr>
            <w:tcW w:w="280" w:type="dxa"/>
            <w:vAlign w:val="bottom"/>
          </w:tcPr>
          <w:p>
            <w:pPr>
              <w:spacing w:after="0"/>
              <w:rPr>
                <w:sz w:val="6"/>
                <w:szCs w:val="6"/>
                <w:color w:val="auto"/>
              </w:rPr>
            </w:pPr>
          </w:p>
        </w:tc>
        <w:tc>
          <w:tcPr>
            <w:tcW w:w="9280" w:type="dxa"/>
            <w:vAlign w:val="bottom"/>
            <w:gridSpan w:val="1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9280" w:type="dxa"/>
            <w:vAlign w:val="bottom"/>
            <w:gridSpan w:val="17"/>
          </w:tcPr>
          <w:p>
            <w:pPr>
              <w:ind w:left="120"/>
              <w:spacing w:after="0"/>
              <w:rPr>
                <w:sz w:val="20"/>
                <w:szCs w:val="20"/>
                <w:color w:val="auto"/>
              </w:rPr>
            </w:pPr>
            <w:r>
              <w:rPr>
                <w:rFonts w:ascii="Arial" w:cs="Arial" w:eastAsia="Arial" w:hAnsi="Arial"/>
                <w:sz w:val="14"/>
                <w:szCs w:val="14"/>
                <w:color w:val="auto"/>
              </w:rPr>
              <w:t>by The Vanguard Group, Inc. (“Vanguard Group”). As of December 31, 2018, Vanguard Group had sole voting power with respect to 45,253</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9280" w:type="dxa"/>
            <w:vAlign w:val="bottom"/>
            <w:gridSpan w:val="17"/>
          </w:tcPr>
          <w:p>
            <w:pPr>
              <w:ind w:left="120"/>
              <w:spacing w:after="0"/>
              <w:rPr>
                <w:sz w:val="20"/>
                <w:szCs w:val="20"/>
                <w:color w:val="auto"/>
              </w:rPr>
            </w:pPr>
            <w:r>
              <w:rPr>
                <w:rFonts w:ascii="Arial" w:cs="Arial" w:eastAsia="Arial" w:hAnsi="Arial"/>
                <w:sz w:val="14"/>
                <w:szCs w:val="14"/>
                <w:color w:val="auto"/>
              </w:rPr>
              <w:t>shares of Common Stock, sole dispositive power with respect to 3,991,089 shares of Common Stock, shared voting power with respect to 7,679</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9280" w:type="dxa"/>
            <w:vAlign w:val="bottom"/>
            <w:gridSpan w:val="17"/>
          </w:tcPr>
          <w:p>
            <w:pPr>
              <w:ind w:left="120"/>
              <w:spacing w:after="0"/>
              <w:rPr>
                <w:sz w:val="20"/>
                <w:szCs w:val="20"/>
                <w:color w:val="auto"/>
              </w:rPr>
            </w:pPr>
            <w:r>
              <w:rPr>
                <w:rFonts w:ascii="Arial" w:cs="Arial" w:eastAsia="Arial" w:hAnsi="Arial"/>
                <w:sz w:val="14"/>
                <w:szCs w:val="14"/>
                <w:color w:val="auto"/>
              </w:rPr>
              <w:t>shares of Common Stock and shared dispositive power with respect to 48,911 shares of Common Stock. Vanguard Fiduciary Trust Company, a</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9280" w:type="dxa"/>
            <w:vAlign w:val="bottom"/>
            <w:gridSpan w:val="17"/>
          </w:tcPr>
          <w:p>
            <w:pPr>
              <w:ind w:left="120"/>
              <w:spacing w:after="0"/>
              <w:rPr>
                <w:sz w:val="20"/>
                <w:szCs w:val="20"/>
                <w:color w:val="auto"/>
              </w:rPr>
            </w:pPr>
            <w:r>
              <w:rPr>
                <w:rFonts w:ascii="Arial" w:cs="Arial" w:eastAsia="Arial" w:hAnsi="Arial"/>
                <w:sz w:val="14"/>
                <w:szCs w:val="14"/>
                <w:color w:val="auto"/>
              </w:rPr>
              <w:t>wholly-owned subsidiary of Vanguard Group, is the beneficial owner of 41,232 shares of Common Stock as a result of its serving as investment</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9280" w:type="dxa"/>
            <w:vAlign w:val="bottom"/>
            <w:gridSpan w:val="17"/>
          </w:tcPr>
          <w:p>
            <w:pPr>
              <w:ind w:left="120"/>
              <w:spacing w:after="0"/>
              <w:rPr>
                <w:sz w:val="20"/>
                <w:szCs w:val="20"/>
                <w:color w:val="auto"/>
              </w:rPr>
            </w:pPr>
            <w:r>
              <w:rPr>
                <w:rFonts w:ascii="Arial" w:cs="Arial" w:eastAsia="Arial" w:hAnsi="Arial"/>
                <w:sz w:val="14"/>
                <w:szCs w:val="14"/>
                <w:color w:val="auto"/>
              </w:rPr>
              <w:t>manager of collective trust accounts. Vanguard Investments Australia, Ltd., a wholly-owned subsidiary of Vanguard Group, is the beneficial</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8360" w:type="dxa"/>
            <w:vAlign w:val="bottom"/>
            <w:gridSpan w:val="15"/>
          </w:tcPr>
          <w:p>
            <w:pPr>
              <w:ind w:left="120"/>
              <w:spacing w:after="0"/>
              <w:rPr>
                <w:sz w:val="20"/>
                <w:szCs w:val="20"/>
                <w:color w:val="auto"/>
              </w:rPr>
            </w:pPr>
            <w:r>
              <w:rPr>
                <w:rFonts w:ascii="Arial" w:cs="Arial" w:eastAsia="Arial" w:hAnsi="Arial"/>
                <w:sz w:val="14"/>
                <w:szCs w:val="14"/>
                <w:color w:val="auto"/>
              </w:rPr>
              <w:t>owner of 11,700 shares of Common Stock as a result of its serving as investment manager of Australian investment offerings.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80" w:type="dxa"/>
            <w:vAlign w:val="bottom"/>
          </w:tcPr>
          <w:p>
            <w:pPr>
              <w:jc w:val="right"/>
              <w:ind w:right="53"/>
              <w:spacing w:after="0"/>
              <w:rPr>
                <w:sz w:val="20"/>
                <w:szCs w:val="20"/>
                <w:color w:val="auto"/>
              </w:rPr>
            </w:pPr>
            <w:r>
              <w:rPr>
                <w:rFonts w:ascii="Arial" w:cs="Arial" w:eastAsia="Arial" w:hAnsi="Arial"/>
                <w:sz w:val="9"/>
                <w:szCs w:val="9"/>
                <w:color w:val="auto"/>
              </w:rPr>
              <w:t>(3)</w:t>
            </w:r>
          </w:p>
        </w:tc>
        <w:tc>
          <w:tcPr>
            <w:tcW w:w="9280" w:type="dxa"/>
            <w:vAlign w:val="bottom"/>
            <w:gridSpan w:val="17"/>
            <w:vMerge w:val="restart"/>
          </w:tcPr>
          <w:p>
            <w:pPr>
              <w:ind w:left="120"/>
              <w:spacing w:after="0"/>
              <w:rPr>
                <w:sz w:val="20"/>
                <w:szCs w:val="20"/>
                <w:color w:val="auto"/>
              </w:rPr>
            </w:pPr>
            <w:r>
              <w:rPr>
                <w:rFonts w:ascii="Arial" w:cs="Arial" w:eastAsia="Arial" w:hAnsi="Arial"/>
                <w:sz w:val="14"/>
                <w:szCs w:val="14"/>
                <w:color w:val="auto"/>
              </w:rPr>
              <w:t>Information contained in the columns above and this footnote is based on a report on Schedule 13G/A filed with the SEC on February 6, 2019</w:t>
            </w:r>
          </w:p>
        </w:tc>
        <w:tc>
          <w:tcPr>
            <w:tcW w:w="0" w:type="dxa"/>
            <w:vAlign w:val="bottom"/>
          </w:tcPr>
          <w:p>
            <w:pPr>
              <w:spacing w:after="0"/>
              <w:rPr>
                <w:sz w:val="1"/>
                <w:szCs w:val="1"/>
                <w:color w:val="auto"/>
              </w:rPr>
            </w:pPr>
          </w:p>
        </w:tc>
      </w:tr>
      <w:tr>
        <w:trPr>
          <w:trHeight w:val="73"/>
        </w:trPr>
        <w:tc>
          <w:tcPr>
            <w:tcW w:w="280" w:type="dxa"/>
            <w:vAlign w:val="bottom"/>
          </w:tcPr>
          <w:p>
            <w:pPr>
              <w:spacing w:after="0"/>
              <w:rPr>
                <w:sz w:val="6"/>
                <w:szCs w:val="6"/>
                <w:color w:val="auto"/>
              </w:rPr>
            </w:pPr>
          </w:p>
        </w:tc>
        <w:tc>
          <w:tcPr>
            <w:tcW w:w="9280" w:type="dxa"/>
            <w:vAlign w:val="bottom"/>
            <w:gridSpan w:val="1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9280" w:type="dxa"/>
            <w:vAlign w:val="bottom"/>
            <w:gridSpan w:val="17"/>
          </w:tcPr>
          <w:p>
            <w:pPr>
              <w:ind w:left="120"/>
              <w:spacing w:after="0"/>
              <w:rPr>
                <w:sz w:val="20"/>
                <w:szCs w:val="20"/>
                <w:color w:val="auto"/>
              </w:rPr>
            </w:pPr>
            <w:r>
              <w:rPr>
                <w:rFonts w:ascii="Arial" w:cs="Arial" w:eastAsia="Arial" w:hAnsi="Arial"/>
                <w:sz w:val="14"/>
                <w:szCs w:val="14"/>
                <w:color w:val="auto"/>
              </w:rPr>
              <w:t>by BlackRock, Inc. (“BlackRock”). As of December 31, 2018, BlackRock had sole voting power with respect to 3,112,700 shares of Common</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5580" w:type="dxa"/>
            <w:vAlign w:val="bottom"/>
            <w:gridSpan w:val="9"/>
          </w:tcPr>
          <w:p>
            <w:pPr>
              <w:ind w:left="120"/>
              <w:spacing w:after="0"/>
              <w:rPr>
                <w:sz w:val="20"/>
                <w:szCs w:val="20"/>
                <w:color w:val="auto"/>
              </w:rPr>
            </w:pPr>
            <w:r>
              <w:rPr>
                <w:rFonts w:ascii="Arial" w:cs="Arial" w:eastAsia="Arial" w:hAnsi="Arial"/>
                <w:sz w:val="14"/>
                <w:szCs w:val="14"/>
                <w:color w:val="auto"/>
              </w:rPr>
              <w:t>Stock and sole dispositive power with respect to 3,217,701 shares of Common Stock.</w:t>
            </w: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80" w:type="dxa"/>
            <w:vAlign w:val="bottom"/>
          </w:tcPr>
          <w:p>
            <w:pPr>
              <w:jc w:val="right"/>
              <w:ind w:right="53"/>
              <w:spacing w:after="0"/>
              <w:rPr>
                <w:sz w:val="20"/>
                <w:szCs w:val="20"/>
                <w:color w:val="auto"/>
              </w:rPr>
            </w:pPr>
            <w:r>
              <w:rPr>
                <w:rFonts w:ascii="Arial" w:cs="Arial" w:eastAsia="Arial" w:hAnsi="Arial"/>
                <w:sz w:val="9"/>
                <w:szCs w:val="9"/>
                <w:color w:val="auto"/>
              </w:rPr>
              <w:t>(4)</w:t>
            </w:r>
          </w:p>
        </w:tc>
        <w:tc>
          <w:tcPr>
            <w:tcW w:w="9280" w:type="dxa"/>
            <w:vAlign w:val="bottom"/>
            <w:gridSpan w:val="17"/>
            <w:vMerge w:val="restart"/>
          </w:tcPr>
          <w:p>
            <w:pPr>
              <w:ind w:left="120"/>
              <w:spacing w:after="0"/>
              <w:rPr>
                <w:sz w:val="20"/>
                <w:szCs w:val="20"/>
                <w:color w:val="auto"/>
              </w:rPr>
            </w:pPr>
            <w:r>
              <w:rPr>
                <w:rFonts w:ascii="Arial" w:cs="Arial" w:eastAsia="Arial" w:hAnsi="Arial"/>
                <w:sz w:val="14"/>
                <w:szCs w:val="14"/>
                <w:color w:val="auto"/>
              </w:rPr>
              <w:t>Information contained in the columns above and this footnote is based on a report on Schedule 13G filed with the SEC on February 14, 2019 by</w:t>
            </w:r>
          </w:p>
        </w:tc>
        <w:tc>
          <w:tcPr>
            <w:tcW w:w="0" w:type="dxa"/>
            <w:vAlign w:val="bottom"/>
          </w:tcPr>
          <w:p>
            <w:pPr>
              <w:spacing w:after="0"/>
              <w:rPr>
                <w:sz w:val="1"/>
                <w:szCs w:val="1"/>
                <w:color w:val="auto"/>
              </w:rPr>
            </w:pPr>
          </w:p>
        </w:tc>
      </w:tr>
      <w:tr>
        <w:trPr>
          <w:trHeight w:val="73"/>
        </w:trPr>
        <w:tc>
          <w:tcPr>
            <w:tcW w:w="280" w:type="dxa"/>
            <w:vAlign w:val="bottom"/>
          </w:tcPr>
          <w:p>
            <w:pPr>
              <w:spacing w:after="0"/>
              <w:rPr>
                <w:sz w:val="6"/>
                <w:szCs w:val="6"/>
                <w:color w:val="auto"/>
              </w:rPr>
            </w:pPr>
          </w:p>
        </w:tc>
        <w:tc>
          <w:tcPr>
            <w:tcW w:w="9280" w:type="dxa"/>
            <w:vAlign w:val="bottom"/>
            <w:gridSpan w:val="1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9280" w:type="dxa"/>
            <w:vAlign w:val="bottom"/>
            <w:gridSpan w:val="17"/>
          </w:tcPr>
          <w:p>
            <w:pPr>
              <w:ind w:left="120"/>
              <w:spacing w:after="0"/>
              <w:rPr>
                <w:sz w:val="20"/>
                <w:szCs w:val="20"/>
                <w:color w:val="auto"/>
              </w:rPr>
            </w:pPr>
            <w:r>
              <w:rPr>
                <w:rFonts w:ascii="Arial" w:cs="Arial" w:eastAsia="Arial" w:hAnsi="Arial"/>
                <w:sz w:val="14"/>
                <w:szCs w:val="14"/>
                <w:color w:val="auto"/>
              </w:rPr>
              <w:t>Fiduciary Management, Inc. (“Fiduciary Management”). As of December 31, 2018, Fiduciary Management had sole voting power with respect to</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7560" w:type="dxa"/>
            <w:vAlign w:val="bottom"/>
            <w:gridSpan w:val="13"/>
          </w:tcPr>
          <w:p>
            <w:pPr>
              <w:ind w:left="120"/>
              <w:spacing w:after="0"/>
              <w:rPr>
                <w:sz w:val="20"/>
                <w:szCs w:val="20"/>
                <w:color w:val="auto"/>
              </w:rPr>
            </w:pPr>
            <w:r>
              <w:rPr>
                <w:rFonts w:ascii="Arial" w:cs="Arial" w:eastAsia="Arial" w:hAnsi="Arial"/>
                <w:sz w:val="14"/>
                <w:szCs w:val="14"/>
                <w:color w:val="auto"/>
              </w:rPr>
              <w:t>2,387,009 shares of Common Stock and sole dispositive power with respect to 2,763,834 shares of Common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80" w:type="dxa"/>
            <w:vAlign w:val="bottom"/>
          </w:tcPr>
          <w:p>
            <w:pPr>
              <w:jc w:val="right"/>
              <w:ind w:right="53"/>
              <w:spacing w:after="0"/>
              <w:rPr>
                <w:sz w:val="20"/>
                <w:szCs w:val="20"/>
                <w:color w:val="auto"/>
              </w:rPr>
            </w:pPr>
            <w:r>
              <w:rPr>
                <w:rFonts w:ascii="Arial" w:cs="Arial" w:eastAsia="Arial" w:hAnsi="Arial"/>
                <w:sz w:val="9"/>
                <w:szCs w:val="9"/>
                <w:color w:val="auto"/>
              </w:rPr>
              <w:t>(5)</w:t>
            </w:r>
          </w:p>
        </w:tc>
        <w:tc>
          <w:tcPr>
            <w:tcW w:w="9280" w:type="dxa"/>
            <w:vAlign w:val="bottom"/>
            <w:gridSpan w:val="17"/>
            <w:vMerge w:val="restart"/>
          </w:tcPr>
          <w:p>
            <w:pPr>
              <w:ind w:left="120"/>
              <w:spacing w:after="0"/>
              <w:rPr>
                <w:sz w:val="20"/>
                <w:szCs w:val="20"/>
                <w:color w:val="auto"/>
              </w:rPr>
            </w:pPr>
            <w:r>
              <w:rPr>
                <w:rFonts w:ascii="Arial" w:cs="Arial" w:eastAsia="Arial" w:hAnsi="Arial"/>
                <w:sz w:val="14"/>
                <w:szCs w:val="14"/>
                <w:color w:val="auto"/>
              </w:rPr>
              <w:t>Information contained in the columns above and this footnote is based on a report on Schedule 13G/A filed with the SEC on February 8, 2019</w:t>
            </w:r>
          </w:p>
        </w:tc>
        <w:tc>
          <w:tcPr>
            <w:tcW w:w="0" w:type="dxa"/>
            <w:vAlign w:val="bottom"/>
          </w:tcPr>
          <w:p>
            <w:pPr>
              <w:spacing w:after="0"/>
              <w:rPr>
                <w:sz w:val="1"/>
                <w:szCs w:val="1"/>
                <w:color w:val="auto"/>
              </w:rPr>
            </w:pPr>
          </w:p>
        </w:tc>
      </w:tr>
      <w:tr>
        <w:trPr>
          <w:trHeight w:val="73"/>
        </w:trPr>
        <w:tc>
          <w:tcPr>
            <w:tcW w:w="280" w:type="dxa"/>
            <w:vAlign w:val="bottom"/>
          </w:tcPr>
          <w:p>
            <w:pPr>
              <w:spacing w:after="0"/>
              <w:rPr>
                <w:sz w:val="6"/>
                <w:szCs w:val="6"/>
                <w:color w:val="auto"/>
              </w:rPr>
            </w:pPr>
          </w:p>
        </w:tc>
        <w:tc>
          <w:tcPr>
            <w:tcW w:w="9280" w:type="dxa"/>
            <w:vAlign w:val="bottom"/>
            <w:gridSpan w:val="1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9280" w:type="dxa"/>
            <w:vAlign w:val="bottom"/>
            <w:gridSpan w:val="17"/>
          </w:tcPr>
          <w:p>
            <w:pPr>
              <w:ind w:left="120"/>
              <w:spacing w:after="0"/>
              <w:rPr>
                <w:sz w:val="20"/>
                <w:szCs w:val="20"/>
                <w:color w:val="auto"/>
              </w:rPr>
            </w:pPr>
            <w:r>
              <w:rPr>
                <w:rFonts w:ascii="Arial" w:cs="Arial" w:eastAsia="Arial" w:hAnsi="Arial"/>
                <w:sz w:val="14"/>
                <w:szCs w:val="14"/>
                <w:color w:val="auto"/>
              </w:rPr>
              <w:t>by Dimensional Fund Advisors LP (“Dimensional Fund”). As of December 31, 2018, Dimensional Fund had sole voting power with respect to</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9280" w:type="dxa"/>
            <w:vAlign w:val="bottom"/>
            <w:gridSpan w:val="17"/>
          </w:tcPr>
          <w:p>
            <w:pPr>
              <w:ind w:left="120"/>
              <w:spacing w:after="0"/>
              <w:rPr>
                <w:sz w:val="20"/>
                <w:szCs w:val="20"/>
                <w:color w:val="auto"/>
              </w:rPr>
            </w:pPr>
            <w:r>
              <w:rPr>
                <w:rFonts w:ascii="Arial" w:cs="Arial" w:eastAsia="Arial" w:hAnsi="Arial"/>
                <w:sz w:val="14"/>
                <w:szCs w:val="14"/>
                <w:color w:val="auto"/>
              </w:rPr>
              <w:t>2,476,453 shares of Common Stock and sole dispositive power with respect to 2,593,353 shares of Common Stock as a result of acting as</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7180" w:type="dxa"/>
            <w:vAlign w:val="bottom"/>
            <w:gridSpan w:val="12"/>
          </w:tcPr>
          <w:p>
            <w:pPr>
              <w:ind w:left="120"/>
              <w:spacing w:after="0"/>
              <w:rPr>
                <w:sz w:val="20"/>
                <w:szCs w:val="20"/>
                <w:color w:val="auto"/>
              </w:rPr>
            </w:pPr>
            <w:r>
              <w:rPr>
                <w:rFonts w:ascii="Arial" w:cs="Arial" w:eastAsia="Arial" w:hAnsi="Arial"/>
                <w:sz w:val="14"/>
                <w:szCs w:val="14"/>
                <w:color w:val="auto"/>
              </w:rPr>
              <w:t>investment adviser to various investment companies registered under the Investment Company Act of 1940.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80" w:type="dxa"/>
            <w:vAlign w:val="bottom"/>
          </w:tcPr>
          <w:p>
            <w:pPr>
              <w:jc w:val="right"/>
              <w:ind w:right="53"/>
              <w:spacing w:after="0"/>
              <w:rPr>
                <w:sz w:val="20"/>
                <w:szCs w:val="20"/>
                <w:color w:val="auto"/>
              </w:rPr>
            </w:pPr>
            <w:r>
              <w:rPr>
                <w:rFonts w:ascii="Arial" w:cs="Arial" w:eastAsia="Arial" w:hAnsi="Arial"/>
                <w:sz w:val="9"/>
                <w:szCs w:val="9"/>
                <w:color w:val="auto"/>
              </w:rPr>
              <w:t>(6)</w:t>
            </w:r>
          </w:p>
        </w:tc>
        <w:tc>
          <w:tcPr>
            <w:tcW w:w="9280" w:type="dxa"/>
            <w:vAlign w:val="bottom"/>
            <w:gridSpan w:val="17"/>
            <w:vMerge w:val="restart"/>
          </w:tcPr>
          <w:p>
            <w:pPr>
              <w:ind w:left="120"/>
              <w:spacing w:after="0"/>
              <w:rPr>
                <w:sz w:val="20"/>
                <w:szCs w:val="20"/>
                <w:color w:val="auto"/>
              </w:rPr>
            </w:pPr>
            <w:r>
              <w:rPr>
                <w:rFonts w:ascii="Arial" w:cs="Arial" w:eastAsia="Arial" w:hAnsi="Arial"/>
                <w:sz w:val="14"/>
                <w:szCs w:val="14"/>
                <w:color w:val="auto"/>
              </w:rPr>
              <w:t>Set forth in the table includes options to purchase shares granted under the TriMas Corporation 2011 Omnibus Incentive Compensation Plan,</w:t>
            </w:r>
          </w:p>
        </w:tc>
        <w:tc>
          <w:tcPr>
            <w:tcW w:w="0" w:type="dxa"/>
            <w:vAlign w:val="bottom"/>
          </w:tcPr>
          <w:p>
            <w:pPr>
              <w:spacing w:after="0"/>
              <w:rPr>
                <w:sz w:val="1"/>
                <w:szCs w:val="1"/>
                <w:color w:val="auto"/>
              </w:rPr>
            </w:pPr>
          </w:p>
        </w:tc>
      </w:tr>
      <w:tr>
        <w:trPr>
          <w:trHeight w:val="73"/>
        </w:trPr>
        <w:tc>
          <w:tcPr>
            <w:tcW w:w="280" w:type="dxa"/>
            <w:vAlign w:val="bottom"/>
          </w:tcPr>
          <w:p>
            <w:pPr>
              <w:spacing w:after="0"/>
              <w:rPr>
                <w:sz w:val="6"/>
                <w:szCs w:val="6"/>
                <w:color w:val="auto"/>
              </w:rPr>
            </w:pPr>
          </w:p>
        </w:tc>
        <w:tc>
          <w:tcPr>
            <w:tcW w:w="9280" w:type="dxa"/>
            <w:vAlign w:val="bottom"/>
            <w:gridSpan w:val="1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7180" w:type="dxa"/>
            <w:vAlign w:val="bottom"/>
            <w:gridSpan w:val="12"/>
          </w:tcPr>
          <w:p>
            <w:pPr>
              <w:ind w:left="120"/>
              <w:spacing w:after="0"/>
              <w:rPr>
                <w:sz w:val="20"/>
                <w:szCs w:val="20"/>
                <w:color w:val="auto"/>
              </w:rPr>
            </w:pPr>
            <w:r>
              <w:rPr>
                <w:rFonts w:ascii="Arial" w:cs="Arial" w:eastAsia="Arial" w:hAnsi="Arial"/>
                <w:sz w:val="14"/>
                <w:szCs w:val="14"/>
                <w:color w:val="auto"/>
              </w:rPr>
              <w:t>as amended (the “Amended 2011 Plan”), that are currently exercisable. See below for further detail.</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180" w:type="dxa"/>
            <w:vAlign w:val="bottom"/>
            <w:tcBorders>
              <w:right w:val="single" w:sz="8" w:color="000562"/>
            </w:tcBorders>
          </w:tcPr>
          <w:p>
            <w:pPr>
              <w:spacing w:after="0"/>
              <w:rPr>
                <w:sz w:val="13"/>
                <w:szCs w:val="13"/>
                <w:color w:val="auto"/>
              </w:rPr>
            </w:pPr>
          </w:p>
        </w:tc>
        <w:tc>
          <w:tcPr>
            <w:tcW w:w="1280" w:type="dxa"/>
            <w:vAlign w:val="bottom"/>
            <w:tcBorders>
              <w:top w:val="single" w:sz="8" w:color="000562"/>
              <w:bottom w:val="single" w:sz="8" w:color="000562"/>
              <w:right w:val="single" w:sz="8" w:color="000562"/>
            </w:tcBorders>
          </w:tcPr>
          <w:p>
            <w:pPr>
              <w:spacing w:after="0"/>
              <w:rPr>
                <w:sz w:val="13"/>
                <w:szCs w:val="13"/>
                <w:color w:val="auto"/>
              </w:rPr>
            </w:pPr>
          </w:p>
        </w:tc>
        <w:tc>
          <w:tcPr>
            <w:tcW w:w="820" w:type="dxa"/>
            <w:vAlign w:val="bottom"/>
            <w:tcBorders>
              <w:top w:val="single" w:sz="8" w:color="000562"/>
              <w:bottom w:val="single" w:sz="8" w:color="000562"/>
              <w:right w:val="single" w:sz="8" w:color="000562"/>
            </w:tcBorders>
          </w:tcPr>
          <w:p>
            <w:pPr>
              <w:ind w:left="200"/>
              <w:spacing w:after="0"/>
              <w:rPr>
                <w:sz w:val="20"/>
                <w:szCs w:val="20"/>
                <w:color w:val="auto"/>
              </w:rPr>
            </w:pPr>
            <w:r>
              <w:rPr>
                <w:rFonts w:ascii="Arial" w:cs="Arial" w:eastAsia="Arial" w:hAnsi="Arial"/>
                <w:sz w:val="12"/>
                <w:szCs w:val="12"/>
                <w:b w:val="1"/>
                <w:bCs w:val="1"/>
                <w:color w:val="000562"/>
              </w:rPr>
              <w:t>Amato</w:t>
            </w:r>
          </w:p>
        </w:tc>
        <w:tc>
          <w:tcPr>
            <w:tcW w:w="660" w:type="dxa"/>
            <w:vAlign w:val="bottom"/>
            <w:tcBorders>
              <w:top w:val="single" w:sz="8" w:color="000562"/>
              <w:bottom w:val="single" w:sz="8" w:color="000562"/>
              <w:right w:val="single" w:sz="8" w:color="000562"/>
            </w:tcBorders>
          </w:tcPr>
          <w:p>
            <w:pPr>
              <w:ind w:left="100"/>
              <w:spacing w:after="0"/>
              <w:rPr>
                <w:sz w:val="20"/>
                <w:szCs w:val="20"/>
                <w:color w:val="auto"/>
              </w:rPr>
            </w:pPr>
            <w:r>
              <w:rPr>
                <w:rFonts w:ascii="Arial" w:cs="Arial" w:eastAsia="Arial" w:hAnsi="Arial"/>
                <w:sz w:val="12"/>
                <w:szCs w:val="12"/>
                <w:b w:val="1"/>
                <w:bCs w:val="1"/>
                <w:color w:val="000562"/>
              </w:rPr>
              <w:t>Gabrys</w:t>
            </w:r>
          </w:p>
        </w:tc>
        <w:tc>
          <w:tcPr>
            <w:tcW w:w="660" w:type="dxa"/>
            <w:vAlign w:val="bottom"/>
            <w:tcBorders>
              <w:top w:val="single" w:sz="8" w:color="000562"/>
              <w:bottom w:val="single" w:sz="8" w:color="000562"/>
              <w:right w:val="single" w:sz="8" w:color="000562"/>
            </w:tcBorders>
          </w:tcPr>
          <w:p>
            <w:pPr>
              <w:jc w:val="right"/>
              <w:ind w:right="13"/>
              <w:spacing w:after="0"/>
              <w:rPr>
                <w:sz w:val="20"/>
                <w:szCs w:val="20"/>
                <w:color w:val="auto"/>
              </w:rPr>
            </w:pPr>
            <w:r>
              <w:rPr>
                <w:rFonts w:ascii="Arial" w:cs="Arial" w:eastAsia="Arial" w:hAnsi="Arial"/>
                <w:sz w:val="12"/>
                <w:szCs w:val="12"/>
                <w:b w:val="1"/>
                <w:bCs w:val="1"/>
                <w:color w:val="000562"/>
              </w:rPr>
              <w:t>Gougarty</w:t>
            </w:r>
          </w:p>
        </w:tc>
        <w:tc>
          <w:tcPr>
            <w:tcW w:w="660" w:type="dxa"/>
            <w:vAlign w:val="bottom"/>
            <w:tcBorders>
              <w:top w:val="single" w:sz="8" w:color="000562"/>
              <w:bottom w:val="single" w:sz="8" w:color="000562"/>
              <w:right w:val="single" w:sz="8" w:color="000562"/>
            </w:tcBorders>
          </w:tcPr>
          <w:p>
            <w:pPr>
              <w:ind w:left="120"/>
              <w:spacing w:after="0"/>
              <w:rPr>
                <w:sz w:val="20"/>
                <w:szCs w:val="20"/>
                <w:color w:val="auto"/>
              </w:rPr>
            </w:pPr>
            <w:r>
              <w:rPr>
                <w:rFonts w:ascii="Arial" w:cs="Arial" w:eastAsia="Arial" w:hAnsi="Arial"/>
                <w:sz w:val="12"/>
                <w:szCs w:val="12"/>
                <w:b w:val="1"/>
                <w:bCs w:val="1"/>
                <w:color w:val="000562"/>
              </w:rPr>
              <w:t>Greene</w:t>
            </w:r>
          </w:p>
        </w:tc>
        <w:tc>
          <w:tcPr>
            <w:tcW w:w="660" w:type="dxa"/>
            <w:vAlign w:val="bottom"/>
            <w:tcBorders>
              <w:top w:val="single" w:sz="8" w:color="000562"/>
              <w:bottom w:val="single" w:sz="8" w:color="000562"/>
              <w:right w:val="single" w:sz="8" w:color="000562"/>
            </w:tcBorders>
          </w:tcPr>
          <w:p>
            <w:pPr>
              <w:ind w:left="160"/>
              <w:spacing w:after="0"/>
              <w:rPr>
                <w:sz w:val="20"/>
                <w:szCs w:val="20"/>
                <w:color w:val="auto"/>
              </w:rPr>
            </w:pPr>
            <w:r>
              <w:rPr>
                <w:rFonts w:ascii="Arial" w:cs="Arial" w:eastAsia="Arial" w:hAnsi="Arial"/>
                <w:sz w:val="12"/>
                <w:szCs w:val="12"/>
                <w:b w:val="1"/>
                <w:bCs w:val="1"/>
                <w:color w:val="000562"/>
              </w:rPr>
              <w:t>Miller</w:t>
            </w:r>
          </w:p>
        </w:tc>
        <w:tc>
          <w:tcPr>
            <w:tcW w:w="120" w:type="dxa"/>
            <w:vAlign w:val="bottom"/>
            <w:tcBorders>
              <w:top w:val="single" w:sz="8" w:color="000562"/>
              <w:bottom w:val="single" w:sz="8" w:color="000562"/>
            </w:tcBorders>
          </w:tcPr>
          <w:p>
            <w:pPr>
              <w:spacing w:after="0"/>
              <w:rPr>
                <w:sz w:val="13"/>
                <w:szCs w:val="13"/>
                <w:color w:val="auto"/>
              </w:rPr>
            </w:pPr>
          </w:p>
        </w:tc>
        <w:tc>
          <w:tcPr>
            <w:tcW w:w="540" w:type="dxa"/>
            <w:vAlign w:val="bottom"/>
            <w:tcBorders>
              <w:top w:val="single" w:sz="8" w:color="000562"/>
              <w:bottom w:val="single" w:sz="8" w:color="000562"/>
              <w:right w:val="single" w:sz="8" w:color="000562"/>
            </w:tcBorders>
          </w:tcPr>
          <w:p>
            <w:pPr>
              <w:ind w:left="20"/>
              <w:spacing w:after="0"/>
              <w:rPr>
                <w:sz w:val="20"/>
                <w:szCs w:val="20"/>
                <w:color w:val="auto"/>
              </w:rPr>
            </w:pPr>
            <w:r>
              <w:rPr>
                <w:rFonts w:ascii="Arial" w:cs="Arial" w:eastAsia="Arial" w:hAnsi="Arial"/>
                <w:sz w:val="12"/>
                <w:szCs w:val="12"/>
                <w:b w:val="1"/>
                <w:bCs w:val="1"/>
                <w:color w:val="000562"/>
              </w:rPr>
              <w:t>Parker</w:t>
            </w:r>
          </w:p>
        </w:tc>
        <w:tc>
          <w:tcPr>
            <w:tcW w:w="660" w:type="dxa"/>
            <w:vAlign w:val="bottom"/>
            <w:tcBorders>
              <w:top w:val="single" w:sz="8" w:color="000562"/>
              <w:bottom w:val="single" w:sz="8" w:color="000562"/>
              <w:right w:val="single" w:sz="8" w:color="000562"/>
            </w:tcBorders>
          </w:tcPr>
          <w:p>
            <w:pPr>
              <w:ind w:left="100"/>
              <w:spacing w:after="0"/>
              <w:rPr>
                <w:sz w:val="20"/>
                <w:szCs w:val="20"/>
                <w:color w:val="auto"/>
              </w:rPr>
            </w:pPr>
            <w:r>
              <w:rPr>
                <w:rFonts w:ascii="Arial" w:cs="Arial" w:eastAsia="Arial" w:hAnsi="Arial"/>
                <w:sz w:val="12"/>
                <w:szCs w:val="12"/>
                <w:b w:val="1"/>
                <w:bCs w:val="1"/>
                <w:color w:val="000562"/>
              </w:rPr>
              <w:t>Sherbin</w:t>
            </w:r>
          </w:p>
        </w:tc>
        <w:tc>
          <w:tcPr>
            <w:tcW w:w="720" w:type="dxa"/>
            <w:vAlign w:val="bottom"/>
            <w:tcBorders>
              <w:top w:val="single" w:sz="8" w:color="000562"/>
              <w:bottom w:val="single" w:sz="8" w:color="000562"/>
              <w:right w:val="single" w:sz="8" w:color="000562"/>
            </w:tcBorders>
          </w:tcPr>
          <w:p>
            <w:pPr>
              <w:jc w:val="right"/>
              <w:ind w:right="43"/>
              <w:spacing w:after="0"/>
              <w:rPr>
                <w:sz w:val="20"/>
                <w:szCs w:val="20"/>
                <w:color w:val="auto"/>
              </w:rPr>
            </w:pPr>
            <w:r>
              <w:rPr>
                <w:rFonts w:ascii="Arial" w:cs="Arial" w:eastAsia="Arial" w:hAnsi="Arial"/>
                <w:sz w:val="12"/>
                <w:szCs w:val="12"/>
                <w:b w:val="1"/>
                <w:bCs w:val="1"/>
                <w:color w:val="000562"/>
              </w:rPr>
              <w:t>Stanage</w:t>
            </w:r>
          </w:p>
        </w:tc>
        <w:tc>
          <w:tcPr>
            <w:tcW w:w="600" w:type="dxa"/>
            <w:vAlign w:val="bottom"/>
            <w:tcBorders>
              <w:top w:val="single" w:sz="8" w:color="000562"/>
              <w:bottom w:val="single" w:sz="8" w:color="000562"/>
            </w:tcBorders>
            <w:gridSpan w:val="2"/>
          </w:tcPr>
          <w:p>
            <w:pPr>
              <w:jc w:val="right"/>
              <w:spacing w:after="0"/>
              <w:rPr>
                <w:sz w:val="20"/>
                <w:szCs w:val="20"/>
                <w:color w:val="auto"/>
              </w:rPr>
            </w:pPr>
            <w:r>
              <w:rPr>
                <w:rFonts w:ascii="Arial" w:cs="Arial" w:eastAsia="Arial" w:hAnsi="Arial"/>
                <w:sz w:val="12"/>
                <w:szCs w:val="12"/>
                <w:b w:val="1"/>
                <w:bCs w:val="1"/>
                <w:color w:val="000562"/>
              </w:rPr>
              <w:t>Tredwell</w:t>
            </w:r>
          </w:p>
        </w:tc>
        <w:tc>
          <w:tcPr>
            <w:tcW w:w="100" w:type="dxa"/>
            <w:vAlign w:val="bottom"/>
            <w:tcBorders>
              <w:top w:val="single" w:sz="8" w:color="000562"/>
              <w:bottom w:val="single" w:sz="8" w:color="000562"/>
              <w:right w:val="single" w:sz="8" w:color="000562"/>
            </w:tcBorders>
          </w:tcPr>
          <w:p>
            <w:pPr>
              <w:spacing w:after="0"/>
              <w:rPr>
                <w:sz w:val="13"/>
                <w:szCs w:val="13"/>
                <w:color w:val="auto"/>
              </w:rPr>
            </w:pPr>
          </w:p>
        </w:tc>
        <w:tc>
          <w:tcPr>
            <w:tcW w:w="700" w:type="dxa"/>
            <w:vAlign w:val="bottom"/>
            <w:tcBorders>
              <w:top w:val="single" w:sz="8" w:color="000562"/>
              <w:bottom w:val="single" w:sz="8" w:color="000562"/>
              <w:right w:val="single" w:sz="8" w:color="000562"/>
            </w:tcBorders>
          </w:tcPr>
          <w:p>
            <w:pPr>
              <w:ind w:left="140"/>
              <w:spacing w:after="0"/>
              <w:rPr>
                <w:sz w:val="20"/>
                <w:szCs w:val="20"/>
                <w:color w:val="auto"/>
              </w:rPr>
            </w:pPr>
            <w:r>
              <w:rPr>
                <w:rFonts w:ascii="Arial" w:cs="Arial" w:eastAsia="Arial" w:hAnsi="Arial"/>
                <w:sz w:val="12"/>
                <w:szCs w:val="12"/>
                <w:b w:val="1"/>
                <w:bCs w:val="1"/>
                <w:color w:val="000562"/>
              </w:rPr>
              <w:t>Valenti</w:t>
            </w:r>
          </w:p>
        </w:tc>
        <w:tc>
          <w:tcPr>
            <w:tcW w:w="700" w:type="dxa"/>
            <w:vAlign w:val="bottom"/>
            <w:tcBorders>
              <w:top w:val="single" w:sz="8" w:color="000562"/>
              <w:bottom w:val="single" w:sz="8" w:color="000562"/>
              <w:right w:val="single" w:sz="8" w:color="000562"/>
            </w:tcBorders>
          </w:tcPr>
          <w:p>
            <w:pPr>
              <w:jc w:val="right"/>
              <w:ind w:right="45"/>
              <w:spacing w:after="0"/>
              <w:rPr>
                <w:sz w:val="20"/>
                <w:szCs w:val="20"/>
                <w:color w:val="auto"/>
              </w:rPr>
            </w:pPr>
            <w:r>
              <w:rPr>
                <w:rFonts w:ascii="Arial" w:cs="Arial" w:eastAsia="Arial" w:hAnsi="Arial"/>
                <w:sz w:val="12"/>
                <w:szCs w:val="12"/>
                <w:b w:val="1"/>
                <w:bCs w:val="1"/>
                <w:color w:val="000562"/>
              </w:rPr>
              <w:t>Zalupski</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180" w:type="dxa"/>
            <w:vAlign w:val="bottom"/>
            <w:tcBorders>
              <w:right w:val="single" w:sz="8" w:color="000562"/>
            </w:tcBorders>
          </w:tcPr>
          <w:p>
            <w:pPr>
              <w:spacing w:after="0"/>
              <w:rPr>
                <w:sz w:val="15"/>
                <w:szCs w:val="15"/>
                <w:color w:val="auto"/>
              </w:rPr>
            </w:pPr>
          </w:p>
        </w:tc>
        <w:tc>
          <w:tcPr>
            <w:tcW w:w="1280" w:type="dxa"/>
            <w:vAlign w:val="bottom"/>
            <w:tcBorders>
              <w:bottom w:val="single" w:sz="8" w:color="000562"/>
              <w:right w:val="single" w:sz="8" w:color="000562"/>
            </w:tcBorders>
            <w:shd w:val="clear" w:color="auto" w:fill="E9EFEE"/>
          </w:tcPr>
          <w:p>
            <w:pPr>
              <w:ind w:left="40"/>
              <w:spacing w:after="0"/>
              <w:rPr>
                <w:sz w:val="20"/>
                <w:szCs w:val="20"/>
                <w:color w:val="auto"/>
              </w:rPr>
            </w:pPr>
            <w:r>
              <w:rPr>
                <w:rFonts w:ascii="Arial" w:cs="Arial" w:eastAsia="Arial" w:hAnsi="Arial"/>
                <w:sz w:val="14"/>
                <w:szCs w:val="14"/>
                <w:color w:val="auto"/>
              </w:rPr>
              <w:t>Stock Options</w:t>
            </w:r>
          </w:p>
        </w:tc>
        <w:tc>
          <w:tcPr>
            <w:tcW w:w="820" w:type="dxa"/>
            <w:vAlign w:val="bottom"/>
            <w:tcBorders>
              <w:bottom w:val="single" w:sz="8" w:color="000562"/>
              <w:right w:val="single" w:sz="8" w:color="000562"/>
            </w:tcBorders>
            <w:shd w:val="clear" w:color="auto" w:fill="E9EFEE"/>
          </w:tcPr>
          <w:p>
            <w:pPr>
              <w:ind w:left="200"/>
              <w:spacing w:after="0"/>
              <w:rPr>
                <w:sz w:val="20"/>
                <w:szCs w:val="20"/>
                <w:color w:val="auto"/>
              </w:rPr>
            </w:pPr>
            <w:r>
              <w:rPr>
                <w:rFonts w:ascii="Arial" w:cs="Arial" w:eastAsia="Arial" w:hAnsi="Arial"/>
                <w:sz w:val="14"/>
                <w:szCs w:val="14"/>
                <w:color w:val="auto"/>
              </w:rPr>
              <w:t>100,000</w:t>
            </w:r>
          </w:p>
        </w:tc>
        <w:tc>
          <w:tcPr>
            <w:tcW w:w="660" w:type="dxa"/>
            <w:vAlign w:val="bottom"/>
            <w:tcBorders>
              <w:bottom w:val="single" w:sz="8" w:color="000562"/>
              <w:right w:val="single" w:sz="8" w:color="000562"/>
            </w:tcBorders>
            <w:shd w:val="clear" w:color="auto" w:fill="E9EFEE"/>
          </w:tcPr>
          <w:p>
            <w:pPr>
              <w:ind w:left="4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0562"/>
              <w:right w:val="single" w:sz="8" w:color="000562"/>
            </w:tcBorders>
            <w:shd w:val="clear" w:color="auto" w:fill="E9EFEE"/>
          </w:tcPr>
          <w:p>
            <w:pPr>
              <w:jc w:val="right"/>
              <w:ind w:right="33"/>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0562"/>
              <w:right w:val="single" w:sz="8" w:color="000562"/>
            </w:tcBorders>
            <w:shd w:val="clear" w:color="auto" w:fill="E9EFEE"/>
          </w:tcPr>
          <w:p>
            <w:pPr>
              <w:ind w:left="4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0562"/>
              <w:right w:val="single" w:sz="8" w:color="000562"/>
            </w:tcBorders>
            <w:shd w:val="clear" w:color="auto" w:fill="E9EFEE"/>
          </w:tcPr>
          <w:p>
            <w:pPr>
              <w:ind w:left="4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000562"/>
            </w:tcBorders>
            <w:shd w:val="clear" w:color="auto" w:fill="E9EFEE"/>
          </w:tcPr>
          <w:p>
            <w:pPr>
              <w:spacing w:after="0"/>
              <w:rPr>
                <w:sz w:val="15"/>
                <w:szCs w:val="15"/>
                <w:color w:val="auto"/>
              </w:rPr>
            </w:pPr>
          </w:p>
        </w:tc>
        <w:tc>
          <w:tcPr>
            <w:tcW w:w="540" w:type="dxa"/>
            <w:vAlign w:val="bottom"/>
            <w:tcBorders>
              <w:bottom w:val="single" w:sz="8" w:color="000562"/>
              <w:right w:val="single" w:sz="8" w:color="000562"/>
            </w:tcBorders>
            <w:shd w:val="clear" w:color="auto" w:fill="E9EFEE"/>
          </w:tcPr>
          <w:p>
            <w:pPr>
              <w:ind w:left="3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0562"/>
              <w:right w:val="single" w:sz="8" w:color="000562"/>
            </w:tcBorders>
            <w:shd w:val="clear" w:color="auto" w:fill="E9EFEE"/>
          </w:tcPr>
          <w:p>
            <w:pPr>
              <w:ind w:left="4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0562"/>
              <w:right w:val="single" w:sz="8" w:color="000562"/>
            </w:tcBorders>
            <w:shd w:val="clear" w:color="auto" w:fill="E9EFEE"/>
          </w:tcPr>
          <w:p>
            <w:pPr>
              <w:jc w:val="right"/>
              <w:ind w:right="43"/>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000562"/>
            </w:tcBorders>
            <w:shd w:val="clear" w:color="auto" w:fill="E9EFEE"/>
          </w:tcPr>
          <w:p>
            <w:pPr>
              <w:spacing w:after="0"/>
              <w:rPr>
                <w:sz w:val="15"/>
                <w:szCs w:val="15"/>
                <w:color w:val="auto"/>
              </w:rPr>
            </w:pPr>
          </w:p>
        </w:tc>
        <w:tc>
          <w:tcPr>
            <w:tcW w:w="380" w:type="dxa"/>
            <w:vAlign w:val="bottom"/>
            <w:tcBorders>
              <w:bottom w:val="single" w:sz="8" w:color="000562"/>
            </w:tcBorders>
            <w:shd w:val="clear" w:color="auto" w:fill="E9EFEE"/>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000562"/>
              <w:right w:val="single" w:sz="8" w:color="000562"/>
            </w:tcBorders>
            <w:shd w:val="clear" w:color="auto" w:fill="E9EFEE"/>
          </w:tcPr>
          <w:p>
            <w:pPr>
              <w:spacing w:after="0"/>
              <w:rPr>
                <w:sz w:val="15"/>
                <w:szCs w:val="15"/>
                <w:color w:val="auto"/>
              </w:rPr>
            </w:pPr>
          </w:p>
        </w:tc>
        <w:tc>
          <w:tcPr>
            <w:tcW w:w="700" w:type="dxa"/>
            <w:vAlign w:val="bottom"/>
            <w:tcBorders>
              <w:bottom w:val="single" w:sz="8" w:color="000562"/>
              <w:right w:val="single" w:sz="8" w:color="000562"/>
            </w:tcBorders>
            <w:shd w:val="clear" w:color="auto" w:fill="E9EFEE"/>
          </w:tcPr>
          <w:p>
            <w:pPr>
              <w:ind w:left="4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0562"/>
              <w:right w:val="single" w:sz="8" w:color="000562"/>
            </w:tcBorders>
            <w:shd w:val="clear" w:color="auto" w:fill="E9EFEE"/>
          </w:tcPr>
          <w:p>
            <w:pPr>
              <w:jc w:val="right"/>
              <w:ind w:right="25"/>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0" w:type="dxa"/>
            <w:vAlign w:val="bottom"/>
          </w:tcPr>
          <w:p>
            <w:pPr>
              <w:jc w:val="right"/>
              <w:ind w:right="53"/>
              <w:spacing w:after="0"/>
              <w:rPr>
                <w:sz w:val="20"/>
                <w:szCs w:val="20"/>
                <w:color w:val="auto"/>
              </w:rPr>
            </w:pPr>
            <w:r>
              <w:rPr>
                <w:rFonts w:ascii="Arial" w:cs="Arial" w:eastAsia="Arial" w:hAnsi="Arial"/>
                <w:sz w:val="9"/>
                <w:szCs w:val="9"/>
                <w:color w:val="auto"/>
              </w:rPr>
              <w:t>(7)</w:t>
            </w:r>
          </w:p>
        </w:tc>
        <w:tc>
          <w:tcPr>
            <w:tcW w:w="9280" w:type="dxa"/>
            <w:vAlign w:val="bottom"/>
            <w:gridSpan w:val="17"/>
            <w:vMerge w:val="restart"/>
          </w:tcPr>
          <w:p>
            <w:pPr>
              <w:ind w:left="120"/>
              <w:spacing w:after="0"/>
              <w:rPr>
                <w:sz w:val="20"/>
                <w:szCs w:val="20"/>
                <w:color w:val="auto"/>
              </w:rPr>
            </w:pPr>
            <w:r>
              <w:rPr>
                <w:rFonts w:ascii="Arial" w:cs="Arial" w:eastAsia="Arial" w:hAnsi="Arial"/>
                <w:sz w:val="14"/>
                <w:szCs w:val="14"/>
                <w:color w:val="auto"/>
              </w:rPr>
              <w:t>Each director and NEO owns less than one percent of the outstanding shares of the Common Stock and securities authorized for issuance</w:t>
            </w:r>
          </w:p>
        </w:tc>
        <w:tc>
          <w:tcPr>
            <w:tcW w:w="0" w:type="dxa"/>
            <w:vAlign w:val="bottom"/>
          </w:tcPr>
          <w:p>
            <w:pPr>
              <w:spacing w:after="0"/>
              <w:rPr>
                <w:sz w:val="1"/>
                <w:szCs w:val="1"/>
                <w:color w:val="auto"/>
              </w:rPr>
            </w:pPr>
          </w:p>
        </w:tc>
      </w:tr>
      <w:tr>
        <w:trPr>
          <w:trHeight w:val="73"/>
        </w:trPr>
        <w:tc>
          <w:tcPr>
            <w:tcW w:w="280" w:type="dxa"/>
            <w:vAlign w:val="bottom"/>
          </w:tcPr>
          <w:p>
            <w:pPr>
              <w:spacing w:after="0"/>
              <w:rPr>
                <w:sz w:val="6"/>
                <w:szCs w:val="6"/>
                <w:color w:val="auto"/>
              </w:rPr>
            </w:pPr>
          </w:p>
        </w:tc>
        <w:tc>
          <w:tcPr>
            <w:tcW w:w="9280" w:type="dxa"/>
            <w:vAlign w:val="bottom"/>
            <w:gridSpan w:val="1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2280" w:type="dxa"/>
            <w:vAlign w:val="bottom"/>
            <w:gridSpan w:val="3"/>
          </w:tcPr>
          <w:p>
            <w:pPr>
              <w:ind w:left="120"/>
              <w:spacing w:after="0"/>
              <w:rPr>
                <w:sz w:val="20"/>
                <w:szCs w:val="20"/>
                <w:color w:val="auto"/>
              </w:rPr>
            </w:pPr>
            <w:r>
              <w:rPr>
                <w:rFonts w:ascii="Arial" w:cs="Arial" w:eastAsia="Arial" w:hAnsi="Arial"/>
                <w:sz w:val="14"/>
                <w:szCs w:val="14"/>
                <w:color w:val="auto"/>
              </w:rPr>
              <w:t>under equity compensation plans.</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7"/>
        </w:trPr>
        <w:tc>
          <w:tcPr>
            <w:tcW w:w="5320" w:type="dxa"/>
            <w:vAlign w:val="bottom"/>
            <w:tcBorders>
              <w:bottom w:val="single" w:sz="8" w:color="000562"/>
            </w:tcBorders>
            <w:gridSpan w:val="9"/>
          </w:tcPr>
          <w:p>
            <w:pPr>
              <w:spacing w:after="0"/>
              <w:rPr>
                <w:sz w:val="20"/>
                <w:szCs w:val="20"/>
                <w:color w:val="auto"/>
              </w:rPr>
            </w:pPr>
            <w:r>
              <w:rPr>
                <w:rFonts w:ascii="Arial" w:cs="Arial" w:eastAsia="Arial" w:hAnsi="Arial"/>
                <w:sz w:val="25"/>
                <w:szCs w:val="25"/>
                <w:b w:val="1"/>
                <w:bCs w:val="1"/>
                <w:color w:val="auto"/>
              </w:rPr>
              <w:t>Equity Compensation Plan Information</w:t>
            </w:r>
          </w:p>
        </w:tc>
        <w:tc>
          <w:tcPr>
            <w:tcW w:w="540" w:type="dxa"/>
            <w:vAlign w:val="bottom"/>
            <w:tcBorders>
              <w:bottom w:val="single" w:sz="8" w:color="000562"/>
            </w:tcBorders>
          </w:tcPr>
          <w:p>
            <w:pPr>
              <w:spacing w:after="0"/>
              <w:rPr>
                <w:sz w:val="24"/>
                <w:szCs w:val="24"/>
                <w:color w:val="auto"/>
              </w:rPr>
            </w:pPr>
          </w:p>
        </w:tc>
        <w:tc>
          <w:tcPr>
            <w:tcW w:w="660" w:type="dxa"/>
            <w:vAlign w:val="bottom"/>
            <w:tcBorders>
              <w:bottom w:val="single" w:sz="8" w:color="000562"/>
            </w:tcBorders>
          </w:tcPr>
          <w:p>
            <w:pPr>
              <w:spacing w:after="0"/>
              <w:rPr>
                <w:sz w:val="24"/>
                <w:szCs w:val="24"/>
                <w:color w:val="auto"/>
              </w:rPr>
            </w:pPr>
          </w:p>
        </w:tc>
        <w:tc>
          <w:tcPr>
            <w:tcW w:w="720" w:type="dxa"/>
            <w:vAlign w:val="bottom"/>
            <w:tcBorders>
              <w:bottom w:val="single" w:sz="8" w:color="000562"/>
            </w:tcBorders>
          </w:tcPr>
          <w:p>
            <w:pPr>
              <w:spacing w:after="0"/>
              <w:rPr>
                <w:sz w:val="24"/>
                <w:szCs w:val="24"/>
                <w:color w:val="auto"/>
              </w:rPr>
            </w:pPr>
          </w:p>
        </w:tc>
        <w:tc>
          <w:tcPr>
            <w:tcW w:w="220" w:type="dxa"/>
            <w:vAlign w:val="bottom"/>
            <w:tcBorders>
              <w:bottom w:val="single" w:sz="8" w:color="000562"/>
            </w:tcBorders>
          </w:tcPr>
          <w:p>
            <w:pPr>
              <w:spacing w:after="0"/>
              <w:rPr>
                <w:sz w:val="24"/>
                <w:szCs w:val="24"/>
                <w:color w:val="auto"/>
              </w:rPr>
            </w:pPr>
          </w:p>
        </w:tc>
        <w:tc>
          <w:tcPr>
            <w:tcW w:w="380" w:type="dxa"/>
            <w:vAlign w:val="bottom"/>
            <w:tcBorders>
              <w:bottom w:val="single" w:sz="8" w:color="000562"/>
            </w:tcBorders>
          </w:tcPr>
          <w:p>
            <w:pPr>
              <w:spacing w:after="0"/>
              <w:rPr>
                <w:sz w:val="24"/>
                <w:szCs w:val="24"/>
                <w:color w:val="auto"/>
              </w:rPr>
            </w:pPr>
          </w:p>
        </w:tc>
        <w:tc>
          <w:tcPr>
            <w:tcW w:w="100" w:type="dxa"/>
            <w:vAlign w:val="bottom"/>
            <w:tcBorders>
              <w:bottom w:val="single" w:sz="8" w:color="000562"/>
            </w:tcBorders>
          </w:tcPr>
          <w:p>
            <w:pPr>
              <w:spacing w:after="0"/>
              <w:rPr>
                <w:sz w:val="24"/>
                <w:szCs w:val="24"/>
                <w:color w:val="auto"/>
              </w:rPr>
            </w:pPr>
          </w:p>
        </w:tc>
        <w:tc>
          <w:tcPr>
            <w:tcW w:w="700" w:type="dxa"/>
            <w:vAlign w:val="bottom"/>
            <w:tcBorders>
              <w:bottom w:val="single" w:sz="8" w:color="000562"/>
            </w:tcBorders>
          </w:tcPr>
          <w:p>
            <w:pPr>
              <w:spacing w:after="0"/>
              <w:rPr>
                <w:sz w:val="24"/>
                <w:szCs w:val="24"/>
                <w:color w:val="auto"/>
              </w:rPr>
            </w:pPr>
          </w:p>
        </w:tc>
        <w:tc>
          <w:tcPr>
            <w:tcW w:w="700" w:type="dxa"/>
            <w:vAlign w:val="bottom"/>
            <w:tcBorders>
              <w:bottom w:val="single" w:sz="8" w:color="000562"/>
            </w:tcBorders>
          </w:tcPr>
          <w:p>
            <w:pPr>
              <w:spacing w:after="0"/>
              <w:rPr>
                <w:sz w:val="24"/>
                <w:szCs w:val="24"/>
                <w:color w:val="auto"/>
              </w:rPr>
            </w:pPr>
          </w:p>
        </w:tc>
        <w:tc>
          <w:tcPr>
            <w:tcW w:w="220" w:type="dxa"/>
            <w:vAlign w:val="bottom"/>
            <w:tcBorders>
              <w:bottom w:val="single" w:sz="8" w:color="000562"/>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000562"/>
              </w:rPr>
              <w:t>Number of</w:t>
            </w: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80" w:type="dxa"/>
            <w:vAlign w:val="bottom"/>
            <w:gridSpan w:val="4"/>
          </w:tcPr>
          <w:p>
            <w:pPr>
              <w:jc w:val="center"/>
              <w:ind w:left="50"/>
              <w:spacing w:after="0"/>
              <w:rPr>
                <w:sz w:val="20"/>
                <w:szCs w:val="20"/>
                <w:color w:val="auto"/>
              </w:rPr>
            </w:pPr>
            <w:r>
              <w:rPr>
                <w:rFonts w:ascii="Arial" w:cs="Arial" w:eastAsia="Arial" w:hAnsi="Arial"/>
                <w:sz w:val="14"/>
                <w:szCs w:val="14"/>
                <w:b w:val="1"/>
                <w:bCs w:val="1"/>
                <w:color w:val="000562"/>
              </w:rPr>
              <w:t>securities to be</w:t>
            </w: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5"/>
          </w:tcPr>
          <w:p>
            <w:pPr>
              <w:jc w:val="center"/>
              <w:spacing w:after="0"/>
              <w:rPr>
                <w:sz w:val="20"/>
                <w:szCs w:val="20"/>
                <w:color w:val="auto"/>
              </w:rPr>
            </w:pPr>
            <w:r>
              <w:rPr>
                <w:rFonts w:ascii="Arial" w:cs="Arial" w:eastAsia="Arial" w:hAnsi="Arial"/>
                <w:sz w:val="14"/>
                <w:szCs w:val="14"/>
                <w:b w:val="1"/>
                <w:bCs w:val="1"/>
                <w:color w:val="000562"/>
              </w:rPr>
              <w:t>Number of securities</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gridSpan w:val="3"/>
          </w:tcPr>
          <w:p>
            <w:pPr>
              <w:jc w:val="center"/>
              <w:ind w:right="433"/>
              <w:spacing w:after="0"/>
              <w:rPr>
                <w:sz w:val="20"/>
                <w:szCs w:val="20"/>
                <w:color w:val="auto"/>
              </w:rPr>
            </w:pPr>
            <w:r>
              <w:rPr>
                <w:rFonts w:ascii="Arial" w:cs="Arial" w:eastAsia="Arial" w:hAnsi="Arial"/>
                <w:sz w:val="14"/>
                <w:szCs w:val="14"/>
                <w:b w:val="1"/>
                <w:bCs w:val="1"/>
                <w:color w:val="000562"/>
                <w:w w:val="99"/>
              </w:rPr>
              <w:t>issued upon</w:t>
            </w: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5"/>
          </w:tcPr>
          <w:p>
            <w:pPr>
              <w:jc w:val="center"/>
              <w:spacing w:after="0"/>
              <w:rPr>
                <w:sz w:val="20"/>
                <w:szCs w:val="20"/>
                <w:color w:val="auto"/>
              </w:rPr>
            </w:pPr>
            <w:r>
              <w:rPr>
                <w:rFonts w:ascii="Arial" w:cs="Arial" w:eastAsia="Arial" w:hAnsi="Arial"/>
                <w:sz w:val="14"/>
                <w:szCs w:val="14"/>
                <w:b w:val="1"/>
                <w:bCs w:val="1"/>
                <w:color w:val="000562"/>
              </w:rPr>
              <w:t>remaining available for</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000562"/>
              </w:rPr>
              <w:t>exercise of</w:t>
            </w:r>
          </w:p>
        </w:tc>
        <w:tc>
          <w:tcPr>
            <w:tcW w:w="540" w:type="dxa"/>
            <w:vAlign w:val="bottom"/>
          </w:tcPr>
          <w:p>
            <w:pPr>
              <w:spacing w:after="0"/>
              <w:rPr>
                <w:sz w:val="14"/>
                <w:szCs w:val="14"/>
                <w:color w:val="auto"/>
              </w:rPr>
            </w:pPr>
          </w:p>
        </w:tc>
        <w:tc>
          <w:tcPr>
            <w:tcW w:w="1600" w:type="dxa"/>
            <w:vAlign w:val="bottom"/>
            <w:gridSpan w:val="3"/>
          </w:tcPr>
          <w:p>
            <w:pPr>
              <w:jc w:val="center"/>
              <w:ind w:right="58"/>
              <w:spacing w:after="0"/>
              <w:rPr>
                <w:sz w:val="20"/>
                <w:szCs w:val="20"/>
                <w:color w:val="auto"/>
              </w:rPr>
            </w:pPr>
            <w:r>
              <w:rPr>
                <w:rFonts w:ascii="Arial" w:cs="Arial" w:eastAsia="Arial" w:hAnsi="Arial"/>
                <w:sz w:val="14"/>
                <w:szCs w:val="14"/>
                <w:b w:val="1"/>
                <w:bCs w:val="1"/>
                <w:color w:val="000562"/>
              </w:rPr>
              <w:t>Weighted-average</w:t>
            </w:r>
          </w:p>
        </w:tc>
        <w:tc>
          <w:tcPr>
            <w:tcW w:w="2100" w:type="dxa"/>
            <w:vAlign w:val="bottom"/>
            <w:gridSpan w:val="5"/>
          </w:tcPr>
          <w:p>
            <w:pPr>
              <w:jc w:val="center"/>
              <w:spacing w:after="0"/>
              <w:rPr>
                <w:sz w:val="20"/>
                <w:szCs w:val="20"/>
                <w:color w:val="auto"/>
              </w:rPr>
            </w:pPr>
            <w:r>
              <w:rPr>
                <w:rFonts w:ascii="Arial" w:cs="Arial" w:eastAsia="Arial" w:hAnsi="Arial"/>
                <w:sz w:val="14"/>
                <w:szCs w:val="14"/>
                <w:b w:val="1"/>
                <w:bCs w:val="1"/>
                <w:color w:val="000562"/>
              </w:rPr>
              <w:t>future issuance under equity</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gridSpan w:val="3"/>
          </w:tcPr>
          <w:p>
            <w:pPr>
              <w:jc w:val="center"/>
              <w:ind w:right="453"/>
              <w:spacing w:after="0"/>
              <w:rPr>
                <w:sz w:val="20"/>
                <w:szCs w:val="20"/>
                <w:color w:val="auto"/>
              </w:rPr>
            </w:pPr>
            <w:r>
              <w:rPr>
                <w:rFonts w:ascii="Arial" w:cs="Arial" w:eastAsia="Arial" w:hAnsi="Arial"/>
                <w:sz w:val="14"/>
                <w:szCs w:val="14"/>
                <w:b w:val="1"/>
                <w:bCs w:val="1"/>
                <w:color w:val="000562"/>
                <w:w w:val="99"/>
              </w:rPr>
              <w:t>outstanding</w:t>
            </w:r>
          </w:p>
        </w:tc>
        <w:tc>
          <w:tcPr>
            <w:tcW w:w="1600" w:type="dxa"/>
            <w:vAlign w:val="bottom"/>
            <w:gridSpan w:val="3"/>
          </w:tcPr>
          <w:p>
            <w:pPr>
              <w:jc w:val="center"/>
              <w:ind w:right="78"/>
              <w:spacing w:after="0"/>
              <w:rPr>
                <w:sz w:val="20"/>
                <w:szCs w:val="20"/>
                <w:color w:val="auto"/>
              </w:rPr>
            </w:pPr>
            <w:r>
              <w:rPr>
                <w:rFonts w:ascii="Arial" w:cs="Arial" w:eastAsia="Arial" w:hAnsi="Arial"/>
                <w:sz w:val="14"/>
                <w:szCs w:val="14"/>
                <w:b w:val="1"/>
                <w:bCs w:val="1"/>
                <w:color w:val="000562"/>
              </w:rPr>
              <w:t>exercise price of</w:t>
            </w:r>
          </w:p>
        </w:tc>
        <w:tc>
          <w:tcPr>
            <w:tcW w:w="380" w:type="dxa"/>
            <w:vAlign w:val="bottom"/>
          </w:tcPr>
          <w:p>
            <w:pPr>
              <w:spacing w:after="0"/>
              <w:rPr>
                <w:sz w:val="14"/>
                <w:szCs w:val="14"/>
                <w:color w:val="auto"/>
              </w:rPr>
            </w:pPr>
          </w:p>
        </w:tc>
        <w:tc>
          <w:tcPr>
            <w:tcW w:w="17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000562"/>
              </w:rPr>
              <w:t>compensation plans</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80" w:type="dxa"/>
            <w:vAlign w:val="bottom"/>
            <w:gridSpan w:val="4"/>
          </w:tcPr>
          <w:p>
            <w:pPr>
              <w:jc w:val="center"/>
              <w:ind w:left="30"/>
              <w:spacing w:after="0" w:line="149" w:lineRule="exact"/>
              <w:rPr>
                <w:sz w:val="20"/>
                <w:szCs w:val="20"/>
                <w:color w:val="auto"/>
              </w:rPr>
            </w:pPr>
            <w:r>
              <w:rPr>
                <w:rFonts w:ascii="Arial" w:cs="Arial" w:eastAsia="Arial" w:hAnsi="Arial"/>
                <w:sz w:val="14"/>
                <w:szCs w:val="14"/>
                <w:b w:val="1"/>
                <w:bCs w:val="1"/>
                <w:color w:val="000562"/>
              </w:rPr>
              <w:t>options, warrants</w:t>
            </w:r>
          </w:p>
        </w:tc>
        <w:tc>
          <w:tcPr>
            <w:tcW w:w="1600" w:type="dxa"/>
            <w:vAlign w:val="bottom"/>
            <w:gridSpan w:val="3"/>
          </w:tcPr>
          <w:p>
            <w:pPr>
              <w:jc w:val="center"/>
              <w:ind w:right="78"/>
              <w:spacing w:after="0" w:line="149" w:lineRule="exact"/>
              <w:rPr>
                <w:sz w:val="20"/>
                <w:szCs w:val="20"/>
                <w:color w:val="auto"/>
              </w:rPr>
            </w:pPr>
            <w:r>
              <w:rPr>
                <w:rFonts w:ascii="Arial" w:cs="Arial" w:eastAsia="Arial" w:hAnsi="Arial"/>
                <w:sz w:val="14"/>
                <w:szCs w:val="14"/>
                <w:b w:val="1"/>
                <w:bCs w:val="1"/>
                <w:color w:val="000562"/>
              </w:rPr>
              <w:t>outstanding options,</w:t>
            </w:r>
          </w:p>
        </w:tc>
        <w:tc>
          <w:tcPr>
            <w:tcW w:w="21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000562"/>
              </w:rPr>
              <w:t>(excluding securities</w:t>
            </w: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20" w:type="dxa"/>
            <w:vAlign w:val="bottom"/>
            <w:gridSpan w:val="3"/>
          </w:tcPr>
          <w:p>
            <w:pPr>
              <w:jc w:val="center"/>
              <w:ind w:right="433"/>
              <w:spacing w:after="0" w:line="176" w:lineRule="exact"/>
              <w:rPr>
                <w:sz w:val="20"/>
                <w:szCs w:val="20"/>
                <w:color w:val="auto"/>
              </w:rPr>
            </w:pPr>
            <w:r>
              <w:rPr>
                <w:rFonts w:ascii="Arial" w:cs="Arial" w:eastAsia="Arial" w:hAnsi="Arial"/>
                <w:sz w:val="12"/>
                <w:szCs w:val="12"/>
                <w:b w:val="1"/>
                <w:bCs w:val="1"/>
                <w:color w:val="000562"/>
              </w:rPr>
              <w:t>and rights</w:t>
            </w:r>
            <w:r>
              <w:rPr>
                <w:rFonts w:ascii="Arial" w:cs="Arial" w:eastAsia="Arial" w:hAnsi="Arial"/>
                <w:sz w:val="20"/>
                <w:szCs w:val="20"/>
                <w:b w:val="1"/>
                <w:bCs w:val="1"/>
                <w:color w:val="000562"/>
                <w:vertAlign w:val="superscript"/>
              </w:rPr>
              <w:t>(1)</w:t>
            </w:r>
          </w:p>
        </w:tc>
        <w:tc>
          <w:tcPr>
            <w:tcW w:w="1600" w:type="dxa"/>
            <w:vAlign w:val="bottom"/>
            <w:gridSpan w:val="3"/>
          </w:tcPr>
          <w:p>
            <w:pPr>
              <w:jc w:val="center"/>
              <w:ind w:right="38"/>
              <w:spacing w:after="0" w:line="176" w:lineRule="exact"/>
              <w:rPr>
                <w:sz w:val="20"/>
                <w:szCs w:val="20"/>
                <w:color w:val="auto"/>
              </w:rPr>
            </w:pPr>
            <w:r>
              <w:rPr>
                <w:rFonts w:ascii="Arial" w:cs="Arial" w:eastAsia="Arial" w:hAnsi="Arial"/>
                <w:sz w:val="12"/>
                <w:szCs w:val="12"/>
                <w:b w:val="1"/>
                <w:bCs w:val="1"/>
                <w:color w:val="000562"/>
              </w:rPr>
              <w:t xml:space="preserve">warrants and rights </w:t>
            </w:r>
            <w:r>
              <w:rPr>
                <w:rFonts w:ascii="Arial" w:cs="Arial" w:eastAsia="Arial" w:hAnsi="Arial"/>
                <w:sz w:val="20"/>
                <w:szCs w:val="20"/>
                <w:b w:val="1"/>
                <w:bCs w:val="1"/>
                <w:color w:val="000562"/>
                <w:vertAlign w:val="superscript"/>
              </w:rPr>
              <w:t>(2)</w:t>
            </w:r>
          </w:p>
        </w:tc>
        <w:tc>
          <w:tcPr>
            <w:tcW w:w="2100" w:type="dxa"/>
            <w:vAlign w:val="bottom"/>
            <w:gridSpan w:val="5"/>
          </w:tcPr>
          <w:p>
            <w:pPr>
              <w:jc w:val="center"/>
              <w:spacing w:after="0" w:line="176" w:lineRule="exact"/>
              <w:rPr>
                <w:sz w:val="20"/>
                <w:szCs w:val="20"/>
                <w:color w:val="auto"/>
              </w:rPr>
            </w:pPr>
            <w:r>
              <w:rPr>
                <w:rFonts w:ascii="Arial" w:cs="Arial" w:eastAsia="Arial" w:hAnsi="Arial"/>
                <w:sz w:val="12"/>
                <w:szCs w:val="12"/>
                <w:b w:val="1"/>
                <w:bCs w:val="1"/>
                <w:color w:val="000562"/>
              </w:rPr>
              <w:t>reflected in column (a)</w:t>
            </w:r>
            <w:r>
              <w:rPr>
                <w:rFonts w:ascii="Arial" w:cs="Arial" w:eastAsia="Arial" w:hAnsi="Arial"/>
                <w:sz w:val="20"/>
                <w:szCs w:val="20"/>
                <w:b w:val="1"/>
                <w:bCs w:val="1"/>
                <w:color w:val="000562"/>
                <w:vertAlign w:val="superscript"/>
              </w:rPr>
              <w:t>(3)</w:t>
            </w:r>
            <w:r>
              <w:rPr>
                <w:rFonts w:ascii="Arial" w:cs="Arial" w:eastAsia="Arial" w:hAnsi="Arial"/>
                <w:sz w:val="12"/>
                <w:szCs w:val="12"/>
                <w:b w:val="1"/>
                <w:bCs w:val="1"/>
                <w:color w:val="000562"/>
              </w:rPr>
              <w:t>)</w:t>
            </w:r>
          </w:p>
        </w:tc>
        <w:tc>
          <w:tcPr>
            <w:tcW w:w="0" w:type="dxa"/>
            <w:vAlign w:val="bottom"/>
          </w:tcPr>
          <w:p>
            <w:pPr>
              <w:spacing w:after="0"/>
              <w:rPr>
                <w:sz w:val="1"/>
                <w:szCs w:val="1"/>
                <w:color w:val="auto"/>
              </w:rPr>
            </w:pPr>
          </w:p>
        </w:tc>
      </w:tr>
      <w:tr>
        <w:trPr>
          <w:trHeight w:val="189"/>
        </w:trPr>
        <w:tc>
          <w:tcPr>
            <w:tcW w:w="1740" w:type="dxa"/>
            <w:vAlign w:val="bottom"/>
            <w:tcBorders>
              <w:bottom w:val="single" w:sz="8" w:color="000562"/>
            </w:tcBorders>
            <w:gridSpan w:val="3"/>
          </w:tcPr>
          <w:p>
            <w:pPr>
              <w:ind w:left="20"/>
              <w:spacing w:after="0"/>
              <w:rPr>
                <w:sz w:val="20"/>
                <w:szCs w:val="20"/>
                <w:color w:val="auto"/>
              </w:rPr>
            </w:pPr>
            <w:r>
              <w:rPr>
                <w:rFonts w:ascii="Arial" w:cs="Arial" w:eastAsia="Arial" w:hAnsi="Arial"/>
                <w:sz w:val="14"/>
                <w:szCs w:val="14"/>
                <w:b w:val="1"/>
                <w:bCs w:val="1"/>
                <w:color w:val="000562"/>
              </w:rPr>
              <w:t>Plan category</w:t>
            </w:r>
          </w:p>
        </w:tc>
        <w:tc>
          <w:tcPr>
            <w:tcW w:w="820" w:type="dxa"/>
            <w:vAlign w:val="bottom"/>
            <w:tcBorders>
              <w:bottom w:val="single" w:sz="8" w:color="000562"/>
            </w:tcBorders>
          </w:tcPr>
          <w:p>
            <w:pPr>
              <w:spacing w:after="0"/>
              <w:rPr>
                <w:sz w:val="16"/>
                <w:szCs w:val="16"/>
                <w:color w:val="auto"/>
              </w:rPr>
            </w:pPr>
          </w:p>
        </w:tc>
        <w:tc>
          <w:tcPr>
            <w:tcW w:w="660" w:type="dxa"/>
            <w:vAlign w:val="bottom"/>
            <w:tcBorders>
              <w:bottom w:val="single" w:sz="8" w:color="000562"/>
            </w:tcBorders>
          </w:tcPr>
          <w:p>
            <w:pPr>
              <w:spacing w:after="0"/>
              <w:rPr>
                <w:sz w:val="16"/>
                <w:szCs w:val="16"/>
                <w:color w:val="auto"/>
              </w:rPr>
            </w:pPr>
          </w:p>
        </w:tc>
        <w:tc>
          <w:tcPr>
            <w:tcW w:w="660" w:type="dxa"/>
            <w:vAlign w:val="bottom"/>
            <w:tcBorders>
              <w:bottom w:val="single" w:sz="8" w:color="000562"/>
            </w:tcBorders>
          </w:tcPr>
          <w:p>
            <w:pPr>
              <w:spacing w:after="0"/>
              <w:rPr>
                <w:sz w:val="16"/>
                <w:szCs w:val="16"/>
                <w:color w:val="auto"/>
              </w:rPr>
            </w:pPr>
          </w:p>
        </w:tc>
        <w:tc>
          <w:tcPr>
            <w:tcW w:w="660" w:type="dxa"/>
            <w:vAlign w:val="bottom"/>
            <w:tcBorders>
              <w:bottom w:val="single" w:sz="8" w:color="000562"/>
            </w:tcBorders>
          </w:tcPr>
          <w:p>
            <w:pPr>
              <w:spacing w:after="0"/>
              <w:rPr>
                <w:sz w:val="16"/>
                <w:szCs w:val="16"/>
                <w:color w:val="auto"/>
              </w:rPr>
            </w:pPr>
          </w:p>
        </w:tc>
        <w:tc>
          <w:tcPr>
            <w:tcW w:w="780" w:type="dxa"/>
            <w:vAlign w:val="bottom"/>
            <w:tcBorders>
              <w:bottom w:val="single" w:sz="8" w:color="000562"/>
            </w:tcBorders>
            <w:gridSpan w:val="2"/>
          </w:tcPr>
          <w:p>
            <w:pPr>
              <w:jc w:val="center"/>
              <w:spacing w:after="0"/>
              <w:rPr>
                <w:sz w:val="20"/>
                <w:szCs w:val="20"/>
                <w:color w:val="auto"/>
              </w:rPr>
            </w:pPr>
            <w:r>
              <w:rPr>
                <w:rFonts w:ascii="Arial" w:cs="Arial" w:eastAsia="Arial" w:hAnsi="Arial"/>
                <w:sz w:val="14"/>
                <w:szCs w:val="14"/>
                <w:b w:val="1"/>
                <w:bCs w:val="1"/>
                <w:color w:val="000562"/>
              </w:rPr>
              <w:t>(a)</w:t>
            </w:r>
          </w:p>
        </w:tc>
        <w:tc>
          <w:tcPr>
            <w:tcW w:w="540" w:type="dxa"/>
            <w:vAlign w:val="bottom"/>
            <w:tcBorders>
              <w:bottom w:val="single" w:sz="8" w:color="000562"/>
            </w:tcBorders>
          </w:tcPr>
          <w:p>
            <w:pPr>
              <w:spacing w:after="0"/>
              <w:rPr>
                <w:sz w:val="16"/>
                <w:szCs w:val="16"/>
                <w:color w:val="auto"/>
              </w:rPr>
            </w:pPr>
          </w:p>
        </w:tc>
        <w:tc>
          <w:tcPr>
            <w:tcW w:w="660" w:type="dxa"/>
            <w:vAlign w:val="bottom"/>
            <w:tcBorders>
              <w:bottom w:val="single" w:sz="8" w:color="000562"/>
            </w:tcBorders>
          </w:tcPr>
          <w:p>
            <w:pPr>
              <w:spacing w:after="0"/>
              <w:rPr>
                <w:sz w:val="16"/>
                <w:szCs w:val="16"/>
                <w:color w:val="auto"/>
              </w:rPr>
            </w:pPr>
          </w:p>
        </w:tc>
        <w:tc>
          <w:tcPr>
            <w:tcW w:w="940" w:type="dxa"/>
            <w:vAlign w:val="bottom"/>
            <w:tcBorders>
              <w:bottom w:val="single" w:sz="8" w:color="000562"/>
            </w:tcBorders>
            <w:gridSpan w:val="2"/>
          </w:tcPr>
          <w:p>
            <w:pPr>
              <w:jc w:val="center"/>
              <w:ind w:right="718"/>
              <w:spacing w:after="0"/>
              <w:rPr>
                <w:sz w:val="20"/>
                <w:szCs w:val="20"/>
                <w:color w:val="auto"/>
              </w:rPr>
            </w:pPr>
            <w:r>
              <w:rPr>
                <w:rFonts w:ascii="Arial" w:cs="Arial" w:eastAsia="Arial" w:hAnsi="Arial"/>
                <w:sz w:val="14"/>
                <w:szCs w:val="14"/>
                <w:b w:val="1"/>
                <w:bCs w:val="1"/>
                <w:color w:val="000562"/>
                <w:w w:val="89"/>
              </w:rPr>
              <w:t>(b)</w:t>
            </w:r>
          </w:p>
        </w:tc>
        <w:tc>
          <w:tcPr>
            <w:tcW w:w="380" w:type="dxa"/>
            <w:vAlign w:val="bottom"/>
            <w:tcBorders>
              <w:bottom w:val="single" w:sz="8" w:color="000562"/>
            </w:tcBorders>
          </w:tcPr>
          <w:p>
            <w:pPr>
              <w:spacing w:after="0"/>
              <w:rPr>
                <w:sz w:val="16"/>
                <w:szCs w:val="16"/>
                <w:color w:val="auto"/>
              </w:rPr>
            </w:pPr>
          </w:p>
        </w:tc>
        <w:tc>
          <w:tcPr>
            <w:tcW w:w="100" w:type="dxa"/>
            <w:vAlign w:val="bottom"/>
            <w:tcBorders>
              <w:bottom w:val="single" w:sz="8" w:color="000562"/>
            </w:tcBorders>
          </w:tcPr>
          <w:p>
            <w:pPr>
              <w:spacing w:after="0"/>
              <w:rPr>
                <w:sz w:val="16"/>
                <w:szCs w:val="16"/>
                <w:color w:val="auto"/>
              </w:rPr>
            </w:pPr>
          </w:p>
        </w:tc>
        <w:tc>
          <w:tcPr>
            <w:tcW w:w="700" w:type="dxa"/>
            <w:vAlign w:val="bottom"/>
            <w:tcBorders>
              <w:bottom w:val="single" w:sz="8" w:color="000562"/>
            </w:tcBorders>
          </w:tcPr>
          <w:p>
            <w:pPr>
              <w:jc w:val="center"/>
              <w:ind w:left="411"/>
              <w:spacing w:after="0"/>
              <w:rPr>
                <w:sz w:val="20"/>
                <w:szCs w:val="20"/>
                <w:color w:val="auto"/>
              </w:rPr>
            </w:pPr>
            <w:r>
              <w:rPr>
                <w:rFonts w:ascii="Arial" w:cs="Arial" w:eastAsia="Arial" w:hAnsi="Arial"/>
                <w:sz w:val="14"/>
                <w:szCs w:val="14"/>
                <w:b w:val="1"/>
                <w:bCs w:val="1"/>
                <w:color w:val="000562"/>
              </w:rPr>
              <w:t>(c)</w:t>
            </w:r>
          </w:p>
        </w:tc>
        <w:tc>
          <w:tcPr>
            <w:tcW w:w="700" w:type="dxa"/>
            <w:vAlign w:val="bottom"/>
            <w:tcBorders>
              <w:bottom w:val="single" w:sz="8" w:color="000562"/>
            </w:tcBorders>
          </w:tcPr>
          <w:p>
            <w:pPr>
              <w:spacing w:after="0"/>
              <w:rPr>
                <w:sz w:val="16"/>
                <w:szCs w:val="16"/>
                <w:color w:val="auto"/>
              </w:rPr>
            </w:pPr>
          </w:p>
        </w:tc>
        <w:tc>
          <w:tcPr>
            <w:tcW w:w="220" w:type="dxa"/>
            <w:vAlign w:val="bottom"/>
            <w:tcBorders>
              <w:bottom w:val="single" w:sz="8" w:color="000562"/>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80" w:type="dxa"/>
            <w:vAlign w:val="bottom"/>
            <w:tcBorders>
              <w:right w:val="single" w:sz="8" w:color="E9EFEE"/>
            </w:tcBorders>
            <w:gridSpan w:val="6"/>
            <w:shd w:val="clear" w:color="auto" w:fill="E9EFEE"/>
          </w:tcPr>
          <w:p>
            <w:pPr>
              <w:ind w:left="20"/>
              <w:spacing w:after="0"/>
              <w:rPr>
                <w:sz w:val="20"/>
                <w:szCs w:val="20"/>
                <w:color w:val="auto"/>
              </w:rPr>
            </w:pPr>
            <w:r>
              <w:rPr>
                <w:rFonts w:ascii="Arial" w:cs="Arial" w:eastAsia="Arial" w:hAnsi="Arial"/>
                <w:sz w:val="18"/>
                <w:szCs w:val="18"/>
                <w:color w:val="auto"/>
                <w:w w:val="98"/>
              </w:rPr>
              <w:t>Equity compensation plans approved by security</w:t>
            </w:r>
          </w:p>
        </w:tc>
        <w:tc>
          <w:tcPr>
            <w:tcW w:w="660" w:type="dxa"/>
            <w:vAlign w:val="bottom"/>
            <w:tcBorders>
              <w:right w:val="single" w:sz="8" w:color="E9EFEE"/>
            </w:tcBorders>
            <w:shd w:val="clear" w:color="auto" w:fill="E9EFEE"/>
          </w:tcPr>
          <w:p>
            <w:pPr>
              <w:spacing w:after="0"/>
              <w:rPr>
                <w:sz w:val="18"/>
                <w:szCs w:val="18"/>
                <w:color w:val="auto"/>
              </w:rPr>
            </w:pPr>
          </w:p>
        </w:tc>
        <w:tc>
          <w:tcPr>
            <w:tcW w:w="660" w:type="dxa"/>
            <w:vAlign w:val="bottom"/>
            <w:tcBorders>
              <w:right w:val="single" w:sz="8" w:color="E9EFEE"/>
            </w:tcBorders>
            <w:shd w:val="clear" w:color="auto" w:fill="E9EFEE"/>
          </w:tcPr>
          <w:p>
            <w:pPr>
              <w:spacing w:after="0"/>
              <w:rPr>
                <w:sz w:val="18"/>
                <w:szCs w:val="18"/>
                <w:color w:val="auto"/>
              </w:rPr>
            </w:pPr>
          </w:p>
        </w:tc>
        <w:tc>
          <w:tcPr>
            <w:tcW w:w="120" w:type="dxa"/>
            <w:vAlign w:val="bottom"/>
            <w:shd w:val="clear" w:color="auto" w:fill="E9EFEE"/>
          </w:tcPr>
          <w:p>
            <w:pPr>
              <w:spacing w:after="0"/>
              <w:rPr>
                <w:sz w:val="18"/>
                <w:szCs w:val="18"/>
                <w:color w:val="auto"/>
              </w:rPr>
            </w:pPr>
          </w:p>
        </w:tc>
        <w:tc>
          <w:tcPr>
            <w:tcW w:w="540" w:type="dxa"/>
            <w:vAlign w:val="bottom"/>
            <w:tcBorders>
              <w:right w:val="single" w:sz="8" w:color="E9EFEE"/>
            </w:tcBorders>
            <w:shd w:val="clear" w:color="auto" w:fill="E9EFEE"/>
          </w:tcPr>
          <w:p>
            <w:pPr>
              <w:spacing w:after="0"/>
              <w:rPr>
                <w:sz w:val="18"/>
                <w:szCs w:val="18"/>
                <w:color w:val="auto"/>
              </w:rPr>
            </w:pPr>
          </w:p>
        </w:tc>
        <w:tc>
          <w:tcPr>
            <w:tcW w:w="660" w:type="dxa"/>
            <w:vAlign w:val="bottom"/>
            <w:tcBorders>
              <w:right w:val="single" w:sz="8" w:color="E9EFEE"/>
            </w:tcBorders>
            <w:shd w:val="clear" w:color="auto" w:fill="E9EFEE"/>
          </w:tcPr>
          <w:p>
            <w:pPr>
              <w:spacing w:after="0"/>
              <w:rPr>
                <w:sz w:val="18"/>
                <w:szCs w:val="18"/>
                <w:color w:val="auto"/>
              </w:rPr>
            </w:pPr>
          </w:p>
        </w:tc>
        <w:tc>
          <w:tcPr>
            <w:tcW w:w="720" w:type="dxa"/>
            <w:vAlign w:val="bottom"/>
            <w:tcBorders>
              <w:right w:val="single" w:sz="8" w:color="E9EFEE"/>
            </w:tcBorders>
            <w:shd w:val="clear" w:color="auto" w:fill="E9EFEE"/>
          </w:tcPr>
          <w:p>
            <w:pPr>
              <w:spacing w:after="0"/>
              <w:rPr>
                <w:sz w:val="18"/>
                <w:szCs w:val="18"/>
                <w:color w:val="auto"/>
              </w:rPr>
            </w:pPr>
          </w:p>
        </w:tc>
        <w:tc>
          <w:tcPr>
            <w:tcW w:w="220" w:type="dxa"/>
            <w:vAlign w:val="bottom"/>
            <w:shd w:val="clear" w:color="auto" w:fill="E9EFEE"/>
          </w:tcPr>
          <w:p>
            <w:pPr>
              <w:spacing w:after="0"/>
              <w:rPr>
                <w:sz w:val="18"/>
                <w:szCs w:val="18"/>
                <w:color w:val="auto"/>
              </w:rPr>
            </w:pPr>
          </w:p>
        </w:tc>
        <w:tc>
          <w:tcPr>
            <w:tcW w:w="380" w:type="dxa"/>
            <w:vAlign w:val="bottom"/>
            <w:shd w:val="clear" w:color="auto" w:fill="E9EFEE"/>
          </w:tcPr>
          <w:p>
            <w:pPr>
              <w:spacing w:after="0"/>
              <w:rPr>
                <w:sz w:val="18"/>
                <w:szCs w:val="18"/>
                <w:color w:val="auto"/>
              </w:rPr>
            </w:pPr>
          </w:p>
        </w:tc>
        <w:tc>
          <w:tcPr>
            <w:tcW w:w="100" w:type="dxa"/>
            <w:vAlign w:val="bottom"/>
            <w:tcBorders>
              <w:right w:val="single" w:sz="8" w:color="E9EFEE"/>
            </w:tcBorders>
            <w:shd w:val="clear" w:color="auto" w:fill="E9EFEE"/>
          </w:tcPr>
          <w:p>
            <w:pPr>
              <w:spacing w:after="0"/>
              <w:rPr>
                <w:sz w:val="18"/>
                <w:szCs w:val="18"/>
                <w:color w:val="auto"/>
              </w:rPr>
            </w:pPr>
          </w:p>
        </w:tc>
        <w:tc>
          <w:tcPr>
            <w:tcW w:w="700" w:type="dxa"/>
            <w:vAlign w:val="bottom"/>
            <w:tcBorders>
              <w:right w:val="single" w:sz="8" w:color="E9EFEE"/>
            </w:tcBorders>
            <w:shd w:val="clear" w:color="auto" w:fill="E9EFEE"/>
          </w:tcPr>
          <w:p>
            <w:pPr>
              <w:spacing w:after="0"/>
              <w:rPr>
                <w:sz w:val="18"/>
                <w:szCs w:val="18"/>
                <w:color w:val="auto"/>
              </w:rPr>
            </w:pPr>
          </w:p>
        </w:tc>
        <w:tc>
          <w:tcPr>
            <w:tcW w:w="700" w:type="dxa"/>
            <w:vAlign w:val="bottom"/>
            <w:tcBorders>
              <w:right w:val="single" w:sz="8" w:color="E9EFEE"/>
            </w:tcBorders>
            <w:shd w:val="clear" w:color="auto" w:fill="E9EFEE"/>
          </w:tcPr>
          <w:p>
            <w:pPr>
              <w:spacing w:after="0"/>
              <w:rPr>
                <w:sz w:val="18"/>
                <w:szCs w:val="18"/>
                <w:color w:val="auto"/>
              </w:rPr>
            </w:pPr>
          </w:p>
        </w:tc>
        <w:tc>
          <w:tcPr>
            <w:tcW w:w="220" w:type="dxa"/>
            <w:vAlign w:val="bottom"/>
            <w:shd w:val="clear" w:color="auto" w:fill="E9EFE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40" w:type="dxa"/>
            <w:vAlign w:val="bottom"/>
            <w:tcBorders>
              <w:right w:val="single" w:sz="8" w:color="E9EFEE"/>
            </w:tcBorders>
            <w:gridSpan w:val="3"/>
            <w:shd w:val="clear" w:color="auto" w:fill="E9EFEE"/>
          </w:tcPr>
          <w:p>
            <w:pPr>
              <w:ind w:left="20"/>
              <w:spacing w:after="0"/>
              <w:rPr>
                <w:sz w:val="20"/>
                <w:szCs w:val="20"/>
                <w:color w:val="auto"/>
              </w:rPr>
            </w:pPr>
            <w:r>
              <w:rPr>
                <w:rFonts w:ascii="Arial" w:cs="Arial" w:eastAsia="Arial" w:hAnsi="Arial"/>
                <w:sz w:val="18"/>
                <w:szCs w:val="18"/>
                <w:color w:val="auto"/>
              </w:rPr>
              <w:t>holders</w:t>
            </w:r>
          </w:p>
        </w:tc>
        <w:tc>
          <w:tcPr>
            <w:tcW w:w="820" w:type="dxa"/>
            <w:vAlign w:val="bottom"/>
            <w:tcBorders>
              <w:right w:val="single" w:sz="8" w:color="E9EFEE"/>
            </w:tcBorders>
            <w:shd w:val="clear" w:color="auto" w:fill="E9EFEE"/>
          </w:tcPr>
          <w:p>
            <w:pPr>
              <w:spacing w:after="0"/>
              <w:rPr>
                <w:sz w:val="18"/>
                <w:szCs w:val="18"/>
                <w:color w:val="auto"/>
              </w:rPr>
            </w:pPr>
          </w:p>
        </w:tc>
        <w:tc>
          <w:tcPr>
            <w:tcW w:w="660" w:type="dxa"/>
            <w:vAlign w:val="bottom"/>
            <w:tcBorders>
              <w:right w:val="single" w:sz="8" w:color="E9EFEE"/>
            </w:tcBorders>
            <w:shd w:val="clear" w:color="auto" w:fill="E9EFEE"/>
          </w:tcPr>
          <w:p>
            <w:pPr>
              <w:spacing w:after="0"/>
              <w:rPr>
                <w:sz w:val="18"/>
                <w:szCs w:val="18"/>
                <w:color w:val="auto"/>
              </w:rPr>
            </w:pPr>
          </w:p>
        </w:tc>
        <w:tc>
          <w:tcPr>
            <w:tcW w:w="660" w:type="dxa"/>
            <w:vAlign w:val="bottom"/>
            <w:tcBorders>
              <w:right w:val="single" w:sz="8" w:color="E9EFEE"/>
            </w:tcBorders>
            <w:shd w:val="clear" w:color="auto" w:fill="E9EFEE"/>
          </w:tcPr>
          <w:p>
            <w:pPr>
              <w:spacing w:after="0"/>
              <w:rPr>
                <w:sz w:val="18"/>
                <w:szCs w:val="18"/>
                <w:color w:val="auto"/>
              </w:rPr>
            </w:pPr>
          </w:p>
        </w:tc>
        <w:tc>
          <w:tcPr>
            <w:tcW w:w="660" w:type="dxa"/>
            <w:vAlign w:val="bottom"/>
            <w:tcBorders>
              <w:right w:val="single" w:sz="8" w:color="E9EFEE"/>
            </w:tcBorders>
            <w:shd w:val="clear" w:color="auto" w:fill="E9EFEE"/>
          </w:tcPr>
          <w:p>
            <w:pPr>
              <w:spacing w:after="0"/>
              <w:rPr>
                <w:sz w:val="18"/>
                <w:szCs w:val="18"/>
                <w:color w:val="auto"/>
              </w:rPr>
            </w:pPr>
          </w:p>
        </w:tc>
        <w:tc>
          <w:tcPr>
            <w:tcW w:w="780" w:type="dxa"/>
            <w:vAlign w:val="bottom"/>
            <w:gridSpan w:val="2"/>
            <w:shd w:val="clear" w:color="auto" w:fill="E9EFEE"/>
          </w:tcPr>
          <w:p>
            <w:pPr>
              <w:jc w:val="right"/>
              <w:ind w:right="100"/>
              <w:spacing w:after="0"/>
              <w:rPr>
                <w:sz w:val="20"/>
                <w:szCs w:val="20"/>
                <w:color w:val="auto"/>
              </w:rPr>
            </w:pPr>
            <w:r>
              <w:rPr>
                <w:rFonts w:ascii="Arial" w:cs="Arial" w:eastAsia="Arial" w:hAnsi="Arial"/>
                <w:sz w:val="18"/>
                <w:szCs w:val="18"/>
                <w:color w:val="auto"/>
              </w:rPr>
              <w:t>787,375</w:t>
            </w:r>
          </w:p>
        </w:tc>
        <w:tc>
          <w:tcPr>
            <w:tcW w:w="540" w:type="dxa"/>
            <w:vAlign w:val="bottom"/>
            <w:tcBorders>
              <w:right w:val="single" w:sz="8" w:color="E9EFEE"/>
            </w:tcBorders>
            <w:shd w:val="clear" w:color="auto" w:fill="E9EFEE"/>
          </w:tcPr>
          <w:p>
            <w:pPr>
              <w:spacing w:after="0"/>
              <w:rPr>
                <w:sz w:val="18"/>
                <w:szCs w:val="18"/>
                <w:color w:val="auto"/>
              </w:rPr>
            </w:pPr>
          </w:p>
        </w:tc>
        <w:tc>
          <w:tcPr>
            <w:tcW w:w="660" w:type="dxa"/>
            <w:vAlign w:val="bottom"/>
            <w:tcBorders>
              <w:right w:val="single" w:sz="8" w:color="E9EFEE"/>
            </w:tcBorders>
            <w:shd w:val="clear" w:color="auto" w:fill="E9EFEE"/>
          </w:tcPr>
          <w:p>
            <w:pPr>
              <w:spacing w:after="0"/>
              <w:rPr>
                <w:sz w:val="18"/>
                <w:szCs w:val="18"/>
                <w:color w:val="auto"/>
              </w:rPr>
            </w:pPr>
          </w:p>
        </w:tc>
        <w:tc>
          <w:tcPr>
            <w:tcW w:w="720" w:type="dxa"/>
            <w:vAlign w:val="bottom"/>
            <w:tcBorders>
              <w:right w:val="single" w:sz="8" w:color="E9EFEE"/>
            </w:tcBorders>
            <w:shd w:val="clear" w:color="auto" w:fill="E9EFEE"/>
          </w:tcPr>
          <w:p>
            <w:pPr>
              <w:jc w:val="right"/>
              <w:ind w:right="143"/>
              <w:spacing w:after="0"/>
              <w:rPr>
                <w:sz w:val="20"/>
                <w:szCs w:val="20"/>
                <w:color w:val="auto"/>
              </w:rPr>
            </w:pPr>
            <w:r>
              <w:rPr>
                <w:rFonts w:ascii="Arial" w:cs="Arial" w:eastAsia="Arial" w:hAnsi="Arial"/>
                <w:sz w:val="18"/>
                <w:szCs w:val="18"/>
                <w:color w:val="auto"/>
                <w:w w:val="87"/>
              </w:rPr>
              <w:t>$17.87</w:t>
            </w:r>
          </w:p>
        </w:tc>
        <w:tc>
          <w:tcPr>
            <w:tcW w:w="220" w:type="dxa"/>
            <w:vAlign w:val="bottom"/>
            <w:shd w:val="clear" w:color="auto" w:fill="E9EFEE"/>
          </w:tcPr>
          <w:p>
            <w:pPr>
              <w:spacing w:after="0"/>
              <w:rPr>
                <w:sz w:val="18"/>
                <w:szCs w:val="18"/>
                <w:color w:val="auto"/>
              </w:rPr>
            </w:pPr>
          </w:p>
        </w:tc>
        <w:tc>
          <w:tcPr>
            <w:tcW w:w="380" w:type="dxa"/>
            <w:vAlign w:val="bottom"/>
            <w:shd w:val="clear" w:color="auto" w:fill="E9EFEE"/>
          </w:tcPr>
          <w:p>
            <w:pPr>
              <w:spacing w:after="0"/>
              <w:rPr>
                <w:sz w:val="18"/>
                <w:szCs w:val="18"/>
                <w:color w:val="auto"/>
              </w:rPr>
            </w:pPr>
          </w:p>
        </w:tc>
        <w:tc>
          <w:tcPr>
            <w:tcW w:w="1500" w:type="dxa"/>
            <w:vAlign w:val="bottom"/>
            <w:tcBorders>
              <w:right w:val="single" w:sz="8" w:color="E9EFEE"/>
            </w:tcBorders>
            <w:gridSpan w:val="3"/>
            <w:shd w:val="clear" w:color="auto" w:fill="E9EFEE"/>
          </w:tcPr>
          <w:p>
            <w:pPr>
              <w:jc w:val="right"/>
              <w:ind w:right="145"/>
              <w:spacing w:after="0"/>
              <w:rPr>
                <w:sz w:val="20"/>
                <w:szCs w:val="20"/>
                <w:color w:val="auto"/>
              </w:rPr>
            </w:pPr>
            <w:r>
              <w:rPr>
                <w:rFonts w:ascii="Arial" w:cs="Arial" w:eastAsia="Arial" w:hAnsi="Arial"/>
                <w:sz w:val="18"/>
                <w:szCs w:val="18"/>
                <w:color w:val="auto"/>
              </w:rPr>
              <w:t>1,684,942</w:t>
            </w:r>
          </w:p>
        </w:tc>
        <w:tc>
          <w:tcPr>
            <w:tcW w:w="220" w:type="dxa"/>
            <w:vAlign w:val="bottom"/>
            <w:shd w:val="clear" w:color="auto" w:fill="E9EFE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6"/>
          </w:tcPr>
          <w:p>
            <w:pPr>
              <w:ind w:left="20"/>
              <w:spacing w:after="0"/>
              <w:rPr>
                <w:sz w:val="20"/>
                <w:szCs w:val="20"/>
                <w:color w:val="auto"/>
              </w:rPr>
            </w:pPr>
            <w:r>
              <w:rPr>
                <w:rFonts w:ascii="Arial" w:cs="Arial" w:eastAsia="Arial" w:hAnsi="Arial"/>
                <w:sz w:val="18"/>
                <w:szCs w:val="18"/>
                <w:color w:val="auto"/>
              </w:rPr>
              <w:t>Equity compensation plans not approved by</w:t>
            </w: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40" w:type="dxa"/>
            <w:vAlign w:val="bottom"/>
            <w:tcBorders>
              <w:bottom w:val="single" w:sz="8" w:color="000562"/>
            </w:tcBorders>
            <w:gridSpan w:val="3"/>
          </w:tcPr>
          <w:p>
            <w:pPr>
              <w:ind w:left="20"/>
              <w:spacing w:after="0"/>
              <w:rPr>
                <w:sz w:val="20"/>
                <w:szCs w:val="20"/>
                <w:color w:val="auto"/>
              </w:rPr>
            </w:pPr>
            <w:r>
              <w:rPr>
                <w:rFonts w:ascii="Arial" w:cs="Arial" w:eastAsia="Arial" w:hAnsi="Arial"/>
                <w:sz w:val="18"/>
                <w:szCs w:val="18"/>
                <w:color w:val="auto"/>
              </w:rPr>
              <w:t>security holders</w:t>
            </w:r>
          </w:p>
        </w:tc>
        <w:tc>
          <w:tcPr>
            <w:tcW w:w="820" w:type="dxa"/>
            <w:vAlign w:val="bottom"/>
            <w:tcBorders>
              <w:bottom w:val="single" w:sz="8" w:color="000562"/>
            </w:tcBorders>
          </w:tcPr>
          <w:p>
            <w:pPr>
              <w:spacing w:after="0"/>
              <w:rPr>
                <w:sz w:val="18"/>
                <w:szCs w:val="18"/>
                <w:color w:val="auto"/>
              </w:rPr>
            </w:pPr>
          </w:p>
        </w:tc>
        <w:tc>
          <w:tcPr>
            <w:tcW w:w="660" w:type="dxa"/>
            <w:vAlign w:val="bottom"/>
            <w:tcBorders>
              <w:bottom w:val="single" w:sz="8" w:color="000562"/>
            </w:tcBorders>
          </w:tcPr>
          <w:p>
            <w:pPr>
              <w:spacing w:after="0"/>
              <w:rPr>
                <w:sz w:val="18"/>
                <w:szCs w:val="18"/>
                <w:color w:val="auto"/>
              </w:rPr>
            </w:pPr>
          </w:p>
        </w:tc>
        <w:tc>
          <w:tcPr>
            <w:tcW w:w="660" w:type="dxa"/>
            <w:vAlign w:val="bottom"/>
            <w:tcBorders>
              <w:bottom w:val="single" w:sz="8" w:color="000562"/>
            </w:tcBorders>
          </w:tcPr>
          <w:p>
            <w:pPr>
              <w:spacing w:after="0"/>
              <w:rPr>
                <w:sz w:val="18"/>
                <w:szCs w:val="18"/>
                <w:color w:val="auto"/>
              </w:rPr>
            </w:pPr>
          </w:p>
        </w:tc>
        <w:tc>
          <w:tcPr>
            <w:tcW w:w="660" w:type="dxa"/>
            <w:vAlign w:val="bottom"/>
            <w:tcBorders>
              <w:bottom w:val="single" w:sz="8" w:color="000562"/>
            </w:tcBorders>
          </w:tcPr>
          <w:p>
            <w:pPr>
              <w:spacing w:after="0"/>
              <w:rPr>
                <w:sz w:val="18"/>
                <w:szCs w:val="18"/>
                <w:color w:val="auto"/>
              </w:rPr>
            </w:pPr>
          </w:p>
        </w:tc>
        <w:tc>
          <w:tcPr>
            <w:tcW w:w="780" w:type="dxa"/>
            <w:vAlign w:val="bottom"/>
            <w:tcBorders>
              <w:bottom w:val="single" w:sz="8" w:color="000562"/>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000562"/>
            </w:tcBorders>
          </w:tcPr>
          <w:p>
            <w:pPr>
              <w:spacing w:after="0"/>
              <w:rPr>
                <w:sz w:val="18"/>
                <w:szCs w:val="18"/>
                <w:color w:val="auto"/>
              </w:rPr>
            </w:pPr>
          </w:p>
        </w:tc>
        <w:tc>
          <w:tcPr>
            <w:tcW w:w="660" w:type="dxa"/>
            <w:vAlign w:val="bottom"/>
            <w:tcBorders>
              <w:bottom w:val="single" w:sz="8" w:color="000562"/>
            </w:tcBorders>
          </w:tcPr>
          <w:p>
            <w:pPr>
              <w:spacing w:after="0"/>
              <w:rPr>
                <w:sz w:val="18"/>
                <w:szCs w:val="18"/>
                <w:color w:val="auto"/>
              </w:rPr>
            </w:pPr>
          </w:p>
        </w:tc>
        <w:tc>
          <w:tcPr>
            <w:tcW w:w="940" w:type="dxa"/>
            <w:vAlign w:val="bottom"/>
            <w:tcBorders>
              <w:bottom w:val="single" w:sz="8" w:color="000562"/>
            </w:tcBorders>
            <w:gridSpan w:val="2"/>
          </w:tcPr>
          <w:p>
            <w:pPr>
              <w:jc w:val="right"/>
              <w:ind w:right="378"/>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000562"/>
            </w:tcBorders>
          </w:tcPr>
          <w:p>
            <w:pPr>
              <w:spacing w:after="0"/>
              <w:rPr>
                <w:sz w:val="18"/>
                <w:szCs w:val="18"/>
                <w:color w:val="auto"/>
              </w:rPr>
            </w:pPr>
          </w:p>
        </w:tc>
        <w:tc>
          <w:tcPr>
            <w:tcW w:w="100" w:type="dxa"/>
            <w:vAlign w:val="bottom"/>
            <w:tcBorders>
              <w:bottom w:val="single" w:sz="8" w:color="000562"/>
            </w:tcBorders>
          </w:tcPr>
          <w:p>
            <w:pPr>
              <w:spacing w:after="0"/>
              <w:rPr>
                <w:sz w:val="18"/>
                <w:szCs w:val="18"/>
                <w:color w:val="auto"/>
              </w:rPr>
            </w:pPr>
          </w:p>
        </w:tc>
        <w:tc>
          <w:tcPr>
            <w:tcW w:w="700" w:type="dxa"/>
            <w:vAlign w:val="bottom"/>
            <w:tcBorders>
              <w:bottom w:val="single" w:sz="8" w:color="000562"/>
            </w:tcBorders>
          </w:tcPr>
          <w:p>
            <w:pPr>
              <w:spacing w:after="0"/>
              <w:rPr>
                <w:sz w:val="18"/>
                <w:szCs w:val="18"/>
                <w:color w:val="auto"/>
              </w:rPr>
            </w:pPr>
          </w:p>
        </w:tc>
        <w:tc>
          <w:tcPr>
            <w:tcW w:w="920" w:type="dxa"/>
            <w:vAlign w:val="bottom"/>
            <w:tcBorders>
              <w:bottom w:val="single" w:sz="8" w:color="000562"/>
            </w:tcBorders>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400" w:hanging="353"/>
        <w:spacing w:after="0"/>
        <w:tabs>
          <w:tab w:leader="none" w:pos="40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The number of shares reported may overstate dilution due to the inclusion of performance-based awards.</w:t>
      </w:r>
    </w:p>
    <w:p>
      <w:pPr>
        <w:spacing w:after="0" w:line="97" w:lineRule="exact"/>
        <w:rPr>
          <w:rFonts w:ascii="Arial" w:cs="Arial" w:eastAsia="Arial" w:hAnsi="Arial"/>
          <w:sz w:val="18"/>
          <w:szCs w:val="18"/>
          <w:color w:val="auto"/>
          <w:vertAlign w:val="superscript"/>
        </w:rPr>
      </w:pPr>
    </w:p>
    <w:p>
      <w:pPr>
        <w:ind w:left="400" w:hanging="353"/>
        <w:spacing w:after="0" w:line="218" w:lineRule="auto"/>
        <w:tabs>
          <w:tab w:leader="none" w:pos="40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Restricted stock units and performance-based awards are not taken into account in the weighted-average exercise price as such awards have no exercise price.</w:t>
      </w:r>
    </w:p>
    <w:p>
      <w:pPr>
        <w:spacing w:after="0" w:line="97" w:lineRule="exact"/>
        <w:rPr>
          <w:rFonts w:ascii="Arial" w:cs="Arial" w:eastAsia="Arial" w:hAnsi="Arial"/>
          <w:sz w:val="18"/>
          <w:szCs w:val="18"/>
          <w:color w:val="auto"/>
          <w:vertAlign w:val="superscript"/>
        </w:rPr>
      </w:pPr>
    </w:p>
    <w:p>
      <w:pPr>
        <w:ind w:left="400" w:right="20" w:hanging="353"/>
        <w:spacing w:after="0" w:line="218" w:lineRule="auto"/>
        <w:tabs>
          <w:tab w:leader="none" w:pos="40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As of December 31, 2018, includes shares available for future issuance under the 2017 Equity and Incentive Compensation Plan, including for awards other than options and rights.</w:t>
      </w:r>
    </w:p>
    <w:p>
      <w:pPr>
        <w:spacing w:after="0" w:line="182" w:lineRule="exact"/>
        <w:rPr>
          <w:sz w:val="20"/>
          <w:szCs w:val="20"/>
          <w:color w:val="auto"/>
        </w:rPr>
      </w:pPr>
    </w:p>
    <w:p>
      <w:pPr>
        <w:ind w:left="7140"/>
        <w:spacing w:after="0"/>
        <w:tabs>
          <w:tab w:leader="none" w:pos="9040" w:val="left"/>
          <w:tab w:leader="none" w:pos="9340" w:val="left"/>
        </w:tabs>
        <w:rPr>
          <w:sz w:val="20"/>
          <w:szCs w:val="20"/>
          <w:color w:val="auto"/>
        </w:rPr>
      </w:pPr>
      <w:r>
        <w:rPr>
          <w:rFonts w:ascii="Arial" w:cs="Arial" w:eastAsia="Arial" w:hAnsi="Arial"/>
          <w:sz w:val="18"/>
          <w:szCs w:val="18"/>
          <w:i w:val="1"/>
          <w:iCs w:val="1"/>
          <w:color w:val="auto"/>
        </w:rPr>
        <w:t>2019 Proxy Statement</w:t>
      </w:r>
      <w:r>
        <w:rPr>
          <w:sz w:val="20"/>
          <w:szCs w:val="20"/>
          <w:color w:val="auto"/>
        </w:rPr>
        <w:tab/>
      </w:r>
      <w:r>
        <w:rPr>
          <w:rFonts w:ascii="Arial" w:cs="Arial" w:eastAsia="Arial" w:hAnsi="Arial"/>
          <w:sz w:val="22"/>
          <w:szCs w:val="22"/>
          <w:b w:val="1"/>
          <w:bCs w:val="1"/>
          <w:color w:val="000562"/>
        </w:rPr>
        <w:t>I</w:t>
      </w:r>
      <w:r>
        <w:rPr>
          <w:sz w:val="20"/>
          <w:szCs w:val="20"/>
          <w:color w:val="auto"/>
        </w:rPr>
        <w:tab/>
      </w:r>
      <w:r>
        <w:rPr>
          <w:rFonts w:ascii="Arial" w:cs="Arial" w:eastAsia="Arial" w:hAnsi="Arial"/>
          <w:sz w:val="17"/>
          <w:szCs w:val="17"/>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07187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000562"/>
        </w:rPr>
        <w:t>TriMas Corporation</w:t>
      </w:r>
    </w:p>
    <w:p>
      <w:pPr>
        <w:spacing w:after="0" w:line="188" w:lineRule="exact"/>
        <w:rPr>
          <w:sz w:val="20"/>
          <w:szCs w:val="20"/>
          <w:color w:val="auto"/>
        </w:rPr>
      </w:pPr>
    </w:p>
    <w:p>
      <w:pPr>
        <w:ind w:right="1080"/>
        <w:spacing w:after="0" w:line="231" w:lineRule="auto"/>
        <w:rPr>
          <w:sz w:val="20"/>
          <w:szCs w:val="20"/>
          <w:color w:val="auto"/>
        </w:rPr>
      </w:pPr>
      <w:r>
        <w:rPr>
          <w:rFonts w:ascii="Arial" w:cs="Arial" w:eastAsia="Arial" w:hAnsi="Arial"/>
          <w:sz w:val="43"/>
          <w:szCs w:val="43"/>
          <w:color w:val="000562"/>
        </w:rPr>
        <w:t>SECTION 16(a) BENEFICIAL OWNERSHIP REPORTING COMPLIANCE</w:t>
      </w:r>
    </w:p>
    <w:p>
      <w:pPr>
        <w:spacing w:after="0" w:line="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Section 16(a) of the Exchange Act requires our directors, officers and greater than 10% shareholders (if any) to file reports of ownership and changes in ownership with respect to our securities with the SEC and to furnish copies of these reports to us. We reviewed the filed reports and written representations from our directors, executive officers and greater than 10% shareholders regarding the necessity of filing reports. With the exception of one Section 16(a) report filed for each of Messrs. Parker (with respect to one transaction) and Miller (with respect to one transaction) and one report filed for Ms. Gougarty (with respect to one transaction) that were filed late due to administrative oversight, we believe that all of our officers, directors and greater than 10% shareholders complied with all applicable Section 16(a) filing requirements for 2018 with respect to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000562"/>
        </w:rPr>
        <w:t>Executive Officers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Officers of the Company serve at the pleasure of the Board.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20" w:type="dxa"/>
            <w:vAlign w:val="bottom"/>
            <w:tcBorders>
              <w:bottom w:val="single" w:sz="8" w:color="000562"/>
            </w:tcBorders>
          </w:tcPr>
          <w:p>
            <w:pPr>
              <w:ind w:left="20"/>
              <w:spacing w:after="0"/>
              <w:rPr>
                <w:sz w:val="20"/>
                <w:szCs w:val="20"/>
                <w:color w:val="auto"/>
              </w:rPr>
            </w:pPr>
            <w:r>
              <w:rPr>
                <w:rFonts w:ascii="Arial" w:cs="Arial" w:eastAsia="Arial" w:hAnsi="Arial"/>
                <w:sz w:val="14"/>
                <w:szCs w:val="14"/>
                <w:b w:val="1"/>
                <w:bCs w:val="1"/>
                <w:color w:val="000562"/>
              </w:rPr>
              <w:t>Name</w:t>
            </w:r>
          </w:p>
        </w:tc>
        <w:tc>
          <w:tcPr>
            <w:tcW w:w="1060" w:type="dxa"/>
            <w:vAlign w:val="bottom"/>
            <w:tcBorders>
              <w:bottom w:val="single" w:sz="8" w:color="000562"/>
            </w:tcBorders>
          </w:tcPr>
          <w:p>
            <w:pPr>
              <w:jc w:val="center"/>
              <w:ind w:left="174"/>
              <w:spacing w:after="0"/>
              <w:rPr>
                <w:sz w:val="20"/>
                <w:szCs w:val="20"/>
                <w:color w:val="auto"/>
              </w:rPr>
            </w:pPr>
            <w:r>
              <w:rPr>
                <w:rFonts w:ascii="Arial" w:cs="Arial" w:eastAsia="Arial" w:hAnsi="Arial"/>
                <w:sz w:val="14"/>
                <w:szCs w:val="14"/>
                <w:b w:val="1"/>
                <w:bCs w:val="1"/>
                <w:color w:val="000562"/>
              </w:rPr>
              <w:t>Age</w:t>
            </w:r>
          </w:p>
        </w:tc>
        <w:tc>
          <w:tcPr>
            <w:tcW w:w="6480" w:type="dxa"/>
            <w:vAlign w:val="bottom"/>
            <w:tcBorders>
              <w:bottom w:val="single" w:sz="8" w:color="000562"/>
            </w:tcBorders>
          </w:tcPr>
          <w:p>
            <w:pPr>
              <w:ind w:left="3220"/>
              <w:spacing w:after="0"/>
              <w:rPr>
                <w:sz w:val="20"/>
                <w:szCs w:val="20"/>
                <w:color w:val="auto"/>
              </w:rPr>
            </w:pPr>
            <w:r>
              <w:rPr>
                <w:rFonts w:ascii="Arial" w:cs="Arial" w:eastAsia="Arial" w:hAnsi="Arial"/>
                <w:sz w:val="14"/>
                <w:szCs w:val="14"/>
                <w:b w:val="1"/>
                <w:bCs w:val="1"/>
                <w:color w:val="000562"/>
              </w:rPr>
              <w:t>Title</w:t>
            </w:r>
          </w:p>
        </w:tc>
      </w:tr>
      <w:tr>
        <w:trPr>
          <w:trHeight w:val="223"/>
        </w:trPr>
        <w:tc>
          <w:tcPr>
            <w:tcW w:w="2020" w:type="dxa"/>
            <w:vAlign w:val="bottom"/>
            <w:shd w:val="clear" w:color="auto" w:fill="E9EFEE"/>
          </w:tcPr>
          <w:p>
            <w:pPr>
              <w:ind w:left="20"/>
              <w:spacing w:after="0"/>
              <w:rPr>
                <w:sz w:val="20"/>
                <w:szCs w:val="20"/>
                <w:color w:val="auto"/>
              </w:rPr>
            </w:pPr>
            <w:r>
              <w:rPr>
                <w:rFonts w:ascii="Arial" w:cs="Arial" w:eastAsia="Arial" w:hAnsi="Arial"/>
                <w:sz w:val="18"/>
                <w:szCs w:val="18"/>
                <w:color w:val="auto"/>
              </w:rPr>
              <w:t>Thomas A. Amato</w:t>
            </w:r>
          </w:p>
        </w:tc>
        <w:tc>
          <w:tcPr>
            <w:tcW w:w="1060" w:type="dxa"/>
            <w:vAlign w:val="bottom"/>
            <w:shd w:val="clear" w:color="auto" w:fill="E9EFEE"/>
          </w:tcPr>
          <w:p>
            <w:pPr>
              <w:jc w:val="center"/>
              <w:ind w:left="174"/>
              <w:spacing w:after="0"/>
              <w:rPr>
                <w:sz w:val="20"/>
                <w:szCs w:val="20"/>
                <w:color w:val="auto"/>
              </w:rPr>
            </w:pPr>
            <w:r>
              <w:rPr>
                <w:rFonts w:ascii="Arial" w:cs="Arial" w:eastAsia="Arial" w:hAnsi="Arial"/>
                <w:sz w:val="18"/>
                <w:szCs w:val="18"/>
                <w:color w:val="auto"/>
                <w:w w:val="99"/>
              </w:rPr>
              <w:t>55</w:t>
            </w:r>
          </w:p>
        </w:tc>
        <w:tc>
          <w:tcPr>
            <w:tcW w:w="6480" w:type="dxa"/>
            <w:vAlign w:val="bottom"/>
            <w:shd w:val="clear" w:color="auto" w:fill="E9EFEE"/>
          </w:tcPr>
          <w:p>
            <w:pPr>
              <w:ind w:left="280"/>
              <w:spacing w:after="0"/>
              <w:rPr>
                <w:sz w:val="20"/>
                <w:szCs w:val="20"/>
                <w:color w:val="auto"/>
              </w:rPr>
            </w:pPr>
            <w:r>
              <w:rPr>
                <w:rFonts w:ascii="Arial" w:cs="Arial" w:eastAsia="Arial" w:hAnsi="Arial"/>
                <w:sz w:val="18"/>
                <w:szCs w:val="18"/>
                <w:color w:val="auto"/>
              </w:rPr>
              <w:t>Director, President and Chief Executive Officer</w:t>
            </w:r>
          </w:p>
        </w:tc>
      </w:tr>
      <w:tr>
        <w:trPr>
          <w:trHeight w:val="230"/>
        </w:trPr>
        <w:tc>
          <w:tcPr>
            <w:tcW w:w="2020" w:type="dxa"/>
            <w:vAlign w:val="bottom"/>
          </w:tcPr>
          <w:p>
            <w:pPr>
              <w:ind w:left="20"/>
              <w:spacing w:after="0"/>
              <w:rPr>
                <w:sz w:val="20"/>
                <w:szCs w:val="20"/>
                <w:color w:val="auto"/>
              </w:rPr>
            </w:pPr>
            <w:r>
              <w:rPr>
                <w:rFonts w:ascii="Arial" w:cs="Arial" w:eastAsia="Arial" w:hAnsi="Arial"/>
                <w:sz w:val="18"/>
                <w:szCs w:val="18"/>
                <w:color w:val="auto"/>
              </w:rPr>
              <w:t>Robert J. Zalupski</w:t>
            </w:r>
          </w:p>
        </w:tc>
        <w:tc>
          <w:tcPr>
            <w:tcW w:w="1060" w:type="dxa"/>
            <w:vAlign w:val="bottom"/>
          </w:tcPr>
          <w:p>
            <w:pPr>
              <w:jc w:val="center"/>
              <w:ind w:left="174"/>
              <w:spacing w:after="0"/>
              <w:rPr>
                <w:sz w:val="20"/>
                <w:szCs w:val="20"/>
                <w:color w:val="auto"/>
              </w:rPr>
            </w:pPr>
            <w:r>
              <w:rPr>
                <w:rFonts w:ascii="Arial" w:cs="Arial" w:eastAsia="Arial" w:hAnsi="Arial"/>
                <w:sz w:val="18"/>
                <w:szCs w:val="18"/>
                <w:color w:val="auto"/>
                <w:w w:val="99"/>
              </w:rPr>
              <w:t>60</w:t>
            </w:r>
          </w:p>
        </w:tc>
        <w:tc>
          <w:tcPr>
            <w:tcW w:w="6480" w:type="dxa"/>
            <w:vAlign w:val="bottom"/>
          </w:tcPr>
          <w:p>
            <w:pPr>
              <w:ind w:left="280"/>
              <w:spacing w:after="0"/>
              <w:rPr>
                <w:sz w:val="20"/>
                <w:szCs w:val="20"/>
                <w:color w:val="auto"/>
              </w:rPr>
            </w:pPr>
            <w:r>
              <w:rPr>
                <w:rFonts w:ascii="Arial" w:cs="Arial" w:eastAsia="Arial" w:hAnsi="Arial"/>
                <w:sz w:val="18"/>
                <w:szCs w:val="18"/>
                <w:color w:val="auto"/>
              </w:rPr>
              <w:t>Chief Financial Officer</w:t>
            </w:r>
          </w:p>
        </w:tc>
      </w:tr>
      <w:tr>
        <w:trPr>
          <w:trHeight w:val="215"/>
        </w:trPr>
        <w:tc>
          <w:tcPr>
            <w:tcW w:w="2020" w:type="dxa"/>
            <w:vAlign w:val="bottom"/>
            <w:shd w:val="clear" w:color="auto" w:fill="E9EFEE"/>
          </w:tcPr>
          <w:p>
            <w:pPr>
              <w:ind w:left="20"/>
              <w:spacing w:after="0"/>
              <w:rPr>
                <w:sz w:val="20"/>
                <w:szCs w:val="20"/>
                <w:color w:val="auto"/>
              </w:rPr>
            </w:pPr>
            <w:r>
              <w:rPr>
                <w:rFonts w:ascii="Arial" w:cs="Arial" w:eastAsia="Arial" w:hAnsi="Arial"/>
                <w:sz w:val="18"/>
                <w:szCs w:val="18"/>
                <w:color w:val="auto"/>
              </w:rPr>
              <w:t>Joshua A. Sherbin</w:t>
            </w:r>
          </w:p>
        </w:tc>
        <w:tc>
          <w:tcPr>
            <w:tcW w:w="1060" w:type="dxa"/>
            <w:vAlign w:val="bottom"/>
            <w:shd w:val="clear" w:color="auto" w:fill="E9EFEE"/>
          </w:tcPr>
          <w:p>
            <w:pPr>
              <w:jc w:val="center"/>
              <w:ind w:left="174"/>
              <w:spacing w:after="0"/>
              <w:rPr>
                <w:sz w:val="20"/>
                <w:szCs w:val="20"/>
                <w:color w:val="auto"/>
              </w:rPr>
            </w:pPr>
            <w:r>
              <w:rPr>
                <w:rFonts w:ascii="Arial" w:cs="Arial" w:eastAsia="Arial" w:hAnsi="Arial"/>
                <w:sz w:val="18"/>
                <w:szCs w:val="18"/>
                <w:color w:val="auto"/>
                <w:w w:val="99"/>
              </w:rPr>
              <w:t>55</w:t>
            </w:r>
          </w:p>
        </w:tc>
        <w:tc>
          <w:tcPr>
            <w:tcW w:w="6480" w:type="dxa"/>
            <w:vAlign w:val="bottom"/>
            <w:shd w:val="clear" w:color="auto" w:fill="E9EFEE"/>
          </w:tcPr>
          <w:p>
            <w:pPr>
              <w:ind w:left="280"/>
              <w:spacing w:after="0"/>
              <w:rPr>
                <w:sz w:val="20"/>
                <w:szCs w:val="20"/>
                <w:color w:val="auto"/>
              </w:rPr>
            </w:pPr>
            <w:r>
              <w:rPr>
                <w:rFonts w:ascii="Arial" w:cs="Arial" w:eastAsia="Arial" w:hAnsi="Arial"/>
                <w:sz w:val="18"/>
                <w:szCs w:val="18"/>
                <w:color w:val="auto"/>
              </w:rPr>
              <w:t>Senior Vice President, General Counsel, Chief Compliance Officer and</w:t>
            </w:r>
          </w:p>
        </w:tc>
      </w:tr>
      <w:tr>
        <w:trPr>
          <w:trHeight w:val="217"/>
        </w:trPr>
        <w:tc>
          <w:tcPr>
            <w:tcW w:w="2020" w:type="dxa"/>
            <w:vAlign w:val="bottom"/>
            <w:tcBorders>
              <w:bottom w:val="single" w:sz="8" w:color="000562"/>
            </w:tcBorders>
            <w:shd w:val="clear" w:color="auto" w:fill="E9EFEE"/>
          </w:tcPr>
          <w:p>
            <w:pPr>
              <w:spacing w:after="0"/>
              <w:rPr>
                <w:sz w:val="18"/>
                <w:szCs w:val="18"/>
                <w:color w:val="auto"/>
              </w:rPr>
            </w:pPr>
          </w:p>
        </w:tc>
        <w:tc>
          <w:tcPr>
            <w:tcW w:w="1060" w:type="dxa"/>
            <w:vAlign w:val="bottom"/>
            <w:tcBorders>
              <w:bottom w:val="single" w:sz="8" w:color="000562"/>
            </w:tcBorders>
            <w:shd w:val="clear" w:color="auto" w:fill="E9EFEE"/>
          </w:tcPr>
          <w:p>
            <w:pPr>
              <w:spacing w:after="0"/>
              <w:rPr>
                <w:sz w:val="18"/>
                <w:szCs w:val="18"/>
                <w:color w:val="auto"/>
              </w:rPr>
            </w:pPr>
          </w:p>
        </w:tc>
        <w:tc>
          <w:tcPr>
            <w:tcW w:w="6480" w:type="dxa"/>
            <w:vAlign w:val="bottom"/>
            <w:tcBorders>
              <w:bottom w:val="single" w:sz="8" w:color="000562"/>
            </w:tcBorders>
            <w:shd w:val="clear" w:color="auto" w:fill="E9EFEE"/>
          </w:tcPr>
          <w:p>
            <w:pPr>
              <w:ind w:left="280"/>
              <w:spacing w:after="0"/>
              <w:rPr>
                <w:sz w:val="20"/>
                <w:szCs w:val="20"/>
                <w:color w:val="auto"/>
              </w:rPr>
            </w:pPr>
            <w:r>
              <w:rPr>
                <w:rFonts w:ascii="Arial" w:cs="Arial" w:eastAsia="Arial" w:hAnsi="Arial"/>
                <w:sz w:val="18"/>
                <w:szCs w:val="18"/>
                <w:color w:val="auto"/>
              </w:rPr>
              <w:t>Corporate Secretary</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2"/>
        </w:rPr>
        <w:t>Thomas A. Amato</w:t>
      </w:r>
      <w:r>
        <w:rPr>
          <w:rFonts w:ascii="Arial" w:cs="Arial" w:eastAsia="Arial" w:hAnsi="Arial"/>
          <w:sz w:val="18"/>
          <w:szCs w:val="18"/>
          <w:b w:val="1"/>
          <w:bCs w:val="1"/>
          <w:i w:val="1"/>
          <w:iCs w:val="1"/>
          <w:color w:val="000000"/>
        </w:rPr>
        <w:t>.</w:t>
      </w:r>
      <w:r>
        <w:rPr>
          <w:rFonts w:ascii="Arial" w:cs="Arial" w:eastAsia="Arial" w:hAnsi="Arial"/>
          <w:sz w:val="18"/>
          <w:szCs w:val="18"/>
          <w:b w:val="1"/>
          <w:bCs w:val="1"/>
          <w:i w:val="1"/>
          <w:iCs w:val="1"/>
          <w:color w:val="000562"/>
        </w:rPr>
        <w:t xml:space="preserve"> </w:t>
      </w:r>
      <w:r>
        <w:rPr>
          <w:rFonts w:ascii="Arial" w:cs="Arial" w:eastAsia="Arial" w:hAnsi="Arial"/>
          <w:sz w:val="18"/>
          <w:szCs w:val="18"/>
          <w:color w:val="000000"/>
        </w:rPr>
        <w:t>Business experience provided under “Director and Director Nominees.”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000562"/>
        </w:rPr>
        <w:t>Robert J. Zalupski</w:t>
      </w:r>
      <w:r>
        <w:rPr>
          <w:rFonts w:ascii="Arial" w:cs="Arial" w:eastAsia="Arial" w:hAnsi="Arial"/>
          <w:sz w:val="18"/>
          <w:szCs w:val="18"/>
          <w:b w:val="1"/>
          <w:bCs w:val="1"/>
          <w:i w:val="1"/>
          <w:iCs w:val="1"/>
          <w:color w:val="000000"/>
        </w:rPr>
        <w:t>.</w:t>
      </w:r>
      <w:r>
        <w:rPr>
          <w:rFonts w:ascii="Arial" w:cs="Arial" w:eastAsia="Arial" w:hAnsi="Arial"/>
          <w:sz w:val="18"/>
          <w:szCs w:val="18"/>
          <w:b w:val="1"/>
          <w:bCs w:val="1"/>
          <w:i w:val="1"/>
          <w:iCs w:val="1"/>
          <w:color w:val="000562"/>
        </w:rPr>
        <w:t xml:space="preserve"> </w:t>
      </w:r>
      <w:r>
        <w:rPr>
          <w:rFonts w:ascii="Arial" w:cs="Arial" w:eastAsia="Arial" w:hAnsi="Arial"/>
          <w:sz w:val="18"/>
          <w:szCs w:val="18"/>
          <w:color w:val="000000"/>
        </w:rPr>
        <w:t>Mr. Zalupski was appointed the Company’s chief financial officer in January 2015. Previously, he</w:t>
      </w:r>
      <w:r>
        <w:rPr>
          <w:rFonts w:ascii="Arial" w:cs="Arial" w:eastAsia="Arial" w:hAnsi="Arial"/>
          <w:sz w:val="18"/>
          <w:szCs w:val="18"/>
          <w:b w:val="1"/>
          <w:bCs w:val="1"/>
          <w:i w:val="1"/>
          <w:iCs w:val="1"/>
          <w:color w:val="000562"/>
        </w:rPr>
        <w:t xml:space="preserve"> </w:t>
      </w:r>
      <w:r>
        <w:rPr>
          <w:rFonts w:ascii="Arial" w:cs="Arial" w:eastAsia="Arial" w:hAnsi="Arial"/>
          <w:sz w:val="18"/>
          <w:szCs w:val="18"/>
          <w:color w:val="000000"/>
        </w:rPr>
        <w:t>served as vice president, finance and treasurer of the Company since 2003. He joined the Company as director of finance and treasury in 2002, prior to which he worked in the Detroit office of Arthur Andersen. From 1996 through 2001, Mr. Zalupski was a partner in the audit and business advisory services practice of Arthur Andersen providing audit, business consulting and risk management services to both public and privately held companies in the manufacturing, defense and automotive industries. Prior to 1996, Mr. Zalupski held various positions of increasing responsibility within the audit practice of Arthur Andersen serving public and privately held clients in a variety of industries.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000562"/>
        </w:rPr>
        <w:t>Joshua A. Sherbin</w:t>
      </w:r>
      <w:r>
        <w:rPr>
          <w:rFonts w:ascii="Arial" w:cs="Arial" w:eastAsia="Arial" w:hAnsi="Arial"/>
          <w:sz w:val="18"/>
          <w:szCs w:val="18"/>
          <w:b w:val="1"/>
          <w:bCs w:val="1"/>
          <w:i w:val="1"/>
          <w:iCs w:val="1"/>
          <w:color w:val="000000"/>
        </w:rPr>
        <w:t>.</w:t>
      </w:r>
      <w:r>
        <w:rPr>
          <w:rFonts w:ascii="Arial" w:cs="Arial" w:eastAsia="Arial" w:hAnsi="Arial"/>
          <w:sz w:val="18"/>
          <w:szCs w:val="18"/>
          <w:b w:val="1"/>
          <w:bCs w:val="1"/>
          <w:i w:val="1"/>
          <w:iCs w:val="1"/>
          <w:color w:val="000562"/>
        </w:rPr>
        <w:t xml:space="preserve"> </w:t>
      </w:r>
      <w:r>
        <w:rPr>
          <w:rFonts w:ascii="Arial" w:cs="Arial" w:eastAsia="Arial" w:hAnsi="Arial"/>
          <w:sz w:val="18"/>
          <w:szCs w:val="18"/>
          <w:color w:val="000000"/>
        </w:rPr>
        <w:t>Mr. Sherbin was appointed the Company’s general counsel and corporate secretary in 2005, vice</w:t>
      </w:r>
      <w:r>
        <w:rPr>
          <w:rFonts w:ascii="Arial" w:cs="Arial" w:eastAsia="Arial" w:hAnsi="Arial"/>
          <w:sz w:val="18"/>
          <w:szCs w:val="18"/>
          <w:b w:val="1"/>
          <w:bCs w:val="1"/>
          <w:i w:val="1"/>
          <w:iCs w:val="1"/>
          <w:color w:val="000562"/>
        </w:rPr>
        <w:t xml:space="preserve"> </w:t>
      </w:r>
      <w:r>
        <w:rPr>
          <w:rFonts w:ascii="Arial" w:cs="Arial" w:eastAsia="Arial" w:hAnsi="Arial"/>
          <w:sz w:val="18"/>
          <w:szCs w:val="18"/>
          <w:color w:val="000000"/>
        </w:rPr>
        <w:t>president and chief compliance officer in May 2008 and senior vice president in March 2016. Prior to joining the Company, he was employed as the North American corporate counsel and corporate secretary for Valeo, a diversified Tier 1 international automotive supplier headquartered in Europe. Prior to joining Valeo in 1997, Mr. Sherbin was senior counsel, assistant corporate secretary for Kelly Services, Inc., an employment staffing company, from 1995 to 1997. From 1988 until 1995, he was an associate with the law firm Butzel Long in its general business practice.</w:t>
      </w:r>
    </w:p>
    <w:p>
      <w:pPr>
        <w:spacing w:after="0" w:line="187" w:lineRule="exact"/>
        <w:rPr>
          <w:sz w:val="20"/>
          <w:szCs w:val="20"/>
          <w:color w:val="auto"/>
        </w:rPr>
      </w:pPr>
    </w:p>
    <w:p>
      <w:pPr>
        <w:ind w:left="360" w:hanging="349"/>
        <w:spacing w:after="0"/>
        <w:tabs>
          <w:tab w:leader="none" w:pos="360" w:val="left"/>
        </w:tabs>
        <w:numPr>
          <w:ilvl w:val="0"/>
          <w:numId w:val="28"/>
        </w:numPr>
        <w:rPr>
          <w:rFonts w:ascii="Arial" w:cs="Arial" w:eastAsia="Arial" w:hAnsi="Arial"/>
          <w:sz w:val="18"/>
          <w:szCs w:val="18"/>
          <w:b w:val="1"/>
          <w:bCs w:val="1"/>
          <w:color w:val="auto"/>
        </w:rPr>
      </w:pPr>
      <w:r>
        <w:rPr>
          <w:rFonts w:ascii="Arial" w:cs="Arial" w:eastAsia="Arial" w:hAnsi="Arial"/>
          <w:sz w:val="22"/>
          <w:szCs w:val="22"/>
          <w:b w:val="1"/>
          <w:bCs w:val="1"/>
          <w:color w:val="000562"/>
        </w:rPr>
        <w:t xml:space="preserve">I </w:t>
      </w:r>
      <w:r>
        <w:rPr>
          <w:rFonts w:ascii="Arial" w:cs="Arial" w:eastAsia="Arial" w:hAnsi="Arial"/>
          <w:sz w:val="18"/>
          <w:szCs w:val="18"/>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07187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5420"/>
        <w:spacing w:after="0"/>
        <w:rPr>
          <w:sz w:val="20"/>
          <w:szCs w:val="20"/>
          <w:color w:val="auto"/>
        </w:rPr>
      </w:pPr>
      <w:r>
        <w:rPr>
          <w:rFonts w:ascii="Arial" w:cs="Arial" w:eastAsia="Arial" w:hAnsi="Arial"/>
          <w:sz w:val="19"/>
          <w:szCs w:val="19"/>
          <w:b w:val="1"/>
          <w:bCs w:val="1"/>
          <w:color w:val="000562"/>
        </w:rPr>
        <w:t>TRANSACTIONS WITH RELATED PERSONS</w:t>
      </w:r>
    </w:p>
    <w:p>
      <w:pPr>
        <w:spacing w:after="0" w:line="213" w:lineRule="exact"/>
        <w:rPr>
          <w:sz w:val="20"/>
          <w:szCs w:val="20"/>
          <w:color w:val="auto"/>
        </w:rPr>
      </w:pPr>
    </w:p>
    <w:p>
      <w:pPr>
        <w:spacing w:after="0"/>
        <w:rPr>
          <w:sz w:val="20"/>
          <w:szCs w:val="20"/>
          <w:color w:val="auto"/>
        </w:rPr>
      </w:pPr>
      <w:r>
        <w:rPr>
          <w:rFonts w:ascii="Arial" w:cs="Arial" w:eastAsia="Arial" w:hAnsi="Arial"/>
          <w:sz w:val="43"/>
          <w:szCs w:val="43"/>
          <w:color w:val="000562"/>
        </w:rPr>
        <w:t>TRANSACTIONS WITH RELATED PERSONS</w:t>
      </w:r>
    </w:p>
    <w:p>
      <w:pPr>
        <w:spacing w:after="0" w:line="1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Policy for Review, Approval or Ratification of Transactions with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60718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16"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Pursuant to its written charter, the Audit Committee is responsible for reviewing reports and disclosures of insider and affiliated party transactions and monitoring compliance with the Company’s written Code of Conduct, which requires employees to disclose in writing any outside activities, financial interests, relationships or other situations that do or may involve a conflict of interest or that present the appearance of impropriety.</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the written charter of the Governance and Nominating Committee and the written Corporate Governance Guidelines, members of the Board must properly notify the president and chief executive officer and the Chair of the Governance and Nominating Committee if any actual or potential conflict of interest arises between the Company and such member. After notification, the Board will evaluate and resolve the matter in the best interest of the Company upon recommendation of the Governance and Nominating Committee.</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It is also the Company’s policy, that the Audit Committee review and approve all transactions (other than those that are de minimis in nature) in which the Company participates and in which any related person has or will have a direct or indirect material interest. In reviewing and approving such transactions, the Audit Committee obtains all information it believes to be relevant to a review and approval of the transaction. After consideration of the relevant information, the Audit Committee approves only those related person transactions that are determined not to be inconsistent with the best interests of the Company.</w:t>
      </w:r>
    </w:p>
    <w:p>
      <w:pPr>
        <w:spacing w:after="0" w:line="1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the Company’s credit facility contains covenants that restrict the Company’s ability to engage in transactions that are at prices and on terms and conditions not less favorable to the Company than could be obtained at an arm’s-length basis from unrelated parties. Such covenants influence the Company’s policy for review, approval and ratification of transactions with related parties.</w:t>
      </w:r>
    </w:p>
    <w:p>
      <w:pPr>
        <w:spacing w:after="0" w:line="186" w:lineRule="exact"/>
        <w:rPr>
          <w:sz w:val="20"/>
          <w:szCs w:val="20"/>
          <w:color w:val="auto"/>
        </w:rPr>
      </w:pPr>
    </w:p>
    <w:p>
      <w:pPr>
        <w:ind w:left="7140"/>
        <w:spacing w:after="0"/>
        <w:tabs>
          <w:tab w:leader="none" w:pos="9040" w:val="left"/>
          <w:tab w:leader="none" w:pos="9340" w:val="left"/>
        </w:tabs>
        <w:rPr>
          <w:sz w:val="20"/>
          <w:szCs w:val="20"/>
          <w:color w:val="auto"/>
        </w:rPr>
      </w:pPr>
      <w:r>
        <w:rPr>
          <w:rFonts w:ascii="Arial" w:cs="Arial" w:eastAsia="Arial" w:hAnsi="Arial"/>
          <w:sz w:val="18"/>
          <w:szCs w:val="18"/>
          <w:i w:val="1"/>
          <w:iCs w:val="1"/>
          <w:color w:val="auto"/>
        </w:rPr>
        <w:t>2019 Proxy Statement</w:t>
      </w:r>
      <w:r>
        <w:rPr>
          <w:sz w:val="20"/>
          <w:szCs w:val="20"/>
          <w:color w:val="auto"/>
        </w:rPr>
        <w:tab/>
      </w:r>
      <w:r>
        <w:rPr>
          <w:rFonts w:ascii="Arial" w:cs="Arial" w:eastAsia="Arial" w:hAnsi="Arial"/>
          <w:sz w:val="22"/>
          <w:szCs w:val="22"/>
          <w:b w:val="1"/>
          <w:bCs w:val="1"/>
          <w:color w:val="000562"/>
        </w:rPr>
        <w:t>I</w:t>
      </w:r>
      <w:r>
        <w:rPr>
          <w:sz w:val="20"/>
          <w:szCs w:val="20"/>
          <w:color w:val="auto"/>
        </w:rPr>
        <w:tab/>
      </w:r>
      <w:r>
        <w:rPr>
          <w:rFonts w:ascii="Arial" w:cs="Arial" w:eastAsia="Arial" w:hAnsi="Arial"/>
          <w:sz w:val="17"/>
          <w:szCs w:val="17"/>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07187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9" w:name="page30"/>
    <w:bookmarkEnd w:id="29"/>
    <w:p>
      <w:pPr>
        <w:ind w:left="7"/>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000562"/>
        </w:rPr>
        <w:t>TriMas Corporation</w:t>
      </w:r>
    </w:p>
    <w:p>
      <w:pPr>
        <w:spacing w:after="0" w:line="201" w:lineRule="exact"/>
        <w:rPr>
          <w:sz w:val="20"/>
          <w:szCs w:val="20"/>
          <w:color w:val="auto"/>
        </w:rPr>
      </w:pPr>
    </w:p>
    <w:p>
      <w:pPr>
        <w:ind w:left="7" w:right="40"/>
        <w:spacing w:after="0" w:line="237" w:lineRule="auto"/>
        <w:rPr>
          <w:sz w:val="20"/>
          <w:szCs w:val="20"/>
          <w:color w:val="auto"/>
        </w:rPr>
      </w:pPr>
      <w:r>
        <w:rPr>
          <w:rFonts w:ascii="Arial" w:cs="Arial" w:eastAsia="Arial" w:hAnsi="Arial"/>
          <w:sz w:val="42"/>
          <w:szCs w:val="42"/>
          <w:color w:val="000562"/>
        </w:rPr>
        <w:t>EXECUTIVE COMPENSATION — COMPENSATION DISCUSSION AND ANALYSIS</w:t>
      </w:r>
    </w:p>
    <w:p>
      <w:pPr>
        <w:spacing w:after="0" w:line="30" w:lineRule="exact"/>
        <w:rPr>
          <w:sz w:val="20"/>
          <w:szCs w:val="20"/>
          <w:color w:val="auto"/>
        </w:rPr>
      </w:pPr>
    </w:p>
    <w:p>
      <w:pPr>
        <w:ind w:left="7"/>
        <w:spacing w:after="0"/>
        <w:rPr>
          <w:sz w:val="20"/>
          <w:szCs w:val="20"/>
          <w:color w:val="auto"/>
        </w:rPr>
      </w:pPr>
      <w:r>
        <w:rPr>
          <w:rFonts w:ascii="Arial" w:cs="Arial" w:eastAsia="Arial" w:hAnsi="Arial"/>
          <w:sz w:val="25"/>
          <w:szCs w:val="25"/>
          <w:b w:val="1"/>
          <w:bCs w:val="1"/>
          <w:color w:val="auto"/>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60718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9" w:lineRule="exact"/>
        <w:rPr>
          <w:sz w:val="20"/>
          <w:szCs w:val="20"/>
          <w:color w:val="auto"/>
        </w:rPr>
      </w:pPr>
    </w:p>
    <w:p>
      <w:pPr>
        <w:ind w:left="7" w:right="20"/>
        <w:spacing w:after="0" w:line="262" w:lineRule="auto"/>
        <w:rPr>
          <w:sz w:val="20"/>
          <w:szCs w:val="20"/>
          <w:color w:val="auto"/>
        </w:rPr>
      </w:pPr>
      <w:r>
        <w:rPr>
          <w:rFonts w:ascii="Arial" w:cs="Arial" w:eastAsia="Arial" w:hAnsi="Arial"/>
          <w:sz w:val="18"/>
          <w:szCs w:val="18"/>
          <w:color w:val="auto"/>
        </w:rPr>
        <w:t>This Compensation Discussion and Analysis (“CD&amp;A”) describes and analyzes the executive compensation program in place at the Company for our NEOs for 2018, which NEOs (our only executive officers serving during 2018) are:</w:t>
      </w:r>
    </w:p>
    <w:p>
      <w:pPr>
        <w:spacing w:after="0" w:line="88" w:lineRule="exact"/>
        <w:rPr>
          <w:sz w:val="20"/>
          <w:szCs w:val="20"/>
          <w:color w:val="auto"/>
        </w:rPr>
      </w:pPr>
    </w:p>
    <w:p>
      <w:pPr>
        <w:ind w:left="347" w:hanging="347"/>
        <w:spacing w:after="0"/>
        <w:tabs>
          <w:tab w:leader="none" w:pos="3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Thomas A. Amato - President and Chief Executive Officer;</w:t>
      </w:r>
    </w:p>
    <w:p>
      <w:pPr>
        <w:spacing w:after="0" w:line="103" w:lineRule="exact"/>
        <w:rPr>
          <w:rFonts w:ascii="Arial" w:cs="Arial" w:eastAsia="Arial" w:hAnsi="Arial"/>
          <w:sz w:val="18"/>
          <w:szCs w:val="18"/>
          <w:color w:val="auto"/>
        </w:rPr>
      </w:pPr>
    </w:p>
    <w:p>
      <w:pPr>
        <w:ind w:left="347" w:hanging="347"/>
        <w:spacing w:after="0"/>
        <w:tabs>
          <w:tab w:leader="none" w:pos="3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Robert J. Zalupski - Chief Financial Officer; and</w:t>
      </w:r>
    </w:p>
    <w:p>
      <w:pPr>
        <w:spacing w:after="0" w:line="103" w:lineRule="exact"/>
        <w:rPr>
          <w:rFonts w:ascii="Arial" w:cs="Arial" w:eastAsia="Arial" w:hAnsi="Arial"/>
          <w:sz w:val="18"/>
          <w:szCs w:val="18"/>
          <w:color w:val="auto"/>
        </w:rPr>
      </w:pPr>
    </w:p>
    <w:p>
      <w:pPr>
        <w:ind w:left="347" w:hanging="347"/>
        <w:spacing w:after="0"/>
        <w:tabs>
          <w:tab w:leader="none" w:pos="3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Joshua A. Sherbin - Senior Vice President, General Counsel, Chief Compliance Officer and Corporate Secretary.</w:t>
      </w:r>
    </w:p>
    <w:p>
      <w:pPr>
        <w:spacing w:after="0" w:line="104" w:lineRule="exact"/>
        <w:rPr>
          <w:sz w:val="20"/>
          <w:szCs w:val="20"/>
          <w:color w:val="auto"/>
        </w:rPr>
      </w:pPr>
    </w:p>
    <w:p>
      <w:pPr>
        <w:ind w:left="7"/>
        <w:spacing w:after="0" w:line="262" w:lineRule="auto"/>
        <w:rPr>
          <w:sz w:val="20"/>
          <w:szCs w:val="20"/>
          <w:color w:val="auto"/>
        </w:rPr>
      </w:pPr>
      <w:r>
        <w:rPr>
          <w:rFonts w:ascii="Arial" w:cs="Arial" w:eastAsia="Arial" w:hAnsi="Arial"/>
          <w:sz w:val="18"/>
          <w:szCs w:val="18"/>
          <w:color w:val="auto"/>
        </w:rPr>
        <w:t>Your understanding of our executive compensation program is important to the Company. The goal of this CD&amp;A is to explain:</w:t>
      </w:r>
    </w:p>
    <w:p>
      <w:pPr>
        <w:spacing w:after="0" w:line="66" w:lineRule="exact"/>
        <w:rPr>
          <w:sz w:val="20"/>
          <w:szCs w:val="20"/>
          <w:color w:val="auto"/>
        </w:rPr>
      </w:pPr>
    </w:p>
    <w:p>
      <w:pPr>
        <w:ind w:left="707" w:hanging="356"/>
        <w:spacing w:after="0"/>
        <w:tabs>
          <w:tab w:leader="none" w:pos="707" w:val="left"/>
        </w:tabs>
        <w:numPr>
          <w:ilvl w:val="0"/>
          <w:numId w:val="30"/>
        </w:numPr>
        <w:rPr>
          <w:rFonts w:ascii="Arial" w:cs="Arial" w:eastAsia="Arial" w:hAnsi="Arial"/>
          <w:sz w:val="18"/>
          <w:szCs w:val="18"/>
          <w:color w:val="000562"/>
        </w:rPr>
      </w:pPr>
      <w:r>
        <w:rPr>
          <w:rFonts w:ascii="Arial" w:cs="Arial" w:eastAsia="Arial" w:hAnsi="Arial"/>
          <w:sz w:val="18"/>
          <w:szCs w:val="18"/>
          <w:b w:val="1"/>
          <w:bCs w:val="1"/>
          <w:color w:val="auto"/>
        </w:rPr>
        <w:t>Our compensation philosophy and objectives for our NEOs in 2018;</w:t>
      </w:r>
    </w:p>
    <w:p>
      <w:pPr>
        <w:spacing w:after="0" w:line="103" w:lineRule="exact"/>
        <w:rPr>
          <w:rFonts w:ascii="Arial" w:cs="Arial" w:eastAsia="Arial" w:hAnsi="Arial"/>
          <w:sz w:val="18"/>
          <w:szCs w:val="18"/>
          <w:color w:val="000562"/>
        </w:rPr>
      </w:pPr>
    </w:p>
    <w:p>
      <w:pPr>
        <w:ind w:left="707" w:right="20" w:hanging="356"/>
        <w:spacing w:after="0" w:line="271" w:lineRule="auto"/>
        <w:tabs>
          <w:tab w:leader="none" w:pos="707" w:val="left"/>
        </w:tabs>
        <w:numPr>
          <w:ilvl w:val="0"/>
          <w:numId w:val="30"/>
        </w:numPr>
        <w:rPr>
          <w:rFonts w:ascii="Arial" w:cs="Arial" w:eastAsia="Arial" w:hAnsi="Arial"/>
          <w:sz w:val="18"/>
          <w:szCs w:val="18"/>
          <w:color w:val="000562"/>
        </w:rPr>
      </w:pPr>
      <w:r>
        <w:rPr>
          <w:rFonts w:ascii="Arial" w:cs="Arial" w:eastAsia="Arial" w:hAnsi="Arial"/>
          <w:sz w:val="18"/>
          <w:szCs w:val="18"/>
          <w:b w:val="1"/>
          <w:bCs w:val="1"/>
          <w:color w:val="auto"/>
        </w:rPr>
        <w:t>The respective roles of our Compensation Committee (the “Committee”), the Committee’s external executive compensation consultant and management in the 2018 executive compensation process;</w:t>
      </w:r>
    </w:p>
    <w:p>
      <w:pPr>
        <w:spacing w:after="0" w:line="45" w:lineRule="exact"/>
        <w:rPr>
          <w:rFonts w:ascii="Arial" w:cs="Arial" w:eastAsia="Arial" w:hAnsi="Arial"/>
          <w:sz w:val="18"/>
          <w:szCs w:val="18"/>
          <w:color w:val="000562"/>
        </w:rPr>
      </w:pPr>
    </w:p>
    <w:p>
      <w:pPr>
        <w:ind w:left="707" w:right="20" w:hanging="356"/>
        <w:spacing w:after="0" w:line="271" w:lineRule="auto"/>
        <w:tabs>
          <w:tab w:leader="none" w:pos="707" w:val="left"/>
        </w:tabs>
        <w:numPr>
          <w:ilvl w:val="0"/>
          <w:numId w:val="30"/>
        </w:numPr>
        <w:rPr>
          <w:rFonts w:ascii="Arial" w:cs="Arial" w:eastAsia="Arial" w:hAnsi="Arial"/>
          <w:sz w:val="18"/>
          <w:szCs w:val="18"/>
          <w:color w:val="000562"/>
        </w:rPr>
      </w:pPr>
      <w:r>
        <w:rPr>
          <w:rFonts w:ascii="Arial" w:cs="Arial" w:eastAsia="Arial" w:hAnsi="Arial"/>
          <w:sz w:val="18"/>
          <w:szCs w:val="18"/>
          <w:b w:val="1"/>
          <w:bCs w:val="1"/>
          <w:color w:val="auto"/>
        </w:rPr>
        <w:t>The key components of our 2018 executive compensation program and the successes and achievements our program is designed to reward;</w:t>
      </w:r>
    </w:p>
    <w:p>
      <w:pPr>
        <w:spacing w:after="0" w:line="45" w:lineRule="exact"/>
        <w:rPr>
          <w:rFonts w:ascii="Arial" w:cs="Arial" w:eastAsia="Arial" w:hAnsi="Arial"/>
          <w:sz w:val="18"/>
          <w:szCs w:val="18"/>
          <w:color w:val="000562"/>
        </w:rPr>
      </w:pPr>
    </w:p>
    <w:p>
      <w:pPr>
        <w:ind w:left="707" w:hanging="356"/>
        <w:spacing w:after="0" w:line="271" w:lineRule="auto"/>
        <w:tabs>
          <w:tab w:leader="none" w:pos="707" w:val="left"/>
        </w:tabs>
        <w:numPr>
          <w:ilvl w:val="0"/>
          <w:numId w:val="30"/>
        </w:numPr>
        <w:rPr>
          <w:rFonts w:ascii="Arial" w:cs="Arial" w:eastAsia="Arial" w:hAnsi="Arial"/>
          <w:sz w:val="18"/>
          <w:szCs w:val="18"/>
          <w:color w:val="000562"/>
        </w:rPr>
      </w:pPr>
      <w:r>
        <w:rPr>
          <w:rFonts w:ascii="Arial" w:cs="Arial" w:eastAsia="Arial" w:hAnsi="Arial"/>
          <w:sz w:val="18"/>
          <w:szCs w:val="18"/>
          <w:b w:val="1"/>
          <w:bCs w:val="1"/>
          <w:color w:val="auto"/>
        </w:rPr>
        <w:t>How the decisions we made in the 2018 executive compensation process align with our executive compensation philosophy and objectives; and</w:t>
      </w:r>
    </w:p>
    <w:p>
      <w:pPr>
        <w:spacing w:after="0" w:line="45" w:lineRule="exact"/>
        <w:rPr>
          <w:rFonts w:ascii="Arial" w:cs="Arial" w:eastAsia="Arial" w:hAnsi="Arial"/>
          <w:sz w:val="18"/>
          <w:szCs w:val="18"/>
          <w:color w:val="000562"/>
        </w:rPr>
      </w:pPr>
    </w:p>
    <w:p>
      <w:pPr>
        <w:ind w:left="707" w:right="20" w:hanging="356"/>
        <w:spacing w:after="0" w:line="271" w:lineRule="auto"/>
        <w:tabs>
          <w:tab w:leader="none" w:pos="707" w:val="left"/>
        </w:tabs>
        <w:numPr>
          <w:ilvl w:val="0"/>
          <w:numId w:val="30"/>
        </w:numPr>
        <w:rPr>
          <w:rFonts w:ascii="Arial" w:cs="Arial" w:eastAsia="Arial" w:hAnsi="Arial"/>
          <w:sz w:val="18"/>
          <w:szCs w:val="18"/>
          <w:color w:val="000562"/>
        </w:rPr>
      </w:pPr>
      <w:r>
        <w:rPr>
          <w:rFonts w:ascii="Arial" w:cs="Arial" w:eastAsia="Arial" w:hAnsi="Arial"/>
          <w:sz w:val="18"/>
          <w:szCs w:val="18"/>
          <w:b w:val="1"/>
          <w:bCs w:val="1"/>
          <w:color w:val="auto"/>
        </w:rPr>
        <w:t>How our NEOs’ 2018 compensation aligned with both our financial and operational performance and our shareholders’ long-term investment interests.</w:t>
      </w:r>
    </w:p>
    <w:p>
      <w:pPr>
        <w:spacing w:after="0" w:line="52" w:lineRule="exact"/>
        <w:rPr>
          <w:sz w:val="20"/>
          <w:szCs w:val="20"/>
          <w:color w:val="auto"/>
        </w:rPr>
      </w:pPr>
    </w:p>
    <w:p>
      <w:pPr>
        <w:ind w:left="7"/>
        <w:spacing w:after="0"/>
        <w:rPr>
          <w:sz w:val="20"/>
          <w:szCs w:val="20"/>
          <w:color w:val="auto"/>
        </w:rPr>
      </w:pPr>
      <w:r>
        <w:rPr>
          <w:rFonts w:ascii="Arial" w:cs="Arial" w:eastAsia="Arial" w:hAnsi="Arial"/>
          <w:sz w:val="25"/>
          <w:szCs w:val="25"/>
          <w:b w:val="1"/>
          <w:bCs w:val="1"/>
          <w:color w:val="auto"/>
        </w:rPr>
        <w:t>2018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0718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13"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000562"/>
        </w:rPr>
        <w:t>Philosophy and Objectives of Executive Compensation Program</w:t>
      </w:r>
    </w:p>
    <w:p>
      <w:pPr>
        <w:spacing w:after="0" w:line="126" w:lineRule="exact"/>
        <w:rPr>
          <w:sz w:val="20"/>
          <w:szCs w:val="20"/>
          <w:color w:val="auto"/>
        </w:rPr>
      </w:pPr>
    </w:p>
    <w:p>
      <w:pPr>
        <w:jc w:val="both"/>
        <w:ind w:left="7"/>
        <w:spacing w:after="0" w:line="252" w:lineRule="auto"/>
        <w:rPr>
          <w:sz w:val="20"/>
          <w:szCs w:val="20"/>
          <w:color w:val="auto"/>
        </w:rPr>
      </w:pPr>
      <w:r>
        <w:rPr>
          <w:rFonts w:ascii="Arial" w:cs="Arial" w:eastAsia="Arial" w:hAnsi="Arial"/>
          <w:sz w:val="18"/>
          <w:szCs w:val="18"/>
          <w:color w:val="auto"/>
        </w:rPr>
        <w:t>Our executive compensation philosophy is to employ programs that help attract and retain key leaders, motivate executives to continuously strive to improve both our short-term and long-term financial and operating positions, and reward financial and operating achievement by delivering pay that varies appropriately with the actual performance results achieved. Our objectives are to align our executives’ compensation interests with the investment interests of our shareholders and encourage our executives to make decisions that will increase shareholder value over the longer-term. The Company attempts to achieve its philosophy and objectives by establishing performance criteria for its executive officers and by linking compensation to financial performance goals.</w:t>
      </w:r>
    </w:p>
    <w:p>
      <w:pPr>
        <w:spacing w:after="0" w:line="185"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000562"/>
        </w:rPr>
        <w:t>2018 Highlights</w:t>
      </w:r>
    </w:p>
    <w:p>
      <w:pPr>
        <w:spacing w:after="0" w:line="126" w:lineRule="exact"/>
        <w:rPr>
          <w:sz w:val="20"/>
          <w:szCs w:val="20"/>
          <w:color w:val="auto"/>
        </w:rPr>
      </w:pPr>
    </w:p>
    <w:p>
      <w:pPr>
        <w:jc w:val="both"/>
        <w:ind w:left="7"/>
        <w:spacing w:after="0" w:line="252" w:lineRule="auto"/>
        <w:rPr>
          <w:sz w:val="20"/>
          <w:szCs w:val="20"/>
          <w:color w:val="auto"/>
        </w:rPr>
      </w:pPr>
      <w:r>
        <w:rPr>
          <w:rFonts w:ascii="Arial" w:cs="Arial" w:eastAsia="Arial" w:hAnsi="Arial"/>
          <w:sz w:val="18"/>
          <w:szCs w:val="18"/>
          <w:color w:val="auto"/>
        </w:rPr>
        <w:t>We are a diversified global manufacturer and provider of products for customers in the consumer products, aerospace, industrial, petrochemical, refinery and oil and gas end markets. Our wide range of innovative product solutions are engineered and designed to solve application-specific challenges that our customers face. We believe our businesses share important and distinguishing characteristics, including: well-recognized and leading brand names in the focused markets we serve; innovative product technologies and features; customer approved processes and qualified products; established distribution networks; relatively low ongoing capital investment requirements; and strong cash flow conversion and long-term growth opportunities.</w:t>
      </w:r>
    </w:p>
    <w:p>
      <w:pPr>
        <w:spacing w:after="0" w:line="189" w:lineRule="exact"/>
        <w:rPr>
          <w:sz w:val="20"/>
          <w:szCs w:val="20"/>
          <w:color w:val="auto"/>
        </w:rPr>
      </w:pPr>
    </w:p>
    <w:p>
      <w:pPr>
        <w:ind w:left="367" w:hanging="349"/>
        <w:spacing w:after="0"/>
        <w:tabs>
          <w:tab w:leader="none" w:pos="367" w:val="left"/>
        </w:tabs>
        <w:numPr>
          <w:ilvl w:val="0"/>
          <w:numId w:val="31"/>
        </w:numPr>
        <w:rPr>
          <w:rFonts w:ascii="Arial" w:cs="Arial" w:eastAsia="Arial" w:hAnsi="Arial"/>
          <w:sz w:val="18"/>
          <w:szCs w:val="18"/>
          <w:b w:val="1"/>
          <w:bCs w:val="1"/>
          <w:color w:val="auto"/>
        </w:rPr>
      </w:pPr>
      <w:r>
        <w:rPr>
          <w:rFonts w:ascii="Arial" w:cs="Arial" w:eastAsia="Arial" w:hAnsi="Arial"/>
          <w:sz w:val="22"/>
          <w:szCs w:val="22"/>
          <w:b w:val="1"/>
          <w:bCs w:val="1"/>
          <w:color w:val="000562"/>
        </w:rPr>
        <w:t xml:space="preserve">I </w:t>
      </w:r>
      <w:r>
        <w:rPr>
          <w:rFonts w:ascii="Arial" w:cs="Arial" w:eastAsia="Arial" w:hAnsi="Arial"/>
          <w:sz w:val="18"/>
          <w:szCs w:val="18"/>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306070</wp:posOffset>
            </wp:positionV>
            <wp:extent cx="607187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0562"/>
        </w:rPr>
        <w:t>EXECUTIVE COMPENSATION — COMPENSATION DISCUSSION AND ANALYSIS</w:t>
      </w:r>
    </w:p>
    <w:p>
      <w:pPr>
        <w:spacing w:after="0" w:line="229"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In 2018, we continued positive momentum as we further leveraged the TriMas Business Model ("TBM"), which provides for a common platform to operate and manage our multi-industry set of businesses. It is a platform to set near- and long-term performance objectives and goals, including safety, financial and talent development, measure against defined objectives, and utilize a reliable communication and escalation process that provides for flexibility and adjustments if market expectations change. We believe the TBM connects our operations and allows us to benefit from sharing best practices across each of our businesses. In 2018, using the TBM, we drove and leveraged operating improvements through Kaizen and continuous improvement activities, as well as continuously evaluating, realigning and streamlining fixed and selling, general and administrative expenses. Operating under the TBM contributed to increased operating profit on higher sales levels, as we leveraged our fixed costs at a greater rate than in 2017.</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During 2018, the management team achieved the following results, as detailed below:</w:t>
      </w:r>
    </w:p>
    <w:p>
      <w:pPr>
        <w:spacing w:after="0" w:line="104" w:lineRule="exact"/>
        <w:rPr>
          <w:sz w:val="20"/>
          <w:szCs w:val="20"/>
          <w:color w:val="auto"/>
        </w:rPr>
      </w:pPr>
    </w:p>
    <w:p>
      <w:pPr>
        <w:ind w:left="700" w:right="20" w:hanging="356"/>
        <w:spacing w:after="0" w:line="246" w:lineRule="auto"/>
        <w:tabs>
          <w:tab w:leader="none" w:pos="700" w:val="left"/>
        </w:tabs>
        <w:numPr>
          <w:ilvl w:val="0"/>
          <w:numId w:val="32"/>
        </w:numPr>
        <w:rPr>
          <w:rFonts w:ascii="Arial" w:cs="Arial" w:eastAsia="Arial" w:hAnsi="Arial"/>
          <w:sz w:val="18"/>
          <w:szCs w:val="18"/>
          <w:color w:val="000562"/>
        </w:rPr>
      </w:pPr>
      <w:r>
        <w:rPr>
          <w:rFonts w:ascii="Arial" w:cs="Arial" w:eastAsia="Arial" w:hAnsi="Arial"/>
          <w:sz w:val="18"/>
          <w:szCs w:val="18"/>
          <w:color w:val="auto"/>
        </w:rPr>
        <w:t>Increased net sales by approximately 7.3% to $877.1 million, as sales increased in all three reportable segments as compared to 2017;</w:t>
      </w:r>
    </w:p>
    <w:p>
      <w:pPr>
        <w:spacing w:after="0" w:line="88" w:lineRule="exact"/>
        <w:rPr>
          <w:rFonts w:ascii="Arial" w:cs="Arial" w:eastAsia="Arial" w:hAnsi="Arial"/>
          <w:sz w:val="18"/>
          <w:szCs w:val="18"/>
          <w:color w:val="000562"/>
        </w:rPr>
      </w:pPr>
    </w:p>
    <w:p>
      <w:pPr>
        <w:ind w:left="700" w:hanging="356"/>
        <w:spacing w:after="0" w:line="246" w:lineRule="auto"/>
        <w:tabs>
          <w:tab w:leader="none" w:pos="700" w:val="left"/>
        </w:tabs>
        <w:numPr>
          <w:ilvl w:val="0"/>
          <w:numId w:val="32"/>
        </w:numPr>
        <w:rPr>
          <w:rFonts w:ascii="Arial" w:cs="Arial" w:eastAsia="Arial" w:hAnsi="Arial"/>
          <w:sz w:val="18"/>
          <w:szCs w:val="18"/>
          <w:color w:val="000562"/>
        </w:rPr>
      </w:pPr>
      <w:r>
        <w:rPr>
          <w:rFonts w:ascii="Arial" w:cs="Arial" w:eastAsia="Arial" w:hAnsi="Arial"/>
          <w:sz w:val="18"/>
          <w:szCs w:val="18"/>
          <w:color w:val="auto"/>
        </w:rPr>
        <w:t>Increased operating profit to $122.1 million, while improving operating profit margin, as compared to operating profit of $89.2 million in 2017;</w:t>
      </w:r>
    </w:p>
    <w:p>
      <w:pPr>
        <w:spacing w:after="0" w:line="88" w:lineRule="exact"/>
        <w:rPr>
          <w:rFonts w:ascii="Arial" w:cs="Arial" w:eastAsia="Arial" w:hAnsi="Arial"/>
          <w:sz w:val="18"/>
          <w:szCs w:val="18"/>
          <w:color w:val="000562"/>
        </w:rPr>
      </w:pPr>
    </w:p>
    <w:p>
      <w:pPr>
        <w:ind w:left="700" w:hanging="356"/>
        <w:spacing w:after="0"/>
        <w:tabs>
          <w:tab w:leader="none" w:pos="700" w:val="left"/>
        </w:tabs>
        <w:numPr>
          <w:ilvl w:val="0"/>
          <w:numId w:val="32"/>
        </w:numPr>
        <w:rPr>
          <w:rFonts w:ascii="Arial" w:cs="Arial" w:eastAsia="Arial" w:hAnsi="Arial"/>
          <w:sz w:val="18"/>
          <w:szCs w:val="18"/>
          <w:color w:val="000562"/>
        </w:rPr>
      </w:pPr>
      <w:r>
        <w:rPr>
          <w:rFonts w:ascii="Arial" w:cs="Arial" w:eastAsia="Arial" w:hAnsi="Arial"/>
          <w:sz w:val="18"/>
          <w:szCs w:val="18"/>
          <w:color w:val="auto"/>
        </w:rPr>
        <w:t>Increased net income to $83.3 million, compared to $31.0 million in 2017;</w:t>
      </w:r>
    </w:p>
    <w:p>
      <w:pPr>
        <w:spacing w:after="0" w:line="103" w:lineRule="exact"/>
        <w:rPr>
          <w:rFonts w:ascii="Arial" w:cs="Arial" w:eastAsia="Arial" w:hAnsi="Arial"/>
          <w:sz w:val="18"/>
          <w:szCs w:val="18"/>
          <w:color w:val="000562"/>
        </w:rPr>
      </w:pPr>
    </w:p>
    <w:p>
      <w:pPr>
        <w:ind w:left="700" w:hanging="356"/>
        <w:spacing w:after="0"/>
        <w:tabs>
          <w:tab w:leader="none" w:pos="700" w:val="left"/>
        </w:tabs>
        <w:numPr>
          <w:ilvl w:val="0"/>
          <w:numId w:val="32"/>
        </w:numPr>
        <w:rPr>
          <w:rFonts w:ascii="Arial" w:cs="Arial" w:eastAsia="Arial" w:hAnsi="Arial"/>
          <w:sz w:val="18"/>
          <w:szCs w:val="18"/>
          <w:color w:val="000562"/>
        </w:rPr>
      </w:pPr>
      <w:r>
        <w:rPr>
          <w:rFonts w:ascii="Arial" w:cs="Arial" w:eastAsia="Arial" w:hAnsi="Arial"/>
          <w:sz w:val="18"/>
          <w:szCs w:val="18"/>
          <w:color w:val="auto"/>
        </w:rPr>
        <w:t>Increased diluted EPS to $1.80, compared to $0.67 in 2017;</w:t>
      </w:r>
    </w:p>
    <w:p>
      <w:pPr>
        <w:spacing w:after="0" w:line="103" w:lineRule="exact"/>
        <w:rPr>
          <w:rFonts w:ascii="Arial" w:cs="Arial" w:eastAsia="Arial" w:hAnsi="Arial"/>
          <w:sz w:val="18"/>
          <w:szCs w:val="18"/>
          <w:color w:val="000562"/>
        </w:rPr>
      </w:pPr>
    </w:p>
    <w:p>
      <w:pPr>
        <w:ind w:left="700" w:hanging="356"/>
        <w:spacing w:after="0" w:line="246" w:lineRule="auto"/>
        <w:tabs>
          <w:tab w:leader="none" w:pos="700" w:val="left"/>
        </w:tabs>
        <w:numPr>
          <w:ilvl w:val="0"/>
          <w:numId w:val="32"/>
        </w:numPr>
        <w:rPr>
          <w:rFonts w:ascii="Arial" w:cs="Arial" w:eastAsia="Arial" w:hAnsi="Arial"/>
          <w:sz w:val="18"/>
          <w:szCs w:val="18"/>
          <w:color w:val="000562"/>
        </w:rPr>
      </w:pPr>
      <w:r>
        <w:rPr>
          <w:rFonts w:ascii="Arial" w:cs="Arial" w:eastAsia="Arial" w:hAnsi="Arial"/>
          <w:sz w:val="18"/>
          <w:szCs w:val="18"/>
          <w:color w:val="auto"/>
        </w:rPr>
        <w:t>Increased net cash provided by operating activities to $129.3 million, and ended 2018 with $108.2 million of cash on hand;</w:t>
      </w:r>
    </w:p>
    <w:p>
      <w:pPr>
        <w:spacing w:after="0" w:line="88" w:lineRule="exact"/>
        <w:rPr>
          <w:rFonts w:ascii="Arial" w:cs="Arial" w:eastAsia="Arial" w:hAnsi="Arial"/>
          <w:sz w:val="18"/>
          <w:szCs w:val="18"/>
          <w:color w:val="000562"/>
        </w:rPr>
      </w:pPr>
    </w:p>
    <w:p>
      <w:pPr>
        <w:ind w:left="700" w:right="20" w:hanging="356"/>
        <w:spacing w:after="0" w:line="246" w:lineRule="auto"/>
        <w:tabs>
          <w:tab w:leader="none" w:pos="700" w:val="left"/>
        </w:tabs>
        <w:numPr>
          <w:ilvl w:val="0"/>
          <w:numId w:val="32"/>
        </w:numPr>
        <w:rPr>
          <w:rFonts w:ascii="Arial" w:cs="Arial" w:eastAsia="Arial" w:hAnsi="Arial"/>
          <w:sz w:val="18"/>
          <w:szCs w:val="18"/>
          <w:color w:val="000562"/>
        </w:rPr>
      </w:pPr>
      <w:r>
        <w:rPr>
          <w:rFonts w:ascii="Arial" w:cs="Arial" w:eastAsia="Arial" w:hAnsi="Arial"/>
          <w:sz w:val="18"/>
          <w:szCs w:val="18"/>
          <w:color w:val="auto"/>
        </w:rPr>
        <w:t>Reduced our leverage ratio to 1.3x as defined in our credit agreement, and ended 2018 with $393.1 million of cash and aggregate availability under our credit agreement; and</w:t>
      </w:r>
    </w:p>
    <w:p>
      <w:pPr>
        <w:spacing w:after="0" w:line="88" w:lineRule="exact"/>
        <w:rPr>
          <w:rFonts w:ascii="Arial" w:cs="Arial" w:eastAsia="Arial" w:hAnsi="Arial"/>
          <w:sz w:val="18"/>
          <w:szCs w:val="18"/>
          <w:color w:val="000562"/>
        </w:rPr>
      </w:pPr>
    </w:p>
    <w:p>
      <w:pPr>
        <w:ind w:left="700" w:right="20" w:hanging="356"/>
        <w:spacing w:after="0" w:line="246" w:lineRule="auto"/>
        <w:tabs>
          <w:tab w:leader="none" w:pos="700" w:val="left"/>
        </w:tabs>
        <w:numPr>
          <w:ilvl w:val="0"/>
          <w:numId w:val="32"/>
        </w:numPr>
        <w:rPr>
          <w:rFonts w:ascii="Arial" w:cs="Arial" w:eastAsia="Arial" w:hAnsi="Arial"/>
          <w:sz w:val="18"/>
          <w:szCs w:val="18"/>
          <w:color w:val="000562"/>
        </w:rPr>
      </w:pPr>
      <w:r>
        <w:rPr>
          <w:rFonts w:ascii="Arial" w:cs="Arial" w:eastAsia="Arial" w:hAnsi="Arial"/>
          <w:sz w:val="18"/>
          <w:szCs w:val="18"/>
          <w:color w:val="auto"/>
        </w:rPr>
        <w:t>Repurchased 442,632 shares of our outstanding common stock, or approximately 1% of outstanding shares, for approximately $12.1 million, during 2018.</w:t>
      </w:r>
    </w:p>
    <w:p>
      <w:pPr>
        <w:spacing w:after="0" w:line="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TriMas’ management team also took several proactive actions in 2018 to enhance our future. We continued to invest in the Packaging segment, investing in commercial and technical resources and launching product innovations such as several new lotion pumps and trigger sprayers for e-commerce applications. In the Aerospace segment, we continued to focus on manufacturing efficiency and continuous improvement, while developing and qualifying new products to serve the aerospace market. And finally, in the Specialty Products segment, we leveraged robust sales growth across a realigned footprint to significantly improve profitability.</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summary, 2018 was a year of continued growth and improved performance, as we exceeded our profit and cash flow targets. As we move forward throughout 2019, our objectives are to continue our momentum under the TBM, better position our businesses strategically to drive growth through innovation, capitalize on market opportunities through manufacturing efficacy and continue our relentless commitment to cash conversion to drive long-term shareholder value.</w:t>
      </w:r>
    </w:p>
    <w:p>
      <w:pPr>
        <w:spacing w:after="0" w:line="187" w:lineRule="exact"/>
        <w:rPr>
          <w:sz w:val="20"/>
          <w:szCs w:val="20"/>
          <w:color w:val="auto"/>
        </w:rPr>
      </w:pPr>
    </w:p>
    <w:p>
      <w:pPr>
        <w:ind w:left="7140"/>
        <w:spacing w:after="0"/>
        <w:tabs>
          <w:tab w:leader="none" w:pos="9040" w:val="left"/>
          <w:tab w:leader="none" w:pos="9340" w:val="left"/>
        </w:tabs>
        <w:rPr>
          <w:sz w:val="20"/>
          <w:szCs w:val="20"/>
          <w:color w:val="auto"/>
        </w:rPr>
      </w:pPr>
      <w:r>
        <w:rPr>
          <w:rFonts w:ascii="Arial" w:cs="Arial" w:eastAsia="Arial" w:hAnsi="Arial"/>
          <w:sz w:val="18"/>
          <w:szCs w:val="18"/>
          <w:i w:val="1"/>
          <w:iCs w:val="1"/>
          <w:color w:val="auto"/>
        </w:rPr>
        <w:t>2019 Proxy Statement</w:t>
      </w:r>
      <w:r>
        <w:rPr>
          <w:sz w:val="20"/>
          <w:szCs w:val="20"/>
          <w:color w:val="auto"/>
        </w:rPr>
        <w:tab/>
      </w:r>
      <w:r>
        <w:rPr>
          <w:rFonts w:ascii="Arial" w:cs="Arial" w:eastAsia="Arial" w:hAnsi="Arial"/>
          <w:sz w:val="22"/>
          <w:szCs w:val="22"/>
          <w:b w:val="1"/>
          <w:bCs w:val="1"/>
          <w:color w:val="000562"/>
        </w:rPr>
        <w:t>I</w:t>
      </w:r>
      <w:r>
        <w:rPr>
          <w:sz w:val="20"/>
          <w:szCs w:val="20"/>
          <w:color w:val="auto"/>
        </w:rPr>
        <w:tab/>
      </w:r>
      <w:r>
        <w:rPr>
          <w:rFonts w:ascii="Arial" w:cs="Arial" w:eastAsia="Arial" w:hAnsi="Arial"/>
          <w:sz w:val="17"/>
          <w:szCs w:val="17"/>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07187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000562"/>
        </w:rPr>
        <w:t>TriMas Corporation</w:t>
      </w:r>
    </w:p>
    <w:p>
      <w:pPr>
        <w:spacing w:after="0" w:line="1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0718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Below we highlight certain executive compensation practices that support the needs of our business, drive performance and align with our shareholders’ long-term interests. A summary of what we do and do not do in that regard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0" w:type="dxa"/>
            <w:vAlign w:val="bottom"/>
            <w:tcBorders>
              <w:bottom w:val="single" w:sz="8" w:color="000562"/>
            </w:tcBorders>
          </w:tcPr>
          <w:p>
            <w:pPr>
              <w:spacing w:after="0"/>
              <w:rPr>
                <w:sz w:val="16"/>
                <w:szCs w:val="16"/>
                <w:color w:val="auto"/>
              </w:rPr>
            </w:pPr>
          </w:p>
        </w:tc>
        <w:tc>
          <w:tcPr>
            <w:tcW w:w="4520" w:type="dxa"/>
            <w:vAlign w:val="bottom"/>
            <w:tcBorders>
              <w:bottom w:val="single" w:sz="8" w:color="000562"/>
            </w:tcBorders>
          </w:tcPr>
          <w:p>
            <w:pPr>
              <w:ind w:left="1800"/>
              <w:spacing w:after="0"/>
              <w:rPr>
                <w:sz w:val="20"/>
                <w:szCs w:val="20"/>
                <w:color w:val="auto"/>
              </w:rPr>
            </w:pPr>
            <w:r>
              <w:rPr>
                <w:rFonts w:ascii="Arial" w:cs="Arial" w:eastAsia="Arial" w:hAnsi="Arial"/>
                <w:sz w:val="14"/>
                <w:szCs w:val="14"/>
                <w:b w:val="1"/>
                <w:bCs w:val="1"/>
                <w:color w:val="000562"/>
              </w:rPr>
              <w:t>WHAT WE DO</w:t>
            </w:r>
          </w:p>
        </w:tc>
        <w:tc>
          <w:tcPr>
            <w:tcW w:w="4820" w:type="dxa"/>
            <w:vAlign w:val="bottom"/>
            <w:tcBorders>
              <w:bottom w:val="single" w:sz="8" w:color="000562"/>
            </w:tcBorders>
          </w:tcPr>
          <w:p>
            <w:pPr>
              <w:ind w:left="1880"/>
              <w:spacing w:after="0"/>
              <w:rPr>
                <w:sz w:val="20"/>
                <w:szCs w:val="20"/>
                <w:color w:val="auto"/>
              </w:rPr>
            </w:pPr>
            <w:r>
              <w:rPr>
                <w:rFonts w:ascii="Arial" w:cs="Arial" w:eastAsia="Arial" w:hAnsi="Arial"/>
                <w:sz w:val="14"/>
                <w:szCs w:val="14"/>
                <w:b w:val="1"/>
                <w:bCs w:val="1"/>
                <w:color w:val="000562"/>
              </w:rPr>
              <w:t>WHAT WE DON’T DO</w:t>
            </w:r>
          </w:p>
        </w:tc>
      </w:tr>
      <w:tr>
        <w:trPr>
          <w:trHeight w:val="250"/>
        </w:trPr>
        <w:tc>
          <w:tcPr>
            <w:tcW w:w="220" w:type="dxa"/>
            <w:vAlign w:val="bottom"/>
            <w:shd w:val="clear" w:color="auto" w:fill="E9EFEE"/>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4520" w:type="dxa"/>
            <w:vAlign w:val="bottom"/>
            <w:shd w:val="clear" w:color="auto" w:fill="E9EFEE"/>
          </w:tcPr>
          <w:p>
            <w:pPr>
              <w:ind w:left="80"/>
              <w:spacing w:after="0"/>
              <w:rPr>
                <w:sz w:val="20"/>
                <w:szCs w:val="20"/>
                <w:color w:val="auto"/>
              </w:rPr>
            </w:pPr>
            <w:r>
              <w:rPr>
                <w:rFonts w:ascii="Arial" w:cs="Arial" w:eastAsia="Arial" w:hAnsi="Arial"/>
                <w:sz w:val="16"/>
                <w:szCs w:val="16"/>
                <w:b w:val="1"/>
                <w:bCs w:val="1"/>
                <w:color w:val="auto"/>
              </w:rPr>
              <w:t>Pay for Performance</w:t>
            </w:r>
          </w:p>
        </w:tc>
        <w:tc>
          <w:tcPr>
            <w:tcW w:w="4820" w:type="dxa"/>
            <w:vAlign w:val="bottom"/>
            <w:shd w:val="clear" w:color="auto" w:fill="E9EFEE"/>
          </w:tcPr>
          <w:p>
            <w:pPr>
              <w:ind w:left="1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Employment Contracts</w:t>
            </w:r>
          </w:p>
        </w:tc>
      </w:tr>
      <w:tr>
        <w:trPr>
          <w:trHeight w:val="203"/>
        </w:trPr>
        <w:tc>
          <w:tcPr>
            <w:tcW w:w="220" w:type="dxa"/>
            <w:vAlign w:val="bottom"/>
            <w:shd w:val="clear" w:color="auto" w:fill="E9EFEE"/>
          </w:tcPr>
          <w:p>
            <w:pPr>
              <w:spacing w:after="0"/>
              <w:rPr>
                <w:sz w:val="17"/>
                <w:szCs w:val="17"/>
                <w:color w:val="auto"/>
              </w:rPr>
            </w:pPr>
          </w:p>
        </w:tc>
        <w:tc>
          <w:tcPr>
            <w:tcW w:w="4520" w:type="dxa"/>
            <w:vAlign w:val="bottom"/>
            <w:shd w:val="clear" w:color="auto" w:fill="E9EFEE"/>
          </w:tcPr>
          <w:p>
            <w:pPr>
              <w:ind w:left="80"/>
              <w:spacing w:after="0"/>
              <w:rPr>
                <w:sz w:val="20"/>
                <w:szCs w:val="20"/>
                <w:color w:val="auto"/>
              </w:rPr>
            </w:pPr>
            <w:r>
              <w:rPr>
                <w:rFonts w:ascii="Arial" w:cs="Arial" w:eastAsia="Arial" w:hAnsi="Arial"/>
                <w:sz w:val="16"/>
                <w:szCs w:val="16"/>
                <w:color w:val="auto"/>
              </w:rPr>
              <w:t>We tie pay to performance. The majority of NEO pay is not</w:t>
            </w:r>
          </w:p>
        </w:tc>
        <w:tc>
          <w:tcPr>
            <w:tcW w:w="4820" w:type="dxa"/>
            <w:vAlign w:val="bottom"/>
            <w:shd w:val="clear" w:color="auto" w:fill="E9EFEE"/>
          </w:tcPr>
          <w:p>
            <w:pPr>
              <w:ind w:left="400"/>
              <w:spacing w:after="0"/>
              <w:rPr>
                <w:sz w:val="20"/>
                <w:szCs w:val="20"/>
                <w:color w:val="auto"/>
              </w:rPr>
            </w:pPr>
            <w:r>
              <w:rPr>
                <w:rFonts w:ascii="Arial" w:cs="Arial" w:eastAsia="Arial" w:hAnsi="Arial"/>
                <w:sz w:val="16"/>
                <w:szCs w:val="16"/>
                <w:color w:val="auto"/>
              </w:rPr>
              <w:t>We do not have employment contracts with our NEOs.</w:t>
            </w:r>
          </w:p>
        </w:tc>
      </w:tr>
      <w:tr>
        <w:trPr>
          <w:trHeight w:val="189"/>
        </w:trPr>
        <w:tc>
          <w:tcPr>
            <w:tcW w:w="220" w:type="dxa"/>
            <w:vAlign w:val="bottom"/>
            <w:shd w:val="clear" w:color="auto" w:fill="E9EFEE"/>
          </w:tcPr>
          <w:p>
            <w:pPr>
              <w:spacing w:after="0"/>
              <w:rPr>
                <w:sz w:val="16"/>
                <w:szCs w:val="16"/>
                <w:color w:val="auto"/>
              </w:rPr>
            </w:pPr>
          </w:p>
        </w:tc>
        <w:tc>
          <w:tcPr>
            <w:tcW w:w="4520" w:type="dxa"/>
            <w:vAlign w:val="bottom"/>
            <w:shd w:val="clear" w:color="auto" w:fill="E9EFEE"/>
          </w:tcPr>
          <w:p>
            <w:pPr>
              <w:ind w:left="80"/>
              <w:spacing w:after="0"/>
              <w:rPr>
                <w:sz w:val="20"/>
                <w:szCs w:val="20"/>
                <w:color w:val="auto"/>
              </w:rPr>
            </w:pPr>
            <w:r>
              <w:rPr>
                <w:rFonts w:ascii="Arial" w:cs="Arial" w:eastAsia="Arial" w:hAnsi="Arial"/>
                <w:sz w:val="16"/>
                <w:szCs w:val="16"/>
                <w:color w:val="auto"/>
              </w:rPr>
              <w:t>guaranteed but is generally conditioned upon the</w:t>
            </w:r>
          </w:p>
        </w:tc>
        <w:tc>
          <w:tcPr>
            <w:tcW w:w="4820" w:type="dxa"/>
            <w:vAlign w:val="bottom"/>
            <w:shd w:val="clear" w:color="auto" w:fill="E9EFEE"/>
          </w:tcPr>
          <w:p>
            <w:pPr>
              <w:spacing w:after="0"/>
              <w:rPr>
                <w:sz w:val="16"/>
                <w:szCs w:val="16"/>
                <w:color w:val="auto"/>
              </w:rPr>
            </w:pPr>
          </w:p>
        </w:tc>
      </w:tr>
      <w:tr>
        <w:trPr>
          <w:trHeight w:val="189"/>
        </w:trPr>
        <w:tc>
          <w:tcPr>
            <w:tcW w:w="220" w:type="dxa"/>
            <w:vAlign w:val="bottom"/>
            <w:shd w:val="clear" w:color="auto" w:fill="E9EFEE"/>
          </w:tcPr>
          <w:p>
            <w:pPr>
              <w:spacing w:after="0"/>
              <w:rPr>
                <w:sz w:val="16"/>
                <w:szCs w:val="16"/>
                <w:color w:val="auto"/>
              </w:rPr>
            </w:pPr>
          </w:p>
        </w:tc>
        <w:tc>
          <w:tcPr>
            <w:tcW w:w="4520" w:type="dxa"/>
            <w:vAlign w:val="bottom"/>
            <w:shd w:val="clear" w:color="auto" w:fill="E9EFEE"/>
          </w:tcPr>
          <w:p>
            <w:pPr>
              <w:ind w:left="80"/>
              <w:spacing w:after="0"/>
              <w:rPr>
                <w:sz w:val="20"/>
                <w:szCs w:val="20"/>
                <w:color w:val="auto"/>
              </w:rPr>
            </w:pPr>
            <w:r>
              <w:rPr>
                <w:rFonts w:ascii="Arial" w:cs="Arial" w:eastAsia="Arial" w:hAnsi="Arial"/>
                <w:sz w:val="16"/>
                <w:szCs w:val="16"/>
                <w:color w:val="auto"/>
              </w:rPr>
              <w:t>achievement of predetermined financial goals related to</w:t>
            </w:r>
          </w:p>
        </w:tc>
        <w:tc>
          <w:tcPr>
            <w:tcW w:w="4820" w:type="dxa"/>
            <w:vAlign w:val="bottom"/>
            <w:shd w:val="clear" w:color="auto" w:fill="E9EFEE"/>
          </w:tcPr>
          <w:p>
            <w:pPr>
              <w:spacing w:after="0"/>
              <w:rPr>
                <w:sz w:val="16"/>
                <w:szCs w:val="16"/>
                <w:color w:val="auto"/>
              </w:rPr>
            </w:pPr>
          </w:p>
        </w:tc>
      </w:tr>
      <w:tr>
        <w:trPr>
          <w:trHeight w:val="199"/>
        </w:trPr>
        <w:tc>
          <w:tcPr>
            <w:tcW w:w="220" w:type="dxa"/>
            <w:vAlign w:val="bottom"/>
            <w:tcBorders>
              <w:bottom w:val="single" w:sz="8" w:color="000562"/>
            </w:tcBorders>
            <w:shd w:val="clear" w:color="auto" w:fill="E9EFEE"/>
          </w:tcPr>
          <w:p>
            <w:pPr>
              <w:spacing w:after="0"/>
              <w:rPr>
                <w:sz w:val="17"/>
                <w:szCs w:val="17"/>
                <w:color w:val="auto"/>
              </w:rPr>
            </w:pPr>
          </w:p>
        </w:tc>
        <w:tc>
          <w:tcPr>
            <w:tcW w:w="4520" w:type="dxa"/>
            <w:vAlign w:val="bottom"/>
            <w:tcBorders>
              <w:bottom w:val="single" w:sz="8" w:color="000562"/>
            </w:tcBorders>
            <w:shd w:val="clear" w:color="auto" w:fill="E9EFEE"/>
          </w:tcPr>
          <w:p>
            <w:pPr>
              <w:ind w:left="80"/>
              <w:spacing w:after="0"/>
              <w:rPr>
                <w:sz w:val="20"/>
                <w:szCs w:val="20"/>
                <w:color w:val="auto"/>
              </w:rPr>
            </w:pPr>
            <w:r>
              <w:rPr>
                <w:rFonts w:ascii="Arial" w:cs="Arial" w:eastAsia="Arial" w:hAnsi="Arial"/>
                <w:sz w:val="16"/>
                <w:szCs w:val="16"/>
                <w:color w:val="auto"/>
              </w:rPr>
              <w:t>corporate and business unit performance.</w:t>
            </w:r>
          </w:p>
        </w:tc>
        <w:tc>
          <w:tcPr>
            <w:tcW w:w="4820" w:type="dxa"/>
            <w:vAlign w:val="bottom"/>
            <w:tcBorders>
              <w:bottom w:val="single" w:sz="8" w:color="000562"/>
            </w:tcBorders>
            <w:shd w:val="clear" w:color="auto" w:fill="E9EFEE"/>
          </w:tcPr>
          <w:p>
            <w:pPr>
              <w:spacing w:after="0"/>
              <w:rPr>
                <w:sz w:val="17"/>
                <w:szCs w:val="17"/>
                <w:color w:val="auto"/>
              </w:rPr>
            </w:pPr>
          </w:p>
        </w:tc>
      </w:tr>
      <w:tr>
        <w:trPr>
          <w:trHeight w:val="253"/>
        </w:trPr>
        <w:tc>
          <w:tcPr>
            <w:tcW w:w="22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4520" w:type="dxa"/>
            <w:vAlign w:val="bottom"/>
          </w:tcPr>
          <w:p>
            <w:pPr>
              <w:ind w:left="80"/>
              <w:spacing w:after="0"/>
              <w:rPr>
                <w:sz w:val="20"/>
                <w:szCs w:val="20"/>
                <w:color w:val="auto"/>
              </w:rPr>
            </w:pPr>
            <w:r>
              <w:rPr>
                <w:rFonts w:ascii="Arial" w:cs="Arial" w:eastAsia="Arial" w:hAnsi="Arial"/>
                <w:sz w:val="16"/>
                <w:szCs w:val="16"/>
                <w:b w:val="1"/>
                <w:bCs w:val="1"/>
                <w:color w:val="auto"/>
              </w:rPr>
              <w:t>Mitigate Undue Risk</w:t>
            </w:r>
          </w:p>
        </w:tc>
        <w:tc>
          <w:tcPr>
            <w:tcW w:w="4820" w:type="dxa"/>
            <w:vAlign w:val="bottom"/>
          </w:tcPr>
          <w:p>
            <w:pPr>
              <w:ind w:left="1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Excise Tax Gross-Ups Upon Change-of-Control</w:t>
            </w:r>
          </w:p>
        </w:tc>
      </w:tr>
      <w:tr>
        <w:trPr>
          <w:trHeight w:val="203"/>
        </w:trPr>
        <w:tc>
          <w:tcPr>
            <w:tcW w:w="220" w:type="dxa"/>
            <w:vAlign w:val="bottom"/>
          </w:tcPr>
          <w:p>
            <w:pPr>
              <w:spacing w:after="0"/>
              <w:rPr>
                <w:sz w:val="17"/>
                <w:szCs w:val="17"/>
                <w:color w:val="auto"/>
              </w:rPr>
            </w:pPr>
          </w:p>
        </w:tc>
        <w:tc>
          <w:tcPr>
            <w:tcW w:w="4520" w:type="dxa"/>
            <w:vAlign w:val="bottom"/>
          </w:tcPr>
          <w:p>
            <w:pPr>
              <w:ind w:left="80"/>
              <w:spacing w:after="0"/>
              <w:rPr>
                <w:sz w:val="20"/>
                <w:szCs w:val="20"/>
                <w:color w:val="auto"/>
              </w:rPr>
            </w:pPr>
            <w:r>
              <w:rPr>
                <w:rFonts w:ascii="Arial" w:cs="Arial" w:eastAsia="Arial" w:hAnsi="Arial"/>
                <w:sz w:val="16"/>
                <w:szCs w:val="16"/>
                <w:color w:val="auto"/>
              </w:rPr>
              <w:t>Our compensation practices are designed to discourage</w:t>
            </w:r>
          </w:p>
        </w:tc>
        <w:tc>
          <w:tcPr>
            <w:tcW w:w="4820" w:type="dxa"/>
            <w:vAlign w:val="bottom"/>
          </w:tcPr>
          <w:p>
            <w:pPr>
              <w:ind w:left="400"/>
              <w:spacing w:after="0"/>
              <w:rPr>
                <w:sz w:val="20"/>
                <w:szCs w:val="20"/>
                <w:color w:val="auto"/>
              </w:rPr>
            </w:pPr>
            <w:r>
              <w:rPr>
                <w:rFonts w:ascii="Arial" w:cs="Arial" w:eastAsia="Arial" w:hAnsi="Arial"/>
                <w:sz w:val="16"/>
                <w:szCs w:val="16"/>
                <w:color w:val="auto"/>
              </w:rPr>
              <w:t>We do not provide for excise tax gross-ups on change-of-</w:t>
            </w:r>
          </w:p>
        </w:tc>
      </w:tr>
      <w:tr>
        <w:trPr>
          <w:trHeight w:val="189"/>
        </w:trPr>
        <w:tc>
          <w:tcPr>
            <w:tcW w:w="220" w:type="dxa"/>
            <w:vAlign w:val="bottom"/>
          </w:tcPr>
          <w:p>
            <w:pPr>
              <w:spacing w:after="0"/>
              <w:rPr>
                <w:sz w:val="16"/>
                <w:szCs w:val="16"/>
                <w:color w:val="auto"/>
              </w:rPr>
            </w:pPr>
          </w:p>
        </w:tc>
        <w:tc>
          <w:tcPr>
            <w:tcW w:w="4520" w:type="dxa"/>
            <w:vAlign w:val="bottom"/>
          </w:tcPr>
          <w:p>
            <w:pPr>
              <w:ind w:left="80"/>
              <w:spacing w:after="0"/>
              <w:rPr>
                <w:sz w:val="20"/>
                <w:szCs w:val="20"/>
                <w:color w:val="auto"/>
              </w:rPr>
            </w:pPr>
            <w:r>
              <w:rPr>
                <w:rFonts w:ascii="Arial" w:cs="Arial" w:eastAsia="Arial" w:hAnsi="Arial"/>
                <w:sz w:val="16"/>
                <w:szCs w:val="16"/>
                <w:color w:val="auto"/>
              </w:rPr>
              <w:t>excessive risk-taking as related to performance and payout</w:t>
            </w:r>
          </w:p>
        </w:tc>
        <w:tc>
          <w:tcPr>
            <w:tcW w:w="4820" w:type="dxa"/>
            <w:vAlign w:val="bottom"/>
          </w:tcPr>
          <w:p>
            <w:pPr>
              <w:ind w:left="400"/>
              <w:spacing w:after="0"/>
              <w:rPr>
                <w:sz w:val="20"/>
                <w:szCs w:val="20"/>
                <w:color w:val="auto"/>
              </w:rPr>
            </w:pPr>
            <w:r>
              <w:rPr>
                <w:rFonts w:ascii="Arial" w:cs="Arial" w:eastAsia="Arial" w:hAnsi="Arial"/>
                <w:sz w:val="16"/>
                <w:szCs w:val="16"/>
                <w:color w:val="auto"/>
              </w:rPr>
              <w:t>control payments.</w:t>
            </w:r>
          </w:p>
        </w:tc>
      </w:tr>
      <w:tr>
        <w:trPr>
          <w:trHeight w:val="196"/>
        </w:trPr>
        <w:tc>
          <w:tcPr>
            <w:tcW w:w="220" w:type="dxa"/>
            <w:vAlign w:val="bottom"/>
          </w:tcPr>
          <w:p>
            <w:pPr>
              <w:spacing w:after="0"/>
              <w:rPr>
                <w:sz w:val="17"/>
                <w:szCs w:val="17"/>
                <w:color w:val="auto"/>
              </w:rPr>
            </w:pPr>
          </w:p>
        </w:tc>
        <w:tc>
          <w:tcPr>
            <w:tcW w:w="4520" w:type="dxa"/>
            <w:vAlign w:val="bottom"/>
          </w:tcPr>
          <w:p>
            <w:pPr>
              <w:ind w:left="80"/>
              <w:spacing w:after="0"/>
              <w:rPr>
                <w:sz w:val="20"/>
                <w:szCs w:val="20"/>
                <w:color w:val="auto"/>
              </w:rPr>
            </w:pPr>
            <w:r>
              <w:rPr>
                <w:rFonts w:ascii="Arial" w:cs="Arial" w:eastAsia="Arial" w:hAnsi="Arial"/>
                <w:sz w:val="16"/>
                <w:szCs w:val="16"/>
                <w:color w:val="auto"/>
              </w:rPr>
              <w:t>under our compensation programs.</w:t>
            </w:r>
          </w:p>
        </w:tc>
        <w:tc>
          <w:tcPr>
            <w:tcW w:w="4820" w:type="dxa"/>
            <w:vAlign w:val="bottom"/>
          </w:tcPr>
          <w:p>
            <w:pPr>
              <w:spacing w:after="0"/>
              <w:rPr>
                <w:sz w:val="17"/>
                <w:szCs w:val="17"/>
                <w:color w:val="auto"/>
              </w:rPr>
            </w:pPr>
          </w:p>
        </w:tc>
      </w:tr>
    </w:tbl>
    <w:p>
      <w:pPr>
        <w:ind w:left="300" w:hanging="289"/>
        <w:spacing w:after="0" w:line="184" w:lineRule="exact"/>
        <w:tabs>
          <w:tab w:leader="none" w:pos="300" w:val="left"/>
        </w:tabs>
        <w:numPr>
          <w:ilvl w:val="0"/>
          <w:numId w:val="33"/>
        </w:numPr>
        <w:rPr>
          <w:rFonts w:ascii="MS PGothic" w:cs="MS PGothic" w:eastAsia="MS PGothic" w:hAnsi="MS PGothic"/>
          <w:sz w:val="16"/>
          <w:szCs w:val="16"/>
          <w:color w:val="auto"/>
        </w:rPr>
      </w:pPr>
      <w:r>
        <w:rPr>
          <w:rFonts w:ascii="Arial" w:cs="Arial" w:eastAsia="Arial" w:hAnsi="Arial"/>
          <w:sz w:val="16"/>
          <w:szCs w:val="16"/>
          <w:b w:val="1"/>
          <w:bCs w:val="1"/>
          <w:color w:val="auto"/>
        </w:rPr>
        <w:t>Reasonable Executive Severance/Change-of-Control</w:t>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No  Repricing  Underwater  Stock  Options  or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6071870" cy="6686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71870" cy="66865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ind w:left="300"/>
              <w:spacing w:after="0"/>
              <w:rPr>
                <w:sz w:val="20"/>
                <w:szCs w:val="20"/>
                <w:color w:val="auto"/>
              </w:rPr>
            </w:pPr>
            <w:r>
              <w:rPr>
                <w:rFonts w:ascii="Arial" w:cs="Arial" w:eastAsia="Arial" w:hAnsi="Arial"/>
                <w:sz w:val="16"/>
                <w:szCs w:val="16"/>
                <w:b w:val="1"/>
                <w:bCs w:val="1"/>
                <w:color w:val="auto"/>
              </w:rPr>
              <w:t>Benefits</w:t>
            </w:r>
          </w:p>
        </w:tc>
        <w:tc>
          <w:tcPr>
            <w:tcW w:w="4960" w:type="dxa"/>
            <w:vAlign w:val="bottom"/>
          </w:tcPr>
          <w:p>
            <w:pPr>
              <w:ind w:left="540"/>
              <w:spacing w:after="0"/>
              <w:rPr>
                <w:sz w:val="20"/>
                <w:szCs w:val="20"/>
                <w:color w:val="auto"/>
              </w:rPr>
            </w:pPr>
            <w:r>
              <w:rPr>
                <w:rFonts w:ascii="Arial" w:cs="Arial" w:eastAsia="Arial" w:hAnsi="Arial"/>
                <w:sz w:val="16"/>
                <w:szCs w:val="16"/>
                <w:b w:val="1"/>
                <w:bCs w:val="1"/>
                <w:color w:val="auto"/>
              </w:rPr>
              <w:t>Appreciation Rights Without Shareholder Approval</w:t>
            </w:r>
          </w:p>
        </w:tc>
      </w:tr>
      <w:tr>
        <w:trPr>
          <w:trHeight w:val="229"/>
        </w:trPr>
        <w:tc>
          <w:tcPr>
            <w:tcW w:w="4600" w:type="dxa"/>
            <w:vAlign w:val="bottom"/>
          </w:tcPr>
          <w:p>
            <w:pPr>
              <w:ind w:left="300"/>
              <w:spacing w:after="0"/>
              <w:rPr>
                <w:sz w:val="20"/>
                <w:szCs w:val="20"/>
                <w:color w:val="auto"/>
              </w:rPr>
            </w:pPr>
            <w:r>
              <w:rPr>
                <w:rFonts w:ascii="Arial" w:cs="Arial" w:eastAsia="Arial" w:hAnsi="Arial"/>
                <w:sz w:val="16"/>
                <w:szCs w:val="16"/>
                <w:color w:val="auto"/>
              </w:rPr>
              <w:t>Our post-employment and change-of-control severance</w:t>
            </w:r>
          </w:p>
        </w:tc>
        <w:tc>
          <w:tcPr>
            <w:tcW w:w="4960" w:type="dxa"/>
            <w:vAlign w:val="bottom"/>
          </w:tcPr>
          <w:p>
            <w:pPr>
              <w:ind w:left="540"/>
              <w:spacing w:after="0"/>
              <w:rPr>
                <w:sz w:val="20"/>
                <w:szCs w:val="20"/>
                <w:color w:val="auto"/>
              </w:rPr>
            </w:pPr>
            <w:r>
              <w:rPr>
                <w:rFonts w:ascii="Arial" w:cs="Arial" w:eastAsia="Arial" w:hAnsi="Arial"/>
                <w:sz w:val="16"/>
                <w:szCs w:val="16"/>
                <w:color w:val="auto"/>
              </w:rPr>
              <w:t>We  do  not  permit  underwater  stock  options  or  stock</w:t>
            </w:r>
          </w:p>
        </w:tc>
      </w:tr>
      <w:tr>
        <w:trPr>
          <w:trHeight w:val="189"/>
        </w:trPr>
        <w:tc>
          <w:tcPr>
            <w:tcW w:w="4600" w:type="dxa"/>
            <w:vAlign w:val="bottom"/>
          </w:tcPr>
          <w:p>
            <w:pPr>
              <w:ind w:left="300"/>
              <w:spacing w:after="0"/>
              <w:rPr>
                <w:sz w:val="20"/>
                <w:szCs w:val="20"/>
                <w:color w:val="auto"/>
              </w:rPr>
            </w:pPr>
            <w:r>
              <w:rPr>
                <w:rFonts w:ascii="Arial" w:cs="Arial" w:eastAsia="Arial" w:hAnsi="Arial"/>
                <w:sz w:val="16"/>
                <w:szCs w:val="16"/>
                <w:color w:val="auto"/>
              </w:rPr>
              <w:t>benefits are designed to be consistent with competitive</w:t>
            </w:r>
          </w:p>
        </w:tc>
        <w:tc>
          <w:tcPr>
            <w:tcW w:w="4960" w:type="dxa"/>
            <w:vAlign w:val="bottom"/>
          </w:tcPr>
          <w:p>
            <w:pPr>
              <w:ind w:left="540"/>
              <w:spacing w:after="0"/>
              <w:rPr>
                <w:sz w:val="20"/>
                <w:szCs w:val="20"/>
                <w:color w:val="auto"/>
              </w:rPr>
            </w:pPr>
            <w:r>
              <w:rPr>
                <w:rFonts w:ascii="Arial" w:cs="Arial" w:eastAsia="Arial" w:hAnsi="Arial"/>
                <w:sz w:val="16"/>
                <w:szCs w:val="16"/>
                <w:color w:val="auto"/>
              </w:rPr>
              <w:t>appreciation  rights  to  be  repriced  without  shareholder</w:t>
            </w:r>
          </w:p>
        </w:tc>
      </w:tr>
      <w:tr>
        <w:trPr>
          <w:trHeight w:val="199"/>
        </w:trPr>
        <w:tc>
          <w:tcPr>
            <w:tcW w:w="4600" w:type="dxa"/>
            <w:vAlign w:val="bottom"/>
            <w:tcBorders>
              <w:bottom w:val="single" w:sz="8" w:color="000562"/>
            </w:tcBorders>
          </w:tcPr>
          <w:p>
            <w:pPr>
              <w:ind w:left="300"/>
              <w:spacing w:after="0"/>
              <w:rPr>
                <w:sz w:val="20"/>
                <w:szCs w:val="20"/>
                <w:color w:val="auto"/>
              </w:rPr>
            </w:pPr>
            <w:r>
              <w:rPr>
                <w:rFonts w:ascii="Arial" w:cs="Arial" w:eastAsia="Arial" w:hAnsi="Arial"/>
                <w:sz w:val="16"/>
                <w:szCs w:val="16"/>
                <w:color w:val="auto"/>
              </w:rPr>
              <w:t>market practice.</w:t>
            </w:r>
          </w:p>
        </w:tc>
        <w:tc>
          <w:tcPr>
            <w:tcW w:w="4960" w:type="dxa"/>
            <w:vAlign w:val="bottom"/>
            <w:tcBorders>
              <w:bottom w:val="single" w:sz="8" w:color="000562"/>
            </w:tcBorders>
          </w:tcPr>
          <w:p>
            <w:pPr>
              <w:ind w:left="540"/>
              <w:spacing w:after="0"/>
              <w:rPr>
                <w:sz w:val="20"/>
                <w:szCs w:val="20"/>
                <w:color w:val="auto"/>
              </w:rPr>
            </w:pPr>
            <w:r>
              <w:rPr>
                <w:rFonts w:ascii="Arial" w:cs="Arial" w:eastAsia="Arial" w:hAnsi="Arial"/>
                <w:sz w:val="16"/>
                <w:szCs w:val="16"/>
                <w:color w:val="auto"/>
              </w:rPr>
              <w:t>approval.</w:t>
            </w:r>
          </w:p>
        </w:tc>
      </w:tr>
      <w:tr>
        <w:trPr>
          <w:trHeight w:val="253"/>
        </w:trPr>
        <w:tc>
          <w:tcPr>
            <w:tcW w:w="460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Stock Ownership Guidelines</w:t>
            </w:r>
          </w:p>
        </w:tc>
        <w:tc>
          <w:tcPr>
            <w:tcW w:w="4960" w:type="dxa"/>
            <w:vAlign w:val="bottom"/>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Hedging Transactions, Short Sales or Pledging</w:t>
            </w:r>
          </w:p>
        </w:tc>
      </w:tr>
    </w:tbl>
    <w:p>
      <w:pPr>
        <w:spacing w:after="0" w:line="14" w:lineRule="exact"/>
        <w:rPr>
          <w:sz w:val="20"/>
          <w:szCs w:val="20"/>
          <w:color w:val="auto"/>
        </w:rPr>
      </w:pPr>
    </w:p>
    <w:p>
      <w:pPr>
        <w:sectPr>
          <w:pgSz w:w="11900" w:h="16838" w:orient="portrait"/>
          <w:cols w:equalWidth="0" w:num="1">
            <w:col w:w="9560"/>
          </w:cols>
          <w:pgMar w:left="1180" w:top="279" w:right="1159" w:bottom="1440" w:gutter="0" w:footer="0" w:header="0"/>
        </w:sectPr>
      </w:pPr>
    </w:p>
    <w:p>
      <w:pPr>
        <w:ind w:left="300" w:right="80"/>
        <w:spacing w:after="0" w:line="249" w:lineRule="auto"/>
        <w:rPr>
          <w:sz w:val="20"/>
          <w:szCs w:val="20"/>
          <w:color w:val="auto"/>
        </w:rPr>
      </w:pPr>
      <w:r>
        <w:rPr>
          <w:rFonts w:ascii="Arial" w:cs="Arial" w:eastAsia="Arial" w:hAnsi="Arial"/>
          <w:sz w:val="16"/>
          <w:szCs w:val="16"/>
          <w:color w:val="auto"/>
        </w:rPr>
        <w:t>Our guidelines for stock ownership align executives’ interests with those of our shareholders. Each NEO has exceeded this stock ownership requirement.</w:t>
      </w:r>
    </w:p>
    <w:p>
      <w:pPr>
        <w:spacing w:after="0" w:line="20" w:lineRule="exact"/>
        <w:rPr>
          <w:sz w:val="20"/>
          <w:szCs w:val="20"/>
          <w:color w:val="auto"/>
        </w:rPr>
      </w:pPr>
      <w:r>
        <w:rPr>
          <w:sz w:val="20"/>
          <w:szCs w:val="20"/>
          <w:color w:val="auto"/>
        </w:rPr>
        <w:br w:type="column"/>
      </w:r>
    </w:p>
    <w:p>
      <w:pPr>
        <w:ind w:right="160"/>
        <w:spacing w:after="0" w:line="249" w:lineRule="auto"/>
        <w:rPr>
          <w:sz w:val="20"/>
          <w:szCs w:val="20"/>
          <w:color w:val="auto"/>
        </w:rPr>
      </w:pPr>
      <w:r>
        <w:rPr>
          <w:rFonts w:ascii="Arial" w:cs="Arial" w:eastAsia="Arial" w:hAnsi="Arial"/>
          <w:sz w:val="16"/>
          <w:szCs w:val="16"/>
          <w:color w:val="auto"/>
        </w:rPr>
        <w:t>Our policies prohibit executives, including the NEOs, and directors from engaging in hedging, short sales or pledging with respect to the Company’s Common Stock.</w:t>
      </w:r>
    </w:p>
    <w:p>
      <w:pPr>
        <w:spacing w:after="0" w:line="15" w:lineRule="exact"/>
        <w:rPr>
          <w:sz w:val="20"/>
          <w:szCs w:val="20"/>
          <w:color w:val="auto"/>
        </w:rPr>
      </w:pPr>
    </w:p>
    <w:p>
      <w:pPr>
        <w:sectPr>
          <w:pgSz w:w="11900" w:h="16838" w:orient="portrait"/>
          <w:cols w:equalWidth="0" w:num="2">
            <w:col w:w="4420" w:space="720"/>
            <w:col w:w="4420"/>
          </w:cols>
          <w:pgMar w:left="1180" w:top="279" w:right="1159" w:bottom="1440" w:gutter="0" w:footer="0" w:header="0"/>
          <w:type w:val="continuous"/>
        </w:sectPr>
      </w:pPr>
    </w:p>
    <w:p>
      <w:pPr>
        <w:ind w:left="300" w:hanging="289"/>
        <w:spacing w:after="0"/>
        <w:tabs>
          <w:tab w:leader="none" w:pos="300" w:val="left"/>
        </w:tabs>
        <w:numPr>
          <w:ilvl w:val="0"/>
          <w:numId w:val="34"/>
        </w:numPr>
        <w:rPr>
          <w:rFonts w:ascii="MS PGothic" w:cs="MS PGothic" w:eastAsia="MS PGothic" w:hAnsi="MS PGothic"/>
          <w:sz w:val="16"/>
          <w:szCs w:val="16"/>
          <w:color w:val="auto"/>
        </w:rPr>
      </w:pPr>
      <w:r>
        <w:rPr>
          <w:rFonts w:ascii="Arial" w:cs="Arial" w:eastAsia="Arial" w:hAnsi="Arial"/>
          <w:sz w:val="16"/>
          <w:szCs w:val="16"/>
          <w:b w:val="1"/>
          <w:bCs w:val="1"/>
          <w:color w:val="auto"/>
        </w:rPr>
        <w:t>Regular Review of Share Utilization</w:t>
      </w:r>
    </w:p>
    <w:p>
      <w:pPr>
        <w:spacing w:after="0" w:line="92" w:lineRule="exact"/>
        <w:rPr>
          <w:rFonts w:ascii="MS PGothic" w:cs="MS PGothic" w:eastAsia="MS PGothic" w:hAnsi="MS PGothic"/>
          <w:sz w:val="16"/>
          <w:szCs w:val="16"/>
          <w:color w:val="auto"/>
        </w:rPr>
      </w:pPr>
    </w:p>
    <w:p>
      <w:pPr>
        <w:ind w:left="300" w:right="4900"/>
        <w:spacing w:after="0" w:line="248" w:lineRule="auto"/>
        <w:rPr>
          <w:rFonts w:ascii="MS PGothic" w:cs="MS PGothic" w:eastAsia="MS PGothic" w:hAnsi="MS PGothic"/>
          <w:sz w:val="16"/>
          <w:szCs w:val="16"/>
          <w:color w:val="auto"/>
        </w:rPr>
      </w:pPr>
      <w:r>
        <w:rPr>
          <w:rFonts w:ascii="Arial" w:cs="Arial" w:eastAsia="Arial" w:hAnsi="Arial"/>
          <w:sz w:val="16"/>
          <w:szCs w:val="16"/>
          <w:color w:val="auto"/>
        </w:rPr>
        <w:t>We evaluate share utilization by reviewing the dilutive impact of equity compensation on our shareholders and the aggregate shares awarded annually as a percentage of total outstanding shares.</w:t>
      </w:r>
    </w:p>
    <w:p>
      <w:pPr>
        <w:spacing w:after="0" w:line="16" w:lineRule="exact"/>
        <w:rPr>
          <w:rFonts w:ascii="MS PGothic" w:cs="MS PGothic" w:eastAsia="MS PGothic" w:hAnsi="MS PGothic"/>
          <w:sz w:val="16"/>
          <w:szCs w:val="16"/>
          <w:color w:val="auto"/>
        </w:rPr>
      </w:pPr>
    </w:p>
    <w:p>
      <w:pPr>
        <w:ind w:left="300" w:hanging="289"/>
        <w:spacing w:after="0"/>
        <w:tabs>
          <w:tab w:leader="none" w:pos="300" w:val="left"/>
        </w:tabs>
        <w:numPr>
          <w:ilvl w:val="0"/>
          <w:numId w:val="34"/>
        </w:numPr>
        <w:rPr>
          <w:rFonts w:ascii="MS PGothic" w:cs="MS PGothic" w:eastAsia="MS PGothic" w:hAnsi="MS PGothic"/>
          <w:sz w:val="16"/>
          <w:szCs w:val="16"/>
          <w:color w:val="auto"/>
        </w:rPr>
      </w:pPr>
      <w:r>
        <w:rPr>
          <w:rFonts w:ascii="Arial" w:cs="Arial" w:eastAsia="Arial" w:hAnsi="Arial"/>
          <w:sz w:val="16"/>
          <w:szCs w:val="16"/>
          <w:b w:val="1"/>
          <w:bCs w:val="1"/>
          <w:color w:val="auto"/>
        </w:rPr>
        <w:t>Review Tally Sheets</w:t>
      </w:r>
    </w:p>
    <w:p>
      <w:pPr>
        <w:spacing w:after="0" w:line="92" w:lineRule="exact"/>
        <w:rPr>
          <w:rFonts w:ascii="MS PGothic" w:cs="MS PGothic" w:eastAsia="MS PGothic" w:hAnsi="MS PGothic"/>
          <w:sz w:val="16"/>
          <w:szCs w:val="16"/>
          <w:color w:val="auto"/>
        </w:rPr>
      </w:pPr>
    </w:p>
    <w:p>
      <w:pPr>
        <w:ind w:left="300" w:right="4940"/>
        <w:spacing w:after="0" w:line="248" w:lineRule="auto"/>
        <w:rPr>
          <w:rFonts w:ascii="MS PGothic" w:cs="MS PGothic" w:eastAsia="MS PGothic" w:hAnsi="MS PGothic"/>
          <w:sz w:val="16"/>
          <w:szCs w:val="16"/>
          <w:color w:val="auto"/>
        </w:rPr>
      </w:pPr>
      <w:r>
        <w:rPr>
          <w:rFonts w:ascii="Arial" w:cs="Arial" w:eastAsia="Arial" w:hAnsi="Arial"/>
          <w:sz w:val="16"/>
          <w:szCs w:val="16"/>
          <w:color w:val="auto"/>
        </w:rPr>
        <w:t>The Committee reviews tally sheets for our NEOs to ensure they have a clear understanding of the impact of various decisions, including possible payments under various termination scenarios prior to making annual executive compensation decisions.</w:t>
      </w:r>
    </w:p>
    <w:p>
      <w:pPr>
        <w:spacing w:after="0" w:line="15" w:lineRule="exact"/>
        <w:rPr>
          <w:rFonts w:ascii="MS PGothic" w:cs="MS PGothic" w:eastAsia="MS PGothic" w:hAnsi="MS PGothic"/>
          <w:sz w:val="16"/>
          <w:szCs w:val="16"/>
          <w:color w:val="auto"/>
        </w:rPr>
      </w:pPr>
    </w:p>
    <w:p>
      <w:pPr>
        <w:ind w:left="300" w:hanging="289"/>
        <w:spacing w:after="0"/>
        <w:tabs>
          <w:tab w:leader="none" w:pos="300" w:val="left"/>
        </w:tabs>
        <w:numPr>
          <w:ilvl w:val="0"/>
          <w:numId w:val="34"/>
        </w:numPr>
        <w:rPr>
          <w:rFonts w:ascii="MS PGothic" w:cs="MS PGothic" w:eastAsia="MS PGothic" w:hAnsi="MS PGothic"/>
          <w:sz w:val="16"/>
          <w:szCs w:val="16"/>
          <w:color w:val="auto"/>
        </w:rPr>
      </w:pPr>
      <w:r>
        <w:rPr>
          <w:rFonts w:ascii="Arial" w:cs="Arial" w:eastAsia="Arial" w:hAnsi="Arial"/>
          <w:sz w:val="16"/>
          <w:szCs w:val="16"/>
          <w:b w:val="1"/>
          <w:bCs w:val="1"/>
          <w:color w:val="auto"/>
        </w:rPr>
        <w:t>Double Trigger Change-of-Control Severance Benefits</w:t>
      </w:r>
    </w:p>
    <w:p>
      <w:pPr>
        <w:spacing w:after="0" w:line="92" w:lineRule="exact"/>
        <w:rPr>
          <w:rFonts w:ascii="MS PGothic" w:cs="MS PGothic" w:eastAsia="MS PGothic" w:hAnsi="MS PGothic"/>
          <w:sz w:val="16"/>
          <w:szCs w:val="16"/>
          <w:color w:val="auto"/>
        </w:rPr>
      </w:pPr>
    </w:p>
    <w:p>
      <w:pPr>
        <w:ind w:left="300" w:right="4920"/>
        <w:spacing w:after="0" w:line="248" w:lineRule="auto"/>
        <w:rPr>
          <w:rFonts w:ascii="MS PGothic" w:cs="MS PGothic" w:eastAsia="MS PGothic" w:hAnsi="MS PGothic"/>
          <w:sz w:val="16"/>
          <w:szCs w:val="16"/>
          <w:color w:val="auto"/>
        </w:rPr>
      </w:pPr>
      <w:r>
        <w:rPr>
          <w:rFonts w:ascii="Arial" w:cs="Arial" w:eastAsia="Arial" w:hAnsi="Arial"/>
          <w:sz w:val="16"/>
          <w:szCs w:val="16"/>
          <w:color w:val="auto"/>
        </w:rPr>
        <w:t>Our Executive Severance/Change-of-Control Policy provides for payment of cash severance and vesting of equity awards after a change-of-control only if an executive experiences a qualifying termination of employment within a limited period following the change-of-control.</w:t>
      </w:r>
    </w:p>
    <w:p>
      <w:pPr>
        <w:spacing w:after="0" w:line="15" w:lineRule="exact"/>
        <w:rPr>
          <w:rFonts w:ascii="MS PGothic" w:cs="MS PGothic" w:eastAsia="MS PGothic" w:hAnsi="MS PGothic"/>
          <w:sz w:val="16"/>
          <w:szCs w:val="16"/>
          <w:color w:val="auto"/>
        </w:rPr>
      </w:pPr>
    </w:p>
    <w:p>
      <w:pPr>
        <w:ind w:left="300" w:hanging="289"/>
        <w:spacing w:after="0"/>
        <w:tabs>
          <w:tab w:leader="none" w:pos="300" w:val="left"/>
        </w:tabs>
        <w:numPr>
          <w:ilvl w:val="0"/>
          <w:numId w:val="34"/>
        </w:numPr>
        <w:rPr>
          <w:rFonts w:ascii="MS PGothic" w:cs="MS PGothic" w:eastAsia="MS PGothic" w:hAnsi="MS PGothic"/>
          <w:sz w:val="16"/>
          <w:szCs w:val="16"/>
          <w:color w:val="auto"/>
        </w:rPr>
      </w:pPr>
      <w:r>
        <w:rPr>
          <w:rFonts w:ascii="Arial" w:cs="Arial" w:eastAsia="Arial" w:hAnsi="Arial"/>
          <w:sz w:val="16"/>
          <w:szCs w:val="16"/>
          <w:b w:val="1"/>
          <w:bCs w:val="1"/>
          <w:color w:val="auto"/>
        </w:rPr>
        <w:t>Independent Compensation Consulting Firm</w:t>
      </w:r>
    </w:p>
    <w:p>
      <w:pPr>
        <w:spacing w:after="0" w:line="92" w:lineRule="exact"/>
        <w:rPr>
          <w:rFonts w:ascii="MS PGothic" w:cs="MS PGothic" w:eastAsia="MS PGothic" w:hAnsi="MS PGothic"/>
          <w:sz w:val="16"/>
          <w:szCs w:val="16"/>
          <w:color w:val="auto"/>
        </w:rPr>
      </w:pPr>
    </w:p>
    <w:p>
      <w:pPr>
        <w:ind w:left="300" w:right="5060"/>
        <w:spacing w:after="0" w:line="254" w:lineRule="auto"/>
        <w:rPr>
          <w:rFonts w:ascii="MS PGothic" w:cs="MS PGothic" w:eastAsia="MS PGothic" w:hAnsi="MS PGothic"/>
          <w:sz w:val="16"/>
          <w:szCs w:val="16"/>
          <w:color w:val="auto"/>
        </w:rPr>
      </w:pPr>
      <w:r>
        <w:rPr>
          <w:rFonts w:ascii="Arial" w:cs="Arial" w:eastAsia="Arial" w:hAnsi="Arial"/>
          <w:sz w:val="16"/>
          <w:szCs w:val="16"/>
          <w:color w:val="auto"/>
        </w:rPr>
        <w:t>The Committee benefits from its utilization of an independent compensation consulting firm which provides no other services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718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-1339850</wp:posOffset>
            </wp:positionV>
            <wp:extent cx="6071870" cy="797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71870" cy="7975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-2797175</wp:posOffset>
            </wp:positionV>
            <wp:extent cx="6071870" cy="677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71870" cy="677545"/>
                    </a:xfrm>
                    <a:prstGeom prst="rect">
                      <a:avLst/>
                    </a:prstGeom>
                    <a:noFill/>
                  </pic:spPr>
                </pic:pic>
              </a:graphicData>
            </a:graphic>
          </wp:anchor>
        </w:drawing>
      </w:r>
    </w:p>
    <w:p>
      <w:pPr>
        <w:spacing w:after="0" w:line="187" w:lineRule="exact"/>
        <w:rPr>
          <w:sz w:val="20"/>
          <w:szCs w:val="20"/>
          <w:color w:val="auto"/>
        </w:rPr>
      </w:pPr>
    </w:p>
    <w:p>
      <w:pPr>
        <w:ind w:left="360" w:hanging="349"/>
        <w:spacing w:after="0"/>
        <w:tabs>
          <w:tab w:leader="none" w:pos="360" w:val="left"/>
        </w:tabs>
        <w:numPr>
          <w:ilvl w:val="0"/>
          <w:numId w:val="35"/>
        </w:numPr>
        <w:rPr>
          <w:rFonts w:ascii="Arial" w:cs="Arial" w:eastAsia="Arial" w:hAnsi="Arial"/>
          <w:sz w:val="18"/>
          <w:szCs w:val="18"/>
          <w:b w:val="1"/>
          <w:bCs w:val="1"/>
          <w:color w:val="auto"/>
        </w:rPr>
      </w:pPr>
      <w:r>
        <w:rPr>
          <w:rFonts w:ascii="Arial" w:cs="Arial" w:eastAsia="Arial" w:hAnsi="Arial"/>
          <w:sz w:val="22"/>
          <w:szCs w:val="22"/>
          <w:b w:val="1"/>
          <w:bCs w:val="1"/>
          <w:color w:val="000562"/>
        </w:rPr>
        <w:t xml:space="preserve">I </w:t>
      </w:r>
      <w:r>
        <w:rPr>
          <w:rFonts w:ascii="Arial" w:cs="Arial" w:eastAsia="Arial" w:hAnsi="Arial"/>
          <w:sz w:val="18"/>
          <w:szCs w:val="18"/>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071870"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32" w:name="page33"/>
    <w:bookmarkEnd w:id="3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060"/>
        <w:spacing w:after="0"/>
        <w:rPr>
          <w:sz w:val="20"/>
          <w:szCs w:val="20"/>
          <w:color w:val="auto"/>
        </w:rPr>
      </w:pPr>
      <w:r>
        <w:rPr>
          <w:rFonts w:ascii="Arial" w:cs="Arial" w:eastAsia="Arial" w:hAnsi="Arial"/>
          <w:sz w:val="19"/>
          <w:szCs w:val="19"/>
          <w:b w:val="1"/>
          <w:bCs w:val="1"/>
          <w:color w:val="000562"/>
        </w:rPr>
        <w:t>EXECUTIVE COMPENSATION — COMPENSATION DISCUSSION AND ANALYSIS</w:t>
      </w:r>
    </w:p>
    <w:p>
      <w:pPr>
        <w:spacing w:after="0" w:line="1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Summary of Key Compensation Decisions and Outcomes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0718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key decisions the Committee made for 2018 are summarized below and discussed in greater detail in the remainder of this CD&amp;A.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2"/>
        </w:rPr>
        <w:t>Base Salary Adjustments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Committee approved base salary adjustments for two of our NEOs to better align their pay with the market median.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2"/>
        </w:rPr>
        <w:t>Short-Term Incentive Program</w:t>
      </w:r>
    </w:p>
    <w:p>
      <w:pPr>
        <w:spacing w:after="0" w:line="126" w:lineRule="exact"/>
        <w:rPr>
          <w:sz w:val="20"/>
          <w:szCs w:val="20"/>
          <w:color w:val="auto"/>
        </w:rPr>
      </w:pPr>
    </w:p>
    <w:p>
      <w:pPr>
        <w:jc w:val="both"/>
        <w:ind w:left="700" w:hanging="356"/>
        <w:spacing w:after="0"/>
        <w:tabs>
          <w:tab w:leader="none" w:pos="700" w:val="left"/>
        </w:tabs>
        <w:numPr>
          <w:ilvl w:val="0"/>
          <w:numId w:val="36"/>
        </w:numPr>
        <w:rPr>
          <w:rFonts w:ascii="Arial" w:cs="Arial" w:eastAsia="Arial" w:hAnsi="Arial"/>
          <w:sz w:val="18"/>
          <w:szCs w:val="18"/>
          <w:color w:val="000562"/>
        </w:rPr>
      </w:pPr>
      <w:r>
        <w:rPr>
          <w:rFonts w:ascii="Arial" w:cs="Arial" w:eastAsia="Arial" w:hAnsi="Arial"/>
          <w:sz w:val="18"/>
          <w:szCs w:val="18"/>
          <w:color w:val="auto"/>
        </w:rPr>
        <w:t>For fiscal year 2018, the short-term incentive program (“STI”) for our NEOs was subject to the following performance measures and weightings to evaluate and determine final payouts for the year: operating profit at 70%, and cash flow at 30%.</w:t>
      </w:r>
    </w:p>
    <w:p>
      <w:pPr>
        <w:spacing w:after="0" w:line="94" w:lineRule="exact"/>
        <w:rPr>
          <w:rFonts w:ascii="Arial" w:cs="Arial" w:eastAsia="Arial" w:hAnsi="Arial"/>
          <w:sz w:val="18"/>
          <w:szCs w:val="18"/>
          <w:color w:val="000562"/>
        </w:rPr>
      </w:pPr>
    </w:p>
    <w:p>
      <w:pPr>
        <w:ind w:left="700" w:hanging="356"/>
        <w:spacing w:after="0" w:line="246" w:lineRule="auto"/>
        <w:tabs>
          <w:tab w:leader="none" w:pos="700" w:val="left"/>
        </w:tabs>
        <w:numPr>
          <w:ilvl w:val="0"/>
          <w:numId w:val="36"/>
        </w:numPr>
        <w:rPr>
          <w:rFonts w:ascii="Arial" w:cs="Arial" w:eastAsia="Arial" w:hAnsi="Arial"/>
          <w:sz w:val="18"/>
          <w:szCs w:val="18"/>
          <w:color w:val="000562"/>
        </w:rPr>
      </w:pPr>
      <w:r>
        <w:rPr>
          <w:rFonts w:ascii="Arial" w:cs="Arial" w:eastAsia="Arial" w:hAnsi="Arial"/>
          <w:sz w:val="18"/>
          <w:szCs w:val="18"/>
          <w:color w:val="auto"/>
        </w:rPr>
        <w:t>The target incentive award percentages for Messrs. Amato, Zalupski and Sherbin remained unchanged from 2017.</w:t>
      </w:r>
    </w:p>
    <w:p>
      <w:pPr>
        <w:spacing w:after="0" w:line="88" w:lineRule="exact"/>
        <w:rPr>
          <w:rFonts w:ascii="Arial" w:cs="Arial" w:eastAsia="Arial" w:hAnsi="Arial"/>
          <w:sz w:val="18"/>
          <w:szCs w:val="18"/>
          <w:color w:val="000562"/>
        </w:rPr>
      </w:pPr>
    </w:p>
    <w:p>
      <w:pPr>
        <w:ind w:left="700" w:hanging="356"/>
        <w:spacing w:after="0"/>
        <w:tabs>
          <w:tab w:leader="none" w:pos="700" w:val="left"/>
        </w:tabs>
        <w:numPr>
          <w:ilvl w:val="0"/>
          <w:numId w:val="36"/>
        </w:numPr>
        <w:rPr>
          <w:rFonts w:ascii="Arial" w:cs="Arial" w:eastAsia="Arial" w:hAnsi="Arial"/>
          <w:sz w:val="18"/>
          <w:szCs w:val="18"/>
          <w:color w:val="000562"/>
        </w:rPr>
      </w:pPr>
      <w:r>
        <w:rPr>
          <w:rFonts w:ascii="Arial" w:cs="Arial" w:eastAsia="Arial" w:hAnsi="Arial"/>
          <w:sz w:val="18"/>
          <w:szCs w:val="18"/>
          <w:color w:val="auto"/>
        </w:rPr>
        <w:t>Based on Company performance, the 2018 STI payout was earned at 119.2% of target by each of our NEOs.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2"/>
        </w:rPr>
        <w:t>Long-Term Incentive Program</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2018, the Committee granted performance stock units (“PSUs”) and service-based restricted stock units (“RSUs”) to the NEOs. For each NEO, his total long-term incentive (“LTI”) target award value was allocated equally between these two vehicles, and all awards earned will be settled in shares. In particular:</w:t>
      </w:r>
    </w:p>
    <w:p>
      <w:pPr>
        <w:spacing w:after="0" w:line="94" w:lineRule="exact"/>
        <w:rPr>
          <w:sz w:val="20"/>
          <w:szCs w:val="20"/>
          <w:color w:val="auto"/>
        </w:rPr>
      </w:pPr>
    </w:p>
    <w:p>
      <w:pPr>
        <w:jc w:val="both"/>
        <w:ind w:left="700" w:hanging="356"/>
        <w:spacing w:after="0" w:line="238" w:lineRule="auto"/>
        <w:tabs>
          <w:tab w:leader="none" w:pos="700" w:val="left"/>
        </w:tabs>
        <w:numPr>
          <w:ilvl w:val="0"/>
          <w:numId w:val="37"/>
        </w:numPr>
        <w:rPr>
          <w:rFonts w:ascii="Arial" w:cs="Arial" w:eastAsia="Arial" w:hAnsi="Arial"/>
          <w:sz w:val="18"/>
          <w:szCs w:val="18"/>
          <w:color w:val="000562"/>
        </w:rPr>
      </w:pPr>
      <w:r>
        <w:rPr>
          <w:rFonts w:ascii="Arial" w:cs="Arial" w:eastAsia="Arial" w:hAnsi="Arial"/>
          <w:sz w:val="18"/>
          <w:szCs w:val="18"/>
          <w:color w:val="auto"/>
        </w:rPr>
        <w:t>In March 2018, the Committee approved RSU and PSU awards to the NEOs. The RSUs generally vest in three equal installments on the first three anniversaries of the grant date of the award. The PSUs are subject to a performance period of 36 months. These PSU awards are subject to Relative Total Shareholder Return (“RTSR”) and Earnings Per Share Cumulative Average Growth Rate (“EPS CAGR”) performance measures, as further described below; and</w:t>
      </w:r>
    </w:p>
    <w:p>
      <w:pPr>
        <w:spacing w:after="0" w:line="94" w:lineRule="exact"/>
        <w:rPr>
          <w:rFonts w:ascii="Arial" w:cs="Arial" w:eastAsia="Arial" w:hAnsi="Arial"/>
          <w:sz w:val="18"/>
          <w:szCs w:val="18"/>
          <w:color w:val="000562"/>
        </w:rPr>
      </w:pPr>
    </w:p>
    <w:p>
      <w:pPr>
        <w:jc w:val="both"/>
        <w:ind w:left="700" w:right="20" w:hanging="356"/>
        <w:spacing w:after="0" w:line="239" w:lineRule="auto"/>
        <w:tabs>
          <w:tab w:leader="none" w:pos="700" w:val="left"/>
        </w:tabs>
        <w:numPr>
          <w:ilvl w:val="0"/>
          <w:numId w:val="37"/>
        </w:numPr>
        <w:rPr>
          <w:rFonts w:ascii="Arial" w:cs="Arial" w:eastAsia="Arial" w:hAnsi="Arial"/>
          <w:sz w:val="18"/>
          <w:szCs w:val="18"/>
          <w:color w:val="000562"/>
        </w:rPr>
      </w:pPr>
      <w:r>
        <w:rPr>
          <w:rFonts w:ascii="Arial" w:cs="Arial" w:eastAsia="Arial" w:hAnsi="Arial"/>
          <w:sz w:val="18"/>
          <w:szCs w:val="18"/>
          <w:color w:val="auto"/>
        </w:rPr>
        <w:t>For previously granted PSUs, the 2016 PSU award performance period was completed at the end of 2018 and, based on Company performance, the initial funding threshold was satisfied. Based on performance results for the RTSR metric, awards were earned at 139% of target and vested on March 1, 2019, as further described below. Mr. Amato did not receive this grant of PSUs in 2016 as he did not join the Company until July 2016.</w:t>
      </w:r>
    </w:p>
    <w:p>
      <w:pPr>
        <w:spacing w:after="0" w:line="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Results and Consideration of 2018 Shareholder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0718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the Annual Meeting of Shareholders held on May 10, 2018, more than 98% of the shareholders who voted on the Say-on-Pay proposal approved the compensation of our then-NEOs.</w:t>
      </w:r>
    </w:p>
    <w:p>
      <w:pPr>
        <w:spacing w:after="0" w:line="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light of this vote outcome, which was considered by the Committee in its first meeting following the 2018 Annual Meeting of Shareholders, as well as the Committee’s ongoing program evaluation, the Committee views its 2018 decisions regarding various aspects of the compensation program as consistent with the overall philosophy and structure of the program that has been supported by our shareholders. As a result, the Committee did not make any changes to the executive compensation program for 2018 that were based specifically on the results of our 2018 Say-on-Pay vote.</w:t>
      </w:r>
    </w:p>
    <w:p>
      <w:pPr>
        <w:spacing w:after="0" w:line="1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previously conducted its Say-on-Pay votes every three years. However, a majority of the shareholders who voted on the frequency for future Say-on-Pay votes at the 2017 Annual Meeting of Shareholders approved annual advisory Say-on-Pay votes. In alignment with the shareholder recommendation, an advisory vote on the Company’s NEO compensation is currently expected to be submitted to shareholders for vote at every annual meeting. The next advisory Say-on-Pay vote is expected to be held in 2020 and we expect to hold the next required vote on the frequency of future Say-on-Pay votes in 2023.</w:t>
      </w:r>
    </w:p>
    <w:p>
      <w:pPr>
        <w:spacing w:after="0" w:line="190" w:lineRule="exact"/>
        <w:rPr>
          <w:sz w:val="20"/>
          <w:szCs w:val="20"/>
          <w:color w:val="auto"/>
        </w:rPr>
      </w:pPr>
    </w:p>
    <w:p>
      <w:pPr>
        <w:ind w:left="7140"/>
        <w:spacing w:after="0"/>
        <w:tabs>
          <w:tab w:leader="none" w:pos="9040" w:val="left"/>
          <w:tab w:leader="none" w:pos="9340" w:val="left"/>
        </w:tabs>
        <w:rPr>
          <w:sz w:val="20"/>
          <w:szCs w:val="20"/>
          <w:color w:val="auto"/>
        </w:rPr>
      </w:pPr>
      <w:r>
        <w:rPr>
          <w:rFonts w:ascii="Arial" w:cs="Arial" w:eastAsia="Arial" w:hAnsi="Arial"/>
          <w:sz w:val="18"/>
          <w:szCs w:val="18"/>
          <w:i w:val="1"/>
          <w:iCs w:val="1"/>
          <w:color w:val="auto"/>
        </w:rPr>
        <w:t>2019 Proxy Statement</w:t>
      </w:r>
      <w:r>
        <w:rPr>
          <w:sz w:val="20"/>
          <w:szCs w:val="20"/>
          <w:color w:val="auto"/>
        </w:rPr>
        <w:tab/>
      </w:r>
      <w:r>
        <w:rPr>
          <w:rFonts w:ascii="Arial" w:cs="Arial" w:eastAsia="Arial" w:hAnsi="Arial"/>
          <w:sz w:val="22"/>
          <w:szCs w:val="22"/>
          <w:b w:val="1"/>
          <w:bCs w:val="1"/>
          <w:color w:val="000562"/>
        </w:rPr>
        <w:t>I</w:t>
      </w:r>
      <w:r>
        <w:rPr>
          <w:sz w:val="20"/>
          <w:szCs w:val="20"/>
          <w:color w:val="auto"/>
        </w:rPr>
        <w:tab/>
      </w:r>
      <w:r>
        <w:rPr>
          <w:rFonts w:ascii="Arial" w:cs="Arial" w:eastAsia="Arial" w:hAnsi="Arial"/>
          <w:sz w:val="17"/>
          <w:szCs w:val="17"/>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07187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000562"/>
        </w:rPr>
        <w:t>TriMas Corporation</w:t>
      </w:r>
    </w:p>
    <w:p>
      <w:pPr>
        <w:spacing w:after="0" w:line="1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2018 Executive Compensation Program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0718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2"/>
        </w:rPr>
        <w:t>Overview of Key 2018 Program Elements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year, our Committee works closely with the Company’s leadership team to refine our executive compensation program, to clearly articulate its objectives to our executives and to emphasize our focus on performance-based compensation so that executives are rewarded for results that create long-term shareholder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2"/>
        </w:rPr>
        <w:t>Pay for Performance</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meaningful percentage of each NEO’s target total direct compensation is variable, consisting of STI awards and LTI awards. The actual amounts realized from the incentive awards depend on performance results, consistent with our belief that a substantial percentage of each NEO’s compensation should be tied to Company performance. The charts below reflect information for all reported NEOs. The mix of target compensation for 2018 for Mr. Amato and the average for the other NEOs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62230</wp:posOffset>
            </wp:positionV>
            <wp:extent cx="4364990" cy="21012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64990"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60" w:hanging="349"/>
        <w:spacing w:after="0"/>
        <w:tabs>
          <w:tab w:leader="none" w:pos="360" w:val="left"/>
        </w:tabs>
        <w:numPr>
          <w:ilvl w:val="0"/>
          <w:numId w:val="38"/>
        </w:numPr>
        <w:rPr>
          <w:rFonts w:ascii="Arial" w:cs="Arial" w:eastAsia="Arial" w:hAnsi="Arial"/>
          <w:sz w:val="18"/>
          <w:szCs w:val="18"/>
          <w:b w:val="1"/>
          <w:bCs w:val="1"/>
          <w:color w:val="auto"/>
        </w:rPr>
      </w:pPr>
      <w:r>
        <w:rPr>
          <w:rFonts w:ascii="Arial" w:cs="Arial" w:eastAsia="Arial" w:hAnsi="Arial"/>
          <w:sz w:val="22"/>
          <w:szCs w:val="22"/>
          <w:b w:val="1"/>
          <w:bCs w:val="1"/>
          <w:color w:val="000562"/>
        </w:rPr>
        <w:t xml:space="preserve">I </w:t>
      </w:r>
      <w:r>
        <w:rPr>
          <w:rFonts w:ascii="Arial" w:cs="Arial" w:eastAsia="Arial" w:hAnsi="Arial"/>
          <w:sz w:val="18"/>
          <w:szCs w:val="18"/>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07187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060"/>
        <w:spacing w:after="0"/>
        <w:rPr>
          <w:sz w:val="20"/>
          <w:szCs w:val="20"/>
          <w:color w:val="auto"/>
        </w:rPr>
      </w:pPr>
      <w:r>
        <w:rPr>
          <w:rFonts w:ascii="Arial" w:cs="Arial" w:eastAsia="Arial" w:hAnsi="Arial"/>
          <w:sz w:val="19"/>
          <w:szCs w:val="19"/>
          <w:b w:val="1"/>
          <w:bCs w:val="1"/>
          <w:color w:val="000562"/>
        </w:rPr>
        <w:t>EXECUTIVE COMPENSATION — COMPENSATION DISCUSSION AND ANALYSIS</w:t>
      </w:r>
    </w:p>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main elements of our compensation structure and how each supports our compensation philosophy and objectives are summarized in the following chart:</w:t>
      </w:r>
    </w:p>
    <w:p>
      <w:pPr>
        <w:spacing w:after="0" w:line="26"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000562"/>
        </w:rPr>
        <w:t>Principal 2018 Compensation Elements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60" w:type="dxa"/>
            <w:vAlign w:val="bottom"/>
            <w:tcBorders>
              <w:top w:val="single" w:sz="8" w:color="000562"/>
            </w:tcBorders>
          </w:tcPr>
          <w:p>
            <w:pPr>
              <w:spacing w:after="0"/>
              <w:rPr>
                <w:sz w:val="16"/>
                <w:szCs w:val="16"/>
                <w:color w:val="auto"/>
              </w:rPr>
            </w:pPr>
          </w:p>
        </w:tc>
        <w:tc>
          <w:tcPr>
            <w:tcW w:w="2220" w:type="dxa"/>
            <w:vAlign w:val="bottom"/>
            <w:tcBorders>
              <w:top w:val="single" w:sz="8" w:color="000562"/>
            </w:tcBorders>
          </w:tcPr>
          <w:p>
            <w:pPr>
              <w:spacing w:after="0"/>
              <w:rPr>
                <w:sz w:val="16"/>
                <w:szCs w:val="16"/>
                <w:color w:val="auto"/>
              </w:rPr>
            </w:pPr>
          </w:p>
        </w:tc>
        <w:tc>
          <w:tcPr>
            <w:tcW w:w="2140" w:type="dxa"/>
            <w:vAlign w:val="bottom"/>
            <w:tcBorders>
              <w:top w:val="single" w:sz="8" w:color="000562"/>
            </w:tcBorders>
          </w:tcPr>
          <w:p>
            <w:pPr>
              <w:spacing w:after="0"/>
              <w:rPr>
                <w:sz w:val="16"/>
                <w:szCs w:val="16"/>
                <w:color w:val="auto"/>
              </w:rPr>
            </w:pPr>
          </w:p>
        </w:tc>
        <w:tc>
          <w:tcPr>
            <w:tcW w:w="2200" w:type="dxa"/>
            <w:vAlign w:val="bottom"/>
            <w:tcBorders>
              <w:top w:val="single" w:sz="8" w:color="000562"/>
            </w:tcBorders>
          </w:tcPr>
          <w:p>
            <w:pPr>
              <w:ind w:left="580"/>
              <w:spacing w:after="0" w:line="187" w:lineRule="exact"/>
              <w:rPr>
                <w:sz w:val="20"/>
                <w:szCs w:val="20"/>
                <w:color w:val="auto"/>
              </w:rPr>
            </w:pPr>
            <w:r>
              <w:rPr>
                <w:rFonts w:ascii="Arial" w:cs="Arial" w:eastAsia="Arial" w:hAnsi="Arial"/>
                <w:sz w:val="18"/>
                <w:szCs w:val="18"/>
                <w:b w:val="1"/>
                <w:bCs w:val="1"/>
                <w:color w:val="000562"/>
              </w:rPr>
              <w:t>Performance</w:t>
            </w:r>
          </w:p>
        </w:tc>
        <w:tc>
          <w:tcPr>
            <w:tcW w:w="2140" w:type="dxa"/>
            <w:vAlign w:val="bottom"/>
            <w:tcBorders>
              <w:top w:val="single" w:sz="8" w:color="000562"/>
            </w:tcBorders>
          </w:tcPr>
          <w:p>
            <w:pPr>
              <w:spacing w:after="0"/>
              <w:rPr>
                <w:sz w:val="16"/>
                <w:szCs w:val="16"/>
                <w:color w:val="auto"/>
              </w:rPr>
            </w:pPr>
          </w:p>
        </w:tc>
      </w:tr>
      <w:tr>
        <w:trPr>
          <w:trHeight w:val="239"/>
        </w:trPr>
        <w:tc>
          <w:tcPr>
            <w:tcW w:w="860" w:type="dxa"/>
            <w:vAlign w:val="bottom"/>
            <w:tcBorders>
              <w:bottom w:val="single" w:sz="8" w:color="000562"/>
            </w:tcBorders>
          </w:tcPr>
          <w:p>
            <w:pPr>
              <w:spacing w:after="0"/>
              <w:rPr>
                <w:sz w:val="20"/>
                <w:szCs w:val="20"/>
                <w:color w:val="auto"/>
              </w:rPr>
            </w:pPr>
          </w:p>
        </w:tc>
        <w:tc>
          <w:tcPr>
            <w:tcW w:w="2220" w:type="dxa"/>
            <w:vAlign w:val="bottom"/>
            <w:tcBorders>
              <w:bottom w:val="single" w:sz="8" w:color="000562"/>
            </w:tcBorders>
          </w:tcPr>
          <w:p>
            <w:pPr>
              <w:ind w:left="900"/>
              <w:spacing w:after="0"/>
              <w:rPr>
                <w:sz w:val="20"/>
                <w:szCs w:val="20"/>
                <w:color w:val="auto"/>
              </w:rPr>
            </w:pPr>
            <w:r>
              <w:rPr>
                <w:rFonts w:ascii="Arial" w:cs="Arial" w:eastAsia="Arial" w:hAnsi="Arial"/>
                <w:sz w:val="18"/>
                <w:szCs w:val="18"/>
                <w:b w:val="1"/>
                <w:bCs w:val="1"/>
                <w:color w:val="000562"/>
              </w:rPr>
              <w:t>Element</w:t>
            </w:r>
          </w:p>
        </w:tc>
        <w:tc>
          <w:tcPr>
            <w:tcW w:w="2140" w:type="dxa"/>
            <w:vAlign w:val="bottom"/>
            <w:tcBorders>
              <w:bottom w:val="single" w:sz="8" w:color="000562"/>
            </w:tcBorders>
          </w:tcPr>
          <w:p>
            <w:pPr>
              <w:ind w:left="660"/>
              <w:spacing w:after="0"/>
              <w:rPr>
                <w:sz w:val="20"/>
                <w:szCs w:val="20"/>
                <w:color w:val="auto"/>
              </w:rPr>
            </w:pPr>
            <w:r>
              <w:rPr>
                <w:rFonts w:ascii="Arial" w:cs="Arial" w:eastAsia="Arial" w:hAnsi="Arial"/>
                <w:sz w:val="18"/>
                <w:szCs w:val="18"/>
                <w:b w:val="1"/>
                <w:bCs w:val="1"/>
                <w:color w:val="000562"/>
              </w:rPr>
              <w:t>Description</w:t>
            </w:r>
          </w:p>
        </w:tc>
        <w:tc>
          <w:tcPr>
            <w:tcW w:w="2200" w:type="dxa"/>
            <w:vAlign w:val="bottom"/>
            <w:tcBorders>
              <w:bottom w:val="single" w:sz="8" w:color="000562"/>
            </w:tcBorders>
          </w:tcPr>
          <w:p>
            <w:pPr>
              <w:ind w:left="520"/>
              <w:spacing w:after="0"/>
              <w:rPr>
                <w:sz w:val="20"/>
                <w:szCs w:val="20"/>
                <w:color w:val="auto"/>
              </w:rPr>
            </w:pPr>
            <w:r>
              <w:rPr>
                <w:rFonts w:ascii="Arial" w:cs="Arial" w:eastAsia="Arial" w:hAnsi="Arial"/>
                <w:sz w:val="18"/>
                <w:szCs w:val="18"/>
                <w:b w:val="1"/>
                <w:bCs w:val="1"/>
                <w:color w:val="000562"/>
              </w:rPr>
              <w:t>Consideration</w:t>
            </w:r>
          </w:p>
        </w:tc>
        <w:tc>
          <w:tcPr>
            <w:tcW w:w="2140" w:type="dxa"/>
            <w:vAlign w:val="bottom"/>
            <w:tcBorders>
              <w:bottom w:val="single" w:sz="8" w:color="000562"/>
            </w:tcBorders>
          </w:tcPr>
          <w:p>
            <w:pPr>
              <w:ind w:left="260"/>
              <w:spacing w:after="0"/>
              <w:rPr>
                <w:sz w:val="20"/>
                <w:szCs w:val="20"/>
                <w:color w:val="auto"/>
              </w:rPr>
            </w:pPr>
            <w:r>
              <w:rPr>
                <w:rFonts w:ascii="Arial" w:cs="Arial" w:eastAsia="Arial" w:hAnsi="Arial"/>
                <w:sz w:val="18"/>
                <w:szCs w:val="18"/>
                <w:b w:val="1"/>
                <w:bCs w:val="1"/>
                <w:color w:val="000562"/>
              </w:rPr>
              <w:t>Primary Objectives</w:t>
            </w:r>
          </w:p>
        </w:tc>
      </w:tr>
      <w:tr>
        <w:trPr>
          <w:trHeight w:val="209"/>
        </w:trPr>
        <w:tc>
          <w:tcPr>
            <w:tcW w:w="860" w:type="dxa"/>
            <w:vAlign w:val="bottom"/>
            <w:shd w:val="clear" w:color="auto" w:fill="E9EFEE"/>
          </w:tcPr>
          <w:p>
            <w:pPr>
              <w:ind w:left="20"/>
              <w:spacing w:after="0"/>
              <w:rPr>
                <w:sz w:val="20"/>
                <w:szCs w:val="20"/>
                <w:color w:val="auto"/>
              </w:rPr>
            </w:pPr>
            <w:r>
              <w:rPr>
                <w:rFonts w:ascii="Arial" w:cs="Arial" w:eastAsia="Arial" w:hAnsi="Arial"/>
                <w:sz w:val="18"/>
                <w:szCs w:val="18"/>
                <w:color w:val="auto"/>
              </w:rPr>
              <w:t>Fixed</w:t>
            </w:r>
          </w:p>
        </w:tc>
        <w:tc>
          <w:tcPr>
            <w:tcW w:w="2220" w:type="dxa"/>
            <w:vAlign w:val="bottom"/>
            <w:shd w:val="clear" w:color="auto" w:fill="E9EFEE"/>
          </w:tcPr>
          <w:p>
            <w:pPr>
              <w:ind w:left="220"/>
              <w:spacing w:after="0"/>
              <w:rPr>
                <w:sz w:val="20"/>
                <w:szCs w:val="20"/>
                <w:color w:val="auto"/>
              </w:rPr>
            </w:pPr>
            <w:r>
              <w:rPr>
                <w:rFonts w:ascii="Arial" w:cs="Arial" w:eastAsia="Arial" w:hAnsi="Arial"/>
                <w:sz w:val="18"/>
                <w:szCs w:val="18"/>
                <w:color w:val="auto"/>
              </w:rPr>
              <w:t>Base Salary</w:t>
            </w:r>
          </w:p>
        </w:tc>
        <w:tc>
          <w:tcPr>
            <w:tcW w:w="2140" w:type="dxa"/>
            <w:vAlign w:val="bottom"/>
            <w:shd w:val="clear" w:color="auto" w:fill="E9EFEE"/>
          </w:tcPr>
          <w:p>
            <w:pPr>
              <w:ind w:left="120"/>
              <w:spacing w:after="0"/>
              <w:rPr>
                <w:sz w:val="20"/>
                <w:szCs w:val="20"/>
                <w:color w:val="auto"/>
              </w:rPr>
            </w:pPr>
            <w:r>
              <w:rPr>
                <w:rFonts w:ascii="Arial" w:cs="Arial" w:eastAsia="Arial" w:hAnsi="Arial"/>
                <w:sz w:val="18"/>
                <w:szCs w:val="18"/>
                <w:color w:val="auto"/>
              </w:rPr>
              <w:t>Fixed compensation</w:t>
            </w:r>
          </w:p>
        </w:tc>
        <w:tc>
          <w:tcPr>
            <w:tcW w:w="2200" w:type="dxa"/>
            <w:vAlign w:val="bottom"/>
            <w:shd w:val="clear" w:color="auto" w:fill="E9EFEE"/>
          </w:tcPr>
          <w:p>
            <w:pPr>
              <w:ind w:left="100"/>
              <w:spacing w:after="0"/>
              <w:rPr>
                <w:sz w:val="20"/>
                <w:szCs w:val="20"/>
                <w:color w:val="auto"/>
              </w:rPr>
            </w:pPr>
            <w:r>
              <w:rPr>
                <w:rFonts w:ascii="Arial" w:cs="Arial" w:eastAsia="Arial" w:hAnsi="Arial"/>
                <w:sz w:val="18"/>
                <w:szCs w:val="18"/>
                <w:color w:val="auto"/>
              </w:rPr>
              <w:t>Based on level of</w:t>
            </w:r>
          </w:p>
        </w:tc>
        <w:tc>
          <w:tcPr>
            <w:tcW w:w="2140" w:type="dxa"/>
            <w:vAlign w:val="bottom"/>
            <w:shd w:val="clear" w:color="auto" w:fill="E9EFEE"/>
          </w:tcPr>
          <w:p>
            <w:pPr>
              <w:ind w:left="20"/>
              <w:spacing w:after="0"/>
              <w:rPr>
                <w:sz w:val="20"/>
                <w:szCs w:val="20"/>
                <w:color w:val="auto"/>
              </w:rPr>
            </w:pPr>
            <w:r>
              <w:rPr>
                <w:rFonts w:ascii="Arial" w:cs="Arial" w:eastAsia="Arial" w:hAnsi="Arial"/>
                <w:sz w:val="18"/>
                <w:szCs w:val="18"/>
                <w:color w:val="auto"/>
              </w:rPr>
              <w:t>Attract and retain</w:t>
            </w:r>
          </w:p>
        </w:tc>
      </w:tr>
      <w:tr>
        <w:trPr>
          <w:trHeight w:val="203"/>
        </w:trPr>
        <w:tc>
          <w:tcPr>
            <w:tcW w:w="860" w:type="dxa"/>
            <w:vAlign w:val="bottom"/>
            <w:shd w:val="clear" w:color="auto" w:fill="E9EFEE"/>
          </w:tcPr>
          <w:p>
            <w:pPr>
              <w:spacing w:after="0"/>
              <w:rPr>
                <w:sz w:val="17"/>
                <w:szCs w:val="17"/>
                <w:color w:val="auto"/>
              </w:rPr>
            </w:pPr>
          </w:p>
        </w:tc>
        <w:tc>
          <w:tcPr>
            <w:tcW w:w="2220" w:type="dxa"/>
            <w:vAlign w:val="bottom"/>
            <w:shd w:val="clear" w:color="auto" w:fill="E9EFEE"/>
          </w:tcPr>
          <w:p>
            <w:pPr>
              <w:spacing w:after="0"/>
              <w:rPr>
                <w:sz w:val="17"/>
                <w:szCs w:val="17"/>
                <w:color w:val="auto"/>
              </w:rPr>
            </w:pPr>
          </w:p>
        </w:tc>
        <w:tc>
          <w:tcPr>
            <w:tcW w:w="2140" w:type="dxa"/>
            <w:vAlign w:val="bottom"/>
            <w:shd w:val="clear" w:color="auto" w:fill="E9EFEE"/>
          </w:tcPr>
          <w:p>
            <w:pPr>
              <w:ind w:left="120"/>
              <w:spacing w:after="0" w:line="202" w:lineRule="exact"/>
              <w:rPr>
                <w:sz w:val="20"/>
                <w:szCs w:val="20"/>
                <w:color w:val="auto"/>
              </w:rPr>
            </w:pPr>
            <w:r>
              <w:rPr>
                <w:rFonts w:ascii="Arial" w:cs="Arial" w:eastAsia="Arial" w:hAnsi="Arial"/>
                <w:sz w:val="18"/>
                <w:szCs w:val="18"/>
                <w:color w:val="auto"/>
              </w:rPr>
              <w:t>component payable in</w:t>
            </w:r>
          </w:p>
        </w:tc>
        <w:tc>
          <w:tcPr>
            <w:tcW w:w="2200" w:type="dxa"/>
            <w:vAlign w:val="bottom"/>
            <w:shd w:val="clear" w:color="auto" w:fill="E9EFEE"/>
          </w:tcPr>
          <w:p>
            <w:pPr>
              <w:ind w:left="100"/>
              <w:spacing w:after="0" w:line="202" w:lineRule="exact"/>
              <w:rPr>
                <w:sz w:val="20"/>
                <w:szCs w:val="20"/>
                <w:color w:val="auto"/>
              </w:rPr>
            </w:pPr>
            <w:r>
              <w:rPr>
                <w:rFonts w:ascii="Arial" w:cs="Arial" w:eastAsia="Arial" w:hAnsi="Arial"/>
                <w:sz w:val="18"/>
                <w:szCs w:val="18"/>
                <w:color w:val="auto"/>
              </w:rPr>
              <w:t>responsibility, experience,</w:t>
            </w:r>
          </w:p>
        </w:tc>
        <w:tc>
          <w:tcPr>
            <w:tcW w:w="2140" w:type="dxa"/>
            <w:vAlign w:val="bottom"/>
            <w:shd w:val="clear" w:color="auto" w:fill="E9EFEE"/>
          </w:tcPr>
          <w:p>
            <w:pPr>
              <w:spacing w:after="0"/>
              <w:rPr>
                <w:sz w:val="17"/>
                <w:szCs w:val="17"/>
                <w:color w:val="auto"/>
              </w:rPr>
            </w:pPr>
          </w:p>
        </w:tc>
      </w:tr>
      <w:tr>
        <w:trPr>
          <w:trHeight w:val="203"/>
        </w:trPr>
        <w:tc>
          <w:tcPr>
            <w:tcW w:w="860" w:type="dxa"/>
            <w:vAlign w:val="bottom"/>
            <w:shd w:val="clear" w:color="auto" w:fill="E9EFEE"/>
          </w:tcPr>
          <w:p>
            <w:pPr>
              <w:spacing w:after="0"/>
              <w:rPr>
                <w:sz w:val="17"/>
                <w:szCs w:val="17"/>
                <w:color w:val="auto"/>
              </w:rPr>
            </w:pPr>
          </w:p>
        </w:tc>
        <w:tc>
          <w:tcPr>
            <w:tcW w:w="2220" w:type="dxa"/>
            <w:vAlign w:val="bottom"/>
            <w:shd w:val="clear" w:color="auto" w:fill="E9EFEE"/>
          </w:tcPr>
          <w:p>
            <w:pPr>
              <w:spacing w:after="0"/>
              <w:rPr>
                <w:sz w:val="17"/>
                <w:szCs w:val="17"/>
                <w:color w:val="auto"/>
              </w:rPr>
            </w:pPr>
          </w:p>
        </w:tc>
        <w:tc>
          <w:tcPr>
            <w:tcW w:w="2140" w:type="dxa"/>
            <w:vAlign w:val="bottom"/>
            <w:shd w:val="clear" w:color="auto" w:fill="E9EFEE"/>
          </w:tcPr>
          <w:p>
            <w:pPr>
              <w:ind w:left="120"/>
              <w:spacing w:after="0" w:line="202" w:lineRule="exact"/>
              <w:rPr>
                <w:sz w:val="20"/>
                <w:szCs w:val="20"/>
                <w:color w:val="auto"/>
              </w:rPr>
            </w:pPr>
            <w:r>
              <w:rPr>
                <w:rFonts w:ascii="Arial" w:cs="Arial" w:eastAsia="Arial" w:hAnsi="Arial"/>
                <w:sz w:val="18"/>
                <w:szCs w:val="18"/>
                <w:color w:val="auto"/>
              </w:rPr>
              <w:t>cash, reviewed annually</w:t>
            </w:r>
          </w:p>
        </w:tc>
        <w:tc>
          <w:tcPr>
            <w:tcW w:w="2200" w:type="dxa"/>
            <w:vAlign w:val="bottom"/>
            <w:shd w:val="clear" w:color="auto" w:fill="E9EFEE"/>
          </w:tcPr>
          <w:p>
            <w:pPr>
              <w:ind w:left="100"/>
              <w:spacing w:after="0" w:line="202" w:lineRule="exact"/>
              <w:rPr>
                <w:sz w:val="20"/>
                <w:szCs w:val="20"/>
                <w:color w:val="auto"/>
              </w:rPr>
            </w:pPr>
            <w:r>
              <w:rPr>
                <w:rFonts w:ascii="Arial" w:cs="Arial" w:eastAsia="Arial" w:hAnsi="Arial"/>
                <w:sz w:val="18"/>
                <w:szCs w:val="18"/>
                <w:color w:val="auto"/>
              </w:rPr>
              <w:t>knowledge and individual</w:t>
            </w:r>
          </w:p>
        </w:tc>
        <w:tc>
          <w:tcPr>
            <w:tcW w:w="2140" w:type="dxa"/>
            <w:vAlign w:val="bottom"/>
            <w:shd w:val="clear" w:color="auto" w:fill="E9EFEE"/>
          </w:tcPr>
          <w:p>
            <w:pPr>
              <w:spacing w:after="0"/>
              <w:rPr>
                <w:sz w:val="17"/>
                <w:szCs w:val="17"/>
                <w:color w:val="auto"/>
              </w:rPr>
            </w:pPr>
          </w:p>
        </w:tc>
      </w:tr>
      <w:tr>
        <w:trPr>
          <w:trHeight w:val="217"/>
        </w:trPr>
        <w:tc>
          <w:tcPr>
            <w:tcW w:w="860" w:type="dxa"/>
            <w:vAlign w:val="bottom"/>
            <w:shd w:val="clear" w:color="auto" w:fill="E9EFEE"/>
          </w:tcPr>
          <w:p>
            <w:pPr>
              <w:spacing w:after="0"/>
              <w:rPr>
                <w:sz w:val="18"/>
                <w:szCs w:val="18"/>
                <w:color w:val="auto"/>
              </w:rPr>
            </w:pPr>
          </w:p>
        </w:tc>
        <w:tc>
          <w:tcPr>
            <w:tcW w:w="2220" w:type="dxa"/>
            <w:vAlign w:val="bottom"/>
            <w:shd w:val="clear" w:color="auto" w:fill="E9EFEE"/>
          </w:tcPr>
          <w:p>
            <w:pPr>
              <w:spacing w:after="0"/>
              <w:rPr>
                <w:sz w:val="18"/>
                <w:szCs w:val="18"/>
                <w:color w:val="auto"/>
              </w:rPr>
            </w:pPr>
          </w:p>
        </w:tc>
        <w:tc>
          <w:tcPr>
            <w:tcW w:w="4340" w:type="dxa"/>
            <w:vAlign w:val="bottom"/>
            <w:gridSpan w:val="2"/>
            <w:shd w:val="clear" w:color="auto" w:fill="E9EFEE"/>
          </w:tcPr>
          <w:p>
            <w:pPr>
              <w:ind w:left="120"/>
              <w:spacing w:after="0"/>
              <w:rPr>
                <w:sz w:val="20"/>
                <w:szCs w:val="20"/>
                <w:color w:val="auto"/>
              </w:rPr>
            </w:pPr>
            <w:r>
              <w:rPr>
                <w:rFonts w:ascii="Arial" w:cs="Arial" w:eastAsia="Arial" w:hAnsi="Arial"/>
                <w:sz w:val="18"/>
                <w:szCs w:val="18"/>
                <w:color w:val="auto"/>
              </w:rPr>
              <w:t>and subject to adjustment performance</w:t>
            </w:r>
          </w:p>
        </w:tc>
        <w:tc>
          <w:tcPr>
            <w:tcW w:w="2140" w:type="dxa"/>
            <w:vAlign w:val="bottom"/>
            <w:shd w:val="clear" w:color="auto" w:fill="E9EFEE"/>
          </w:tcPr>
          <w:p>
            <w:pPr>
              <w:spacing w:after="0"/>
              <w:rPr>
                <w:sz w:val="18"/>
                <w:szCs w:val="18"/>
                <w:color w:val="auto"/>
              </w:rPr>
            </w:pPr>
          </w:p>
        </w:tc>
      </w:tr>
      <w:tr>
        <w:trPr>
          <w:trHeight w:val="215"/>
        </w:trPr>
        <w:tc>
          <w:tcPr>
            <w:tcW w:w="860" w:type="dxa"/>
            <w:vAlign w:val="bottom"/>
          </w:tcPr>
          <w:p>
            <w:pPr>
              <w:ind w:left="20"/>
              <w:spacing w:after="0"/>
              <w:rPr>
                <w:sz w:val="20"/>
                <w:szCs w:val="20"/>
                <w:color w:val="auto"/>
              </w:rPr>
            </w:pPr>
            <w:r>
              <w:rPr>
                <w:rFonts w:ascii="Arial" w:cs="Arial" w:eastAsia="Arial" w:hAnsi="Arial"/>
                <w:sz w:val="18"/>
                <w:szCs w:val="18"/>
                <w:color w:val="auto"/>
              </w:rPr>
              <w:t>Variable</w:t>
            </w:r>
          </w:p>
        </w:tc>
        <w:tc>
          <w:tcPr>
            <w:tcW w:w="2220" w:type="dxa"/>
            <w:vAlign w:val="bottom"/>
          </w:tcPr>
          <w:p>
            <w:pPr>
              <w:ind w:left="220"/>
              <w:spacing w:after="0"/>
              <w:rPr>
                <w:sz w:val="20"/>
                <w:szCs w:val="20"/>
                <w:color w:val="auto"/>
              </w:rPr>
            </w:pPr>
            <w:r>
              <w:rPr>
                <w:rFonts w:ascii="Arial" w:cs="Arial" w:eastAsia="Arial" w:hAnsi="Arial"/>
                <w:sz w:val="18"/>
                <w:szCs w:val="18"/>
                <w:color w:val="auto"/>
              </w:rPr>
              <w:t>Short-Term Incentive</w:t>
            </w:r>
          </w:p>
        </w:tc>
        <w:tc>
          <w:tcPr>
            <w:tcW w:w="2140" w:type="dxa"/>
            <w:vAlign w:val="bottom"/>
          </w:tcPr>
          <w:p>
            <w:pPr>
              <w:ind w:left="120"/>
              <w:spacing w:after="0"/>
              <w:rPr>
                <w:sz w:val="20"/>
                <w:szCs w:val="20"/>
                <w:color w:val="auto"/>
              </w:rPr>
            </w:pPr>
            <w:r>
              <w:rPr>
                <w:rFonts w:ascii="Arial" w:cs="Arial" w:eastAsia="Arial" w:hAnsi="Arial"/>
                <w:sz w:val="18"/>
                <w:szCs w:val="18"/>
                <w:color w:val="auto"/>
              </w:rPr>
              <w:t>Short-term incentive</w:t>
            </w:r>
          </w:p>
        </w:tc>
        <w:tc>
          <w:tcPr>
            <w:tcW w:w="2200" w:type="dxa"/>
            <w:vAlign w:val="bottom"/>
          </w:tcPr>
          <w:p>
            <w:pPr>
              <w:ind w:left="100"/>
              <w:spacing w:after="0"/>
              <w:rPr>
                <w:sz w:val="20"/>
                <w:szCs w:val="20"/>
                <w:color w:val="auto"/>
              </w:rPr>
            </w:pPr>
            <w:r>
              <w:rPr>
                <w:rFonts w:ascii="Arial" w:cs="Arial" w:eastAsia="Arial" w:hAnsi="Arial"/>
                <w:sz w:val="18"/>
                <w:szCs w:val="18"/>
                <w:color w:val="auto"/>
              </w:rPr>
              <w:t>Measured by Company</w:t>
            </w:r>
          </w:p>
        </w:tc>
        <w:tc>
          <w:tcPr>
            <w:tcW w:w="2140" w:type="dxa"/>
            <w:vAlign w:val="bottom"/>
          </w:tcPr>
          <w:p>
            <w:pPr>
              <w:ind w:left="20"/>
              <w:spacing w:after="0"/>
              <w:rPr>
                <w:sz w:val="20"/>
                <w:szCs w:val="20"/>
                <w:color w:val="auto"/>
              </w:rPr>
            </w:pPr>
            <w:r>
              <w:rPr>
                <w:rFonts w:ascii="Arial" w:cs="Arial" w:eastAsia="Arial" w:hAnsi="Arial"/>
                <w:sz w:val="18"/>
                <w:szCs w:val="18"/>
                <w:color w:val="auto"/>
              </w:rPr>
              <w:t>Promote achievement of</w:t>
            </w:r>
          </w:p>
        </w:tc>
      </w:tr>
      <w:tr>
        <w:trPr>
          <w:trHeight w:val="203"/>
        </w:trPr>
        <w:tc>
          <w:tcPr>
            <w:tcW w:w="860" w:type="dxa"/>
            <w:vAlign w:val="bottom"/>
          </w:tcPr>
          <w:p>
            <w:pPr>
              <w:spacing w:after="0"/>
              <w:rPr>
                <w:sz w:val="17"/>
                <w:szCs w:val="17"/>
                <w:color w:val="auto"/>
              </w:rPr>
            </w:pPr>
          </w:p>
        </w:tc>
        <w:tc>
          <w:tcPr>
            <w:tcW w:w="2220" w:type="dxa"/>
            <w:vAlign w:val="bottom"/>
          </w:tcPr>
          <w:p>
            <w:pPr>
              <w:ind w:left="220"/>
              <w:spacing w:after="0" w:line="202" w:lineRule="exact"/>
              <w:rPr>
                <w:sz w:val="20"/>
                <w:szCs w:val="20"/>
                <w:color w:val="auto"/>
              </w:rPr>
            </w:pPr>
            <w:r>
              <w:rPr>
                <w:rFonts w:ascii="Arial" w:cs="Arial" w:eastAsia="Arial" w:hAnsi="Arial"/>
                <w:sz w:val="18"/>
                <w:szCs w:val="18"/>
                <w:color w:val="auto"/>
              </w:rPr>
              <w:t>Program</w:t>
            </w:r>
          </w:p>
        </w:tc>
        <w:tc>
          <w:tcPr>
            <w:tcW w:w="2140" w:type="dxa"/>
            <w:vAlign w:val="bottom"/>
          </w:tcPr>
          <w:p>
            <w:pPr>
              <w:ind w:left="120"/>
              <w:spacing w:after="0" w:line="202" w:lineRule="exact"/>
              <w:rPr>
                <w:sz w:val="20"/>
                <w:szCs w:val="20"/>
                <w:color w:val="auto"/>
              </w:rPr>
            </w:pPr>
            <w:r>
              <w:rPr>
                <w:rFonts w:ascii="Arial" w:cs="Arial" w:eastAsia="Arial" w:hAnsi="Arial"/>
                <w:sz w:val="18"/>
                <w:szCs w:val="18"/>
                <w:color w:val="auto"/>
              </w:rPr>
              <w:t>payable based on</w:t>
            </w:r>
          </w:p>
        </w:tc>
        <w:tc>
          <w:tcPr>
            <w:tcW w:w="2200" w:type="dxa"/>
            <w:vAlign w:val="bottom"/>
          </w:tcPr>
          <w:p>
            <w:pPr>
              <w:ind w:left="100"/>
              <w:spacing w:after="0" w:line="202" w:lineRule="exact"/>
              <w:rPr>
                <w:sz w:val="20"/>
                <w:szCs w:val="20"/>
                <w:color w:val="auto"/>
              </w:rPr>
            </w:pPr>
            <w:r>
              <w:rPr>
                <w:rFonts w:ascii="Arial" w:cs="Arial" w:eastAsia="Arial" w:hAnsi="Arial"/>
                <w:sz w:val="18"/>
                <w:szCs w:val="18"/>
                <w:color w:val="auto"/>
              </w:rPr>
              <w:t>performance, oriented</w:t>
            </w:r>
          </w:p>
        </w:tc>
        <w:tc>
          <w:tcPr>
            <w:tcW w:w="2140" w:type="dxa"/>
            <w:vAlign w:val="bottom"/>
          </w:tcPr>
          <w:p>
            <w:pPr>
              <w:ind w:left="20"/>
              <w:spacing w:after="0" w:line="202" w:lineRule="exact"/>
              <w:rPr>
                <w:sz w:val="20"/>
                <w:szCs w:val="20"/>
                <w:color w:val="auto"/>
              </w:rPr>
            </w:pPr>
            <w:r>
              <w:rPr>
                <w:rFonts w:ascii="Arial" w:cs="Arial" w:eastAsia="Arial" w:hAnsi="Arial"/>
                <w:sz w:val="18"/>
                <w:szCs w:val="18"/>
                <w:color w:val="auto"/>
              </w:rPr>
              <w:t>short-term financial goals</w:t>
            </w:r>
          </w:p>
        </w:tc>
      </w:tr>
      <w:tr>
        <w:trPr>
          <w:trHeight w:val="203"/>
        </w:trPr>
        <w:tc>
          <w:tcPr>
            <w:tcW w:w="8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140" w:type="dxa"/>
            <w:vAlign w:val="bottom"/>
          </w:tcPr>
          <w:p>
            <w:pPr>
              <w:ind w:left="120"/>
              <w:spacing w:after="0" w:line="202" w:lineRule="exact"/>
              <w:rPr>
                <w:sz w:val="20"/>
                <w:szCs w:val="20"/>
                <w:color w:val="auto"/>
              </w:rPr>
            </w:pPr>
            <w:r>
              <w:rPr>
                <w:rFonts w:ascii="Arial" w:cs="Arial" w:eastAsia="Arial" w:hAnsi="Arial"/>
                <w:sz w:val="18"/>
                <w:szCs w:val="18"/>
                <w:color w:val="auto"/>
              </w:rPr>
              <w:t>performance against</w:t>
            </w:r>
          </w:p>
        </w:tc>
        <w:tc>
          <w:tcPr>
            <w:tcW w:w="2200" w:type="dxa"/>
            <w:vAlign w:val="bottom"/>
          </w:tcPr>
          <w:p>
            <w:pPr>
              <w:ind w:left="100"/>
              <w:spacing w:after="0" w:line="202" w:lineRule="exact"/>
              <w:rPr>
                <w:sz w:val="20"/>
                <w:szCs w:val="20"/>
                <w:color w:val="auto"/>
              </w:rPr>
            </w:pPr>
            <w:r>
              <w:rPr>
                <w:rFonts w:ascii="Arial" w:cs="Arial" w:eastAsia="Arial" w:hAnsi="Arial"/>
                <w:sz w:val="18"/>
                <w:szCs w:val="18"/>
                <w:color w:val="auto"/>
              </w:rPr>
              <w:t>toward short-term</w:t>
            </w:r>
          </w:p>
        </w:tc>
        <w:tc>
          <w:tcPr>
            <w:tcW w:w="2140" w:type="dxa"/>
            <w:vAlign w:val="bottom"/>
          </w:tcPr>
          <w:p>
            <w:pPr>
              <w:ind w:left="20"/>
              <w:spacing w:after="0" w:line="202" w:lineRule="exact"/>
              <w:rPr>
                <w:sz w:val="20"/>
                <w:szCs w:val="20"/>
                <w:color w:val="auto"/>
              </w:rPr>
            </w:pPr>
            <w:r>
              <w:rPr>
                <w:rFonts w:ascii="Arial" w:cs="Arial" w:eastAsia="Arial" w:hAnsi="Arial"/>
                <w:sz w:val="18"/>
                <w:szCs w:val="18"/>
                <w:color w:val="auto"/>
              </w:rPr>
              <w:t>aligned with shareholder</w:t>
            </w:r>
          </w:p>
        </w:tc>
      </w:tr>
      <w:tr>
        <w:trPr>
          <w:trHeight w:val="203"/>
        </w:trPr>
        <w:tc>
          <w:tcPr>
            <w:tcW w:w="8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140" w:type="dxa"/>
            <w:vAlign w:val="bottom"/>
          </w:tcPr>
          <w:p>
            <w:pPr>
              <w:ind w:left="120"/>
              <w:spacing w:after="0" w:line="202" w:lineRule="exact"/>
              <w:rPr>
                <w:sz w:val="20"/>
                <w:szCs w:val="20"/>
                <w:color w:val="auto"/>
              </w:rPr>
            </w:pPr>
            <w:r>
              <w:rPr>
                <w:rFonts w:ascii="Arial" w:cs="Arial" w:eastAsia="Arial" w:hAnsi="Arial"/>
                <w:sz w:val="18"/>
                <w:szCs w:val="18"/>
                <w:color w:val="auto"/>
              </w:rPr>
              <w:t>annually established</w:t>
            </w:r>
          </w:p>
        </w:tc>
        <w:tc>
          <w:tcPr>
            <w:tcW w:w="2200" w:type="dxa"/>
            <w:vAlign w:val="bottom"/>
          </w:tcPr>
          <w:p>
            <w:pPr>
              <w:ind w:left="100"/>
              <w:spacing w:after="0" w:line="202" w:lineRule="exact"/>
              <w:rPr>
                <w:sz w:val="20"/>
                <w:szCs w:val="20"/>
                <w:color w:val="auto"/>
              </w:rPr>
            </w:pPr>
            <w:r>
              <w:rPr>
                <w:rFonts w:ascii="Arial" w:cs="Arial" w:eastAsia="Arial" w:hAnsi="Arial"/>
                <w:sz w:val="18"/>
                <w:szCs w:val="18"/>
                <w:color w:val="auto"/>
              </w:rPr>
              <w:t>financial goals</w:t>
            </w:r>
          </w:p>
        </w:tc>
        <w:tc>
          <w:tcPr>
            <w:tcW w:w="2140" w:type="dxa"/>
            <w:vAlign w:val="bottom"/>
          </w:tcPr>
          <w:p>
            <w:pPr>
              <w:ind w:left="20"/>
              <w:spacing w:after="0" w:line="202" w:lineRule="exact"/>
              <w:rPr>
                <w:sz w:val="20"/>
                <w:szCs w:val="20"/>
                <w:color w:val="auto"/>
              </w:rPr>
            </w:pPr>
            <w:r>
              <w:rPr>
                <w:rFonts w:ascii="Arial" w:cs="Arial" w:eastAsia="Arial" w:hAnsi="Arial"/>
                <w:sz w:val="18"/>
                <w:szCs w:val="18"/>
                <w:color w:val="auto"/>
              </w:rPr>
              <w:t>interests</w:t>
            </w:r>
          </w:p>
        </w:tc>
      </w:tr>
      <w:tr>
        <w:trPr>
          <w:trHeight w:val="217"/>
        </w:trPr>
        <w:tc>
          <w:tcPr>
            <w:tcW w:w="8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140" w:type="dxa"/>
            <w:vAlign w:val="bottom"/>
          </w:tcPr>
          <w:p>
            <w:pPr>
              <w:ind w:left="120"/>
              <w:spacing w:after="0"/>
              <w:rPr>
                <w:sz w:val="20"/>
                <w:szCs w:val="20"/>
                <w:color w:val="auto"/>
              </w:rPr>
            </w:pPr>
            <w:r>
              <w:rPr>
                <w:rFonts w:ascii="Arial" w:cs="Arial" w:eastAsia="Arial" w:hAnsi="Arial"/>
                <w:sz w:val="18"/>
                <w:szCs w:val="18"/>
                <w:color w:val="auto"/>
              </w:rPr>
              <w:t>goals</w:t>
            </w:r>
          </w:p>
        </w:tc>
        <w:tc>
          <w:tcPr>
            <w:tcW w:w="22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5"/>
        </w:trPr>
        <w:tc>
          <w:tcPr>
            <w:tcW w:w="860" w:type="dxa"/>
            <w:vAlign w:val="bottom"/>
            <w:shd w:val="clear" w:color="auto" w:fill="E9EFEE"/>
          </w:tcPr>
          <w:p>
            <w:pPr>
              <w:ind w:left="20"/>
              <w:spacing w:after="0"/>
              <w:rPr>
                <w:sz w:val="20"/>
                <w:szCs w:val="20"/>
                <w:color w:val="auto"/>
              </w:rPr>
            </w:pPr>
            <w:r>
              <w:rPr>
                <w:rFonts w:ascii="Arial" w:cs="Arial" w:eastAsia="Arial" w:hAnsi="Arial"/>
                <w:sz w:val="18"/>
                <w:szCs w:val="18"/>
                <w:color w:val="auto"/>
              </w:rPr>
              <w:t>Variable</w:t>
            </w:r>
          </w:p>
        </w:tc>
        <w:tc>
          <w:tcPr>
            <w:tcW w:w="2220" w:type="dxa"/>
            <w:vAlign w:val="bottom"/>
            <w:shd w:val="clear" w:color="auto" w:fill="E9EFEE"/>
          </w:tcPr>
          <w:p>
            <w:pPr>
              <w:ind w:left="220"/>
              <w:spacing w:after="0"/>
              <w:rPr>
                <w:sz w:val="20"/>
                <w:szCs w:val="20"/>
                <w:color w:val="auto"/>
              </w:rPr>
            </w:pPr>
            <w:r>
              <w:rPr>
                <w:rFonts w:ascii="Arial" w:cs="Arial" w:eastAsia="Arial" w:hAnsi="Arial"/>
                <w:sz w:val="18"/>
                <w:szCs w:val="18"/>
                <w:color w:val="auto"/>
              </w:rPr>
              <w:t>Long-Term Incentive</w:t>
            </w:r>
          </w:p>
        </w:tc>
        <w:tc>
          <w:tcPr>
            <w:tcW w:w="2140" w:type="dxa"/>
            <w:vAlign w:val="bottom"/>
            <w:shd w:val="clear" w:color="auto" w:fill="E9EFEE"/>
          </w:tcPr>
          <w:p>
            <w:pPr>
              <w:ind w:left="120"/>
              <w:spacing w:after="0"/>
              <w:rPr>
                <w:sz w:val="20"/>
                <w:szCs w:val="20"/>
                <w:color w:val="auto"/>
              </w:rPr>
            </w:pPr>
            <w:r>
              <w:rPr>
                <w:rFonts w:ascii="Arial" w:cs="Arial" w:eastAsia="Arial" w:hAnsi="Arial"/>
                <w:sz w:val="18"/>
                <w:szCs w:val="18"/>
                <w:color w:val="auto"/>
              </w:rPr>
              <w:t>Equity based awards</w:t>
            </w:r>
          </w:p>
        </w:tc>
        <w:tc>
          <w:tcPr>
            <w:tcW w:w="2200" w:type="dxa"/>
            <w:vAlign w:val="bottom"/>
            <w:shd w:val="clear" w:color="auto" w:fill="E9EFEE"/>
          </w:tcPr>
          <w:p>
            <w:pPr>
              <w:ind w:left="100"/>
              <w:spacing w:after="0"/>
              <w:rPr>
                <w:sz w:val="20"/>
                <w:szCs w:val="20"/>
                <w:color w:val="auto"/>
              </w:rPr>
            </w:pPr>
            <w:r>
              <w:rPr>
                <w:rFonts w:ascii="Arial" w:cs="Arial" w:eastAsia="Arial" w:hAnsi="Arial"/>
                <w:sz w:val="18"/>
                <w:szCs w:val="18"/>
                <w:color w:val="auto"/>
              </w:rPr>
              <w:t>Creation of shareholder</w:t>
            </w:r>
          </w:p>
        </w:tc>
        <w:tc>
          <w:tcPr>
            <w:tcW w:w="2140" w:type="dxa"/>
            <w:vAlign w:val="bottom"/>
            <w:shd w:val="clear" w:color="auto" w:fill="E9EFEE"/>
          </w:tcPr>
          <w:p>
            <w:pPr>
              <w:ind w:left="20"/>
              <w:spacing w:after="0"/>
              <w:rPr>
                <w:sz w:val="20"/>
                <w:szCs w:val="20"/>
                <w:color w:val="auto"/>
              </w:rPr>
            </w:pPr>
            <w:r>
              <w:rPr>
                <w:rFonts w:ascii="Arial" w:cs="Arial" w:eastAsia="Arial" w:hAnsi="Arial"/>
                <w:sz w:val="18"/>
                <w:szCs w:val="18"/>
                <w:color w:val="auto"/>
              </w:rPr>
              <w:t>Create alignment with</w:t>
            </w:r>
          </w:p>
        </w:tc>
      </w:tr>
      <w:tr>
        <w:trPr>
          <w:trHeight w:val="203"/>
        </w:trPr>
        <w:tc>
          <w:tcPr>
            <w:tcW w:w="860" w:type="dxa"/>
            <w:vAlign w:val="bottom"/>
            <w:shd w:val="clear" w:color="auto" w:fill="E9EFEE"/>
          </w:tcPr>
          <w:p>
            <w:pPr>
              <w:spacing w:after="0"/>
              <w:rPr>
                <w:sz w:val="17"/>
                <w:szCs w:val="17"/>
                <w:color w:val="auto"/>
              </w:rPr>
            </w:pPr>
          </w:p>
        </w:tc>
        <w:tc>
          <w:tcPr>
            <w:tcW w:w="2220" w:type="dxa"/>
            <w:vAlign w:val="bottom"/>
            <w:shd w:val="clear" w:color="auto" w:fill="E9EFEE"/>
          </w:tcPr>
          <w:p>
            <w:pPr>
              <w:ind w:left="220"/>
              <w:spacing w:after="0" w:line="202" w:lineRule="exact"/>
              <w:rPr>
                <w:sz w:val="20"/>
                <w:szCs w:val="20"/>
                <w:color w:val="auto"/>
              </w:rPr>
            </w:pPr>
            <w:r>
              <w:rPr>
                <w:rFonts w:ascii="Arial" w:cs="Arial" w:eastAsia="Arial" w:hAnsi="Arial"/>
                <w:sz w:val="18"/>
                <w:szCs w:val="18"/>
                <w:color w:val="auto"/>
              </w:rPr>
              <w:t>Program</w:t>
            </w:r>
          </w:p>
        </w:tc>
        <w:tc>
          <w:tcPr>
            <w:tcW w:w="2140" w:type="dxa"/>
            <w:vAlign w:val="bottom"/>
            <w:shd w:val="clear" w:color="auto" w:fill="E9EFEE"/>
          </w:tcPr>
          <w:p>
            <w:pPr>
              <w:ind w:left="120"/>
              <w:spacing w:after="0" w:line="202" w:lineRule="exact"/>
              <w:rPr>
                <w:sz w:val="20"/>
                <w:szCs w:val="20"/>
                <w:color w:val="auto"/>
              </w:rPr>
            </w:pPr>
            <w:r>
              <w:rPr>
                <w:rFonts w:ascii="Arial" w:cs="Arial" w:eastAsia="Arial" w:hAnsi="Arial"/>
                <w:sz w:val="18"/>
                <w:szCs w:val="18"/>
                <w:color w:val="auto"/>
              </w:rPr>
              <w:t>consisting of restricted</w:t>
            </w:r>
          </w:p>
        </w:tc>
        <w:tc>
          <w:tcPr>
            <w:tcW w:w="2200" w:type="dxa"/>
            <w:vAlign w:val="bottom"/>
            <w:shd w:val="clear" w:color="auto" w:fill="E9EFEE"/>
          </w:tcPr>
          <w:p>
            <w:pPr>
              <w:ind w:left="100"/>
              <w:spacing w:after="0" w:line="202" w:lineRule="exact"/>
              <w:rPr>
                <w:sz w:val="20"/>
                <w:szCs w:val="20"/>
                <w:color w:val="auto"/>
              </w:rPr>
            </w:pPr>
            <w:r>
              <w:rPr>
                <w:rFonts w:ascii="Arial" w:cs="Arial" w:eastAsia="Arial" w:hAnsi="Arial"/>
                <w:sz w:val="18"/>
                <w:szCs w:val="18"/>
                <w:color w:val="auto"/>
              </w:rPr>
              <w:t>value and realization of</w:t>
            </w:r>
          </w:p>
        </w:tc>
        <w:tc>
          <w:tcPr>
            <w:tcW w:w="2140" w:type="dxa"/>
            <w:vAlign w:val="bottom"/>
            <w:shd w:val="clear" w:color="auto" w:fill="E9EFEE"/>
          </w:tcPr>
          <w:p>
            <w:pPr>
              <w:ind w:left="20"/>
              <w:spacing w:after="0" w:line="202" w:lineRule="exact"/>
              <w:rPr>
                <w:sz w:val="20"/>
                <w:szCs w:val="20"/>
                <w:color w:val="auto"/>
              </w:rPr>
            </w:pPr>
            <w:r>
              <w:rPr>
                <w:rFonts w:ascii="Arial" w:cs="Arial" w:eastAsia="Arial" w:hAnsi="Arial"/>
                <w:sz w:val="18"/>
                <w:szCs w:val="18"/>
                <w:color w:val="auto"/>
              </w:rPr>
              <w:t>shareholder interests and</w:t>
            </w:r>
          </w:p>
        </w:tc>
      </w:tr>
      <w:tr>
        <w:trPr>
          <w:trHeight w:val="203"/>
        </w:trPr>
        <w:tc>
          <w:tcPr>
            <w:tcW w:w="860" w:type="dxa"/>
            <w:vAlign w:val="bottom"/>
            <w:shd w:val="clear" w:color="auto" w:fill="E9EFEE"/>
          </w:tcPr>
          <w:p>
            <w:pPr>
              <w:spacing w:after="0"/>
              <w:rPr>
                <w:sz w:val="17"/>
                <w:szCs w:val="17"/>
                <w:color w:val="auto"/>
              </w:rPr>
            </w:pPr>
          </w:p>
        </w:tc>
        <w:tc>
          <w:tcPr>
            <w:tcW w:w="2220" w:type="dxa"/>
            <w:vAlign w:val="bottom"/>
            <w:shd w:val="clear" w:color="auto" w:fill="E9EFEE"/>
          </w:tcPr>
          <w:p>
            <w:pPr>
              <w:spacing w:after="0"/>
              <w:rPr>
                <w:sz w:val="17"/>
                <w:szCs w:val="17"/>
                <w:color w:val="auto"/>
              </w:rPr>
            </w:pPr>
          </w:p>
        </w:tc>
        <w:tc>
          <w:tcPr>
            <w:tcW w:w="2140" w:type="dxa"/>
            <w:vAlign w:val="bottom"/>
            <w:shd w:val="clear" w:color="auto" w:fill="E9EFEE"/>
          </w:tcPr>
          <w:p>
            <w:pPr>
              <w:ind w:left="120"/>
              <w:spacing w:after="0" w:line="202" w:lineRule="exact"/>
              <w:rPr>
                <w:sz w:val="20"/>
                <w:szCs w:val="20"/>
                <w:color w:val="auto"/>
              </w:rPr>
            </w:pPr>
            <w:r>
              <w:rPr>
                <w:rFonts w:ascii="Arial" w:cs="Arial" w:eastAsia="Arial" w:hAnsi="Arial"/>
                <w:sz w:val="18"/>
                <w:szCs w:val="18"/>
                <w:color w:val="auto"/>
              </w:rPr>
              <w:t>stock units and</w:t>
            </w:r>
          </w:p>
        </w:tc>
        <w:tc>
          <w:tcPr>
            <w:tcW w:w="2200" w:type="dxa"/>
            <w:vAlign w:val="bottom"/>
            <w:shd w:val="clear" w:color="auto" w:fill="E9EFEE"/>
          </w:tcPr>
          <w:p>
            <w:pPr>
              <w:ind w:left="100"/>
              <w:spacing w:after="0" w:line="202" w:lineRule="exact"/>
              <w:rPr>
                <w:sz w:val="20"/>
                <w:szCs w:val="20"/>
                <w:color w:val="auto"/>
              </w:rPr>
            </w:pPr>
            <w:r>
              <w:rPr>
                <w:rFonts w:ascii="Arial" w:cs="Arial" w:eastAsia="Arial" w:hAnsi="Arial"/>
                <w:sz w:val="18"/>
                <w:szCs w:val="18"/>
                <w:color w:val="auto"/>
              </w:rPr>
              <w:t>medium and long-term</w:t>
            </w:r>
          </w:p>
        </w:tc>
        <w:tc>
          <w:tcPr>
            <w:tcW w:w="2140" w:type="dxa"/>
            <w:vAlign w:val="bottom"/>
            <w:shd w:val="clear" w:color="auto" w:fill="E9EFEE"/>
          </w:tcPr>
          <w:p>
            <w:pPr>
              <w:ind w:left="20"/>
              <w:spacing w:after="0" w:line="202" w:lineRule="exact"/>
              <w:rPr>
                <w:sz w:val="20"/>
                <w:szCs w:val="20"/>
                <w:color w:val="auto"/>
              </w:rPr>
            </w:pPr>
            <w:r>
              <w:rPr>
                <w:rFonts w:ascii="Arial" w:cs="Arial" w:eastAsia="Arial" w:hAnsi="Arial"/>
                <w:sz w:val="18"/>
                <w:szCs w:val="18"/>
                <w:color w:val="auto"/>
              </w:rPr>
              <w:t>promote achievement of</w:t>
            </w:r>
          </w:p>
        </w:tc>
      </w:tr>
      <w:tr>
        <w:trPr>
          <w:trHeight w:val="203"/>
        </w:trPr>
        <w:tc>
          <w:tcPr>
            <w:tcW w:w="860" w:type="dxa"/>
            <w:vAlign w:val="bottom"/>
            <w:shd w:val="clear" w:color="auto" w:fill="E9EFEE"/>
          </w:tcPr>
          <w:p>
            <w:pPr>
              <w:spacing w:after="0"/>
              <w:rPr>
                <w:sz w:val="17"/>
                <w:szCs w:val="17"/>
                <w:color w:val="auto"/>
              </w:rPr>
            </w:pPr>
          </w:p>
        </w:tc>
        <w:tc>
          <w:tcPr>
            <w:tcW w:w="2220" w:type="dxa"/>
            <w:vAlign w:val="bottom"/>
            <w:shd w:val="clear" w:color="auto" w:fill="E9EFEE"/>
          </w:tcPr>
          <w:p>
            <w:pPr>
              <w:spacing w:after="0"/>
              <w:rPr>
                <w:sz w:val="17"/>
                <w:szCs w:val="17"/>
                <w:color w:val="auto"/>
              </w:rPr>
            </w:pPr>
          </w:p>
        </w:tc>
        <w:tc>
          <w:tcPr>
            <w:tcW w:w="2140" w:type="dxa"/>
            <w:vAlign w:val="bottom"/>
            <w:shd w:val="clear" w:color="auto" w:fill="E9EFEE"/>
          </w:tcPr>
          <w:p>
            <w:pPr>
              <w:ind w:left="120"/>
              <w:spacing w:after="0" w:line="202" w:lineRule="exact"/>
              <w:rPr>
                <w:sz w:val="20"/>
                <w:szCs w:val="20"/>
                <w:color w:val="auto"/>
              </w:rPr>
            </w:pPr>
            <w:r>
              <w:rPr>
                <w:rFonts w:ascii="Arial" w:cs="Arial" w:eastAsia="Arial" w:hAnsi="Arial"/>
                <w:sz w:val="18"/>
                <w:szCs w:val="18"/>
                <w:color w:val="auto"/>
              </w:rPr>
              <w:t>performance stock units</w:t>
            </w:r>
          </w:p>
        </w:tc>
        <w:tc>
          <w:tcPr>
            <w:tcW w:w="2200" w:type="dxa"/>
            <w:vAlign w:val="bottom"/>
            <w:shd w:val="clear" w:color="auto" w:fill="E9EFEE"/>
          </w:tcPr>
          <w:p>
            <w:pPr>
              <w:ind w:left="100"/>
              <w:spacing w:after="0" w:line="202" w:lineRule="exact"/>
              <w:rPr>
                <w:sz w:val="20"/>
                <w:szCs w:val="20"/>
                <w:color w:val="auto"/>
              </w:rPr>
            </w:pPr>
            <w:r>
              <w:rPr>
                <w:rFonts w:ascii="Arial" w:cs="Arial" w:eastAsia="Arial" w:hAnsi="Arial"/>
                <w:sz w:val="18"/>
                <w:szCs w:val="18"/>
                <w:color w:val="auto"/>
              </w:rPr>
              <w:t>financial and strategic</w:t>
            </w:r>
          </w:p>
        </w:tc>
        <w:tc>
          <w:tcPr>
            <w:tcW w:w="2140" w:type="dxa"/>
            <w:vAlign w:val="bottom"/>
            <w:shd w:val="clear" w:color="auto" w:fill="E9EFEE"/>
          </w:tcPr>
          <w:p>
            <w:pPr>
              <w:ind w:left="20"/>
              <w:spacing w:after="0" w:line="202" w:lineRule="exact"/>
              <w:rPr>
                <w:sz w:val="20"/>
                <w:szCs w:val="20"/>
                <w:color w:val="auto"/>
              </w:rPr>
            </w:pPr>
            <w:r>
              <w:rPr>
                <w:rFonts w:ascii="Arial" w:cs="Arial" w:eastAsia="Arial" w:hAnsi="Arial"/>
                <w:sz w:val="18"/>
                <w:szCs w:val="18"/>
                <w:color w:val="auto"/>
              </w:rPr>
              <w:t>longer-term financial and</w:t>
            </w:r>
          </w:p>
        </w:tc>
      </w:tr>
      <w:tr>
        <w:trPr>
          <w:trHeight w:val="217"/>
        </w:trPr>
        <w:tc>
          <w:tcPr>
            <w:tcW w:w="860" w:type="dxa"/>
            <w:vAlign w:val="bottom"/>
            <w:shd w:val="clear" w:color="auto" w:fill="E9EFEE"/>
          </w:tcPr>
          <w:p>
            <w:pPr>
              <w:spacing w:after="0"/>
              <w:rPr>
                <w:sz w:val="18"/>
                <w:szCs w:val="18"/>
                <w:color w:val="auto"/>
              </w:rPr>
            </w:pPr>
          </w:p>
        </w:tc>
        <w:tc>
          <w:tcPr>
            <w:tcW w:w="2220" w:type="dxa"/>
            <w:vAlign w:val="bottom"/>
            <w:shd w:val="clear" w:color="auto" w:fill="E9EFEE"/>
          </w:tcPr>
          <w:p>
            <w:pPr>
              <w:spacing w:after="0"/>
              <w:rPr>
                <w:sz w:val="18"/>
                <w:szCs w:val="18"/>
                <w:color w:val="auto"/>
              </w:rPr>
            </w:pPr>
          </w:p>
        </w:tc>
        <w:tc>
          <w:tcPr>
            <w:tcW w:w="2140" w:type="dxa"/>
            <w:vAlign w:val="bottom"/>
            <w:shd w:val="clear" w:color="auto" w:fill="E9EFEE"/>
          </w:tcPr>
          <w:p>
            <w:pPr>
              <w:spacing w:after="0"/>
              <w:rPr>
                <w:sz w:val="18"/>
                <w:szCs w:val="18"/>
                <w:color w:val="auto"/>
              </w:rPr>
            </w:pPr>
          </w:p>
        </w:tc>
        <w:tc>
          <w:tcPr>
            <w:tcW w:w="2200" w:type="dxa"/>
            <w:vAlign w:val="bottom"/>
            <w:shd w:val="clear" w:color="auto" w:fill="E9EFEE"/>
          </w:tcPr>
          <w:p>
            <w:pPr>
              <w:ind w:left="100"/>
              <w:spacing w:after="0"/>
              <w:rPr>
                <w:sz w:val="20"/>
                <w:szCs w:val="20"/>
                <w:color w:val="auto"/>
              </w:rPr>
            </w:pPr>
            <w:r>
              <w:rPr>
                <w:rFonts w:ascii="Arial" w:cs="Arial" w:eastAsia="Arial" w:hAnsi="Arial"/>
                <w:sz w:val="18"/>
                <w:szCs w:val="18"/>
                <w:color w:val="auto"/>
              </w:rPr>
              <w:t>goals</w:t>
            </w:r>
          </w:p>
        </w:tc>
        <w:tc>
          <w:tcPr>
            <w:tcW w:w="2140" w:type="dxa"/>
            <w:vAlign w:val="bottom"/>
            <w:shd w:val="clear" w:color="auto" w:fill="E9EFEE"/>
          </w:tcPr>
          <w:p>
            <w:pPr>
              <w:ind w:left="20"/>
              <w:spacing w:after="0"/>
              <w:rPr>
                <w:sz w:val="20"/>
                <w:szCs w:val="20"/>
                <w:color w:val="auto"/>
              </w:rPr>
            </w:pPr>
            <w:r>
              <w:rPr>
                <w:rFonts w:ascii="Arial" w:cs="Arial" w:eastAsia="Arial" w:hAnsi="Arial"/>
                <w:sz w:val="18"/>
                <w:szCs w:val="18"/>
                <w:color w:val="auto"/>
              </w:rPr>
              <w:t>strategic objectives</w:t>
            </w:r>
          </w:p>
        </w:tc>
      </w:tr>
      <w:tr>
        <w:trPr>
          <w:trHeight w:val="215"/>
        </w:trPr>
        <w:tc>
          <w:tcPr>
            <w:tcW w:w="860" w:type="dxa"/>
            <w:vAlign w:val="bottom"/>
          </w:tcPr>
          <w:p>
            <w:pPr>
              <w:ind w:left="20"/>
              <w:spacing w:after="0"/>
              <w:rPr>
                <w:sz w:val="20"/>
                <w:szCs w:val="20"/>
                <w:color w:val="auto"/>
              </w:rPr>
            </w:pPr>
            <w:r>
              <w:rPr>
                <w:rFonts w:ascii="Arial" w:cs="Arial" w:eastAsia="Arial" w:hAnsi="Arial"/>
                <w:sz w:val="18"/>
                <w:szCs w:val="18"/>
                <w:color w:val="auto"/>
              </w:rPr>
              <w:t>Fixed</w:t>
            </w:r>
          </w:p>
        </w:tc>
        <w:tc>
          <w:tcPr>
            <w:tcW w:w="2220" w:type="dxa"/>
            <w:vAlign w:val="bottom"/>
          </w:tcPr>
          <w:p>
            <w:pPr>
              <w:ind w:left="220"/>
              <w:spacing w:after="0"/>
              <w:rPr>
                <w:sz w:val="20"/>
                <w:szCs w:val="20"/>
                <w:color w:val="auto"/>
              </w:rPr>
            </w:pPr>
            <w:r>
              <w:rPr>
                <w:rFonts w:ascii="Arial" w:cs="Arial" w:eastAsia="Arial" w:hAnsi="Arial"/>
                <w:sz w:val="18"/>
                <w:szCs w:val="18"/>
                <w:color w:val="auto"/>
              </w:rPr>
              <w:t>Retirement and Welfare</w:t>
            </w:r>
          </w:p>
        </w:tc>
        <w:tc>
          <w:tcPr>
            <w:tcW w:w="2140" w:type="dxa"/>
            <w:vAlign w:val="bottom"/>
          </w:tcPr>
          <w:p>
            <w:pPr>
              <w:ind w:left="120"/>
              <w:spacing w:after="0"/>
              <w:rPr>
                <w:sz w:val="20"/>
                <w:szCs w:val="20"/>
                <w:color w:val="auto"/>
              </w:rPr>
            </w:pPr>
            <w:r>
              <w:rPr>
                <w:rFonts w:ascii="Arial" w:cs="Arial" w:eastAsia="Arial" w:hAnsi="Arial"/>
                <w:sz w:val="18"/>
                <w:szCs w:val="18"/>
                <w:color w:val="auto"/>
              </w:rPr>
              <w:t>Retirement plans, health</w:t>
            </w:r>
          </w:p>
        </w:tc>
        <w:tc>
          <w:tcPr>
            <w:tcW w:w="2200" w:type="dxa"/>
            <w:vAlign w:val="bottom"/>
          </w:tcPr>
          <w:p>
            <w:pPr>
              <w:ind w:left="100"/>
              <w:spacing w:after="0"/>
              <w:rPr>
                <w:sz w:val="20"/>
                <w:szCs w:val="20"/>
                <w:color w:val="auto"/>
              </w:rPr>
            </w:pPr>
            <w:r>
              <w:rPr>
                <w:rFonts w:ascii="Arial" w:cs="Arial" w:eastAsia="Arial" w:hAnsi="Arial"/>
                <w:sz w:val="18"/>
                <w:szCs w:val="18"/>
                <w:color w:val="auto"/>
              </w:rPr>
              <w:t>Indirect - executive must</w:t>
            </w:r>
          </w:p>
        </w:tc>
        <w:tc>
          <w:tcPr>
            <w:tcW w:w="2140" w:type="dxa"/>
            <w:vAlign w:val="bottom"/>
          </w:tcPr>
          <w:p>
            <w:pPr>
              <w:ind w:left="20"/>
              <w:spacing w:after="0"/>
              <w:rPr>
                <w:sz w:val="20"/>
                <w:szCs w:val="20"/>
                <w:color w:val="auto"/>
              </w:rPr>
            </w:pPr>
            <w:r>
              <w:rPr>
                <w:rFonts w:ascii="Arial" w:cs="Arial" w:eastAsia="Arial" w:hAnsi="Arial"/>
                <w:sz w:val="18"/>
                <w:szCs w:val="18"/>
                <w:color w:val="auto"/>
              </w:rPr>
              <w:t>Attract and retain</w:t>
            </w:r>
          </w:p>
        </w:tc>
      </w:tr>
      <w:tr>
        <w:trPr>
          <w:trHeight w:val="203"/>
        </w:trPr>
        <w:tc>
          <w:tcPr>
            <w:tcW w:w="860" w:type="dxa"/>
            <w:vAlign w:val="bottom"/>
          </w:tcPr>
          <w:p>
            <w:pPr>
              <w:spacing w:after="0"/>
              <w:rPr>
                <w:sz w:val="17"/>
                <w:szCs w:val="17"/>
                <w:color w:val="auto"/>
              </w:rPr>
            </w:pPr>
          </w:p>
        </w:tc>
        <w:tc>
          <w:tcPr>
            <w:tcW w:w="2220" w:type="dxa"/>
            <w:vAlign w:val="bottom"/>
          </w:tcPr>
          <w:p>
            <w:pPr>
              <w:ind w:left="220"/>
              <w:spacing w:after="0" w:line="202" w:lineRule="exact"/>
              <w:rPr>
                <w:sz w:val="20"/>
                <w:szCs w:val="20"/>
                <w:color w:val="auto"/>
              </w:rPr>
            </w:pPr>
            <w:r>
              <w:rPr>
                <w:rFonts w:ascii="Arial" w:cs="Arial" w:eastAsia="Arial" w:hAnsi="Arial"/>
                <w:sz w:val="18"/>
                <w:szCs w:val="18"/>
                <w:color w:val="auto"/>
              </w:rPr>
              <w:t>Benefits</w:t>
            </w:r>
          </w:p>
        </w:tc>
        <w:tc>
          <w:tcPr>
            <w:tcW w:w="2140" w:type="dxa"/>
            <w:vAlign w:val="bottom"/>
          </w:tcPr>
          <w:p>
            <w:pPr>
              <w:ind w:left="120"/>
              <w:spacing w:after="0" w:line="202" w:lineRule="exact"/>
              <w:rPr>
                <w:sz w:val="20"/>
                <w:szCs w:val="20"/>
                <w:color w:val="auto"/>
              </w:rPr>
            </w:pPr>
            <w:r>
              <w:rPr>
                <w:rFonts w:ascii="Arial" w:cs="Arial" w:eastAsia="Arial" w:hAnsi="Arial"/>
                <w:sz w:val="18"/>
                <w:szCs w:val="18"/>
                <w:color w:val="auto"/>
              </w:rPr>
              <w:t>care and insurance</w:t>
            </w:r>
          </w:p>
        </w:tc>
        <w:tc>
          <w:tcPr>
            <w:tcW w:w="2200" w:type="dxa"/>
            <w:vAlign w:val="bottom"/>
          </w:tcPr>
          <w:p>
            <w:pPr>
              <w:ind w:left="100"/>
              <w:spacing w:after="0" w:line="202" w:lineRule="exact"/>
              <w:rPr>
                <w:sz w:val="20"/>
                <w:szCs w:val="20"/>
                <w:color w:val="auto"/>
              </w:rPr>
            </w:pPr>
            <w:r>
              <w:rPr>
                <w:rFonts w:ascii="Arial" w:cs="Arial" w:eastAsia="Arial" w:hAnsi="Arial"/>
                <w:sz w:val="18"/>
                <w:szCs w:val="18"/>
                <w:color w:val="auto"/>
              </w:rPr>
              <w:t>remain employed to be</w:t>
            </w:r>
          </w:p>
        </w:tc>
        <w:tc>
          <w:tcPr>
            <w:tcW w:w="21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140" w:type="dxa"/>
            <w:vAlign w:val="bottom"/>
          </w:tcPr>
          <w:p>
            <w:pPr>
              <w:ind w:left="120"/>
              <w:spacing w:after="0" w:line="202" w:lineRule="exact"/>
              <w:rPr>
                <w:sz w:val="20"/>
                <w:szCs w:val="20"/>
                <w:color w:val="auto"/>
              </w:rPr>
            </w:pPr>
            <w:r>
              <w:rPr>
                <w:rFonts w:ascii="Arial" w:cs="Arial" w:eastAsia="Arial" w:hAnsi="Arial"/>
                <w:sz w:val="18"/>
                <w:szCs w:val="18"/>
                <w:color w:val="auto"/>
              </w:rPr>
              <w:t>benefits</w:t>
            </w:r>
          </w:p>
        </w:tc>
        <w:tc>
          <w:tcPr>
            <w:tcW w:w="2200" w:type="dxa"/>
            <w:vAlign w:val="bottom"/>
          </w:tcPr>
          <w:p>
            <w:pPr>
              <w:ind w:left="100"/>
              <w:spacing w:after="0" w:line="202" w:lineRule="exact"/>
              <w:rPr>
                <w:sz w:val="20"/>
                <w:szCs w:val="20"/>
                <w:color w:val="auto"/>
              </w:rPr>
            </w:pPr>
            <w:r>
              <w:rPr>
                <w:rFonts w:ascii="Arial" w:cs="Arial" w:eastAsia="Arial" w:hAnsi="Arial"/>
                <w:sz w:val="18"/>
                <w:szCs w:val="18"/>
                <w:color w:val="auto"/>
              </w:rPr>
              <w:t>eligible for retirement and</w:t>
            </w:r>
          </w:p>
        </w:tc>
        <w:tc>
          <w:tcPr>
            <w:tcW w:w="2140" w:type="dxa"/>
            <w:vAlign w:val="bottom"/>
          </w:tcPr>
          <w:p>
            <w:pPr>
              <w:spacing w:after="0"/>
              <w:rPr>
                <w:sz w:val="17"/>
                <w:szCs w:val="17"/>
                <w:color w:val="auto"/>
              </w:rPr>
            </w:pPr>
          </w:p>
        </w:tc>
      </w:tr>
      <w:tr>
        <w:trPr>
          <w:trHeight w:val="217"/>
        </w:trPr>
        <w:tc>
          <w:tcPr>
            <w:tcW w:w="8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0" w:type="dxa"/>
            <w:vAlign w:val="bottom"/>
          </w:tcPr>
          <w:p>
            <w:pPr>
              <w:ind w:left="100"/>
              <w:spacing w:after="0"/>
              <w:rPr>
                <w:sz w:val="20"/>
                <w:szCs w:val="20"/>
                <w:color w:val="auto"/>
              </w:rPr>
            </w:pPr>
            <w:r>
              <w:rPr>
                <w:rFonts w:ascii="Arial" w:cs="Arial" w:eastAsia="Arial" w:hAnsi="Arial"/>
                <w:sz w:val="18"/>
                <w:szCs w:val="18"/>
                <w:color w:val="auto"/>
              </w:rPr>
              <w:t>welfare benefits</w:t>
            </w:r>
          </w:p>
        </w:tc>
        <w:tc>
          <w:tcPr>
            <w:tcW w:w="2140" w:type="dxa"/>
            <w:vAlign w:val="bottom"/>
          </w:tcPr>
          <w:p>
            <w:pPr>
              <w:spacing w:after="0"/>
              <w:rPr>
                <w:sz w:val="18"/>
                <w:szCs w:val="18"/>
                <w:color w:val="auto"/>
              </w:rPr>
            </w:pPr>
          </w:p>
        </w:tc>
      </w:tr>
      <w:tr>
        <w:trPr>
          <w:trHeight w:val="215"/>
        </w:trPr>
        <w:tc>
          <w:tcPr>
            <w:tcW w:w="860" w:type="dxa"/>
            <w:vAlign w:val="bottom"/>
            <w:shd w:val="clear" w:color="auto" w:fill="E9EFEE"/>
          </w:tcPr>
          <w:p>
            <w:pPr>
              <w:ind w:left="20"/>
              <w:spacing w:after="0"/>
              <w:rPr>
                <w:sz w:val="20"/>
                <w:szCs w:val="20"/>
                <w:color w:val="auto"/>
              </w:rPr>
            </w:pPr>
            <w:r>
              <w:rPr>
                <w:rFonts w:ascii="Arial" w:cs="Arial" w:eastAsia="Arial" w:hAnsi="Arial"/>
                <w:sz w:val="18"/>
                <w:szCs w:val="18"/>
                <w:color w:val="auto"/>
              </w:rPr>
              <w:t>Fixed</w:t>
            </w:r>
          </w:p>
        </w:tc>
        <w:tc>
          <w:tcPr>
            <w:tcW w:w="2220" w:type="dxa"/>
            <w:vAlign w:val="bottom"/>
            <w:shd w:val="clear" w:color="auto" w:fill="E9EFEE"/>
          </w:tcPr>
          <w:p>
            <w:pPr>
              <w:ind w:left="220"/>
              <w:spacing w:after="0"/>
              <w:rPr>
                <w:sz w:val="20"/>
                <w:szCs w:val="20"/>
                <w:color w:val="auto"/>
              </w:rPr>
            </w:pPr>
            <w:r>
              <w:rPr>
                <w:rFonts w:ascii="Arial" w:cs="Arial" w:eastAsia="Arial" w:hAnsi="Arial"/>
                <w:sz w:val="18"/>
                <w:szCs w:val="18"/>
                <w:color w:val="auto"/>
              </w:rPr>
              <w:t>Perquisites - Flexible</w:t>
            </w:r>
          </w:p>
        </w:tc>
        <w:tc>
          <w:tcPr>
            <w:tcW w:w="2140" w:type="dxa"/>
            <w:vAlign w:val="bottom"/>
            <w:shd w:val="clear" w:color="auto" w:fill="E9EFEE"/>
          </w:tcPr>
          <w:p>
            <w:pPr>
              <w:ind w:left="120"/>
              <w:spacing w:after="0"/>
              <w:rPr>
                <w:sz w:val="20"/>
                <w:szCs w:val="20"/>
                <w:color w:val="auto"/>
              </w:rPr>
            </w:pPr>
            <w:r>
              <w:rPr>
                <w:rFonts w:ascii="Arial" w:cs="Arial" w:eastAsia="Arial" w:hAnsi="Arial"/>
                <w:sz w:val="18"/>
                <w:szCs w:val="18"/>
                <w:color w:val="auto"/>
              </w:rPr>
              <w:t>Quarterly fixed cash</w:t>
            </w:r>
          </w:p>
        </w:tc>
        <w:tc>
          <w:tcPr>
            <w:tcW w:w="2200" w:type="dxa"/>
            <w:vAlign w:val="bottom"/>
            <w:shd w:val="clear" w:color="auto" w:fill="E9EFEE"/>
          </w:tcPr>
          <w:p>
            <w:pPr>
              <w:ind w:left="100"/>
              <w:spacing w:after="0"/>
              <w:rPr>
                <w:sz w:val="20"/>
                <w:szCs w:val="20"/>
                <w:color w:val="auto"/>
              </w:rPr>
            </w:pPr>
            <w:r>
              <w:rPr>
                <w:rFonts w:ascii="Arial" w:cs="Arial" w:eastAsia="Arial" w:hAnsi="Arial"/>
                <w:sz w:val="18"/>
                <w:szCs w:val="18"/>
                <w:color w:val="auto"/>
              </w:rPr>
              <w:t>Indirect - executive must</w:t>
            </w:r>
          </w:p>
        </w:tc>
        <w:tc>
          <w:tcPr>
            <w:tcW w:w="2140" w:type="dxa"/>
            <w:vAlign w:val="bottom"/>
            <w:shd w:val="clear" w:color="auto" w:fill="E9EFEE"/>
          </w:tcPr>
          <w:p>
            <w:pPr>
              <w:ind w:left="20"/>
              <w:spacing w:after="0"/>
              <w:rPr>
                <w:sz w:val="20"/>
                <w:szCs w:val="20"/>
                <w:color w:val="auto"/>
              </w:rPr>
            </w:pPr>
            <w:r>
              <w:rPr>
                <w:rFonts w:ascii="Arial" w:cs="Arial" w:eastAsia="Arial" w:hAnsi="Arial"/>
                <w:sz w:val="18"/>
                <w:szCs w:val="18"/>
                <w:color w:val="auto"/>
              </w:rPr>
              <w:t>Attract and retain</w:t>
            </w:r>
          </w:p>
        </w:tc>
      </w:tr>
      <w:tr>
        <w:trPr>
          <w:trHeight w:val="203"/>
        </w:trPr>
        <w:tc>
          <w:tcPr>
            <w:tcW w:w="860" w:type="dxa"/>
            <w:vAlign w:val="bottom"/>
            <w:shd w:val="clear" w:color="auto" w:fill="E9EFEE"/>
          </w:tcPr>
          <w:p>
            <w:pPr>
              <w:spacing w:after="0"/>
              <w:rPr>
                <w:sz w:val="17"/>
                <w:szCs w:val="17"/>
                <w:color w:val="auto"/>
              </w:rPr>
            </w:pPr>
          </w:p>
        </w:tc>
        <w:tc>
          <w:tcPr>
            <w:tcW w:w="2220" w:type="dxa"/>
            <w:vAlign w:val="bottom"/>
            <w:shd w:val="clear" w:color="auto" w:fill="E9EFEE"/>
          </w:tcPr>
          <w:p>
            <w:pPr>
              <w:ind w:left="220"/>
              <w:spacing w:after="0" w:line="202" w:lineRule="exact"/>
              <w:rPr>
                <w:sz w:val="20"/>
                <w:szCs w:val="20"/>
                <w:color w:val="auto"/>
              </w:rPr>
            </w:pPr>
            <w:r>
              <w:rPr>
                <w:rFonts w:ascii="Arial" w:cs="Arial" w:eastAsia="Arial" w:hAnsi="Arial"/>
                <w:sz w:val="18"/>
                <w:szCs w:val="18"/>
                <w:color w:val="auto"/>
              </w:rPr>
              <w:t>Cash Allowance and</w:t>
            </w:r>
          </w:p>
        </w:tc>
        <w:tc>
          <w:tcPr>
            <w:tcW w:w="2140" w:type="dxa"/>
            <w:vAlign w:val="bottom"/>
            <w:shd w:val="clear" w:color="auto" w:fill="E9EFEE"/>
          </w:tcPr>
          <w:p>
            <w:pPr>
              <w:ind w:left="120"/>
              <w:spacing w:after="0" w:line="202" w:lineRule="exact"/>
              <w:rPr>
                <w:sz w:val="20"/>
                <w:szCs w:val="20"/>
                <w:color w:val="auto"/>
              </w:rPr>
            </w:pPr>
            <w:r>
              <w:rPr>
                <w:rFonts w:ascii="Arial" w:cs="Arial" w:eastAsia="Arial" w:hAnsi="Arial"/>
                <w:sz w:val="18"/>
                <w:szCs w:val="18"/>
                <w:color w:val="auto"/>
              </w:rPr>
              <w:t>payment and executive</w:t>
            </w:r>
          </w:p>
        </w:tc>
        <w:tc>
          <w:tcPr>
            <w:tcW w:w="2200" w:type="dxa"/>
            <w:vAlign w:val="bottom"/>
            <w:shd w:val="clear" w:color="auto" w:fill="E9EFEE"/>
          </w:tcPr>
          <w:p>
            <w:pPr>
              <w:ind w:left="100"/>
              <w:spacing w:after="0" w:line="202" w:lineRule="exact"/>
              <w:rPr>
                <w:sz w:val="20"/>
                <w:szCs w:val="20"/>
                <w:color w:val="auto"/>
              </w:rPr>
            </w:pPr>
            <w:r>
              <w:rPr>
                <w:rFonts w:ascii="Arial" w:cs="Arial" w:eastAsia="Arial" w:hAnsi="Arial"/>
                <w:sz w:val="18"/>
                <w:szCs w:val="18"/>
                <w:color w:val="auto"/>
              </w:rPr>
              <w:t>remain employed to be</w:t>
            </w:r>
          </w:p>
        </w:tc>
        <w:tc>
          <w:tcPr>
            <w:tcW w:w="2140" w:type="dxa"/>
            <w:vAlign w:val="bottom"/>
            <w:shd w:val="clear" w:color="auto" w:fill="E9EFEE"/>
          </w:tcPr>
          <w:p>
            <w:pPr>
              <w:spacing w:after="0"/>
              <w:rPr>
                <w:sz w:val="17"/>
                <w:szCs w:val="17"/>
                <w:color w:val="auto"/>
              </w:rPr>
            </w:pPr>
          </w:p>
        </w:tc>
      </w:tr>
      <w:tr>
        <w:trPr>
          <w:trHeight w:val="217"/>
        </w:trPr>
        <w:tc>
          <w:tcPr>
            <w:tcW w:w="860" w:type="dxa"/>
            <w:vAlign w:val="bottom"/>
            <w:tcBorders>
              <w:bottom w:val="single" w:sz="8" w:color="000562"/>
            </w:tcBorders>
            <w:shd w:val="clear" w:color="auto" w:fill="E9EFEE"/>
          </w:tcPr>
          <w:p>
            <w:pPr>
              <w:spacing w:after="0"/>
              <w:rPr>
                <w:sz w:val="18"/>
                <w:szCs w:val="18"/>
                <w:color w:val="auto"/>
              </w:rPr>
            </w:pPr>
          </w:p>
        </w:tc>
        <w:tc>
          <w:tcPr>
            <w:tcW w:w="2220" w:type="dxa"/>
            <w:vAlign w:val="bottom"/>
            <w:tcBorders>
              <w:bottom w:val="single" w:sz="8" w:color="000562"/>
            </w:tcBorders>
            <w:shd w:val="clear" w:color="auto" w:fill="E9EFEE"/>
          </w:tcPr>
          <w:p>
            <w:pPr>
              <w:ind w:left="220"/>
              <w:spacing w:after="0"/>
              <w:rPr>
                <w:sz w:val="20"/>
                <w:szCs w:val="20"/>
                <w:color w:val="auto"/>
              </w:rPr>
            </w:pPr>
            <w:r>
              <w:rPr>
                <w:rFonts w:ascii="Arial" w:cs="Arial" w:eastAsia="Arial" w:hAnsi="Arial"/>
                <w:sz w:val="18"/>
                <w:szCs w:val="18"/>
                <w:color w:val="auto"/>
              </w:rPr>
              <w:t>Executive Physicals</w:t>
            </w:r>
          </w:p>
        </w:tc>
        <w:tc>
          <w:tcPr>
            <w:tcW w:w="2140" w:type="dxa"/>
            <w:vAlign w:val="bottom"/>
            <w:tcBorders>
              <w:bottom w:val="single" w:sz="8" w:color="000562"/>
            </w:tcBorders>
            <w:shd w:val="clear" w:color="auto" w:fill="E9EFEE"/>
          </w:tcPr>
          <w:p>
            <w:pPr>
              <w:ind w:left="120"/>
              <w:spacing w:after="0"/>
              <w:rPr>
                <w:sz w:val="20"/>
                <w:szCs w:val="20"/>
                <w:color w:val="auto"/>
              </w:rPr>
            </w:pPr>
            <w:r>
              <w:rPr>
                <w:rFonts w:ascii="Arial" w:cs="Arial" w:eastAsia="Arial" w:hAnsi="Arial"/>
                <w:sz w:val="18"/>
                <w:szCs w:val="18"/>
                <w:color w:val="auto"/>
              </w:rPr>
              <w:t>physicals</w:t>
            </w:r>
          </w:p>
        </w:tc>
        <w:tc>
          <w:tcPr>
            <w:tcW w:w="2200" w:type="dxa"/>
            <w:vAlign w:val="bottom"/>
            <w:tcBorders>
              <w:bottom w:val="single" w:sz="8" w:color="000562"/>
            </w:tcBorders>
            <w:shd w:val="clear" w:color="auto" w:fill="E9EFEE"/>
          </w:tcPr>
          <w:p>
            <w:pPr>
              <w:ind w:left="100"/>
              <w:spacing w:after="0"/>
              <w:rPr>
                <w:sz w:val="20"/>
                <w:szCs w:val="20"/>
                <w:color w:val="auto"/>
              </w:rPr>
            </w:pPr>
            <w:r>
              <w:rPr>
                <w:rFonts w:ascii="Arial" w:cs="Arial" w:eastAsia="Arial" w:hAnsi="Arial"/>
                <w:sz w:val="18"/>
                <w:szCs w:val="18"/>
                <w:color w:val="auto"/>
              </w:rPr>
              <w:t>eligible</w:t>
            </w:r>
          </w:p>
        </w:tc>
        <w:tc>
          <w:tcPr>
            <w:tcW w:w="2140" w:type="dxa"/>
            <w:vAlign w:val="bottom"/>
            <w:tcBorders>
              <w:bottom w:val="single" w:sz="8" w:color="000562"/>
            </w:tcBorders>
            <w:shd w:val="clear" w:color="auto" w:fill="E9EFEE"/>
          </w:tcPr>
          <w:p>
            <w:pPr>
              <w:spacing w:after="0"/>
              <w:rPr>
                <w:sz w:val="18"/>
                <w:szCs w:val="18"/>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2"/>
        </w:rPr>
        <w:t>Role of the Compensation Committee</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Board-designed governance process expressly delegates to the Committee the responsibility to determine and approve Mr. Amato’s compensation, as well as to make all decisions regarding compensation for the other NEOs.</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Committee is composed entirely of independent directors, none of whom derives a personal benefit from the compensation decisions the Committee makes. Although the Committee does have responsibility for Board compensation matters, all such decisions are subject to full Board approval. The Board and Committee recognize the importance of executive compensation decisions to the management and shareholders of the Company.</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role of the Committee is to oversee compensation and benefit plans and policies, review and approve equity grants and administer share-based plans, and review and approve annually all compensation decisions relating to the Company’s directors (which decisions are subject to Board approval) and executive officers, including Mr. Amato and other NEOs. See “</w:t>
      </w:r>
      <w:r>
        <w:rPr>
          <w:rFonts w:ascii="Arial" w:cs="Arial" w:eastAsia="Arial" w:hAnsi="Arial"/>
          <w:sz w:val="18"/>
          <w:szCs w:val="18"/>
          <w:i w:val="1"/>
          <w:iCs w:val="1"/>
          <w:color w:val="auto"/>
        </w:rPr>
        <w:t>Summary of Key Compensation Decisions and Outcomes for 2018</w:t>
      </w:r>
      <w:r>
        <w:rPr>
          <w:rFonts w:ascii="Arial" w:cs="Arial" w:eastAsia="Arial" w:hAnsi="Arial"/>
          <w:sz w:val="18"/>
          <w:szCs w:val="18"/>
          <w:color w:val="auto"/>
        </w:rPr>
        <w:t>” for a summary of Committee decisions and outcomes during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2"/>
        </w:rPr>
        <w:t>Input from Management</w:t>
      </w:r>
    </w:p>
    <w:p>
      <w:pPr>
        <w:spacing w:after="0" w:line="12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Certain senior executives provide information used by the Committee in the compensation decision-making process. Specifically, Mr. Amato provides input to the Committee regarding corporate and division</w:t>
      </w:r>
    </w:p>
    <w:p>
      <w:pPr>
        <w:spacing w:after="0" w:line="178" w:lineRule="exact"/>
        <w:rPr>
          <w:sz w:val="20"/>
          <w:szCs w:val="20"/>
          <w:color w:val="auto"/>
        </w:rPr>
      </w:pPr>
    </w:p>
    <w:p>
      <w:pPr>
        <w:ind w:left="7140"/>
        <w:spacing w:after="0"/>
        <w:tabs>
          <w:tab w:leader="none" w:pos="9040" w:val="left"/>
          <w:tab w:leader="none" w:pos="9340" w:val="left"/>
        </w:tabs>
        <w:rPr>
          <w:sz w:val="20"/>
          <w:szCs w:val="20"/>
          <w:color w:val="auto"/>
        </w:rPr>
      </w:pPr>
      <w:r>
        <w:rPr>
          <w:rFonts w:ascii="Arial" w:cs="Arial" w:eastAsia="Arial" w:hAnsi="Arial"/>
          <w:sz w:val="18"/>
          <w:szCs w:val="18"/>
          <w:i w:val="1"/>
          <w:iCs w:val="1"/>
          <w:color w:val="auto"/>
        </w:rPr>
        <w:t>2019 Proxy Statement</w:t>
      </w:r>
      <w:r>
        <w:rPr>
          <w:sz w:val="20"/>
          <w:szCs w:val="20"/>
          <w:color w:val="auto"/>
        </w:rPr>
        <w:tab/>
      </w:r>
      <w:r>
        <w:rPr>
          <w:rFonts w:ascii="Arial" w:cs="Arial" w:eastAsia="Arial" w:hAnsi="Arial"/>
          <w:sz w:val="22"/>
          <w:szCs w:val="22"/>
          <w:b w:val="1"/>
          <w:bCs w:val="1"/>
          <w:color w:val="000562"/>
        </w:rPr>
        <w:t>I</w:t>
      </w:r>
      <w:r>
        <w:rPr>
          <w:sz w:val="20"/>
          <w:szCs w:val="20"/>
          <w:color w:val="auto"/>
        </w:rPr>
        <w:tab/>
      </w:r>
      <w:r>
        <w:rPr>
          <w:rFonts w:ascii="Arial" w:cs="Arial" w:eastAsia="Arial" w:hAnsi="Arial"/>
          <w:sz w:val="17"/>
          <w:szCs w:val="17"/>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07187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000562"/>
        </w:rPr>
        <w:t>TriMas Corporation</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performance goals and results. He also reviews with the Committee the performance of the executive officers who report directly to him and makes recommendations to the Committee regarding their compensation. For 2018, Mr. Zalupski also provided input and analysis regarding financial and operating results.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Committee carefully considers management’s input, but is not bound by their recommendations in making its final pay program decisions.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2"/>
        </w:rPr>
        <w:t>Independent Compensation Committee Consultant</w:t>
      </w:r>
    </w:p>
    <w:p>
      <w:pPr>
        <w:spacing w:after="0" w:line="12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Meridian Compensation Partners, LLC (“Meridian”), as the Committee’s external executive compensation consulting firm, is retained by and reports directly to the Committee.</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use of an outside consultant is an important component of our compensation setting process, as it enables the Committee to make informed decisions based on market data and best practices. Representatives from Meridian attend Committee meetings, meet with Committee members in executive session and consult with the Committee to provide input with regard to CEO compensation based on the Committee’s assessment of performance.</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Meridian has no affiliations with any of the NEOs or members of the Board other than in its role as an outside consultant. The Committee has been advised that Meridian has in place policies and procedures designed to prevent conflicts of interest and after applying such policies and procedures, determined that no conflict of interest existed in performing consulting services for the Company. Meridian does not provide any other services to the Company. All work performed by Meridian, whether with the Committee directly or with management at the direction of the Committee, requires pre-approval by the chair of the Committee. The Committee has assessed the independence of Meridian, as required under Nasdaq listing rules.</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2018, Meridian provided quarterly updates regarding RTSR performance (relative to the S&amp;P SmallCap 600 Capped Industrials Index), provided input on our proxy statement and CD&amp;A, provided an analysis of the historical performance of our peers, reviewed the design of incentives and other programs in place at our peers and provided input on topics to be included in the Committee’s annual calendar.</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Meridian also worked with the Committee to determine market competitive CEO and other NEO compensation opportunities based on information gleaned from SEC filings of similarly-sized peer companies. Using this information, Meridian assisted the Committee in modeling potential pay programs for the NEOs for the Committee’s consideration.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2"/>
        </w:rPr>
        <w:t>The Role of Compensation Benchmarking Peer Group Assessment and Use of Survey Data</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Committee annually reviews a comparative peer group to ensure it remains reasonable for use for both pay level and pay design benchmarking purposes. The Committee takes into account changes in the size, scope, financial performance, ownership structure and business focus of the Company and the peer companies. The peer group is comprised of companies in the same or similar Global Industry Classification Standard categories as the Company (Industrial Machinery) that are roughly comparable to the Company in revenue. The yearly review and selection of peer companies is intended to help ensure that the data used for benchmarking executive compensation remains robust and flexible, so as to provide relevant, meaningful data as the Company and its market counterparts continue to grow and change.</w:t>
      </w:r>
    </w:p>
    <w:p>
      <w:pPr>
        <w:spacing w:after="0" w:line="9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its annual review of the appropriateness of our peer group, the Committee determined no changes were necessary for 2018. The peer group’s 2017 year-end revenue generally ranged from 65% to 300% of the Company’s 2017 year-end revenue.</w:t>
      </w:r>
    </w:p>
    <w:p>
      <w:pPr>
        <w:spacing w:after="0" w:line="184" w:lineRule="exact"/>
        <w:rPr>
          <w:sz w:val="20"/>
          <w:szCs w:val="20"/>
          <w:color w:val="auto"/>
        </w:rPr>
      </w:pPr>
    </w:p>
    <w:p>
      <w:pPr>
        <w:ind w:left="360" w:hanging="349"/>
        <w:spacing w:after="0"/>
        <w:tabs>
          <w:tab w:leader="none" w:pos="360" w:val="left"/>
        </w:tabs>
        <w:numPr>
          <w:ilvl w:val="0"/>
          <w:numId w:val="39"/>
        </w:numPr>
        <w:rPr>
          <w:rFonts w:ascii="Arial" w:cs="Arial" w:eastAsia="Arial" w:hAnsi="Arial"/>
          <w:sz w:val="18"/>
          <w:szCs w:val="18"/>
          <w:b w:val="1"/>
          <w:bCs w:val="1"/>
          <w:color w:val="auto"/>
        </w:rPr>
      </w:pPr>
      <w:r>
        <w:rPr>
          <w:rFonts w:ascii="Arial" w:cs="Arial" w:eastAsia="Arial" w:hAnsi="Arial"/>
          <w:sz w:val="22"/>
          <w:szCs w:val="22"/>
          <w:b w:val="1"/>
          <w:bCs w:val="1"/>
          <w:color w:val="000562"/>
        </w:rPr>
        <w:t xml:space="preserve">I </w:t>
      </w:r>
      <w:r>
        <w:rPr>
          <w:rFonts w:ascii="Arial" w:cs="Arial" w:eastAsia="Arial" w:hAnsi="Arial"/>
          <w:sz w:val="18"/>
          <w:szCs w:val="18"/>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071870" cy="43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060"/>
        <w:spacing w:after="0"/>
        <w:rPr>
          <w:sz w:val="20"/>
          <w:szCs w:val="20"/>
          <w:color w:val="auto"/>
        </w:rPr>
      </w:pPr>
      <w:r>
        <w:rPr>
          <w:rFonts w:ascii="Arial" w:cs="Arial" w:eastAsia="Arial" w:hAnsi="Arial"/>
          <w:sz w:val="19"/>
          <w:szCs w:val="19"/>
          <w:b w:val="1"/>
          <w:bCs w:val="1"/>
          <w:color w:val="000562"/>
        </w:rPr>
        <w:t>EXECUTIVE COMPENSATION — COMPENSATION DISCUSSION AND ANALYSIS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the 17 companies in our peer group for 2018:</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80" w:type="dxa"/>
            <w:vAlign w:val="bottom"/>
          </w:tcPr>
          <w:p>
            <w:pPr>
              <w:spacing w:after="0"/>
              <w:rPr>
                <w:sz w:val="20"/>
                <w:szCs w:val="20"/>
                <w:color w:val="auto"/>
              </w:rPr>
            </w:pPr>
          </w:p>
        </w:tc>
        <w:tc>
          <w:tcPr>
            <w:tcW w:w="6180" w:type="dxa"/>
            <w:vAlign w:val="bottom"/>
          </w:tcPr>
          <w:p>
            <w:pPr>
              <w:ind w:left="560"/>
              <w:spacing w:after="0"/>
              <w:rPr>
                <w:sz w:val="20"/>
                <w:szCs w:val="20"/>
                <w:color w:val="auto"/>
              </w:rPr>
            </w:pPr>
            <w:r>
              <w:rPr>
                <w:rFonts w:ascii="Arial" w:cs="Arial" w:eastAsia="Arial" w:hAnsi="Arial"/>
                <w:sz w:val="18"/>
                <w:szCs w:val="18"/>
                <w:b w:val="1"/>
                <w:bCs w:val="1"/>
                <w:color w:val="auto"/>
              </w:rPr>
              <w:t>2018 PEER GROUP</w:t>
            </w:r>
          </w:p>
        </w:tc>
      </w:tr>
      <w:tr>
        <w:trPr>
          <w:trHeight w:val="41"/>
        </w:trPr>
        <w:tc>
          <w:tcPr>
            <w:tcW w:w="3380" w:type="dxa"/>
            <w:vAlign w:val="bottom"/>
          </w:tcPr>
          <w:p>
            <w:pPr>
              <w:spacing w:after="0"/>
              <w:rPr>
                <w:sz w:val="3"/>
                <w:szCs w:val="3"/>
                <w:color w:val="auto"/>
              </w:rPr>
            </w:pPr>
          </w:p>
        </w:tc>
        <w:tc>
          <w:tcPr>
            <w:tcW w:w="6180" w:type="dxa"/>
            <w:vAlign w:val="bottom"/>
          </w:tcPr>
          <w:p>
            <w:pPr>
              <w:spacing w:after="0"/>
              <w:rPr>
                <w:sz w:val="3"/>
                <w:szCs w:val="3"/>
                <w:color w:val="auto"/>
              </w:rPr>
            </w:pPr>
          </w:p>
        </w:tc>
      </w:tr>
      <w:tr>
        <w:trPr>
          <w:trHeight w:val="230"/>
        </w:trPr>
        <w:tc>
          <w:tcPr>
            <w:tcW w:w="3380" w:type="dxa"/>
            <w:vAlign w:val="bottom"/>
            <w:shd w:val="clear" w:color="auto" w:fill="E9EFEE"/>
          </w:tcPr>
          <w:p>
            <w:pPr>
              <w:ind w:left="100"/>
              <w:spacing w:after="0"/>
              <w:rPr>
                <w:sz w:val="20"/>
                <w:szCs w:val="20"/>
                <w:color w:val="auto"/>
              </w:rPr>
            </w:pPr>
            <w:r>
              <w:rPr>
                <w:rFonts w:ascii="Arial" w:cs="Arial" w:eastAsia="Arial" w:hAnsi="Arial"/>
                <w:sz w:val="18"/>
                <w:szCs w:val="18"/>
                <w:color w:val="auto"/>
              </w:rPr>
              <w:t>Actuant Corporation</w:t>
            </w:r>
          </w:p>
        </w:tc>
        <w:tc>
          <w:tcPr>
            <w:tcW w:w="6180" w:type="dxa"/>
            <w:vAlign w:val="bottom"/>
            <w:shd w:val="clear" w:color="auto" w:fill="E9EFEE"/>
          </w:tcPr>
          <w:p>
            <w:pPr>
              <w:ind w:left="1460"/>
              <w:spacing w:after="0"/>
              <w:rPr>
                <w:sz w:val="20"/>
                <w:szCs w:val="20"/>
                <w:color w:val="auto"/>
              </w:rPr>
            </w:pPr>
            <w:r>
              <w:rPr>
                <w:rFonts w:ascii="Arial" w:cs="Arial" w:eastAsia="Arial" w:hAnsi="Arial"/>
                <w:sz w:val="18"/>
                <w:szCs w:val="18"/>
                <w:color w:val="auto"/>
              </w:rPr>
              <w:t>Graco Inc.</w:t>
            </w:r>
          </w:p>
        </w:tc>
      </w:tr>
      <w:tr>
        <w:trPr>
          <w:trHeight w:val="257"/>
        </w:trPr>
        <w:tc>
          <w:tcPr>
            <w:tcW w:w="3380" w:type="dxa"/>
            <w:vAlign w:val="bottom"/>
            <w:shd w:val="clear" w:color="auto" w:fill="E9EFEE"/>
          </w:tcPr>
          <w:p>
            <w:pPr>
              <w:ind w:left="100"/>
              <w:spacing w:after="0"/>
              <w:rPr>
                <w:sz w:val="20"/>
                <w:szCs w:val="20"/>
                <w:color w:val="auto"/>
              </w:rPr>
            </w:pPr>
            <w:r>
              <w:rPr>
                <w:rFonts w:ascii="Arial" w:cs="Arial" w:eastAsia="Arial" w:hAnsi="Arial"/>
                <w:sz w:val="18"/>
                <w:szCs w:val="18"/>
                <w:color w:val="auto"/>
              </w:rPr>
              <w:t>Aerojet Rocketdyne Holdings, Inc.</w:t>
            </w:r>
          </w:p>
        </w:tc>
        <w:tc>
          <w:tcPr>
            <w:tcW w:w="6180" w:type="dxa"/>
            <w:vAlign w:val="bottom"/>
            <w:shd w:val="clear" w:color="auto" w:fill="E9EFEE"/>
          </w:tcPr>
          <w:p>
            <w:pPr>
              <w:ind w:left="1460"/>
              <w:spacing w:after="0"/>
              <w:rPr>
                <w:sz w:val="20"/>
                <w:szCs w:val="20"/>
                <w:color w:val="auto"/>
              </w:rPr>
            </w:pPr>
            <w:r>
              <w:rPr>
                <w:rFonts w:ascii="Arial" w:cs="Arial" w:eastAsia="Arial" w:hAnsi="Arial"/>
                <w:sz w:val="18"/>
                <w:szCs w:val="18"/>
                <w:color w:val="auto"/>
              </w:rPr>
              <w:t>IDEX Corporation</w:t>
            </w:r>
          </w:p>
        </w:tc>
      </w:tr>
      <w:tr>
        <w:trPr>
          <w:trHeight w:val="257"/>
        </w:trPr>
        <w:tc>
          <w:tcPr>
            <w:tcW w:w="3380" w:type="dxa"/>
            <w:vAlign w:val="bottom"/>
            <w:shd w:val="clear" w:color="auto" w:fill="E9EFEE"/>
          </w:tcPr>
          <w:p>
            <w:pPr>
              <w:ind w:left="100"/>
              <w:spacing w:after="0"/>
              <w:rPr>
                <w:sz w:val="20"/>
                <w:szCs w:val="20"/>
                <w:color w:val="auto"/>
              </w:rPr>
            </w:pPr>
            <w:r>
              <w:rPr>
                <w:rFonts w:ascii="Arial" w:cs="Arial" w:eastAsia="Arial" w:hAnsi="Arial"/>
                <w:sz w:val="18"/>
                <w:szCs w:val="18"/>
                <w:color w:val="auto"/>
              </w:rPr>
              <w:t>Aptar Group Inc.</w:t>
            </w:r>
          </w:p>
        </w:tc>
        <w:tc>
          <w:tcPr>
            <w:tcW w:w="6180" w:type="dxa"/>
            <w:vAlign w:val="bottom"/>
            <w:shd w:val="clear" w:color="auto" w:fill="E9EFEE"/>
          </w:tcPr>
          <w:p>
            <w:pPr>
              <w:ind w:left="1460"/>
              <w:spacing w:after="0"/>
              <w:rPr>
                <w:sz w:val="20"/>
                <w:szCs w:val="20"/>
                <w:color w:val="auto"/>
              </w:rPr>
            </w:pPr>
            <w:r>
              <w:rPr>
                <w:rFonts w:ascii="Arial" w:cs="Arial" w:eastAsia="Arial" w:hAnsi="Arial"/>
                <w:sz w:val="18"/>
                <w:szCs w:val="18"/>
                <w:color w:val="auto"/>
              </w:rPr>
              <w:t>Myers Industries, Inc.</w:t>
            </w:r>
          </w:p>
        </w:tc>
      </w:tr>
      <w:tr>
        <w:trPr>
          <w:trHeight w:val="257"/>
        </w:trPr>
        <w:tc>
          <w:tcPr>
            <w:tcW w:w="3380" w:type="dxa"/>
            <w:vAlign w:val="bottom"/>
            <w:shd w:val="clear" w:color="auto" w:fill="E9EFEE"/>
          </w:tcPr>
          <w:p>
            <w:pPr>
              <w:ind w:left="100"/>
              <w:spacing w:after="0"/>
              <w:rPr>
                <w:sz w:val="20"/>
                <w:szCs w:val="20"/>
                <w:color w:val="auto"/>
              </w:rPr>
            </w:pPr>
            <w:r>
              <w:rPr>
                <w:rFonts w:ascii="Arial" w:cs="Arial" w:eastAsia="Arial" w:hAnsi="Arial"/>
                <w:sz w:val="18"/>
                <w:szCs w:val="18"/>
                <w:color w:val="auto"/>
              </w:rPr>
              <w:t>Barnes Group Inc.</w:t>
            </w:r>
          </w:p>
        </w:tc>
        <w:tc>
          <w:tcPr>
            <w:tcW w:w="6180" w:type="dxa"/>
            <w:vAlign w:val="bottom"/>
            <w:shd w:val="clear" w:color="auto" w:fill="E9EFEE"/>
          </w:tcPr>
          <w:p>
            <w:pPr>
              <w:ind w:left="1460"/>
              <w:spacing w:after="0"/>
              <w:rPr>
                <w:sz w:val="20"/>
                <w:szCs w:val="20"/>
                <w:color w:val="auto"/>
              </w:rPr>
            </w:pPr>
            <w:r>
              <w:rPr>
                <w:rFonts w:ascii="Arial" w:cs="Arial" w:eastAsia="Arial" w:hAnsi="Arial"/>
                <w:sz w:val="18"/>
                <w:szCs w:val="18"/>
                <w:color w:val="auto"/>
              </w:rPr>
              <w:t>Nordson Corporation</w:t>
            </w:r>
          </w:p>
        </w:tc>
      </w:tr>
      <w:tr>
        <w:trPr>
          <w:trHeight w:val="257"/>
        </w:trPr>
        <w:tc>
          <w:tcPr>
            <w:tcW w:w="3380" w:type="dxa"/>
            <w:vAlign w:val="bottom"/>
            <w:shd w:val="clear" w:color="auto" w:fill="E9EFEE"/>
          </w:tcPr>
          <w:p>
            <w:pPr>
              <w:ind w:left="100"/>
              <w:spacing w:after="0"/>
              <w:rPr>
                <w:sz w:val="20"/>
                <w:szCs w:val="20"/>
                <w:color w:val="auto"/>
              </w:rPr>
            </w:pPr>
            <w:r>
              <w:rPr>
                <w:rFonts w:ascii="Arial" w:cs="Arial" w:eastAsia="Arial" w:hAnsi="Arial"/>
                <w:sz w:val="18"/>
                <w:szCs w:val="18"/>
                <w:color w:val="auto"/>
              </w:rPr>
              <w:t>Chart Industries, Inc.</w:t>
            </w:r>
          </w:p>
        </w:tc>
        <w:tc>
          <w:tcPr>
            <w:tcW w:w="6180" w:type="dxa"/>
            <w:vAlign w:val="bottom"/>
            <w:shd w:val="clear" w:color="auto" w:fill="E9EFEE"/>
          </w:tcPr>
          <w:p>
            <w:pPr>
              <w:ind w:left="1460"/>
              <w:spacing w:after="0"/>
              <w:rPr>
                <w:sz w:val="20"/>
                <w:szCs w:val="20"/>
                <w:color w:val="auto"/>
              </w:rPr>
            </w:pPr>
            <w:r>
              <w:rPr>
                <w:rFonts w:ascii="Arial" w:cs="Arial" w:eastAsia="Arial" w:hAnsi="Arial"/>
                <w:sz w:val="18"/>
                <w:szCs w:val="18"/>
                <w:color w:val="auto"/>
              </w:rPr>
              <w:t>RBC Bearings Incorporated</w:t>
            </w:r>
          </w:p>
        </w:tc>
      </w:tr>
      <w:tr>
        <w:trPr>
          <w:trHeight w:val="257"/>
        </w:trPr>
        <w:tc>
          <w:tcPr>
            <w:tcW w:w="3380" w:type="dxa"/>
            <w:vAlign w:val="bottom"/>
            <w:shd w:val="clear" w:color="auto" w:fill="E9EFEE"/>
          </w:tcPr>
          <w:p>
            <w:pPr>
              <w:ind w:left="100"/>
              <w:spacing w:after="0"/>
              <w:rPr>
                <w:sz w:val="20"/>
                <w:szCs w:val="20"/>
                <w:color w:val="auto"/>
              </w:rPr>
            </w:pPr>
            <w:r>
              <w:rPr>
                <w:rFonts w:ascii="Arial" w:cs="Arial" w:eastAsia="Arial" w:hAnsi="Arial"/>
                <w:sz w:val="18"/>
                <w:szCs w:val="18"/>
                <w:color w:val="auto"/>
              </w:rPr>
              <w:t>CIRCOR International, Inc.</w:t>
            </w:r>
          </w:p>
        </w:tc>
        <w:tc>
          <w:tcPr>
            <w:tcW w:w="6180" w:type="dxa"/>
            <w:vAlign w:val="bottom"/>
            <w:shd w:val="clear" w:color="auto" w:fill="E9EFEE"/>
          </w:tcPr>
          <w:p>
            <w:pPr>
              <w:ind w:left="1460"/>
              <w:spacing w:after="0"/>
              <w:rPr>
                <w:sz w:val="20"/>
                <w:szCs w:val="20"/>
                <w:color w:val="auto"/>
              </w:rPr>
            </w:pPr>
            <w:r>
              <w:rPr>
                <w:rFonts w:ascii="Arial" w:cs="Arial" w:eastAsia="Arial" w:hAnsi="Arial"/>
                <w:sz w:val="18"/>
                <w:szCs w:val="18"/>
                <w:color w:val="auto"/>
              </w:rPr>
              <w:t>SPX Flow, Inc.</w:t>
            </w:r>
          </w:p>
        </w:tc>
      </w:tr>
      <w:tr>
        <w:trPr>
          <w:trHeight w:val="257"/>
        </w:trPr>
        <w:tc>
          <w:tcPr>
            <w:tcW w:w="3380" w:type="dxa"/>
            <w:vAlign w:val="bottom"/>
            <w:shd w:val="clear" w:color="auto" w:fill="E9EFEE"/>
          </w:tcPr>
          <w:p>
            <w:pPr>
              <w:ind w:left="100"/>
              <w:spacing w:after="0"/>
              <w:rPr>
                <w:sz w:val="20"/>
                <w:szCs w:val="20"/>
                <w:color w:val="auto"/>
              </w:rPr>
            </w:pPr>
            <w:r>
              <w:rPr>
                <w:rFonts w:ascii="Arial" w:cs="Arial" w:eastAsia="Arial" w:hAnsi="Arial"/>
                <w:sz w:val="18"/>
                <w:szCs w:val="18"/>
                <w:color w:val="auto"/>
              </w:rPr>
              <w:t>Donaldson Company, Inc.</w:t>
            </w:r>
          </w:p>
        </w:tc>
        <w:tc>
          <w:tcPr>
            <w:tcW w:w="6180" w:type="dxa"/>
            <w:vAlign w:val="bottom"/>
            <w:shd w:val="clear" w:color="auto" w:fill="E9EFEE"/>
          </w:tcPr>
          <w:p>
            <w:pPr>
              <w:ind w:left="1460"/>
              <w:spacing w:after="0"/>
              <w:rPr>
                <w:sz w:val="20"/>
                <w:szCs w:val="20"/>
                <w:color w:val="auto"/>
              </w:rPr>
            </w:pPr>
            <w:r>
              <w:rPr>
                <w:rFonts w:ascii="Arial" w:cs="Arial" w:eastAsia="Arial" w:hAnsi="Arial"/>
                <w:sz w:val="18"/>
                <w:szCs w:val="18"/>
                <w:color w:val="auto"/>
              </w:rPr>
              <w:t>Standex International Corporation</w:t>
            </w:r>
          </w:p>
        </w:tc>
      </w:tr>
      <w:tr>
        <w:trPr>
          <w:trHeight w:val="257"/>
        </w:trPr>
        <w:tc>
          <w:tcPr>
            <w:tcW w:w="3380" w:type="dxa"/>
            <w:vAlign w:val="bottom"/>
            <w:shd w:val="clear" w:color="auto" w:fill="E9EFEE"/>
          </w:tcPr>
          <w:p>
            <w:pPr>
              <w:ind w:left="100"/>
              <w:spacing w:after="0"/>
              <w:rPr>
                <w:sz w:val="20"/>
                <w:szCs w:val="20"/>
                <w:color w:val="auto"/>
              </w:rPr>
            </w:pPr>
            <w:r>
              <w:rPr>
                <w:rFonts w:ascii="Arial" w:cs="Arial" w:eastAsia="Arial" w:hAnsi="Arial"/>
                <w:sz w:val="18"/>
                <w:szCs w:val="18"/>
                <w:color w:val="auto"/>
              </w:rPr>
              <w:t>Ducommun Incorporated</w:t>
            </w:r>
          </w:p>
        </w:tc>
        <w:tc>
          <w:tcPr>
            <w:tcW w:w="6180" w:type="dxa"/>
            <w:vAlign w:val="bottom"/>
            <w:shd w:val="clear" w:color="auto" w:fill="E9EFEE"/>
          </w:tcPr>
          <w:p>
            <w:pPr>
              <w:ind w:left="1460"/>
              <w:spacing w:after="0"/>
              <w:rPr>
                <w:sz w:val="20"/>
                <w:szCs w:val="20"/>
                <w:color w:val="auto"/>
              </w:rPr>
            </w:pPr>
            <w:r>
              <w:rPr>
                <w:rFonts w:ascii="Arial" w:cs="Arial" w:eastAsia="Arial" w:hAnsi="Arial"/>
                <w:sz w:val="18"/>
                <w:szCs w:val="18"/>
                <w:color w:val="auto"/>
              </w:rPr>
              <w:t>Woodward, Inc.</w:t>
            </w:r>
          </w:p>
        </w:tc>
      </w:tr>
      <w:tr>
        <w:trPr>
          <w:trHeight w:val="257"/>
        </w:trPr>
        <w:tc>
          <w:tcPr>
            <w:tcW w:w="3380" w:type="dxa"/>
            <w:vAlign w:val="bottom"/>
            <w:shd w:val="clear" w:color="auto" w:fill="E9EFEE"/>
          </w:tcPr>
          <w:p>
            <w:pPr>
              <w:ind w:left="100"/>
              <w:spacing w:after="0"/>
              <w:rPr>
                <w:sz w:val="20"/>
                <w:szCs w:val="20"/>
                <w:color w:val="auto"/>
              </w:rPr>
            </w:pPr>
            <w:r>
              <w:rPr>
                <w:rFonts w:ascii="Arial" w:cs="Arial" w:eastAsia="Arial" w:hAnsi="Arial"/>
                <w:sz w:val="18"/>
                <w:szCs w:val="18"/>
                <w:color w:val="auto"/>
              </w:rPr>
              <w:t>EnPro Industries, Inc.</w:t>
            </w:r>
          </w:p>
        </w:tc>
        <w:tc>
          <w:tcPr>
            <w:tcW w:w="6180" w:type="dxa"/>
            <w:vAlign w:val="bottom"/>
            <w:shd w:val="clear" w:color="auto" w:fill="E9EFEE"/>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-1448435</wp:posOffset>
            </wp:positionV>
            <wp:extent cx="6071870" cy="14490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71870" cy="144907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2"/>
        </w:rPr>
        <w:t>Analysis of Key 2018 Compensation Components and Decisions</w:t>
      </w:r>
    </w:p>
    <w:p>
      <w:pPr>
        <w:spacing w:after="0" w:line="1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Committee made compensation decisions for 2018 using competitive market data provided by Meridian, benchmarking each of our NEOs’ base salary, STI and LTI against the market data. For this analysis, we consider target compensation that is within plus or minus 10% of the market median for each element of compensation as approximating the median (“Market Range”). Mr. Amato’s target total compensation was 18% below the market median, with his base salary, target STI and LTI 19%, 22% and 14%, respectively, below the market median. Mr. Zalupski’s target total compensation, base salary, STI and LTI were within the Market Range. Mr. Sherbin’s target total compensation was 46% above the market median, with his base salary, target STI and LTI 19%, 34% and 48%, respectively, above the market median. These compensation levels established relative to market median (including when exceeding the Market Range) generally reflect the Committee’s views on general business conditions, each NEO’s tenure in his role and the importance of placing higher value on performance-based compensation.</w:t>
      </w:r>
    </w:p>
    <w:p>
      <w:pPr>
        <w:spacing w:after="0" w:line="10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Description of the material elements of our 2018 executive compensation program are provided in the following paragraphs.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2"/>
        </w:rPr>
        <w:t>2018 Base Salary</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Base salaries for our NEOs are generally established based on the scope of their responsibilities, prior relevant experience and skills, and competitive market pay levels. The Committee believes that executive base salaries should generally be competitive with the size-adjusted median salaries for executives in comparable positions at the peer companies. We believe that providing competitive salaries is key to our ability to successfully attract and retain talented executives.</w:t>
      </w:r>
    </w:p>
    <w:p>
      <w:pPr>
        <w:spacing w:after="0" w:line="9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Each year, the Committee considers whether to grant merit increases and/or market-based adjustments to the Company’s NEOs. In doing so, it considers several factors such as individual responsibilities, Company and individual performance, experience and alignment with market levels.</w:t>
      </w:r>
    </w:p>
    <w:p>
      <w:pPr>
        <w:spacing w:after="0" w:line="9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Based on the foregoing considerations, the Committee determined certain base pay adjustments were necessary during 2018 and approved the following 2018 salaries for our NEOs: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3640" w:type="dxa"/>
            <w:vAlign w:val="bottom"/>
          </w:tcPr>
          <w:p>
            <w:pPr>
              <w:jc w:val="right"/>
              <w:ind w:right="137"/>
              <w:spacing w:after="0"/>
              <w:rPr>
                <w:sz w:val="20"/>
                <w:szCs w:val="20"/>
                <w:color w:val="auto"/>
              </w:rPr>
            </w:pPr>
            <w:r>
              <w:rPr>
                <w:rFonts w:ascii="Arial" w:cs="Arial" w:eastAsia="Arial" w:hAnsi="Arial"/>
                <w:sz w:val="14"/>
                <w:szCs w:val="14"/>
                <w:b w:val="1"/>
                <w:bCs w:val="1"/>
                <w:color w:val="000562"/>
              </w:rPr>
              <w:t>Base Salary Rate as of</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000562"/>
              </w:rPr>
              <w:t>Base Salary Rate as of</w:t>
            </w:r>
          </w:p>
        </w:tc>
        <w:tc>
          <w:tcPr>
            <w:tcW w:w="1080" w:type="dxa"/>
            <w:vAlign w:val="bottom"/>
          </w:tcPr>
          <w:p>
            <w:pPr>
              <w:spacing w:after="0"/>
              <w:rPr>
                <w:sz w:val="14"/>
                <w:szCs w:val="14"/>
                <w:color w:val="auto"/>
              </w:rPr>
            </w:pPr>
          </w:p>
        </w:tc>
      </w:tr>
      <w:tr>
        <w:trPr>
          <w:trHeight w:val="189"/>
        </w:trPr>
        <w:tc>
          <w:tcPr>
            <w:tcW w:w="2860" w:type="dxa"/>
            <w:vAlign w:val="bottom"/>
            <w:tcBorders>
              <w:bottom w:val="single" w:sz="8" w:color="000562"/>
            </w:tcBorders>
          </w:tcPr>
          <w:p>
            <w:pPr>
              <w:ind w:left="20"/>
              <w:spacing w:after="0"/>
              <w:rPr>
                <w:sz w:val="20"/>
                <w:szCs w:val="20"/>
                <w:color w:val="auto"/>
              </w:rPr>
            </w:pPr>
            <w:r>
              <w:rPr>
                <w:rFonts w:ascii="Arial" w:cs="Arial" w:eastAsia="Arial" w:hAnsi="Arial"/>
                <w:sz w:val="14"/>
                <w:szCs w:val="14"/>
                <w:b w:val="1"/>
                <w:bCs w:val="1"/>
                <w:color w:val="000562"/>
              </w:rPr>
              <w:t>NEO</w:t>
            </w:r>
          </w:p>
        </w:tc>
        <w:tc>
          <w:tcPr>
            <w:tcW w:w="3640" w:type="dxa"/>
            <w:vAlign w:val="bottom"/>
            <w:tcBorders>
              <w:bottom w:val="single" w:sz="8" w:color="000562"/>
            </w:tcBorders>
          </w:tcPr>
          <w:p>
            <w:pPr>
              <w:jc w:val="right"/>
              <w:ind w:right="377"/>
              <w:spacing w:after="0"/>
              <w:rPr>
                <w:sz w:val="20"/>
                <w:szCs w:val="20"/>
                <w:color w:val="auto"/>
              </w:rPr>
            </w:pPr>
            <w:r>
              <w:rPr>
                <w:rFonts w:ascii="Arial" w:cs="Arial" w:eastAsia="Arial" w:hAnsi="Arial"/>
                <w:sz w:val="14"/>
                <w:szCs w:val="14"/>
                <w:b w:val="1"/>
                <w:bCs w:val="1"/>
                <w:color w:val="000562"/>
              </w:rPr>
              <w:t>January 1, 2018</w:t>
            </w:r>
          </w:p>
        </w:tc>
        <w:tc>
          <w:tcPr>
            <w:tcW w:w="1980" w:type="dxa"/>
            <w:vAlign w:val="bottom"/>
            <w:tcBorders>
              <w:bottom w:val="single" w:sz="8" w:color="000562"/>
            </w:tcBorders>
          </w:tcPr>
          <w:p>
            <w:pPr>
              <w:jc w:val="center"/>
              <w:spacing w:after="0"/>
              <w:rPr>
                <w:sz w:val="20"/>
                <w:szCs w:val="20"/>
                <w:color w:val="auto"/>
              </w:rPr>
            </w:pPr>
            <w:r>
              <w:rPr>
                <w:rFonts w:ascii="Arial" w:cs="Arial" w:eastAsia="Arial" w:hAnsi="Arial"/>
                <w:sz w:val="14"/>
                <w:szCs w:val="14"/>
                <w:b w:val="1"/>
                <w:bCs w:val="1"/>
                <w:color w:val="000562"/>
              </w:rPr>
              <w:t>June 25, 2018</w:t>
            </w:r>
          </w:p>
        </w:tc>
        <w:tc>
          <w:tcPr>
            <w:tcW w:w="1080" w:type="dxa"/>
            <w:vAlign w:val="bottom"/>
            <w:tcBorders>
              <w:bottom w:val="single" w:sz="8" w:color="000562"/>
            </w:tcBorders>
          </w:tcPr>
          <w:p>
            <w:pPr>
              <w:ind w:left="200"/>
              <w:spacing w:after="0"/>
              <w:rPr>
                <w:sz w:val="20"/>
                <w:szCs w:val="20"/>
                <w:color w:val="auto"/>
              </w:rPr>
            </w:pPr>
            <w:r>
              <w:rPr>
                <w:rFonts w:ascii="Arial" w:cs="Arial" w:eastAsia="Arial" w:hAnsi="Arial"/>
                <w:sz w:val="14"/>
                <w:szCs w:val="14"/>
                <w:b w:val="1"/>
                <w:bCs w:val="1"/>
                <w:color w:val="000562"/>
              </w:rPr>
              <w:t>% Increase</w:t>
            </w:r>
          </w:p>
        </w:tc>
      </w:tr>
      <w:tr>
        <w:trPr>
          <w:trHeight w:val="223"/>
        </w:trPr>
        <w:tc>
          <w:tcPr>
            <w:tcW w:w="2860" w:type="dxa"/>
            <w:vAlign w:val="bottom"/>
            <w:shd w:val="clear" w:color="auto" w:fill="E9EFEE"/>
          </w:tcPr>
          <w:p>
            <w:pPr>
              <w:ind w:left="20"/>
              <w:spacing w:after="0"/>
              <w:rPr>
                <w:sz w:val="20"/>
                <w:szCs w:val="20"/>
                <w:color w:val="auto"/>
              </w:rPr>
            </w:pPr>
            <w:r>
              <w:rPr>
                <w:rFonts w:ascii="Arial" w:cs="Arial" w:eastAsia="Arial" w:hAnsi="Arial"/>
                <w:sz w:val="18"/>
                <w:szCs w:val="18"/>
                <w:color w:val="auto"/>
              </w:rPr>
              <w:t>Mr. Amato</w:t>
            </w:r>
          </w:p>
        </w:tc>
        <w:tc>
          <w:tcPr>
            <w:tcW w:w="3640" w:type="dxa"/>
            <w:vAlign w:val="bottom"/>
            <w:shd w:val="clear" w:color="auto" w:fill="E9EFEE"/>
          </w:tcPr>
          <w:p>
            <w:pPr>
              <w:jc w:val="right"/>
              <w:ind w:right="477"/>
              <w:spacing w:after="0"/>
              <w:rPr>
                <w:sz w:val="20"/>
                <w:szCs w:val="20"/>
                <w:color w:val="auto"/>
              </w:rPr>
            </w:pPr>
            <w:r>
              <w:rPr>
                <w:rFonts w:ascii="Arial" w:cs="Arial" w:eastAsia="Arial" w:hAnsi="Arial"/>
                <w:sz w:val="18"/>
                <w:szCs w:val="18"/>
                <w:color w:val="auto"/>
              </w:rPr>
              <w:t>$625,000</w:t>
            </w:r>
          </w:p>
        </w:tc>
        <w:tc>
          <w:tcPr>
            <w:tcW w:w="1980" w:type="dxa"/>
            <w:vAlign w:val="bottom"/>
            <w:shd w:val="clear" w:color="auto" w:fill="E9EFEE"/>
          </w:tcPr>
          <w:p>
            <w:pPr>
              <w:jc w:val="center"/>
              <w:spacing w:after="0"/>
              <w:rPr>
                <w:sz w:val="20"/>
                <w:szCs w:val="20"/>
                <w:color w:val="auto"/>
              </w:rPr>
            </w:pPr>
            <w:r>
              <w:rPr>
                <w:rFonts w:ascii="Arial" w:cs="Arial" w:eastAsia="Arial" w:hAnsi="Arial"/>
                <w:sz w:val="18"/>
                <w:szCs w:val="18"/>
                <w:color w:val="auto"/>
              </w:rPr>
              <w:t>$650,000</w:t>
            </w:r>
          </w:p>
        </w:tc>
        <w:tc>
          <w:tcPr>
            <w:tcW w:w="1080" w:type="dxa"/>
            <w:vAlign w:val="bottom"/>
            <w:shd w:val="clear" w:color="auto" w:fill="E9EFEE"/>
          </w:tcPr>
          <w:p>
            <w:pPr>
              <w:jc w:val="center"/>
              <w:spacing w:after="0"/>
              <w:rPr>
                <w:sz w:val="20"/>
                <w:szCs w:val="20"/>
                <w:color w:val="auto"/>
              </w:rPr>
            </w:pPr>
            <w:r>
              <w:rPr>
                <w:rFonts w:ascii="Arial" w:cs="Arial" w:eastAsia="Arial" w:hAnsi="Arial"/>
                <w:sz w:val="18"/>
                <w:szCs w:val="18"/>
                <w:color w:val="auto"/>
              </w:rPr>
              <w:t>4.0%</w:t>
            </w: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Mr. Zalupski</w:t>
            </w:r>
          </w:p>
        </w:tc>
        <w:tc>
          <w:tcPr>
            <w:tcW w:w="3640" w:type="dxa"/>
            <w:vAlign w:val="bottom"/>
          </w:tcPr>
          <w:p>
            <w:pPr>
              <w:jc w:val="right"/>
              <w:ind w:right="477"/>
              <w:spacing w:after="0"/>
              <w:rPr>
                <w:sz w:val="20"/>
                <w:szCs w:val="20"/>
                <w:color w:val="auto"/>
              </w:rPr>
            </w:pPr>
            <w:r>
              <w:rPr>
                <w:rFonts w:ascii="Arial" w:cs="Arial" w:eastAsia="Arial" w:hAnsi="Arial"/>
                <w:sz w:val="18"/>
                <w:szCs w:val="18"/>
                <w:color w:val="auto"/>
              </w:rPr>
              <w:t>$413,000</w:t>
            </w:r>
          </w:p>
        </w:tc>
        <w:tc>
          <w:tcPr>
            <w:tcW w:w="1980" w:type="dxa"/>
            <w:vAlign w:val="bottom"/>
          </w:tcPr>
          <w:p>
            <w:pPr>
              <w:jc w:val="center"/>
              <w:spacing w:after="0"/>
              <w:rPr>
                <w:sz w:val="20"/>
                <w:szCs w:val="20"/>
                <w:color w:val="auto"/>
              </w:rPr>
            </w:pPr>
            <w:r>
              <w:rPr>
                <w:rFonts w:ascii="Arial" w:cs="Arial" w:eastAsia="Arial" w:hAnsi="Arial"/>
                <w:sz w:val="18"/>
                <w:szCs w:val="18"/>
                <w:color w:val="auto"/>
              </w:rPr>
              <w:t>$420,000</w:t>
            </w:r>
          </w:p>
        </w:tc>
        <w:tc>
          <w:tcPr>
            <w:tcW w:w="1080" w:type="dxa"/>
            <w:vAlign w:val="bottom"/>
          </w:tcPr>
          <w:p>
            <w:pPr>
              <w:jc w:val="center"/>
              <w:spacing w:after="0"/>
              <w:rPr>
                <w:sz w:val="20"/>
                <w:szCs w:val="20"/>
                <w:color w:val="auto"/>
              </w:rPr>
            </w:pPr>
            <w:r>
              <w:rPr>
                <w:rFonts w:ascii="Arial" w:cs="Arial" w:eastAsia="Arial" w:hAnsi="Arial"/>
                <w:sz w:val="18"/>
                <w:szCs w:val="18"/>
                <w:color w:val="auto"/>
              </w:rPr>
              <w:t>1.7%</w:t>
            </w:r>
          </w:p>
        </w:tc>
      </w:tr>
      <w:tr>
        <w:trPr>
          <w:trHeight w:val="230"/>
        </w:trPr>
        <w:tc>
          <w:tcPr>
            <w:tcW w:w="2860" w:type="dxa"/>
            <w:vAlign w:val="bottom"/>
            <w:tcBorders>
              <w:bottom w:val="single" w:sz="8" w:color="000562"/>
            </w:tcBorders>
            <w:shd w:val="clear" w:color="auto" w:fill="E9EFEE"/>
          </w:tcPr>
          <w:p>
            <w:pPr>
              <w:ind w:left="20"/>
              <w:spacing w:after="0"/>
              <w:rPr>
                <w:sz w:val="20"/>
                <w:szCs w:val="20"/>
                <w:color w:val="auto"/>
              </w:rPr>
            </w:pPr>
            <w:r>
              <w:rPr>
                <w:rFonts w:ascii="Arial" w:cs="Arial" w:eastAsia="Arial" w:hAnsi="Arial"/>
                <w:sz w:val="18"/>
                <w:szCs w:val="18"/>
                <w:color w:val="auto"/>
              </w:rPr>
              <w:t>Mr. Sherbin</w:t>
            </w:r>
          </w:p>
        </w:tc>
        <w:tc>
          <w:tcPr>
            <w:tcW w:w="3640" w:type="dxa"/>
            <w:vAlign w:val="bottom"/>
            <w:tcBorders>
              <w:bottom w:val="single" w:sz="8" w:color="000562"/>
            </w:tcBorders>
            <w:shd w:val="clear" w:color="auto" w:fill="E9EFEE"/>
          </w:tcPr>
          <w:p>
            <w:pPr>
              <w:jc w:val="right"/>
              <w:ind w:right="477"/>
              <w:spacing w:after="0"/>
              <w:rPr>
                <w:sz w:val="20"/>
                <w:szCs w:val="20"/>
                <w:color w:val="auto"/>
              </w:rPr>
            </w:pPr>
            <w:r>
              <w:rPr>
                <w:rFonts w:ascii="Arial" w:cs="Arial" w:eastAsia="Arial" w:hAnsi="Arial"/>
                <w:sz w:val="18"/>
                <w:szCs w:val="18"/>
                <w:color w:val="auto"/>
              </w:rPr>
              <w:t>$400,400</w:t>
            </w:r>
          </w:p>
        </w:tc>
        <w:tc>
          <w:tcPr>
            <w:tcW w:w="1980" w:type="dxa"/>
            <w:vAlign w:val="bottom"/>
            <w:tcBorders>
              <w:bottom w:val="single" w:sz="8" w:color="000562"/>
            </w:tcBorders>
            <w:shd w:val="clear" w:color="auto" w:fill="E9EFEE"/>
          </w:tcPr>
          <w:p>
            <w:pPr>
              <w:jc w:val="center"/>
              <w:spacing w:after="0"/>
              <w:rPr>
                <w:sz w:val="20"/>
                <w:szCs w:val="20"/>
                <w:color w:val="auto"/>
              </w:rPr>
            </w:pPr>
            <w:r>
              <w:rPr>
                <w:rFonts w:ascii="Arial" w:cs="Arial" w:eastAsia="Arial" w:hAnsi="Arial"/>
                <w:sz w:val="18"/>
                <w:szCs w:val="18"/>
                <w:color w:val="auto"/>
              </w:rPr>
              <w:t>$400,400</w:t>
            </w:r>
          </w:p>
        </w:tc>
        <w:tc>
          <w:tcPr>
            <w:tcW w:w="1080" w:type="dxa"/>
            <w:vAlign w:val="bottom"/>
            <w:tcBorders>
              <w:bottom w:val="single" w:sz="8" w:color="000562"/>
            </w:tcBorders>
            <w:shd w:val="clear" w:color="auto" w:fill="E9EFEE"/>
          </w:tcPr>
          <w:p>
            <w:pPr>
              <w:jc w:val="center"/>
              <w:spacing w:after="0"/>
              <w:rPr>
                <w:sz w:val="20"/>
                <w:szCs w:val="20"/>
                <w:color w:val="auto"/>
              </w:rPr>
            </w:pPr>
            <w:r>
              <w:rPr>
                <w:rFonts w:ascii="Arial" w:cs="Arial" w:eastAsia="Arial" w:hAnsi="Arial"/>
                <w:sz w:val="18"/>
                <w:szCs w:val="18"/>
                <w:color w:val="auto"/>
                <w:w w:val="99"/>
              </w:rPr>
              <w:t>—%</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2"/>
        </w:rPr>
        <w:t>2018 Short-Term Incentive Compensation Plan</w:t>
      </w:r>
    </w:p>
    <w:p>
      <w:pPr>
        <w:spacing w:after="0" w:line="12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goal of the STI is to support our overall business objectives by aligning Company performance with the goals of shareholders and focusing attention on the key measures of success. The STI also plays a key role in ensuring that our annual cash compensation opportunities remain competitive.</w:t>
      </w:r>
    </w:p>
    <w:p>
      <w:pPr>
        <w:spacing w:after="0" w:line="184" w:lineRule="exact"/>
        <w:rPr>
          <w:sz w:val="20"/>
          <w:szCs w:val="20"/>
          <w:color w:val="auto"/>
        </w:rPr>
      </w:pPr>
    </w:p>
    <w:p>
      <w:pPr>
        <w:ind w:left="7140"/>
        <w:spacing w:after="0"/>
        <w:tabs>
          <w:tab w:leader="none" w:pos="9040" w:val="left"/>
          <w:tab w:leader="none" w:pos="9340" w:val="left"/>
        </w:tabs>
        <w:rPr>
          <w:sz w:val="20"/>
          <w:szCs w:val="20"/>
          <w:color w:val="auto"/>
        </w:rPr>
      </w:pPr>
      <w:r>
        <w:rPr>
          <w:rFonts w:ascii="Arial" w:cs="Arial" w:eastAsia="Arial" w:hAnsi="Arial"/>
          <w:sz w:val="18"/>
          <w:szCs w:val="18"/>
          <w:i w:val="1"/>
          <w:iCs w:val="1"/>
          <w:color w:val="auto"/>
        </w:rPr>
        <w:t>2019 Proxy Statement</w:t>
      </w:r>
      <w:r>
        <w:rPr>
          <w:sz w:val="20"/>
          <w:szCs w:val="20"/>
          <w:color w:val="auto"/>
        </w:rPr>
        <w:tab/>
      </w:r>
      <w:r>
        <w:rPr>
          <w:rFonts w:ascii="Arial" w:cs="Arial" w:eastAsia="Arial" w:hAnsi="Arial"/>
          <w:sz w:val="22"/>
          <w:szCs w:val="22"/>
          <w:b w:val="1"/>
          <w:bCs w:val="1"/>
          <w:color w:val="000562"/>
        </w:rPr>
        <w:t>I</w:t>
      </w:r>
      <w:r>
        <w:rPr>
          <w:sz w:val="20"/>
          <w:szCs w:val="20"/>
          <w:color w:val="auto"/>
        </w:rPr>
        <w:tab/>
      </w:r>
      <w:r>
        <w:rPr>
          <w:rFonts w:ascii="Arial" w:cs="Arial" w:eastAsia="Arial" w:hAnsi="Arial"/>
          <w:sz w:val="17"/>
          <w:szCs w:val="17"/>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071870" cy="43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000562"/>
        </w:rPr>
        <w:t>TriMas Corporation</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 xml:space="preserve">Target Awards. </w:t>
      </w:r>
      <w:r>
        <w:rPr>
          <w:rFonts w:ascii="Arial" w:cs="Arial" w:eastAsia="Arial" w:hAnsi="Arial"/>
          <w:sz w:val="18"/>
          <w:szCs w:val="18"/>
          <w:color w:val="auto"/>
        </w:rPr>
        <w:t>Each of our NEOs had a target STI opportunity for the year that was expressed as a percentage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 salary. Target incentive award percentages for all NEOs remained unchanged from 2017. Target awards for 2018 are shown in the following chart: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0562"/>
                <w:w w:val="98"/>
              </w:rPr>
              <w:t>Target</w:t>
            </w:r>
          </w:p>
        </w:tc>
      </w:tr>
      <w:tr>
        <w:trPr>
          <w:trHeight w:val="162"/>
        </w:trPr>
        <w:tc>
          <w:tcPr>
            <w:tcW w:w="4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0562"/>
                <w:w w:val="99"/>
              </w:rPr>
              <w:t>Award as</w:t>
            </w:r>
          </w:p>
        </w:tc>
      </w:tr>
      <w:tr>
        <w:trPr>
          <w:trHeight w:val="162"/>
        </w:trPr>
        <w:tc>
          <w:tcPr>
            <w:tcW w:w="4140" w:type="dxa"/>
            <w:vAlign w:val="bottom"/>
          </w:tcPr>
          <w:p>
            <w:pPr>
              <w:spacing w:after="0"/>
              <w:rPr>
                <w:sz w:val="14"/>
                <w:szCs w:val="14"/>
                <w:color w:val="auto"/>
              </w:rPr>
            </w:pPr>
          </w:p>
        </w:tc>
        <w:tc>
          <w:tcPr>
            <w:tcW w:w="4200" w:type="dxa"/>
            <w:vAlign w:val="bottom"/>
          </w:tcPr>
          <w:p>
            <w:pPr>
              <w:jc w:val="right"/>
              <w:ind w:right="277"/>
              <w:spacing w:after="0"/>
              <w:rPr>
                <w:sz w:val="20"/>
                <w:szCs w:val="20"/>
                <w:color w:val="auto"/>
              </w:rPr>
            </w:pPr>
            <w:r>
              <w:rPr>
                <w:rFonts w:ascii="Arial" w:cs="Arial" w:eastAsia="Arial" w:hAnsi="Arial"/>
                <w:sz w:val="14"/>
                <w:szCs w:val="14"/>
                <w:b w:val="1"/>
                <w:bCs w:val="1"/>
                <w:color w:val="000562"/>
              </w:rPr>
              <w:t>Target STI</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0562"/>
              </w:rPr>
              <w:t>Percent of</w:t>
            </w:r>
          </w:p>
        </w:tc>
      </w:tr>
      <w:tr>
        <w:trPr>
          <w:trHeight w:val="189"/>
        </w:trPr>
        <w:tc>
          <w:tcPr>
            <w:tcW w:w="4140" w:type="dxa"/>
            <w:vAlign w:val="bottom"/>
            <w:tcBorders>
              <w:bottom w:val="single" w:sz="8" w:color="000562"/>
            </w:tcBorders>
          </w:tcPr>
          <w:p>
            <w:pPr>
              <w:ind w:left="20"/>
              <w:spacing w:after="0"/>
              <w:rPr>
                <w:sz w:val="20"/>
                <w:szCs w:val="20"/>
                <w:color w:val="auto"/>
              </w:rPr>
            </w:pPr>
            <w:r>
              <w:rPr>
                <w:rFonts w:ascii="Arial" w:cs="Arial" w:eastAsia="Arial" w:hAnsi="Arial"/>
                <w:sz w:val="14"/>
                <w:szCs w:val="14"/>
                <w:b w:val="1"/>
                <w:bCs w:val="1"/>
                <w:color w:val="000562"/>
              </w:rPr>
              <w:t>NEO</w:t>
            </w:r>
          </w:p>
        </w:tc>
        <w:tc>
          <w:tcPr>
            <w:tcW w:w="4200" w:type="dxa"/>
            <w:vAlign w:val="bottom"/>
            <w:tcBorders>
              <w:bottom w:val="single" w:sz="8" w:color="000562"/>
            </w:tcBorders>
          </w:tcPr>
          <w:p>
            <w:pPr>
              <w:jc w:val="right"/>
              <w:ind w:right="357"/>
              <w:spacing w:after="0"/>
              <w:rPr>
                <w:sz w:val="20"/>
                <w:szCs w:val="20"/>
                <w:color w:val="auto"/>
              </w:rPr>
            </w:pPr>
            <w:r>
              <w:rPr>
                <w:rFonts w:ascii="Arial" w:cs="Arial" w:eastAsia="Arial" w:hAnsi="Arial"/>
                <w:sz w:val="14"/>
                <w:szCs w:val="14"/>
                <w:b w:val="1"/>
                <w:bCs w:val="1"/>
                <w:color w:val="000562"/>
              </w:rPr>
              <w:t>Amount</w:t>
            </w:r>
          </w:p>
        </w:tc>
        <w:tc>
          <w:tcPr>
            <w:tcW w:w="1220" w:type="dxa"/>
            <w:vAlign w:val="bottom"/>
            <w:tcBorders>
              <w:bottom w:val="single" w:sz="8" w:color="000562"/>
            </w:tcBorders>
          </w:tcPr>
          <w:p>
            <w:pPr>
              <w:jc w:val="center"/>
              <w:spacing w:after="0"/>
              <w:rPr>
                <w:sz w:val="20"/>
                <w:szCs w:val="20"/>
                <w:color w:val="auto"/>
              </w:rPr>
            </w:pPr>
            <w:r>
              <w:rPr>
                <w:rFonts w:ascii="Arial" w:cs="Arial" w:eastAsia="Arial" w:hAnsi="Arial"/>
                <w:sz w:val="14"/>
                <w:szCs w:val="14"/>
                <w:b w:val="1"/>
                <w:bCs w:val="1"/>
                <w:color w:val="000562"/>
                <w:w w:val="99"/>
              </w:rPr>
              <w:t>Salary</w:t>
            </w:r>
          </w:p>
        </w:tc>
      </w:tr>
      <w:tr>
        <w:trPr>
          <w:trHeight w:val="223"/>
        </w:trPr>
        <w:tc>
          <w:tcPr>
            <w:tcW w:w="4140" w:type="dxa"/>
            <w:vAlign w:val="bottom"/>
            <w:shd w:val="clear" w:color="auto" w:fill="E9EFEE"/>
          </w:tcPr>
          <w:p>
            <w:pPr>
              <w:ind w:left="20"/>
              <w:spacing w:after="0"/>
              <w:rPr>
                <w:sz w:val="20"/>
                <w:szCs w:val="20"/>
                <w:color w:val="auto"/>
              </w:rPr>
            </w:pPr>
            <w:r>
              <w:rPr>
                <w:rFonts w:ascii="Arial" w:cs="Arial" w:eastAsia="Arial" w:hAnsi="Arial"/>
                <w:sz w:val="18"/>
                <w:szCs w:val="18"/>
                <w:color w:val="auto"/>
              </w:rPr>
              <w:t>Mr. Amato</w:t>
            </w:r>
          </w:p>
        </w:tc>
        <w:tc>
          <w:tcPr>
            <w:tcW w:w="4200" w:type="dxa"/>
            <w:vAlign w:val="bottom"/>
            <w:shd w:val="clear" w:color="auto" w:fill="E9EFEE"/>
          </w:tcPr>
          <w:p>
            <w:pPr>
              <w:jc w:val="right"/>
              <w:ind w:right="197"/>
              <w:spacing w:after="0"/>
              <w:rPr>
                <w:sz w:val="20"/>
                <w:szCs w:val="20"/>
                <w:color w:val="auto"/>
              </w:rPr>
            </w:pPr>
            <w:r>
              <w:rPr>
                <w:rFonts w:ascii="Arial" w:cs="Arial" w:eastAsia="Arial" w:hAnsi="Arial"/>
                <w:sz w:val="18"/>
                <w:szCs w:val="18"/>
                <w:color w:val="auto"/>
              </w:rPr>
              <w:t>$650,000</w:t>
            </w:r>
          </w:p>
        </w:tc>
        <w:tc>
          <w:tcPr>
            <w:tcW w:w="1220" w:type="dxa"/>
            <w:vAlign w:val="bottom"/>
            <w:shd w:val="clear" w:color="auto" w:fill="E9EFEE"/>
          </w:tcPr>
          <w:p>
            <w:pPr>
              <w:jc w:val="right"/>
              <w:ind w:right="140"/>
              <w:spacing w:after="0"/>
              <w:rPr>
                <w:sz w:val="20"/>
                <w:szCs w:val="20"/>
                <w:color w:val="auto"/>
              </w:rPr>
            </w:pPr>
            <w:r>
              <w:rPr>
                <w:rFonts w:ascii="Arial" w:cs="Arial" w:eastAsia="Arial" w:hAnsi="Arial"/>
                <w:sz w:val="18"/>
                <w:szCs w:val="18"/>
                <w:color w:val="auto"/>
              </w:rPr>
              <w:t>100.0%</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Mr. Zalupski</w:t>
            </w:r>
          </w:p>
        </w:tc>
        <w:tc>
          <w:tcPr>
            <w:tcW w:w="4200" w:type="dxa"/>
            <w:vAlign w:val="bottom"/>
          </w:tcPr>
          <w:p>
            <w:pPr>
              <w:jc w:val="right"/>
              <w:ind w:right="197"/>
              <w:spacing w:after="0"/>
              <w:rPr>
                <w:sz w:val="20"/>
                <w:szCs w:val="20"/>
                <w:color w:val="auto"/>
              </w:rPr>
            </w:pPr>
            <w:r>
              <w:rPr>
                <w:rFonts w:ascii="Arial" w:cs="Arial" w:eastAsia="Arial" w:hAnsi="Arial"/>
                <w:sz w:val="18"/>
                <w:szCs w:val="18"/>
                <w:color w:val="auto"/>
              </w:rPr>
              <w:t>273,000</w:t>
            </w:r>
          </w:p>
        </w:tc>
        <w:tc>
          <w:tcPr>
            <w:tcW w:w="1220" w:type="dxa"/>
            <w:vAlign w:val="bottom"/>
          </w:tcPr>
          <w:p>
            <w:pPr>
              <w:jc w:val="right"/>
              <w:ind w:right="140"/>
              <w:spacing w:after="0"/>
              <w:rPr>
                <w:sz w:val="20"/>
                <w:szCs w:val="20"/>
                <w:color w:val="auto"/>
              </w:rPr>
            </w:pPr>
            <w:r>
              <w:rPr>
                <w:rFonts w:ascii="Arial" w:cs="Arial" w:eastAsia="Arial" w:hAnsi="Arial"/>
                <w:sz w:val="18"/>
                <w:szCs w:val="18"/>
                <w:color w:val="auto"/>
              </w:rPr>
              <w:t>65.0%</w:t>
            </w:r>
          </w:p>
        </w:tc>
      </w:tr>
      <w:tr>
        <w:trPr>
          <w:trHeight w:val="230"/>
        </w:trPr>
        <w:tc>
          <w:tcPr>
            <w:tcW w:w="4140" w:type="dxa"/>
            <w:vAlign w:val="bottom"/>
            <w:tcBorders>
              <w:bottom w:val="single" w:sz="8" w:color="000562"/>
            </w:tcBorders>
            <w:shd w:val="clear" w:color="auto" w:fill="E9EFEE"/>
          </w:tcPr>
          <w:p>
            <w:pPr>
              <w:ind w:left="20"/>
              <w:spacing w:after="0"/>
              <w:rPr>
                <w:sz w:val="20"/>
                <w:szCs w:val="20"/>
                <w:color w:val="auto"/>
              </w:rPr>
            </w:pPr>
            <w:r>
              <w:rPr>
                <w:rFonts w:ascii="Arial" w:cs="Arial" w:eastAsia="Arial" w:hAnsi="Arial"/>
                <w:sz w:val="18"/>
                <w:szCs w:val="18"/>
                <w:color w:val="auto"/>
              </w:rPr>
              <w:t>Mr. Sherbin</w:t>
            </w:r>
          </w:p>
        </w:tc>
        <w:tc>
          <w:tcPr>
            <w:tcW w:w="4200" w:type="dxa"/>
            <w:vAlign w:val="bottom"/>
            <w:tcBorders>
              <w:bottom w:val="single" w:sz="8" w:color="000562"/>
            </w:tcBorders>
            <w:shd w:val="clear" w:color="auto" w:fill="E9EFEE"/>
          </w:tcPr>
          <w:p>
            <w:pPr>
              <w:jc w:val="right"/>
              <w:ind w:right="197"/>
              <w:spacing w:after="0"/>
              <w:rPr>
                <w:sz w:val="20"/>
                <w:szCs w:val="20"/>
                <w:color w:val="auto"/>
              </w:rPr>
            </w:pPr>
            <w:r>
              <w:rPr>
                <w:rFonts w:ascii="Arial" w:cs="Arial" w:eastAsia="Arial" w:hAnsi="Arial"/>
                <w:sz w:val="18"/>
                <w:szCs w:val="18"/>
                <w:color w:val="auto"/>
              </w:rPr>
              <w:t>240,240</w:t>
            </w:r>
          </w:p>
        </w:tc>
        <w:tc>
          <w:tcPr>
            <w:tcW w:w="1220" w:type="dxa"/>
            <w:vAlign w:val="bottom"/>
            <w:tcBorders>
              <w:bottom w:val="single" w:sz="8" w:color="000562"/>
            </w:tcBorders>
            <w:shd w:val="clear" w:color="auto" w:fill="E9EFEE"/>
          </w:tcPr>
          <w:p>
            <w:pPr>
              <w:jc w:val="right"/>
              <w:ind w:right="140"/>
              <w:spacing w:after="0"/>
              <w:rPr>
                <w:sz w:val="20"/>
                <w:szCs w:val="20"/>
                <w:color w:val="auto"/>
              </w:rPr>
            </w:pPr>
            <w:r>
              <w:rPr>
                <w:rFonts w:ascii="Arial" w:cs="Arial" w:eastAsia="Arial" w:hAnsi="Arial"/>
                <w:sz w:val="18"/>
                <w:szCs w:val="18"/>
                <w:color w:val="auto"/>
              </w:rPr>
              <w:t>60.0%</w:t>
            </w:r>
          </w:p>
        </w:tc>
      </w:tr>
    </w:tbl>
    <w:p>
      <w:pPr>
        <w:spacing w:after="0" w:line="10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Depending on the performance results achieved, actual awards generally can vary as a percent of target from a threshold of 0% to a maximum of 200%.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2"/>
        </w:rPr>
        <w:t>Performance Measures</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Each year, the Committee approves the specific performance metrics for that year’s program and their relative weightings based on the importance of each applicable measure to the Company for the fiscal year. If the designated target level for each performance metric is attained, the STI award will pay out at 100% for the metric. The threshold is the lowest level of payout below which no payment is made for that specific component. If performance for a metric is between the identified threshold and the maximum, the actual payout is determined based on the achievement of milestones within a matrix, with the distance between the milestones pre-determined depending on the respective metric.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STI Performance Measures. </w:t>
      </w:r>
      <w:r>
        <w:rPr>
          <w:rFonts w:ascii="Arial" w:cs="Arial" w:eastAsia="Arial" w:hAnsi="Arial"/>
          <w:sz w:val="18"/>
          <w:szCs w:val="18"/>
          <w:color w:val="auto"/>
        </w:rPr>
        <w:t>The following underlying performance metrics were selected for the 2018 STI for 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NEOs:</w:t>
      </w:r>
    </w:p>
    <w:p>
      <w:pPr>
        <w:spacing w:after="0" w:line="95" w:lineRule="exact"/>
        <w:rPr>
          <w:sz w:val="20"/>
          <w:szCs w:val="20"/>
          <w:color w:val="auto"/>
        </w:rPr>
      </w:pPr>
    </w:p>
    <w:p>
      <w:pPr>
        <w:jc w:val="both"/>
        <w:ind w:left="700" w:right="20" w:hanging="356"/>
        <w:spacing w:after="0" w:line="242" w:lineRule="auto"/>
        <w:tabs>
          <w:tab w:leader="none" w:pos="700" w:val="left"/>
        </w:tabs>
        <w:numPr>
          <w:ilvl w:val="0"/>
          <w:numId w:val="40"/>
        </w:numPr>
        <w:rPr>
          <w:rFonts w:ascii="Arial" w:cs="Arial" w:eastAsia="Arial" w:hAnsi="Arial"/>
          <w:sz w:val="18"/>
          <w:szCs w:val="18"/>
          <w:color w:val="000562"/>
        </w:rPr>
      </w:pPr>
      <w:r>
        <w:rPr>
          <w:rFonts w:ascii="Arial" w:cs="Arial" w:eastAsia="Arial" w:hAnsi="Arial"/>
          <w:sz w:val="18"/>
          <w:szCs w:val="18"/>
          <w:b w:val="1"/>
          <w:bCs w:val="1"/>
          <w:color w:val="auto"/>
        </w:rPr>
        <w:t xml:space="preserve">Operating Profit - 70%. </w:t>
      </w:r>
      <w:r>
        <w:rPr>
          <w:rFonts w:ascii="Arial" w:cs="Arial" w:eastAsia="Arial" w:hAnsi="Arial"/>
          <w:sz w:val="18"/>
          <w:szCs w:val="18"/>
          <w:color w:val="auto"/>
        </w:rPr>
        <w:t>This measure rewards based on performance in recurring operating profit. Recurring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profit means earnings before interest, taxes and other income/expense, and excludes certain non-recurring items (cash and non-cash) which may include, but are not limited to, income/expenses related to business restructuring, cost savings projects, debt refinancing, changes in accounting principles and asset impairments (collectively “Special Items”). This measure of profitability was selected because it is viewed as a leading indicator of our ability to effectively manage our costs throughout the business cycle; and</w:t>
      </w:r>
    </w:p>
    <w:p>
      <w:pPr>
        <w:spacing w:after="0" w:line="71" w:lineRule="exact"/>
        <w:rPr>
          <w:rFonts w:ascii="Arial" w:cs="Arial" w:eastAsia="Arial" w:hAnsi="Arial"/>
          <w:sz w:val="18"/>
          <w:szCs w:val="18"/>
          <w:color w:val="000562"/>
        </w:rPr>
      </w:pPr>
    </w:p>
    <w:p>
      <w:pPr>
        <w:jc w:val="both"/>
        <w:ind w:left="700" w:hanging="356"/>
        <w:spacing w:after="0" w:line="243" w:lineRule="auto"/>
        <w:tabs>
          <w:tab w:leader="none" w:pos="700" w:val="left"/>
        </w:tabs>
        <w:numPr>
          <w:ilvl w:val="0"/>
          <w:numId w:val="40"/>
        </w:numPr>
        <w:rPr>
          <w:rFonts w:ascii="Arial" w:cs="Arial" w:eastAsia="Arial" w:hAnsi="Arial"/>
          <w:sz w:val="18"/>
          <w:szCs w:val="18"/>
          <w:color w:val="000562"/>
        </w:rPr>
      </w:pPr>
      <w:r>
        <w:rPr>
          <w:rFonts w:ascii="Arial" w:cs="Arial" w:eastAsia="Arial" w:hAnsi="Arial"/>
          <w:sz w:val="18"/>
          <w:szCs w:val="18"/>
          <w:b w:val="1"/>
          <w:bCs w:val="1"/>
          <w:color w:val="auto"/>
        </w:rPr>
        <w:t xml:space="preserve">Cash Flow - 30%. </w:t>
      </w:r>
      <w:r>
        <w:rPr>
          <w:rFonts w:ascii="Arial" w:cs="Arial" w:eastAsia="Arial" w:hAnsi="Arial"/>
          <w:sz w:val="18"/>
          <w:szCs w:val="18"/>
          <w:color w:val="auto"/>
        </w:rPr>
        <w:t>Cash flow is the sum of recurring operating profit (defined above), adjusted (1) up or down</w:t>
      </w:r>
      <w:r>
        <w:rPr>
          <w:rFonts w:ascii="Arial" w:cs="Arial" w:eastAsia="Arial" w:hAnsi="Arial"/>
          <w:sz w:val="18"/>
          <w:szCs w:val="18"/>
          <w:b w:val="1"/>
          <w:bCs w:val="1"/>
          <w:color w:val="auto"/>
        </w:rPr>
        <w:t xml:space="preserve"> </w:t>
      </w:r>
      <w:r>
        <w:rPr>
          <w:rFonts w:ascii="Arial" w:cs="Arial" w:eastAsia="Arial" w:hAnsi="Arial"/>
          <w:sz w:val="18"/>
          <w:szCs w:val="18"/>
          <w:color w:val="auto"/>
        </w:rPr>
        <w:t>for other income/expense, (2) up or down for changes in working capital, (3) upward for depreciation, amortization and stock compensation, (4) downward for capital expenditures, cash interest and cash taxes and</w:t>
      </w:r>
    </w:p>
    <w:p>
      <w:pPr>
        <w:spacing w:after="0" w:line="1" w:lineRule="exact"/>
        <w:rPr>
          <w:rFonts w:ascii="Arial" w:cs="Arial" w:eastAsia="Arial" w:hAnsi="Arial"/>
          <w:sz w:val="18"/>
          <w:szCs w:val="18"/>
          <w:color w:val="000562"/>
        </w:rPr>
      </w:pPr>
    </w:p>
    <w:p>
      <w:pPr>
        <w:ind w:left="700"/>
        <w:spacing w:after="0" w:line="246" w:lineRule="auto"/>
        <w:rPr>
          <w:rFonts w:ascii="Arial" w:cs="Arial" w:eastAsia="Arial" w:hAnsi="Arial"/>
          <w:sz w:val="18"/>
          <w:szCs w:val="18"/>
          <w:color w:val="000562"/>
        </w:rPr>
      </w:pPr>
      <w:r>
        <w:rPr>
          <w:rFonts w:ascii="Arial" w:cs="Arial" w:eastAsia="Arial" w:hAnsi="Arial"/>
          <w:sz w:val="18"/>
          <w:szCs w:val="18"/>
          <w:color w:val="auto"/>
        </w:rPr>
        <w:t>(5) up or down for the cash impact of any Special Items. Managing our cash generation capabilities and use of cash is an important measure of our ongoing liquidity and stability.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For 2018, the specific underlying performance goals and actual achievements were as follows (dollars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0" w:type="dxa"/>
            <w:vAlign w:val="bottom"/>
            <w:tcBorders>
              <w:right w:val="single" w:sz="8" w:color="000562"/>
            </w:tcBorders>
          </w:tcPr>
          <w:p>
            <w:pPr>
              <w:spacing w:after="0"/>
              <w:rPr>
                <w:sz w:val="15"/>
                <w:szCs w:val="15"/>
                <w:color w:val="auto"/>
              </w:rPr>
            </w:pPr>
          </w:p>
        </w:tc>
        <w:tc>
          <w:tcPr>
            <w:tcW w:w="1420" w:type="dxa"/>
            <w:vAlign w:val="bottom"/>
            <w:tcBorders>
              <w:top w:val="single" w:sz="8" w:color="000562"/>
              <w:right w:val="single" w:sz="8" w:color="000562"/>
            </w:tcBorders>
          </w:tcPr>
          <w:p>
            <w:pPr>
              <w:spacing w:after="0"/>
              <w:rPr>
                <w:sz w:val="15"/>
                <w:szCs w:val="15"/>
                <w:color w:val="auto"/>
              </w:rPr>
            </w:pPr>
          </w:p>
        </w:tc>
        <w:tc>
          <w:tcPr>
            <w:tcW w:w="2160" w:type="dxa"/>
            <w:vAlign w:val="bottom"/>
            <w:tcBorders>
              <w:top w:val="single" w:sz="8" w:color="000562"/>
              <w:right w:val="single" w:sz="8" w:color="000562"/>
            </w:tcBorders>
          </w:tcPr>
          <w:p>
            <w:pPr>
              <w:spacing w:after="0"/>
              <w:rPr>
                <w:sz w:val="15"/>
                <w:szCs w:val="15"/>
                <w:color w:val="auto"/>
              </w:rPr>
            </w:pPr>
          </w:p>
        </w:tc>
        <w:tc>
          <w:tcPr>
            <w:tcW w:w="980" w:type="dxa"/>
            <w:vAlign w:val="bottom"/>
            <w:tcBorders>
              <w:top w:val="single" w:sz="8" w:color="000562"/>
              <w:right w:val="single" w:sz="8" w:color="000562"/>
            </w:tcBorders>
          </w:tcPr>
          <w:p>
            <w:pPr>
              <w:spacing w:after="0"/>
              <w:rPr>
                <w:sz w:val="15"/>
                <w:szCs w:val="15"/>
                <w:color w:val="auto"/>
              </w:rPr>
            </w:pPr>
          </w:p>
        </w:tc>
        <w:tc>
          <w:tcPr>
            <w:tcW w:w="940" w:type="dxa"/>
            <w:vAlign w:val="bottom"/>
            <w:tcBorders>
              <w:top w:val="single" w:sz="8" w:color="000562"/>
              <w:right w:val="single" w:sz="8" w:color="000562"/>
            </w:tcBorders>
          </w:tcPr>
          <w:p>
            <w:pPr>
              <w:spacing w:after="0"/>
              <w:rPr>
                <w:sz w:val="15"/>
                <w:szCs w:val="15"/>
                <w:color w:val="auto"/>
              </w:rPr>
            </w:pPr>
          </w:p>
        </w:tc>
        <w:tc>
          <w:tcPr>
            <w:tcW w:w="960" w:type="dxa"/>
            <w:vAlign w:val="bottom"/>
            <w:tcBorders>
              <w:top w:val="single" w:sz="8" w:color="000562"/>
              <w:right w:val="single" w:sz="8" w:color="000562"/>
            </w:tcBorders>
          </w:tcPr>
          <w:p>
            <w:pPr>
              <w:spacing w:after="0"/>
              <w:rPr>
                <w:sz w:val="15"/>
                <w:szCs w:val="15"/>
                <w:color w:val="auto"/>
              </w:rPr>
            </w:pPr>
          </w:p>
        </w:tc>
        <w:tc>
          <w:tcPr>
            <w:tcW w:w="960" w:type="dxa"/>
            <w:vAlign w:val="bottom"/>
            <w:tcBorders>
              <w:top w:val="single" w:sz="8" w:color="000562"/>
              <w:right w:val="single" w:sz="8" w:color="000562"/>
            </w:tcBorders>
          </w:tcPr>
          <w:p>
            <w:pPr>
              <w:jc w:val="center"/>
              <w:spacing w:after="0"/>
              <w:rPr>
                <w:sz w:val="20"/>
                <w:szCs w:val="20"/>
                <w:color w:val="auto"/>
              </w:rPr>
            </w:pPr>
            <w:r>
              <w:rPr>
                <w:rFonts w:ascii="Arial" w:cs="Arial" w:eastAsia="Arial" w:hAnsi="Arial"/>
                <w:sz w:val="14"/>
                <w:szCs w:val="14"/>
                <w:b w:val="1"/>
                <w:bCs w:val="1"/>
                <w:color w:val="000562"/>
              </w:rPr>
              <w:t>Actual</w:t>
            </w:r>
          </w:p>
        </w:tc>
        <w:tc>
          <w:tcPr>
            <w:tcW w:w="180" w:type="dxa"/>
            <w:vAlign w:val="bottom"/>
            <w:tcBorders>
              <w:top w:val="single" w:sz="8" w:color="000562"/>
            </w:tcBorders>
          </w:tcPr>
          <w:p>
            <w:pPr>
              <w:spacing w:after="0"/>
              <w:rPr>
                <w:sz w:val="15"/>
                <w:szCs w:val="15"/>
                <w:color w:val="auto"/>
              </w:rPr>
            </w:pPr>
          </w:p>
        </w:tc>
        <w:tc>
          <w:tcPr>
            <w:tcW w:w="640" w:type="dxa"/>
            <w:vAlign w:val="bottom"/>
            <w:tcBorders>
              <w:top w:val="single" w:sz="8" w:color="000562"/>
            </w:tcBorders>
          </w:tcPr>
          <w:p>
            <w:pPr>
              <w:spacing w:after="0"/>
              <w:rPr>
                <w:sz w:val="15"/>
                <w:szCs w:val="15"/>
                <w:color w:val="auto"/>
              </w:rPr>
            </w:pPr>
          </w:p>
        </w:tc>
        <w:tc>
          <w:tcPr>
            <w:tcW w:w="160" w:type="dxa"/>
            <w:vAlign w:val="bottom"/>
            <w:tcBorders>
              <w:top w:val="single" w:sz="8" w:color="000562"/>
              <w:right w:val="single" w:sz="8" w:color="000562"/>
            </w:tcBorders>
          </w:tcPr>
          <w:p>
            <w:pPr>
              <w:spacing w:after="0"/>
              <w:rPr>
                <w:sz w:val="15"/>
                <w:szCs w:val="15"/>
                <w:color w:val="auto"/>
              </w:rPr>
            </w:pPr>
          </w:p>
        </w:tc>
        <w:tc>
          <w:tcPr>
            <w:tcW w:w="620" w:type="dxa"/>
            <w:vAlign w:val="bottom"/>
            <w:tcBorders>
              <w:top w:val="single" w:sz="8" w:color="000562"/>
            </w:tcBorders>
          </w:tcPr>
          <w:p>
            <w:pPr>
              <w:spacing w:after="0"/>
              <w:rPr>
                <w:sz w:val="15"/>
                <w:szCs w:val="15"/>
                <w:color w:val="auto"/>
              </w:rPr>
            </w:pPr>
          </w:p>
        </w:tc>
        <w:tc>
          <w:tcPr>
            <w:tcW w:w="220" w:type="dxa"/>
            <w:vAlign w:val="bottom"/>
            <w:tcBorders>
              <w:left w:val="single" w:sz="8" w:color="000562"/>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0" w:type="dxa"/>
            <w:vAlign w:val="bottom"/>
            <w:tcBorders>
              <w:right w:val="single" w:sz="8" w:color="000562"/>
            </w:tcBorders>
          </w:tcPr>
          <w:p>
            <w:pPr>
              <w:spacing w:after="0"/>
              <w:rPr>
                <w:sz w:val="12"/>
                <w:szCs w:val="12"/>
                <w:color w:val="auto"/>
              </w:rPr>
            </w:pPr>
          </w:p>
        </w:tc>
        <w:tc>
          <w:tcPr>
            <w:tcW w:w="1420" w:type="dxa"/>
            <w:vAlign w:val="bottom"/>
            <w:tcBorders>
              <w:right w:val="single" w:sz="8" w:color="000562"/>
            </w:tcBorders>
          </w:tcPr>
          <w:p>
            <w:pPr>
              <w:spacing w:after="0"/>
              <w:rPr>
                <w:sz w:val="12"/>
                <w:szCs w:val="12"/>
                <w:color w:val="auto"/>
              </w:rPr>
            </w:pPr>
          </w:p>
        </w:tc>
        <w:tc>
          <w:tcPr>
            <w:tcW w:w="2160" w:type="dxa"/>
            <w:vAlign w:val="bottom"/>
            <w:tcBorders>
              <w:right w:val="single" w:sz="8" w:color="000562"/>
            </w:tcBorders>
          </w:tcPr>
          <w:p>
            <w:pPr>
              <w:spacing w:after="0"/>
              <w:rPr>
                <w:sz w:val="12"/>
                <w:szCs w:val="12"/>
                <w:color w:val="auto"/>
              </w:rPr>
            </w:pPr>
          </w:p>
        </w:tc>
        <w:tc>
          <w:tcPr>
            <w:tcW w:w="980" w:type="dxa"/>
            <w:vAlign w:val="bottom"/>
            <w:tcBorders>
              <w:right w:val="single" w:sz="8" w:color="000562"/>
            </w:tcBorders>
          </w:tcPr>
          <w:p>
            <w:pPr>
              <w:spacing w:after="0"/>
              <w:rPr>
                <w:sz w:val="12"/>
                <w:szCs w:val="12"/>
                <w:color w:val="auto"/>
              </w:rPr>
            </w:pPr>
          </w:p>
        </w:tc>
        <w:tc>
          <w:tcPr>
            <w:tcW w:w="940" w:type="dxa"/>
            <w:vAlign w:val="bottom"/>
            <w:tcBorders>
              <w:right w:val="single" w:sz="8" w:color="000562"/>
            </w:tcBorders>
          </w:tcPr>
          <w:p>
            <w:pPr>
              <w:spacing w:after="0"/>
              <w:rPr>
                <w:sz w:val="12"/>
                <w:szCs w:val="12"/>
                <w:color w:val="auto"/>
              </w:rPr>
            </w:pPr>
          </w:p>
        </w:tc>
        <w:tc>
          <w:tcPr>
            <w:tcW w:w="960" w:type="dxa"/>
            <w:vAlign w:val="bottom"/>
            <w:tcBorders>
              <w:right w:val="single" w:sz="8" w:color="000562"/>
            </w:tcBorders>
          </w:tcPr>
          <w:p>
            <w:pPr>
              <w:spacing w:after="0"/>
              <w:rPr>
                <w:sz w:val="12"/>
                <w:szCs w:val="12"/>
                <w:color w:val="auto"/>
              </w:rPr>
            </w:pPr>
          </w:p>
        </w:tc>
        <w:tc>
          <w:tcPr>
            <w:tcW w:w="960" w:type="dxa"/>
            <w:vAlign w:val="bottom"/>
            <w:tcBorders>
              <w:right w:val="single" w:sz="8" w:color="000562"/>
            </w:tcBorders>
          </w:tcPr>
          <w:p>
            <w:pPr>
              <w:jc w:val="center"/>
              <w:spacing w:after="0" w:line="149" w:lineRule="exact"/>
              <w:rPr>
                <w:sz w:val="20"/>
                <w:szCs w:val="20"/>
                <w:color w:val="auto"/>
              </w:rPr>
            </w:pPr>
            <w:r>
              <w:rPr>
                <w:rFonts w:ascii="Arial" w:cs="Arial" w:eastAsia="Arial" w:hAnsi="Arial"/>
                <w:sz w:val="14"/>
                <w:szCs w:val="14"/>
                <w:b w:val="1"/>
                <w:bCs w:val="1"/>
                <w:color w:val="000562"/>
              </w:rPr>
              <w:t>2018</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Borders>
              <w:right w:val="single" w:sz="8" w:color="000562"/>
            </w:tcBorders>
          </w:tcPr>
          <w:p>
            <w:pPr>
              <w:spacing w:after="0"/>
              <w:rPr>
                <w:sz w:val="12"/>
                <w:szCs w:val="12"/>
                <w:color w:val="auto"/>
              </w:rPr>
            </w:pP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000562"/>
              </w:rPr>
              <w:t>Payout</w:t>
            </w:r>
          </w:p>
        </w:tc>
        <w:tc>
          <w:tcPr>
            <w:tcW w:w="220" w:type="dxa"/>
            <w:vAlign w:val="bottom"/>
            <w:tcBorders>
              <w:left w:val="single" w:sz="8" w:color="000562"/>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20" w:type="dxa"/>
            <w:vAlign w:val="bottom"/>
            <w:tcBorders>
              <w:bottom w:val="single" w:sz="8" w:color="CCEEFF"/>
              <w:right w:val="single" w:sz="8" w:color="000562"/>
            </w:tcBorders>
          </w:tcPr>
          <w:p>
            <w:pPr>
              <w:spacing w:after="0"/>
              <w:rPr>
                <w:sz w:val="17"/>
                <w:szCs w:val="17"/>
                <w:color w:val="auto"/>
              </w:rPr>
            </w:pPr>
          </w:p>
        </w:tc>
        <w:tc>
          <w:tcPr>
            <w:tcW w:w="1420" w:type="dxa"/>
            <w:vAlign w:val="bottom"/>
            <w:tcBorders>
              <w:bottom w:val="single" w:sz="8" w:color="000562"/>
              <w:right w:val="single" w:sz="8" w:color="000562"/>
            </w:tcBorders>
          </w:tcPr>
          <w:p>
            <w:pPr>
              <w:jc w:val="center"/>
              <w:spacing w:after="0"/>
              <w:rPr>
                <w:sz w:val="20"/>
                <w:szCs w:val="20"/>
                <w:color w:val="auto"/>
              </w:rPr>
            </w:pPr>
            <w:r>
              <w:rPr>
                <w:rFonts w:ascii="Arial" w:cs="Arial" w:eastAsia="Arial" w:hAnsi="Arial"/>
                <w:sz w:val="14"/>
                <w:szCs w:val="14"/>
                <w:b w:val="1"/>
                <w:bCs w:val="1"/>
                <w:color w:val="000562"/>
              </w:rPr>
              <w:t>Metric</w:t>
            </w:r>
          </w:p>
        </w:tc>
        <w:tc>
          <w:tcPr>
            <w:tcW w:w="2160" w:type="dxa"/>
            <w:vAlign w:val="bottom"/>
            <w:tcBorders>
              <w:bottom w:val="single" w:sz="8" w:color="000562"/>
              <w:right w:val="single" w:sz="8" w:color="000562"/>
            </w:tcBorders>
          </w:tcPr>
          <w:p>
            <w:pPr>
              <w:spacing w:after="0"/>
              <w:rPr>
                <w:sz w:val="17"/>
                <w:szCs w:val="17"/>
                <w:color w:val="auto"/>
              </w:rPr>
            </w:pPr>
          </w:p>
        </w:tc>
        <w:tc>
          <w:tcPr>
            <w:tcW w:w="980" w:type="dxa"/>
            <w:vAlign w:val="bottom"/>
            <w:tcBorders>
              <w:bottom w:val="single" w:sz="8" w:color="000562"/>
              <w:right w:val="single" w:sz="8" w:color="000562"/>
            </w:tcBorders>
          </w:tcPr>
          <w:p>
            <w:pPr>
              <w:jc w:val="right"/>
              <w:ind w:right="88"/>
              <w:spacing w:after="0"/>
              <w:rPr>
                <w:sz w:val="20"/>
                <w:szCs w:val="20"/>
                <w:color w:val="auto"/>
              </w:rPr>
            </w:pPr>
            <w:r>
              <w:rPr>
                <w:rFonts w:ascii="Arial" w:cs="Arial" w:eastAsia="Arial" w:hAnsi="Arial"/>
                <w:sz w:val="14"/>
                <w:szCs w:val="14"/>
                <w:b w:val="1"/>
                <w:bCs w:val="1"/>
                <w:color w:val="000562"/>
              </w:rPr>
              <w:t>Threshold</w:t>
            </w:r>
          </w:p>
        </w:tc>
        <w:tc>
          <w:tcPr>
            <w:tcW w:w="940" w:type="dxa"/>
            <w:vAlign w:val="bottom"/>
            <w:tcBorders>
              <w:bottom w:val="single" w:sz="8" w:color="000562"/>
              <w:right w:val="single" w:sz="8" w:color="000562"/>
            </w:tcBorders>
          </w:tcPr>
          <w:p>
            <w:pPr>
              <w:jc w:val="right"/>
              <w:ind w:right="208"/>
              <w:spacing w:after="0"/>
              <w:rPr>
                <w:sz w:val="20"/>
                <w:szCs w:val="20"/>
                <w:color w:val="auto"/>
              </w:rPr>
            </w:pPr>
            <w:r>
              <w:rPr>
                <w:rFonts w:ascii="Arial" w:cs="Arial" w:eastAsia="Arial" w:hAnsi="Arial"/>
                <w:sz w:val="14"/>
                <w:szCs w:val="14"/>
                <w:b w:val="1"/>
                <w:bCs w:val="1"/>
                <w:color w:val="000562"/>
              </w:rPr>
              <w:t>Target</w:t>
            </w:r>
          </w:p>
        </w:tc>
        <w:tc>
          <w:tcPr>
            <w:tcW w:w="960" w:type="dxa"/>
            <w:vAlign w:val="bottom"/>
            <w:tcBorders>
              <w:bottom w:val="single" w:sz="8" w:color="000562"/>
              <w:right w:val="single" w:sz="8" w:color="000562"/>
            </w:tcBorders>
          </w:tcPr>
          <w:p>
            <w:pPr>
              <w:jc w:val="right"/>
              <w:ind w:right="88"/>
              <w:spacing w:after="0"/>
              <w:rPr>
                <w:sz w:val="20"/>
                <w:szCs w:val="20"/>
                <w:color w:val="auto"/>
              </w:rPr>
            </w:pPr>
            <w:r>
              <w:rPr>
                <w:rFonts w:ascii="Arial" w:cs="Arial" w:eastAsia="Arial" w:hAnsi="Arial"/>
                <w:sz w:val="14"/>
                <w:szCs w:val="14"/>
                <w:b w:val="1"/>
                <w:bCs w:val="1"/>
                <w:color w:val="000562"/>
              </w:rPr>
              <w:t>Maximum</w:t>
            </w:r>
          </w:p>
        </w:tc>
        <w:tc>
          <w:tcPr>
            <w:tcW w:w="960" w:type="dxa"/>
            <w:vAlign w:val="bottom"/>
            <w:tcBorders>
              <w:bottom w:val="single" w:sz="8" w:color="000562"/>
              <w:right w:val="single" w:sz="8" w:color="000562"/>
            </w:tcBorders>
          </w:tcPr>
          <w:p>
            <w:pPr>
              <w:jc w:val="center"/>
              <w:spacing w:after="0" w:line="202" w:lineRule="exact"/>
              <w:rPr>
                <w:sz w:val="20"/>
                <w:szCs w:val="20"/>
                <w:color w:val="auto"/>
              </w:rPr>
            </w:pPr>
            <w:r>
              <w:rPr>
                <w:rFonts w:ascii="Arial" w:cs="Arial" w:eastAsia="Arial" w:hAnsi="Arial"/>
                <w:sz w:val="14"/>
                <w:szCs w:val="14"/>
                <w:b w:val="1"/>
                <w:bCs w:val="1"/>
                <w:color w:val="000562"/>
                <w:w w:val="98"/>
              </w:rPr>
              <w:t>Results</w:t>
            </w:r>
            <w:r>
              <w:rPr>
                <w:rFonts w:ascii="Arial" w:cs="Arial" w:eastAsia="Arial" w:hAnsi="Arial"/>
                <w:sz w:val="23"/>
                <w:szCs w:val="23"/>
                <w:b w:val="1"/>
                <w:bCs w:val="1"/>
                <w:color w:val="000562"/>
                <w:w w:val="98"/>
                <w:vertAlign w:val="superscript"/>
              </w:rPr>
              <w:t>(1)</w:t>
            </w:r>
          </w:p>
        </w:tc>
        <w:tc>
          <w:tcPr>
            <w:tcW w:w="980" w:type="dxa"/>
            <w:vAlign w:val="bottom"/>
            <w:tcBorders>
              <w:bottom w:val="single" w:sz="8" w:color="000562"/>
              <w:right w:val="single" w:sz="8" w:color="000562"/>
            </w:tcBorders>
            <w:gridSpan w:val="3"/>
          </w:tcPr>
          <w:p>
            <w:pPr>
              <w:jc w:val="right"/>
              <w:ind w:right="160"/>
              <w:spacing w:after="0"/>
              <w:rPr>
                <w:sz w:val="20"/>
                <w:szCs w:val="20"/>
                <w:color w:val="auto"/>
              </w:rPr>
            </w:pPr>
            <w:r>
              <w:rPr>
                <w:rFonts w:ascii="Arial" w:cs="Arial" w:eastAsia="Arial" w:hAnsi="Arial"/>
                <w:sz w:val="14"/>
                <w:szCs w:val="14"/>
                <w:b w:val="1"/>
                <w:bCs w:val="1"/>
                <w:color w:val="000562"/>
              </w:rPr>
              <w:t>Weighting</w:t>
            </w:r>
          </w:p>
        </w:tc>
        <w:tc>
          <w:tcPr>
            <w:tcW w:w="620" w:type="dxa"/>
            <w:vAlign w:val="bottom"/>
            <w:tcBorders>
              <w:bottom w:val="single" w:sz="8" w:color="000562"/>
            </w:tcBorders>
          </w:tcPr>
          <w:p>
            <w:pPr>
              <w:jc w:val="right"/>
              <w:ind w:right="188"/>
              <w:spacing w:after="0"/>
              <w:rPr>
                <w:sz w:val="20"/>
                <w:szCs w:val="20"/>
                <w:color w:val="auto"/>
              </w:rPr>
            </w:pPr>
            <w:r>
              <w:rPr>
                <w:rFonts w:ascii="Arial" w:cs="Arial" w:eastAsia="Arial" w:hAnsi="Arial"/>
                <w:sz w:val="14"/>
                <w:szCs w:val="14"/>
                <w:b w:val="1"/>
                <w:bCs w:val="1"/>
                <w:color w:val="000562"/>
              </w:rPr>
              <w:t>%</w:t>
            </w:r>
          </w:p>
        </w:tc>
        <w:tc>
          <w:tcPr>
            <w:tcW w:w="220" w:type="dxa"/>
            <w:vAlign w:val="bottom"/>
            <w:tcBorders>
              <w:left w:val="single" w:sz="8" w:color="000562"/>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0" w:type="dxa"/>
            <w:vAlign w:val="bottom"/>
            <w:tcBorders>
              <w:bottom w:val="single" w:sz="8" w:color="CCEEFF"/>
              <w:right w:val="single" w:sz="8" w:color="000562"/>
            </w:tcBorders>
            <w:shd w:val="clear" w:color="auto" w:fill="CCEEFF"/>
          </w:tcPr>
          <w:p>
            <w:pPr>
              <w:spacing w:after="0"/>
              <w:rPr>
                <w:sz w:val="15"/>
                <w:szCs w:val="15"/>
                <w:color w:val="auto"/>
              </w:rPr>
            </w:pPr>
          </w:p>
        </w:tc>
        <w:tc>
          <w:tcPr>
            <w:tcW w:w="1420" w:type="dxa"/>
            <w:vAlign w:val="bottom"/>
            <w:tcBorders>
              <w:bottom w:val="single" w:sz="8" w:color="E9EFEE"/>
              <w:right w:val="single" w:sz="8" w:color="000562"/>
            </w:tcBorders>
            <w:shd w:val="clear" w:color="auto" w:fill="E9EFEE"/>
          </w:tcPr>
          <w:p>
            <w:pPr>
              <w:jc w:val="center"/>
              <w:spacing w:after="0" w:line="156" w:lineRule="exact"/>
              <w:rPr>
                <w:sz w:val="20"/>
                <w:szCs w:val="20"/>
                <w:color w:val="auto"/>
              </w:rPr>
            </w:pPr>
            <w:r>
              <w:rPr>
                <w:rFonts w:ascii="Arial" w:cs="Arial" w:eastAsia="Arial" w:hAnsi="Arial"/>
                <w:sz w:val="14"/>
                <w:szCs w:val="14"/>
                <w:b w:val="1"/>
                <w:bCs w:val="1"/>
                <w:color w:val="auto"/>
              </w:rPr>
              <w:t>Operating</w:t>
            </w:r>
          </w:p>
        </w:tc>
        <w:tc>
          <w:tcPr>
            <w:tcW w:w="2160" w:type="dxa"/>
            <w:vAlign w:val="bottom"/>
            <w:tcBorders>
              <w:bottom w:val="single" w:sz="8" w:color="E9EFEE"/>
              <w:right w:val="single" w:sz="8" w:color="000562"/>
            </w:tcBorders>
            <w:shd w:val="clear" w:color="auto" w:fill="E9EFEE"/>
          </w:tcPr>
          <w:p>
            <w:pPr>
              <w:ind w:left="20"/>
              <w:spacing w:after="0" w:line="156" w:lineRule="exact"/>
              <w:rPr>
                <w:sz w:val="20"/>
                <w:szCs w:val="20"/>
                <w:color w:val="auto"/>
              </w:rPr>
            </w:pPr>
            <w:r>
              <w:rPr>
                <w:rFonts w:ascii="Arial" w:cs="Arial" w:eastAsia="Arial" w:hAnsi="Arial"/>
                <w:sz w:val="14"/>
                <w:szCs w:val="14"/>
                <w:color w:val="auto"/>
              </w:rPr>
              <w:t>Performance Goal</w:t>
            </w:r>
          </w:p>
        </w:tc>
        <w:tc>
          <w:tcPr>
            <w:tcW w:w="980" w:type="dxa"/>
            <w:vAlign w:val="bottom"/>
            <w:tcBorders>
              <w:bottom w:val="single" w:sz="8" w:color="E9EFEE"/>
              <w:right w:val="single" w:sz="8" w:color="000562"/>
            </w:tcBorders>
            <w:shd w:val="clear" w:color="auto" w:fill="E9EFEE"/>
          </w:tcPr>
          <w:p>
            <w:pPr>
              <w:jc w:val="right"/>
              <w:ind w:right="88"/>
              <w:spacing w:after="0" w:line="156" w:lineRule="exact"/>
              <w:rPr>
                <w:sz w:val="20"/>
                <w:szCs w:val="20"/>
                <w:color w:val="auto"/>
              </w:rPr>
            </w:pPr>
            <w:r>
              <w:rPr>
                <w:rFonts w:ascii="Arial" w:cs="Arial" w:eastAsia="Arial" w:hAnsi="Arial"/>
                <w:sz w:val="14"/>
                <w:szCs w:val="14"/>
                <w:color w:val="auto"/>
              </w:rPr>
              <w:t>$94.8</w:t>
            </w:r>
          </w:p>
        </w:tc>
        <w:tc>
          <w:tcPr>
            <w:tcW w:w="940" w:type="dxa"/>
            <w:vAlign w:val="bottom"/>
            <w:tcBorders>
              <w:bottom w:val="single" w:sz="8" w:color="E9EFEE"/>
              <w:right w:val="single" w:sz="8" w:color="000562"/>
            </w:tcBorders>
            <w:shd w:val="clear" w:color="auto" w:fill="E9EFEE"/>
          </w:tcPr>
          <w:p>
            <w:pPr>
              <w:jc w:val="right"/>
              <w:ind w:right="88"/>
              <w:spacing w:after="0" w:line="156" w:lineRule="exact"/>
              <w:rPr>
                <w:sz w:val="20"/>
                <w:szCs w:val="20"/>
                <w:color w:val="auto"/>
              </w:rPr>
            </w:pPr>
            <w:r>
              <w:rPr>
                <w:rFonts w:ascii="Arial" w:cs="Arial" w:eastAsia="Arial" w:hAnsi="Arial"/>
                <w:sz w:val="14"/>
                <w:szCs w:val="14"/>
                <w:color w:val="auto"/>
              </w:rPr>
              <w:t>$111.5</w:t>
            </w:r>
          </w:p>
        </w:tc>
        <w:tc>
          <w:tcPr>
            <w:tcW w:w="960" w:type="dxa"/>
            <w:vAlign w:val="bottom"/>
            <w:tcBorders>
              <w:bottom w:val="single" w:sz="8" w:color="E9EFEE"/>
              <w:right w:val="single" w:sz="8" w:color="000562"/>
            </w:tcBorders>
            <w:shd w:val="clear" w:color="auto" w:fill="E9EFEE"/>
          </w:tcPr>
          <w:p>
            <w:pPr>
              <w:jc w:val="right"/>
              <w:ind w:right="88"/>
              <w:spacing w:after="0" w:line="156" w:lineRule="exact"/>
              <w:rPr>
                <w:sz w:val="20"/>
                <w:szCs w:val="20"/>
                <w:color w:val="auto"/>
              </w:rPr>
            </w:pPr>
            <w:r>
              <w:rPr>
                <w:rFonts w:ascii="Arial" w:cs="Arial" w:eastAsia="Arial" w:hAnsi="Arial"/>
                <w:sz w:val="14"/>
                <w:szCs w:val="14"/>
                <w:color w:val="auto"/>
              </w:rPr>
              <w:t>$126.6</w:t>
            </w:r>
          </w:p>
        </w:tc>
        <w:tc>
          <w:tcPr>
            <w:tcW w:w="960" w:type="dxa"/>
            <w:vAlign w:val="bottom"/>
            <w:tcBorders>
              <w:bottom w:val="single" w:sz="8" w:color="E9EFEE"/>
              <w:right w:val="single" w:sz="8" w:color="000562"/>
            </w:tcBorders>
            <w:shd w:val="clear" w:color="auto" w:fill="E9EFEE"/>
          </w:tcPr>
          <w:p>
            <w:pPr>
              <w:jc w:val="right"/>
              <w:ind w:right="88"/>
              <w:spacing w:after="0" w:line="156" w:lineRule="exact"/>
              <w:rPr>
                <w:sz w:val="20"/>
                <w:szCs w:val="20"/>
                <w:color w:val="auto"/>
              </w:rPr>
            </w:pPr>
            <w:r>
              <w:rPr>
                <w:rFonts w:ascii="Arial" w:cs="Arial" w:eastAsia="Arial" w:hAnsi="Arial"/>
                <w:sz w:val="14"/>
                <w:szCs w:val="14"/>
                <w:color w:val="auto"/>
              </w:rPr>
              <w:t>$116.9</w:t>
            </w:r>
          </w:p>
        </w:tc>
        <w:tc>
          <w:tcPr>
            <w:tcW w:w="180" w:type="dxa"/>
            <w:vAlign w:val="bottom"/>
            <w:tcBorders>
              <w:bottom w:val="single" w:sz="8" w:color="E9EFEE"/>
            </w:tcBorders>
            <w:shd w:val="clear" w:color="auto" w:fill="E9EFEE"/>
          </w:tcPr>
          <w:p>
            <w:pPr>
              <w:spacing w:after="0"/>
              <w:rPr>
                <w:sz w:val="15"/>
                <w:szCs w:val="15"/>
                <w:color w:val="auto"/>
              </w:rPr>
            </w:pPr>
          </w:p>
        </w:tc>
        <w:tc>
          <w:tcPr>
            <w:tcW w:w="800" w:type="dxa"/>
            <w:vAlign w:val="bottom"/>
            <w:tcBorders>
              <w:bottom w:val="single" w:sz="8" w:color="E9EFEE"/>
              <w:right w:val="single" w:sz="8" w:color="000562"/>
            </w:tcBorders>
            <w:gridSpan w:val="2"/>
            <w:vMerge w:val="restart"/>
            <w:shd w:val="clear" w:color="auto" w:fill="E9EFEE"/>
          </w:tcPr>
          <w:p>
            <w:pPr>
              <w:jc w:val="right"/>
              <w:ind w:right="40"/>
              <w:spacing w:after="0"/>
              <w:rPr>
                <w:sz w:val="20"/>
                <w:szCs w:val="20"/>
                <w:color w:val="auto"/>
              </w:rPr>
            </w:pPr>
            <w:r>
              <w:rPr>
                <w:rFonts w:ascii="Arial" w:cs="Arial" w:eastAsia="Arial" w:hAnsi="Arial"/>
                <w:sz w:val="14"/>
                <w:szCs w:val="14"/>
                <w:color w:val="auto"/>
              </w:rPr>
              <w:t>70%</w:t>
            </w:r>
          </w:p>
        </w:tc>
        <w:tc>
          <w:tcPr>
            <w:tcW w:w="620" w:type="dxa"/>
            <w:vAlign w:val="bottom"/>
            <w:tcBorders>
              <w:bottom w:val="single" w:sz="8" w:color="E9EFEE"/>
            </w:tcBorders>
            <w:vMerge w:val="restart"/>
            <w:shd w:val="clear" w:color="auto" w:fill="E9EFEE"/>
          </w:tcPr>
          <w:p>
            <w:pPr>
              <w:jc w:val="right"/>
              <w:spacing w:after="0"/>
              <w:rPr>
                <w:sz w:val="20"/>
                <w:szCs w:val="20"/>
                <w:color w:val="auto"/>
              </w:rPr>
            </w:pPr>
            <w:r>
              <w:rPr>
                <w:rFonts w:ascii="Arial" w:cs="Arial" w:eastAsia="Arial" w:hAnsi="Arial"/>
                <w:sz w:val="14"/>
                <w:szCs w:val="14"/>
                <w:color w:val="auto"/>
              </w:rPr>
              <w:t>86.7%</w:t>
            </w:r>
          </w:p>
        </w:tc>
        <w:tc>
          <w:tcPr>
            <w:tcW w:w="220" w:type="dxa"/>
            <w:vAlign w:val="bottom"/>
            <w:tcBorders>
              <w:left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120" w:type="dxa"/>
            <w:vAlign w:val="bottom"/>
            <w:tcBorders>
              <w:right w:val="single" w:sz="8" w:color="000562"/>
            </w:tcBorders>
          </w:tcPr>
          <w:p>
            <w:pPr>
              <w:spacing w:after="0"/>
              <w:rPr>
                <w:sz w:val="6"/>
                <w:szCs w:val="6"/>
                <w:color w:val="auto"/>
              </w:rPr>
            </w:pPr>
          </w:p>
        </w:tc>
        <w:tc>
          <w:tcPr>
            <w:tcW w:w="1420" w:type="dxa"/>
            <w:vAlign w:val="bottom"/>
            <w:tcBorders>
              <w:top w:val="single" w:sz="8" w:color="E9EFEE"/>
              <w:right w:val="single" w:sz="8" w:color="000562"/>
            </w:tcBorders>
            <w:vMerge w:val="restart"/>
            <w:shd w:val="clear" w:color="auto" w:fill="E9EFEE"/>
          </w:tcPr>
          <w:p>
            <w:pPr>
              <w:jc w:val="center"/>
              <w:spacing w:after="0" w:line="143" w:lineRule="exact"/>
              <w:rPr>
                <w:sz w:val="20"/>
                <w:szCs w:val="20"/>
                <w:color w:val="auto"/>
              </w:rPr>
            </w:pPr>
            <w:r>
              <w:rPr>
                <w:rFonts w:ascii="Arial" w:cs="Arial" w:eastAsia="Arial" w:hAnsi="Arial"/>
                <w:sz w:val="14"/>
                <w:szCs w:val="14"/>
                <w:b w:val="1"/>
                <w:bCs w:val="1"/>
                <w:color w:val="auto"/>
              </w:rPr>
              <w:t>Profit</w:t>
            </w:r>
          </w:p>
        </w:tc>
        <w:tc>
          <w:tcPr>
            <w:tcW w:w="2160" w:type="dxa"/>
            <w:vAlign w:val="bottom"/>
            <w:tcBorders>
              <w:top w:val="single" w:sz="8" w:color="auto"/>
              <w:right w:val="single" w:sz="8" w:color="000562"/>
            </w:tcBorders>
            <w:vMerge w:val="restart"/>
          </w:tcPr>
          <w:p>
            <w:pPr>
              <w:ind w:left="20"/>
              <w:spacing w:after="0"/>
              <w:rPr>
                <w:sz w:val="20"/>
                <w:szCs w:val="20"/>
                <w:color w:val="auto"/>
              </w:rPr>
            </w:pPr>
            <w:r>
              <w:rPr>
                <w:rFonts w:ascii="Arial" w:cs="Arial" w:eastAsia="Arial" w:hAnsi="Arial"/>
                <w:sz w:val="14"/>
                <w:szCs w:val="14"/>
                <w:color w:val="auto"/>
              </w:rPr>
              <w:t>Payout as % of Target</w:t>
            </w:r>
          </w:p>
        </w:tc>
        <w:tc>
          <w:tcPr>
            <w:tcW w:w="980" w:type="dxa"/>
            <w:vAlign w:val="bottom"/>
            <w:tcBorders>
              <w:top w:val="single" w:sz="8" w:color="auto"/>
              <w:right w:val="single" w:sz="8" w:color="000562"/>
            </w:tcBorders>
            <w:vMerge w:val="restart"/>
          </w:tcPr>
          <w:p>
            <w:pPr>
              <w:jc w:val="right"/>
              <w:spacing w:after="0"/>
              <w:rPr>
                <w:sz w:val="20"/>
                <w:szCs w:val="20"/>
                <w:color w:val="auto"/>
              </w:rPr>
            </w:pPr>
            <w:r>
              <w:rPr>
                <w:rFonts w:ascii="Arial" w:cs="Arial" w:eastAsia="Arial" w:hAnsi="Arial"/>
                <w:sz w:val="14"/>
                <w:szCs w:val="14"/>
                <w:color w:val="auto"/>
              </w:rPr>
              <w:t>60%</w:t>
            </w:r>
          </w:p>
        </w:tc>
        <w:tc>
          <w:tcPr>
            <w:tcW w:w="940" w:type="dxa"/>
            <w:vAlign w:val="bottom"/>
            <w:tcBorders>
              <w:top w:val="single" w:sz="8" w:color="auto"/>
              <w:right w:val="single" w:sz="8" w:color="000562"/>
            </w:tcBorders>
            <w:vMerge w:val="restart"/>
          </w:tcPr>
          <w:p>
            <w:pPr>
              <w:jc w:val="right"/>
              <w:spacing w:after="0"/>
              <w:rPr>
                <w:sz w:val="20"/>
                <w:szCs w:val="20"/>
                <w:color w:val="auto"/>
              </w:rPr>
            </w:pPr>
            <w:r>
              <w:rPr>
                <w:rFonts w:ascii="Arial" w:cs="Arial" w:eastAsia="Arial" w:hAnsi="Arial"/>
                <w:sz w:val="14"/>
                <w:szCs w:val="14"/>
                <w:color w:val="auto"/>
              </w:rPr>
              <w:t>100%</w:t>
            </w:r>
          </w:p>
        </w:tc>
        <w:tc>
          <w:tcPr>
            <w:tcW w:w="960" w:type="dxa"/>
            <w:vAlign w:val="bottom"/>
            <w:tcBorders>
              <w:top w:val="single" w:sz="8" w:color="auto"/>
              <w:right w:val="single" w:sz="8" w:color="000562"/>
            </w:tcBorders>
            <w:vMerge w:val="restart"/>
          </w:tcPr>
          <w:p>
            <w:pPr>
              <w:jc w:val="right"/>
              <w:spacing w:after="0"/>
              <w:rPr>
                <w:sz w:val="20"/>
                <w:szCs w:val="20"/>
                <w:color w:val="auto"/>
              </w:rPr>
            </w:pPr>
            <w:r>
              <w:rPr>
                <w:rFonts w:ascii="Arial" w:cs="Arial" w:eastAsia="Arial" w:hAnsi="Arial"/>
                <w:sz w:val="14"/>
                <w:szCs w:val="14"/>
                <w:color w:val="auto"/>
              </w:rPr>
              <w:t>200%</w:t>
            </w:r>
          </w:p>
        </w:tc>
        <w:tc>
          <w:tcPr>
            <w:tcW w:w="960" w:type="dxa"/>
            <w:vAlign w:val="bottom"/>
            <w:tcBorders>
              <w:top w:val="single" w:sz="8" w:color="auto"/>
              <w:right w:val="single" w:sz="8" w:color="000562"/>
            </w:tcBorders>
            <w:vMerge w:val="restart"/>
          </w:tcPr>
          <w:p>
            <w:pPr>
              <w:jc w:val="right"/>
              <w:spacing w:after="0"/>
              <w:rPr>
                <w:sz w:val="20"/>
                <w:szCs w:val="20"/>
                <w:color w:val="auto"/>
              </w:rPr>
            </w:pPr>
            <w:r>
              <w:rPr>
                <w:rFonts w:ascii="Arial" w:cs="Arial" w:eastAsia="Arial" w:hAnsi="Arial"/>
                <w:sz w:val="14"/>
                <w:szCs w:val="14"/>
                <w:color w:val="auto"/>
              </w:rPr>
              <w:t>123.8%</w:t>
            </w:r>
          </w:p>
        </w:tc>
        <w:tc>
          <w:tcPr>
            <w:tcW w:w="180" w:type="dxa"/>
            <w:vAlign w:val="bottom"/>
            <w:tcBorders>
              <w:top w:val="single" w:sz="8" w:color="E9EFEE"/>
            </w:tcBorders>
            <w:shd w:val="clear" w:color="auto" w:fill="E9EFEE"/>
          </w:tcPr>
          <w:p>
            <w:pPr>
              <w:spacing w:after="0"/>
              <w:rPr>
                <w:sz w:val="6"/>
                <w:szCs w:val="6"/>
                <w:color w:val="auto"/>
              </w:rPr>
            </w:pPr>
          </w:p>
        </w:tc>
        <w:tc>
          <w:tcPr>
            <w:tcW w:w="800" w:type="dxa"/>
            <w:vAlign w:val="bottom"/>
            <w:tcBorders>
              <w:top w:val="single" w:sz="8" w:color="E9EFEE"/>
              <w:right w:val="single" w:sz="8" w:color="000562"/>
            </w:tcBorders>
            <w:gridSpan w:val="2"/>
            <w:vMerge w:val="continue"/>
            <w:shd w:val="clear" w:color="auto" w:fill="E9EFEE"/>
          </w:tcPr>
          <w:p>
            <w:pPr>
              <w:spacing w:after="0"/>
              <w:rPr>
                <w:sz w:val="6"/>
                <w:szCs w:val="6"/>
                <w:color w:val="auto"/>
              </w:rPr>
            </w:pPr>
          </w:p>
        </w:tc>
        <w:tc>
          <w:tcPr>
            <w:tcW w:w="620" w:type="dxa"/>
            <w:vAlign w:val="bottom"/>
            <w:tcBorders>
              <w:top w:val="single" w:sz="8" w:color="E9EFEE"/>
            </w:tcBorders>
            <w:vMerge w:val="continue"/>
            <w:shd w:val="clear" w:color="auto" w:fill="E9EFEE"/>
          </w:tcPr>
          <w:p>
            <w:pPr>
              <w:spacing w:after="0"/>
              <w:rPr>
                <w:sz w:val="6"/>
                <w:szCs w:val="6"/>
                <w:color w:val="auto"/>
              </w:rPr>
            </w:pPr>
          </w:p>
        </w:tc>
        <w:tc>
          <w:tcPr>
            <w:tcW w:w="220" w:type="dxa"/>
            <w:vAlign w:val="bottom"/>
            <w:tcBorders>
              <w:left w:val="single" w:sz="8" w:color="000562"/>
            </w:tcBorders>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120" w:type="dxa"/>
            <w:vAlign w:val="bottom"/>
            <w:tcBorders>
              <w:bottom w:val="single" w:sz="8" w:color="CCEEFF"/>
              <w:right w:val="single" w:sz="8" w:color="000562"/>
            </w:tcBorders>
          </w:tcPr>
          <w:p>
            <w:pPr>
              <w:spacing w:after="0"/>
              <w:rPr>
                <w:sz w:val="9"/>
                <w:szCs w:val="9"/>
                <w:color w:val="auto"/>
              </w:rPr>
            </w:pPr>
          </w:p>
        </w:tc>
        <w:tc>
          <w:tcPr>
            <w:tcW w:w="1420" w:type="dxa"/>
            <w:vAlign w:val="bottom"/>
            <w:tcBorders>
              <w:bottom w:val="single" w:sz="8" w:color="auto"/>
              <w:right w:val="single" w:sz="8" w:color="000562"/>
            </w:tcBorders>
            <w:vMerge w:val="continue"/>
            <w:shd w:val="clear" w:color="auto" w:fill="E9EFEE"/>
          </w:tcPr>
          <w:p>
            <w:pPr>
              <w:spacing w:after="0"/>
              <w:rPr>
                <w:sz w:val="9"/>
                <w:szCs w:val="9"/>
                <w:color w:val="auto"/>
              </w:rPr>
            </w:pPr>
          </w:p>
        </w:tc>
        <w:tc>
          <w:tcPr>
            <w:tcW w:w="2160" w:type="dxa"/>
            <w:vAlign w:val="bottom"/>
            <w:tcBorders>
              <w:bottom w:val="single" w:sz="8" w:color="auto"/>
              <w:right w:val="single" w:sz="8" w:color="000562"/>
            </w:tcBorders>
            <w:vMerge w:val="continue"/>
          </w:tcPr>
          <w:p>
            <w:pPr>
              <w:spacing w:after="0"/>
              <w:rPr>
                <w:sz w:val="9"/>
                <w:szCs w:val="9"/>
                <w:color w:val="auto"/>
              </w:rPr>
            </w:pPr>
          </w:p>
        </w:tc>
        <w:tc>
          <w:tcPr>
            <w:tcW w:w="980" w:type="dxa"/>
            <w:vAlign w:val="bottom"/>
            <w:tcBorders>
              <w:bottom w:val="single" w:sz="8" w:color="auto"/>
              <w:right w:val="single" w:sz="8" w:color="000562"/>
            </w:tcBorders>
            <w:vMerge w:val="continue"/>
          </w:tcPr>
          <w:p>
            <w:pPr>
              <w:spacing w:after="0"/>
              <w:rPr>
                <w:sz w:val="9"/>
                <w:szCs w:val="9"/>
                <w:color w:val="auto"/>
              </w:rPr>
            </w:pPr>
          </w:p>
        </w:tc>
        <w:tc>
          <w:tcPr>
            <w:tcW w:w="940" w:type="dxa"/>
            <w:vAlign w:val="bottom"/>
            <w:tcBorders>
              <w:bottom w:val="single" w:sz="8" w:color="auto"/>
              <w:right w:val="single" w:sz="8" w:color="000562"/>
            </w:tcBorders>
            <w:vMerge w:val="continue"/>
          </w:tcPr>
          <w:p>
            <w:pPr>
              <w:spacing w:after="0"/>
              <w:rPr>
                <w:sz w:val="9"/>
                <w:szCs w:val="9"/>
                <w:color w:val="auto"/>
              </w:rPr>
            </w:pPr>
          </w:p>
        </w:tc>
        <w:tc>
          <w:tcPr>
            <w:tcW w:w="960" w:type="dxa"/>
            <w:vAlign w:val="bottom"/>
            <w:tcBorders>
              <w:bottom w:val="single" w:sz="8" w:color="auto"/>
              <w:right w:val="single" w:sz="8" w:color="000562"/>
            </w:tcBorders>
            <w:vMerge w:val="continue"/>
          </w:tcPr>
          <w:p>
            <w:pPr>
              <w:spacing w:after="0"/>
              <w:rPr>
                <w:sz w:val="9"/>
                <w:szCs w:val="9"/>
                <w:color w:val="auto"/>
              </w:rPr>
            </w:pPr>
          </w:p>
        </w:tc>
        <w:tc>
          <w:tcPr>
            <w:tcW w:w="960" w:type="dxa"/>
            <w:vAlign w:val="bottom"/>
            <w:tcBorders>
              <w:bottom w:val="single" w:sz="8" w:color="auto"/>
              <w:right w:val="single" w:sz="8" w:color="000562"/>
            </w:tcBorders>
            <w:vMerge w:val="continue"/>
          </w:tcPr>
          <w:p>
            <w:pPr>
              <w:spacing w:after="0"/>
              <w:rPr>
                <w:sz w:val="9"/>
                <w:szCs w:val="9"/>
                <w:color w:val="auto"/>
              </w:rPr>
            </w:pPr>
          </w:p>
        </w:tc>
        <w:tc>
          <w:tcPr>
            <w:tcW w:w="180" w:type="dxa"/>
            <w:vAlign w:val="bottom"/>
            <w:tcBorders>
              <w:bottom w:val="single" w:sz="8" w:color="auto"/>
            </w:tcBorders>
            <w:shd w:val="clear" w:color="auto" w:fill="E9EFEE"/>
          </w:tcPr>
          <w:p>
            <w:pPr>
              <w:spacing w:after="0"/>
              <w:rPr>
                <w:sz w:val="9"/>
                <w:szCs w:val="9"/>
                <w:color w:val="auto"/>
              </w:rPr>
            </w:pPr>
          </w:p>
        </w:tc>
        <w:tc>
          <w:tcPr>
            <w:tcW w:w="640" w:type="dxa"/>
            <w:vAlign w:val="bottom"/>
            <w:tcBorders>
              <w:bottom w:val="single" w:sz="8" w:color="auto"/>
            </w:tcBorders>
            <w:shd w:val="clear" w:color="auto" w:fill="E9EFEE"/>
          </w:tcPr>
          <w:p>
            <w:pPr>
              <w:spacing w:after="0"/>
              <w:rPr>
                <w:sz w:val="9"/>
                <w:szCs w:val="9"/>
                <w:color w:val="auto"/>
              </w:rPr>
            </w:pPr>
          </w:p>
        </w:tc>
        <w:tc>
          <w:tcPr>
            <w:tcW w:w="160" w:type="dxa"/>
            <w:vAlign w:val="bottom"/>
            <w:tcBorders>
              <w:bottom w:val="single" w:sz="8" w:color="auto"/>
              <w:right w:val="single" w:sz="8" w:color="000562"/>
            </w:tcBorders>
            <w:shd w:val="clear" w:color="auto" w:fill="E9EFEE"/>
          </w:tcPr>
          <w:p>
            <w:pPr>
              <w:spacing w:after="0"/>
              <w:rPr>
                <w:sz w:val="9"/>
                <w:szCs w:val="9"/>
                <w:color w:val="auto"/>
              </w:rPr>
            </w:pPr>
          </w:p>
        </w:tc>
        <w:tc>
          <w:tcPr>
            <w:tcW w:w="620" w:type="dxa"/>
            <w:vAlign w:val="bottom"/>
            <w:tcBorders>
              <w:bottom w:val="single" w:sz="8" w:color="auto"/>
            </w:tcBorders>
            <w:shd w:val="clear" w:color="auto" w:fill="E9EFEE"/>
          </w:tcPr>
          <w:p>
            <w:pPr>
              <w:spacing w:after="0"/>
              <w:rPr>
                <w:sz w:val="9"/>
                <w:szCs w:val="9"/>
                <w:color w:val="auto"/>
              </w:rPr>
            </w:pPr>
          </w:p>
        </w:tc>
        <w:tc>
          <w:tcPr>
            <w:tcW w:w="220" w:type="dxa"/>
            <w:vAlign w:val="bottom"/>
            <w:tcBorders>
              <w:left w:val="single" w:sz="8" w:color="000562"/>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120" w:type="dxa"/>
            <w:vAlign w:val="bottom"/>
            <w:tcBorders>
              <w:bottom w:val="single" w:sz="8" w:color="CCEEFF"/>
              <w:right w:val="single" w:sz="8" w:color="000562"/>
            </w:tcBorders>
            <w:shd w:val="clear" w:color="auto" w:fill="CCEEFF"/>
          </w:tcPr>
          <w:p>
            <w:pPr>
              <w:spacing w:after="0"/>
              <w:rPr>
                <w:sz w:val="15"/>
                <w:szCs w:val="15"/>
                <w:color w:val="auto"/>
              </w:rPr>
            </w:pPr>
          </w:p>
        </w:tc>
        <w:tc>
          <w:tcPr>
            <w:tcW w:w="1420" w:type="dxa"/>
            <w:vAlign w:val="bottom"/>
            <w:tcBorders>
              <w:bottom w:val="single" w:sz="8" w:color="E9EFEE"/>
              <w:right w:val="single" w:sz="8" w:color="000562"/>
            </w:tcBorders>
            <w:shd w:val="clear" w:color="auto" w:fill="E9EFEE"/>
          </w:tcPr>
          <w:p>
            <w:pPr>
              <w:jc w:val="center"/>
              <w:spacing w:after="0"/>
              <w:rPr>
                <w:sz w:val="20"/>
                <w:szCs w:val="20"/>
                <w:color w:val="auto"/>
              </w:rPr>
            </w:pPr>
            <w:r>
              <w:rPr>
                <w:rFonts w:ascii="Arial" w:cs="Arial" w:eastAsia="Arial" w:hAnsi="Arial"/>
                <w:sz w:val="14"/>
                <w:szCs w:val="14"/>
                <w:b w:val="1"/>
                <w:bCs w:val="1"/>
                <w:color w:val="auto"/>
              </w:rPr>
              <w:t>Cash Flow</w:t>
            </w:r>
          </w:p>
        </w:tc>
        <w:tc>
          <w:tcPr>
            <w:tcW w:w="2160" w:type="dxa"/>
            <w:vAlign w:val="bottom"/>
            <w:tcBorders>
              <w:bottom w:val="single" w:sz="8" w:color="auto"/>
              <w:right w:val="single" w:sz="8" w:color="000562"/>
            </w:tcBorders>
            <w:shd w:val="clear" w:color="auto" w:fill="E9EFEE"/>
          </w:tcPr>
          <w:p>
            <w:pPr>
              <w:ind w:left="20"/>
              <w:spacing w:after="0"/>
              <w:rPr>
                <w:sz w:val="20"/>
                <w:szCs w:val="20"/>
                <w:color w:val="auto"/>
              </w:rPr>
            </w:pPr>
            <w:r>
              <w:rPr>
                <w:rFonts w:ascii="Arial" w:cs="Arial" w:eastAsia="Arial" w:hAnsi="Arial"/>
                <w:sz w:val="14"/>
                <w:szCs w:val="14"/>
                <w:color w:val="auto"/>
              </w:rPr>
              <w:t>Performance Goal</w:t>
            </w:r>
          </w:p>
        </w:tc>
        <w:tc>
          <w:tcPr>
            <w:tcW w:w="980" w:type="dxa"/>
            <w:vAlign w:val="bottom"/>
            <w:tcBorders>
              <w:bottom w:val="single" w:sz="8" w:color="auto"/>
              <w:right w:val="single" w:sz="8" w:color="000562"/>
            </w:tcBorders>
            <w:shd w:val="clear" w:color="auto" w:fill="E9EFEE"/>
          </w:tcPr>
          <w:p>
            <w:pPr>
              <w:jc w:val="right"/>
              <w:ind w:right="88"/>
              <w:spacing w:after="0"/>
              <w:rPr>
                <w:sz w:val="20"/>
                <w:szCs w:val="20"/>
                <w:color w:val="auto"/>
              </w:rPr>
            </w:pPr>
            <w:r>
              <w:rPr>
                <w:rFonts w:ascii="Arial" w:cs="Arial" w:eastAsia="Arial" w:hAnsi="Arial"/>
                <w:sz w:val="14"/>
                <w:szCs w:val="14"/>
                <w:color w:val="auto"/>
              </w:rPr>
              <w:t>$80.8</w:t>
            </w:r>
          </w:p>
        </w:tc>
        <w:tc>
          <w:tcPr>
            <w:tcW w:w="940" w:type="dxa"/>
            <w:vAlign w:val="bottom"/>
            <w:tcBorders>
              <w:bottom w:val="single" w:sz="8" w:color="auto"/>
              <w:right w:val="single" w:sz="8" w:color="000562"/>
            </w:tcBorders>
            <w:shd w:val="clear" w:color="auto" w:fill="E9EFEE"/>
          </w:tcPr>
          <w:p>
            <w:pPr>
              <w:jc w:val="right"/>
              <w:ind w:right="88"/>
              <w:spacing w:after="0"/>
              <w:rPr>
                <w:sz w:val="20"/>
                <w:szCs w:val="20"/>
                <w:color w:val="auto"/>
              </w:rPr>
            </w:pPr>
            <w:r>
              <w:rPr>
                <w:rFonts w:ascii="Arial" w:cs="Arial" w:eastAsia="Arial" w:hAnsi="Arial"/>
                <w:sz w:val="14"/>
                <w:szCs w:val="14"/>
                <w:color w:val="auto"/>
              </w:rPr>
              <w:t>$95.0</w:t>
            </w:r>
          </w:p>
        </w:tc>
        <w:tc>
          <w:tcPr>
            <w:tcW w:w="960" w:type="dxa"/>
            <w:vAlign w:val="bottom"/>
            <w:tcBorders>
              <w:bottom w:val="single" w:sz="8" w:color="auto"/>
              <w:right w:val="single" w:sz="8" w:color="000562"/>
            </w:tcBorders>
            <w:shd w:val="clear" w:color="auto" w:fill="E9EFEE"/>
          </w:tcPr>
          <w:p>
            <w:pPr>
              <w:jc w:val="right"/>
              <w:ind w:right="88"/>
              <w:spacing w:after="0"/>
              <w:rPr>
                <w:sz w:val="20"/>
                <w:szCs w:val="20"/>
                <w:color w:val="auto"/>
              </w:rPr>
            </w:pPr>
            <w:r>
              <w:rPr>
                <w:rFonts w:ascii="Arial" w:cs="Arial" w:eastAsia="Arial" w:hAnsi="Arial"/>
                <w:sz w:val="14"/>
                <w:szCs w:val="14"/>
                <w:color w:val="auto"/>
              </w:rPr>
              <w:t>$133.0</w:t>
            </w:r>
          </w:p>
        </w:tc>
        <w:tc>
          <w:tcPr>
            <w:tcW w:w="960" w:type="dxa"/>
            <w:vAlign w:val="bottom"/>
            <w:tcBorders>
              <w:bottom w:val="single" w:sz="8" w:color="auto"/>
              <w:right w:val="single" w:sz="8" w:color="000562"/>
            </w:tcBorders>
            <w:shd w:val="clear" w:color="auto" w:fill="E9EFEE"/>
          </w:tcPr>
          <w:p>
            <w:pPr>
              <w:jc w:val="right"/>
              <w:ind w:right="88"/>
              <w:spacing w:after="0"/>
              <w:rPr>
                <w:sz w:val="20"/>
                <w:szCs w:val="20"/>
                <w:color w:val="auto"/>
              </w:rPr>
            </w:pPr>
            <w:r>
              <w:rPr>
                <w:rFonts w:ascii="Arial" w:cs="Arial" w:eastAsia="Arial" w:hAnsi="Arial"/>
                <w:sz w:val="14"/>
                <w:szCs w:val="14"/>
                <w:color w:val="auto"/>
              </w:rPr>
              <w:t>$107.8</w:t>
            </w:r>
          </w:p>
        </w:tc>
        <w:tc>
          <w:tcPr>
            <w:tcW w:w="180" w:type="dxa"/>
            <w:vAlign w:val="bottom"/>
            <w:tcBorders>
              <w:bottom w:val="single" w:sz="8" w:color="E9EFEE"/>
            </w:tcBorders>
            <w:shd w:val="clear" w:color="auto" w:fill="E9EFEE"/>
          </w:tcPr>
          <w:p>
            <w:pPr>
              <w:spacing w:after="0"/>
              <w:rPr>
                <w:sz w:val="15"/>
                <w:szCs w:val="15"/>
                <w:color w:val="auto"/>
              </w:rPr>
            </w:pPr>
          </w:p>
        </w:tc>
        <w:tc>
          <w:tcPr>
            <w:tcW w:w="800" w:type="dxa"/>
            <w:vAlign w:val="bottom"/>
            <w:tcBorders>
              <w:bottom w:val="single" w:sz="8" w:color="E9EFEE"/>
              <w:right w:val="single" w:sz="8" w:color="000562"/>
            </w:tcBorders>
            <w:gridSpan w:val="2"/>
            <w:vMerge w:val="restart"/>
            <w:shd w:val="clear" w:color="auto" w:fill="E9EFEE"/>
          </w:tcPr>
          <w:p>
            <w:pPr>
              <w:jc w:val="right"/>
              <w:ind w:right="40"/>
              <w:spacing w:after="0"/>
              <w:rPr>
                <w:sz w:val="20"/>
                <w:szCs w:val="20"/>
                <w:color w:val="auto"/>
              </w:rPr>
            </w:pPr>
            <w:r>
              <w:rPr>
                <w:rFonts w:ascii="Arial" w:cs="Arial" w:eastAsia="Arial" w:hAnsi="Arial"/>
                <w:sz w:val="14"/>
                <w:szCs w:val="14"/>
                <w:color w:val="auto"/>
              </w:rPr>
              <w:t>30%</w:t>
            </w:r>
          </w:p>
        </w:tc>
        <w:tc>
          <w:tcPr>
            <w:tcW w:w="620" w:type="dxa"/>
            <w:vAlign w:val="bottom"/>
            <w:tcBorders>
              <w:bottom w:val="single" w:sz="8" w:color="E9EFEE"/>
            </w:tcBorders>
            <w:vMerge w:val="restart"/>
            <w:shd w:val="clear" w:color="auto" w:fill="E9EFEE"/>
          </w:tcPr>
          <w:p>
            <w:pPr>
              <w:jc w:val="right"/>
              <w:spacing w:after="0"/>
              <w:rPr>
                <w:sz w:val="20"/>
                <w:szCs w:val="20"/>
                <w:color w:val="auto"/>
              </w:rPr>
            </w:pPr>
            <w:r>
              <w:rPr>
                <w:rFonts w:ascii="Arial" w:cs="Arial" w:eastAsia="Arial" w:hAnsi="Arial"/>
                <w:sz w:val="14"/>
                <w:szCs w:val="14"/>
                <w:color w:val="auto"/>
              </w:rPr>
              <w:t>32.5%</w:t>
            </w:r>
          </w:p>
        </w:tc>
        <w:tc>
          <w:tcPr>
            <w:tcW w:w="220" w:type="dxa"/>
            <w:vAlign w:val="bottom"/>
            <w:tcBorders>
              <w:left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120" w:type="dxa"/>
            <w:vAlign w:val="bottom"/>
            <w:tcBorders>
              <w:right w:val="single" w:sz="8" w:color="000562"/>
            </w:tcBorders>
          </w:tcPr>
          <w:p>
            <w:pPr>
              <w:spacing w:after="0"/>
              <w:rPr>
                <w:sz w:val="6"/>
                <w:szCs w:val="6"/>
                <w:color w:val="auto"/>
              </w:rPr>
            </w:pPr>
          </w:p>
        </w:tc>
        <w:tc>
          <w:tcPr>
            <w:tcW w:w="1420" w:type="dxa"/>
            <w:vAlign w:val="bottom"/>
            <w:tcBorders>
              <w:right w:val="single" w:sz="8" w:color="000562"/>
            </w:tcBorders>
            <w:shd w:val="clear" w:color="auto" w:fill="E9EFEE"/>
          </w:tcPr>
          <w:p>
            <w:pPr>
              <w:spacing w:after="0"/>
              <w:rPr>
                <w:sz w:val="6"/>
                <w:szCs w:val="6"/>
                <w:color w:val="auto"/>
              </w:rPr>
            </w:pPr>
          </w:p>
        </w:tc>
        <w:tc>
          <w:tcPr>
            <w:tcW w:w="2160" w:type="dxa"/>
            <w:vAlign w:val="bottom"/>
            <w:tcBorders>
              <w:right w:val="single" w:sz="8" w:color="000562"/>
            </w:tcBorders>
            <w:vMerge w:val="restart"/>
          </w:tcPr>
          <w:p>
            <w:pPr>
              <w:ind w:left="20"/>
              <w:spacing w:after="0"/>
              <w:rPr>
                <w:sz w:val="20"/>
                <w:szCs w:val="20"/>
                <w:color w:val="auto"/>
              </w:rPr>
            </w:pPr>
            <w:r>
              <w:rPr>
                <w:rFonts w:ascii="Arial" w:cs="Arial" w:eastAsia="Arial" w:hAnsi="Arial"/>
                <w:sz w:val="14"/>
                <w:szCs w:val="14"/>
                <w:color w:val="auto"/>
              </w:rPr>
              <w:t>Payout as % of Target</w:t>
            </w:r>
          </w:p>
        </w:tc>
        <w:tc>
          <w:tcPr>
            <w:tcW w:w="980" w:type="dxa"/>
            <w:vAlign w:val="bottom"/>
            <w:tcBorders>
              <w:right w:val="single" w:sz="8" w:color="000562"/>
            </w:tcBorders>
            <w:vMerge w:val="restart"/>
          </w:tcPr>
          <w:p>
            <w:pPr>
              <w:jc w:val="right"/>
              <w:spacing w:after="0"/>
              <w:rPr>
                <w:sz w:val="20"/>
                <w:szCs w:val="20"/>
                <w:color w:val="auto"/>
              </w:rPr>
            </w:pPr>
            <w:r>
              <w:rPr>
                <w:rFonts w:ascii="Arial" w:cs="Arial" w:eastAsia="Arial" w:hAnsi="Arial"/>
                <w:sz w:val="14"/>
                <w:szCs w:val="14"/>
                <w:color w:val="auto"/>
              </w:rPr>
              <w:t>70%</w:t>
            </w:r>
          </w:p>
        </w:tc>
        <w:tc>
          <w:tcPr>
            <w:tcW w:w="940" w:type="dxa"/>
            <w:vAlign w:val="bottom"/>
            <w:tcBorders>
              <w:right w:val="single" w:sz="8" w:color="000562"/>
            </w:tcBorders>
            <w:vMerge w:val="restart"/>
          </w:tcPr>
          <w:p>
            <w:pPr>
              <w:jc w:val="right"/>
              <w:spacing w:after="0"/>
              <w:rPr>
                <w:sz w:val="20"/>
                <w:szCs w:val="20"/>
                <w:color w:val="auto"/>
              </w:rPr>
            </w:pPr>
            <w:r>
              <w:rPr>
                <w:rFonts w:ascii="Arial" w:cs="Arial" w:eastAsia="Arial" w:hAnsi="Arial"/>
                <w:sz w:val="14"/>
                <w:szCs w:val="14"/>
                <w:color w:val="auto"/>
              </w:rPr>
              <w:t>100%</w:t>
            </w:r>
          </w:p>
        </w:tc>
        <w:tc>
          <w:tcPr>
            <w:tcW w:w="960" w:type="dxa"/>
            <w:vAlign w:val="bottom"/>
            <w:tcBorders>
              <w:right w:val="single" w:sz="8" w:color="000562"/>
            </w:tcBorders>
            <w:vMerge w:val="restart"/>
          </w:tcPr>
          <w:p>
            <w:pPr>
              <w:jc w:val="right"/>
              <w:spacing w:after="0"/>
              <w:rPr>
                <w:sz w:val="20"/>
                <w:szCs w:val="20"/>
                <w:color w:val="auto"/>
              </w:rPr>
            </w:pPr>
            <w:r>
              <w:rPr>
                <w:rFonts w:ascii="Arial" w:cs="Arial" w:eastAsia="Arial" w:hAnsi="Arial"/>
                <w:sz w:val="14"/>
                <w:szCs w:val="14"/>
                <w:color w:val="auto"/>
              </w:rPr>
              <w:t>200%</w:t>
            </w:r>
          </w:p>
        </w:tc>
        <w:tc>
          <w:tcPr>
            <w:tcW w:w="960" w:type="dxa"/>
            <w:vAlign w:val="bottom"/>
            <w:tcBorders>
              <w:right w:val="single" w:sz="8" w:color="000562"/>
            </w:tcBorders>
            <w:vMerge w:val="restart"/>
          </w:tcPr>
          <w:p>
            <w:pPr>
              <w:jc w:val="right"/>
              <w:spacing w:after="0"/>
              <w:rPr>
                <w:sz w:val="20"/>
                <w:szCs w:val="20"/>
                <w:color w:val="auto"/>
              </w:rPr>
            </w:pPr>
            <w:r>
              <w:rPr>
                <w:rFonts w:ascii="Arial" w:cs="Arial" w:eastAsia="Arial" w:hAnsi="Arial"/>
                <w:sz w:val="14"/>
                <w:szCs w:val="14"/>
                <w:color w:val="auto"/>
              </w:rPr>
              <w:t>108.5%</w:t>
            </w:r>
          </w:p>
        </w:tc>
        <w:tc>
          <w:tcPr>
            <w:tcW w:w="180" w:type="dxa"/>
            <w:vAlign w:val="bottom"/>
            <w:shd w:val="clear" w:color="auto" w:fill="E9EFEE"/>
          </w:tcPr>
          <w:p>
            <w:pPr>
              <w:spacing w:after="0"/>
              <w:rPr>
                <w:sz w:val="6"/>
                <w:szCs w:val="6"/>
                <w:color w:val="auto"/>
              </w:rPr>
            </w:pPr>
          </w:p>
        </w:tc>
        <w:tc>
          <w:tcPr>
            <w:tcW w:w="800" w:type="dxa"/>
            <w:vAlign w:val="bottom"/>
            <w:tcBorders>
              <w:right w:val="single" w:sz="8" w:color="000562"/>
            </w:tcBorders>
            <w:gridSpan w:val="2"/>
            <w:vMerge w:val="continue"/>
            <w:shd w:val="clear" w:color="auto" w:fill="E9EFEE"/>
          </w:tcPr>
          <w:p>
            <w:pPr>
              <w:spacing w:after="0"/>
              <w:rPr>
                <w:sz w:val="6"/>
                <w:szCs w:val="6"/>
                <w:color w:val="auto"/>
              </w:rPr>
            </w:pPr>
          </w:p>
        </w:tc>
        <w:tc>
          <w:tcPr>
            <w:tcW w:w="620" w:type="dxa"/>
            <w:vAlign w:val="bottom"/>
            <w:vMerge w:val="continue"/>
            <w:shd w:val="clear" w:color="auto" w:fill="E9EFEE"/>
          </w:tcPr>
          <w:p>
            <w:pPr>
              <w:spacing w:after="0"/>
              <w:rPr>
                <w:sz w:val="6"/>
                <w:szCs w:val="6"/>
                <w:color w:val="auto"/>
              </w:rPr>
            </w:pPr>
          </w:p>
        </w:tc>
        <w:tc>
          <w:tcPr>
            <w:tcW w:w="220" w:type="dxa"/>
            <w:vAlign w:val="bottom"/>
            <w:tcBorders>
              <w:left w:val="single" w:sz="8" w:color="000562"/>
            </w:tcBorders>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120" w:type="dxa"/>
            <w:vAlign w:val="bottom"/>
            <w:tcBorders>
              <w:bottom w:val="single" w:sz="8" w:color="CCEEFF"/>
              <w:right w:val="single" w:sz="8" w:color="000562"/>
            </w:tcBorders>
          </w:tcPr>
          <w:p>
            <w:pPr>
              <w:spacing w:after="0"/>
              <w:rPr>
                <w:sz w:val="9"/>
                <w:szCs w:val="9"/>
                <w:color w:val="auto"/>
              </w:rPr>
            </w:pPr>
          </w:p>
        </w:tc>
        <w:tc>
          <w:tcPr>
            <w:tcW w:w="1420" w:type="dxa"/>
            <w:vAlign w:val="bottom"/>
            <w:tcBorders>
              <w:bottom w:val="single" w:sz="8" w:color="auto"/>
              <w:right w:val="single" w:sz="8" w:color="000562"/>
            </w:tcBorders>
            <w:shd w:val="clear" w:color="auto" w:fill="E9EFEE"/>
          </w:tcPr>
          <w:p>
            <w:pPr>
              <w:spacing w:after="0"/>
              <w:rPr>
                <w:sz w:val="9"/>
                <w:szCs w:val="9"/>
                <w:color w:val="auto"/>
              </w:rPr>
            </w:pPr>
          </w:p>
        </w:tc>
        <w:tc>
          <w:tcPr>
            <w:tcW w:w="2160" w:type="dxa"/>
            <w:vAlign w:val="bottom"/>
            <w:tcBorders>
              <w:bottom w:val="single" w:sz="8" w:color="000562"/>
              <w:right w:val="single" w:sz="8" w:color="000562"/>
            </w:tcBorders>
            <w:vMerge w:val="continue"/>
          </w:tcPr>
          <w:p>
            <w:pPr>
              <w:spacing w:after="0"/>
              <w:rPr>
                <w:sz w:val="9"/>
                <w:szCs w:val="9"/>
                <w:color w:val="auto"/>
              </w:rPr>
            </w:pPr>
          </w:p>
        </w:tc>
        <w:tc>
          <w:tcPr>
            <w:tcW w:w="980" w:type="dxa"/>
            <w:vAlign w:val="bottom"/>
            <w:tcBorders>
              <w:bottom w:val="single" w:sz="8" w:color="000562"/>
              <w:right w:val="single" w:sz="8" w:color="000562"/>
            </w:tcBorders>
            <w:vMerge w:val="continue"/>
          </w:tcPr>
          <w:p>
            <w:pPr>
              <w:spacing w:after="0"/>
              <w:rPr>
                <w:sz w:val="9"/>
                <w:szCs w:val="9"/>
                <w:color w:val="auto"/>
              </w:rPr>
            </w:pPr>
          </w:p>
        </w:tc>
        <w:tc>
          <w:tcPr>
            <w:tcW w:w="940" w:type="dxa"/>
            <w:vAlign w:val="bottom"/>
            <w:tcBorders>
              <w:bottom w:val="single" w:sz="8" w:color="000562"/>
              <w:right w:val="single" w:sz="8" w:color="000562"/>
            </w:tcBorders>
            <w:vMerge w:val="continue"/>
          </w:tcPr>
          <w:p>
            <w:pPr>
              <w:spacing w:after="0"/>
              <w:rPr>
                <w:sz w:val="9"/>
                <w:szCs w:val="9"/>
                <w:color w:val="auto"/>
              </w:rPr>
            </w:pPr>
          </w:p>
        </w:tc>
        <w:tc>
          <w:tcPr>
            <w:tcW w:w="960" w:type="dxa"/>
            <w:vAlign w:val="bottom"/>
            <w:tcBorders>
              <w:bottom w:val="single" w:sz="8" w:color="000562"/>
              <w:right w:val="single" w:sz="8" w:color="000562"/>
            </w:tcBorders>
            <w:vMerge w:val="continue"/>
          </w:tcPr>
          <w:p>
            <w:pPr>
              <w:spacing w:after="0"/>
              <w:rPr>
                <w:sz w:val="9"/>
                <w:szCs w:val="9"/>
                <w:color w:val="auto"/>
              </w:rPr>
            </w:pPr>
          </w:p>
        </w:tc>
        <w:tc>
          <w:tcPr>
            <w:tcW w:w="960" w:type="dxa"/>
            <w:vAlign w:val="bottom"/>
            <w:tcBorders>
              <w:bottom w:val="single" w:sz="8" w:color="000562"/>
              <w:right w:val="single" w:sz="8" w:color="000562"/>
            </w:tcBorders>
            <w:vMerge w:val="continue"/>
          </w:tcPr>
          <w:p>
            <w:pPr>
              <w:spacing w:after="0"/>
              <w:rPr>
                <w:sz w:val="9"/>
                <w:szCs w:val="9"/>
                <w:color w:val="auto"/>
              </w:rPr>
            </w:pPr>
          </w:p>
        </w:tc>
        <w:tc>
          <w:tcPr>
            <w:tcW w:w="180" w:type="dxa"/>
            <w:vAlign w:val="bottom"/>
            <w:tcBorders>
              <w:bottom w:val="single" w:sz="8" w:color="auto"/>
            </w:tcBorders>
            <w:shd w:val="clear" w:color="auto" w:fill="E9EFEE"/>
          </w:tcPr>
          <w:p>
            <w:pPr>
              <w:spacing w:after="0"/>
              <w:rPr>
                <w:sz w:val="9"/>
                <w:szCs w:val="9"/>
                <w:color w:val="auto"/>
              </w:rPr>
            </w:pPr>
          </w:p>
        </w:tc>
        <w:tc>
          <w:tcPr>
            <w:tcW w:w="640" w:type="dxa"/>
            <w:vAlign w:val="bottom"/>
            <w:tcBorders>
              <w:bottom w:val="single" w:sz="8" w:color="auto"/>
            </w:tcBorders>
            <w:shd w:val="clear" w:color="auto" w:fill="E9EFEE"/>
          </w:tcPr>
          <w:p>
            <w:pPr>
              <w:spacing w:after="0"/>
              <w:rPr>
                <w:sz w:val="9"/>
                <w:szCs w:val="9"/>
                <w:color w:val="auto"/>
              </w:rPr>
            </w:pPr>
          </w:p>
        </w:tc>
        <w:tc>
          <w:tcPr>
            <w:tcW w:w="160" w:type="dxa"/>
            <w:vAlign w:val="bottom"/>
            <w:tcBorders>
              <w:bottom w:val="single" w:sz="8" w:color="auto"/>
              <w:right w:val="single" w:sz="8" w:color="000562"/>
            </w:tcBorders>
            <w:shd w:val="clear" w:color="auto" w:fill="E9EFEE"/>
          </w:tcPr>
          <w:p>
            <w:pPr>
              <w:spacing w:after="0"/>
              <w:rPr>
                <w:sz w:val="9"/>
                <w:szCs w:val="9"/>
                <w:color w:val="auto"/>
              </w:rPr>
            </w:pPr>
          </w:p>
        </w:tc>
        <w:tc>
          <w:tcPr>
            <w:tcW w:w="620" w:type="dxa"/>
            <w:vAlign w:val="bottom"/>
            <w:tcBorders>
              <w:bottom w:val="single" w:sz="8" w:color="auto"/>
            </w:tcBorders>
            <w:shd w:val="clear" w:color="auto" w:fill="E9EFEE"/>
          </w:tcPr>
          <w:p>
            <w:pPr>
              <w:spacing w:after="0"/>
              <w:rPr>
                <w:sz w:val="9"/>
                <w:szCs w:val="9"/>
                <w:color w:val="auto"/>
              </w:rPr>
            </w:pPr>
          </w:p>
        </w:tc>
        <w:tc>
          <w:tcPr>
            <w:tcW w:w="220" w:type="dxa"/>
            <w:vAlign w:val="bottom"/>
            <w:tcBorders>
              <w:left w:val="single" w:sz="8" w:color="000562"/>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120" w:type="dxa"/>
            <w:vAlign w:val="bottom"/>
            <w:tcBorders>
              <w:right w:val="single" w:sz="8" w:color="CCEEFF"/>
            </w:tcBorders>
            <w:shd w:val="clear" w:color="auto" w:fill="CCEEFF"/>
          </w:tcPr>
          <w:p>
            <w:pPr>
              <w:spacing w:after="0"/>
              <w:rPr>
                <w:sz w:val="15"/>
                <w:szCs w:val="15"/>
                <w:color w:val="auto"/>
              </w:rPr>
            </w:pPr>
          </w:p>
        </w:tc>
        <w:tc>
          <w:tcPr>
            <w:tcW w:w="1420" w:type="dxa"/>
            <w:vAlign w:val="bottom"/>
            <w:tcBorders>
              <w:right w:val="single" w:sz="8" w:color="CCEEFF"/>
            </w:tcBorders>
            <w:shd w:val="clear" w:color="auto" w:fill="CCEEFF"/>
          </w:tcPr>
          <w:p>
            <w:pPr>
              <w:spacing w:after="0"/>
              <w:rPr>
                <w:sz w:val="15"/>
                <w:szCs w:val="15"/>
                <w:color w:val="auto"/>
              </w:rPr>
            </w:pPr>
          </w:p>
        </w:tc>
        <w:tc>
          <w:tcPr>
            <w:tcW w:w="2160" w:type="dxa"/>
            <w:vAlign w:val="bottom"/>
            <w:tcBorders>
              <w:right w:val="single" w:sz="8" w:color="CCEEFF"/>
            </w:tcBorders>
            <w:shd w:val="clear" w:color="auto" w:fill="CCEEFF"/>
          </w:tcPr>
          <w:p>
            <w:pPr>
              <w:spacing w:after="0"/>
              <w:rPr>
                <w:sz w:val="15"/>
                <w:szCs w:val="15"/>
                <w:color w:val="auto"/>
              </w:rPr>
            </w:pPr>
          </w:p>
        </w:tc>
        <w:tc>
          <w:tcPr>
            <w:tcW w:w="980" w:type="dxa"/>
            <w:vAlign w:val="bottom"/>
            <w:tcBorders>
              <w:right w:val="single" w:sz="8" w:color="CCEEFF"/>
            </w:tcBorders>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spacing w:after="0"/>
              <w:rPr>
                <w:sz w:val="15"/>
                <w:szCs w:val="15"/>
                <w:color w:val="auto"/>
              </w:rPr>
            </w:pPr>
          </w:p>
        </w:tc>
        <w:tc>
          <w:tcPr>
            <w:tcW w:w="960" w:type="dxa"/>
            <w:vAlign w:val="bottom"/>
            <w:tcBorders>
              <w:right w:val="single" w:sz="8" w:color="CCEEFF"/>
            </w:tcBorders>
            <w:shd w:val="clear" w:color="auto" w:fill="CCEEFF"/>
          </w:tcPr>
          <w:p>
            <w:pPr>
              <w:spacing w:after="0"/>
              <w:rPr>
                <w:sz w:val="15"/>
                <w:szCs w:val="15"/>
                <w:color w:val="auto"/>
              </w:rPr>
            </w:pPr>
          </w:p>
        </w:tc>
        <w:tc>
          <w:tcPr>
            <w:tcW w:w="960" w:type="dxa"/>
            <w:vAlign w:val="bottom"/>
            <w:tcBorders>
              <w:right w:val="single" w:sz="8" w:color="000562"/>
            </w:tcBorders>
            <w:shd w:val="clear" w:color="auto" w:fill="CCEEFF"/>
          </w:tcPr>
          <w:p>
            <w:pPr>
              <w:spacing w:after="0"/>
              <w:rPr>
                <w:sz w:val="15"/>
                <w:szCs w:val="15"/>
                <w:color w:val="auto"/>
              </w:rPr>
            </w:pPr>
          </w:p>
        </w:tc>
        <w:tc>
          <w:tcPr>
            <w:tcW w:w="180" w:type="dxa"/>
            <w:vAlign w:val="bottom"/>
            <w:tcBorders>
              <w:bottom w:val="single" w:sz="8" w:color="000562"/>
            </w:tcBorders>
            <w:shd w:val="clear" w:color="auto" w:fill="E9EFEE"/>
          </w:tcPr>
          <w:p>
            <w:pPr>
              <w:spacing w:after="0"/>
              <w:rPr>
                <w:sz w:val="15"/>
                <w:szCs w:val="15"/>
                <w:color w:val="auto"/>
              </w:rPr>
            </w:pPr>
          </w:p>
        </w:tc>
        <w:tc>
          <w:tcPr>
            <w:tcW w:w="640" w:type="dxa"/>
            <w:vAlign w:val="bottom"/>
            <w:tcBorders>
              <w:bottom w:val="single" w:sz="8" w:color="000562"/>
            </w:tcBorders>
          </w:tcPr>
          <w:p>
            <w:pPr>
              <w:jc w:val="right"/>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000562"/>
              <w:right w:val="single" w:sz="8" w:color="000562"/>
            </w:tcBorders>
            <w:shd w:val="clear" w:color="auto" w:fill="E9EFEE"/>
          </w:tcPr>
          <w:p>
            <w:pPr>
              <w:spacing w:after="0"/>
              <w:rPr>
                <w:sz w:val="15"/>
                <w:szCs w:val="15"/>
                <w:color w:val="auto"/>
              </w:rPr>
            </w:pPr>
          </w:p>
        </w:tc>
        <w:tc>
          <w:tcPr>
            <w:tcW w:w="620" w:type="dxa"/>
            <w:vAlign w:val="bottom"/>
            <w:tcBorders>
              <w:bottom w:val="single" w:sz="8" w:color="000562"/>
            </w:tcBorders>
            <w:shd w:val="clear" w:color="auto" w:fill="E9EFEE"/>
          </w:tcPr>
          <w:p>
            <w:pPr>
              <w:jc w:val="right"/>
              <w:spacing w:after="0"/>
              <w:rPr>
                <w:sz w:val="20"/>
                <w:szCs w:val="20"/>
                <w:color w:val="auto"/>
              </w:rPr>
            </w:pPr>
            <w:r>
              <w:rPr>
                <w:rFonts w:ascii="Arial" w:cs="Arial" w:eastAsia="Arial" w:hAnsi="Arial"/>
                <w:sz w:val="14"/>
                <w:szCs w:val="14"/>
                <w:color w:val="auto"/>
              </w:rPr>
              <w:t>119.2%</w:t>
            </w:r>
          </w:p>
        </w:tc>
        <w:tc>
          <w:tcPr>
            <w:tcW w:w="220" w:type="dxa"/>
            <w:vAlign w:val="bottom"/>
            <w:tcBorders>
              <w:left w:val="single" w:sz="8" w:color="000562"/>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-650875</wp:posOffset>
            </wp:positionV>
            <wp:extent cx="60325"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128905"/>
                    </a:xfrm>
                    <a:prstGeom prst="rect">
                      <a:avLst/>
                    </a:prstGeom>
                    <a:noFill/>
                  </pic:spPr>
                </pic:pic>
              </a:graphicData>
            </a:graphic>
          </wp:anchor>
        </w:drawing>
        <w:drawing>
          <wp:anchor simplePos="0" relativeHeight="251657728" behindDoc="1" locked="0" layoutInCell="0" allowOverlap="1">
            <wp:simplePos x="0" y="0"/>
            <wp:positionH relativeFrom="column">
              <wp:posOffset>5805805</wp:posOffset>
            </wp:positionH>
            <wp:positionV relativeFrom="paragraph">
              <wp:posOffset>-650875</wp:posOffset>
            </wp:positionV>
            <wp:extent cx="137160" cy="128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-393700</wp:posOffset>
            </wp:positionV>
            <wp:extent cx="60325"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128905"/>
                    </a:xfrm>
                    <a:prstGeom prst="rect">
                      <a:avLst/>
                    </a:prstGeom>
                    <a:noFill/>
                  </pic:spPr>
                </pic:pic>
              </a:graphicData>
            </a:graphic>
          </wp:anchor>
        </w:drawing>
        <w:drawing>
          <wp:anchor simplePos="0" relativeHeight="251657728" behindDoc="1" locked="0" layoutInCell="0" allowOverlap="1">
            <wp:simplePos x="0" y="0"/>
            <wp:positionH relativeFrom="column">
              <wp:posOffset>5805805</wp:posOffset>
            </wp:positionH>
            <wp:positionV relativeFrom="paragraph">
              <wp:posOffset>-393700</wp:posOffset>
            </wp:positionV>
            <wp:extent cx="137160"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-393700</wp:posOffset>
            </wp:positionV>
            <wp:extent cx="5308600" cy="3860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308600" cy="386080"/>
                    </a:xfrm>
                    <a:prstGeom prst="rect">
                      <a:avLst/>
                    </a:prstGeom>
                    <a:noFill/>
                  </pic:spPr>
                </pic:pic>
              </a:graphicData>
            </a:graphic>
          </wp:anchor>
        </w:drawing>
      </w:r>
    </w:p>
    <w:p>
      <w:pPr>
        <w:spacing w:after="0" w:line="93" w:lineRule="exact"/>
        <w:rPr>
          <w:sz w:val="20"/>
          <w:szCs w:val="20"/>
          <w:color w:val="auto"/>
        </w:rPr>
      </w:pPr>
    </w:p>
    <w:p>
      <w:pPr>
        <w:jc w:val="both"/>
        <w:ind w:left="400" w:right="20" w:hanging="353"/>
        <w:spacing w:after="0" w:line="247" w:lineRule="auto"/>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Actual 2018 results were determined excluding certain unbudgeted merger and acquisition diligence costs, and on a constant currency basis, using currency rates defined at the time the measures were approved. This is intended to evaluate the operating performance of each performance measure relative to targeted levels and remove the positive or negative impact of changes in foreign currencies relative to the U.S. dollar during the year.</w:t>
      </w:r>
    </w:p>
    <w:p>
      <w:pPr>
        <w:spacing w:after="0" w:line="178" w:lineRule="exact"/>
        <w:rPr>
          <w:sz w:val="20"/>
          <w:szCs w:val="20"/>
          <w:color w:val="auto"/>
        </w:rPr>
      </w:pPr>
    </w:p>
    <w:p>
      <w:pPr>
        <w:ind w:left="360" w:hanging="349"/>
        <w:spacing w:after="0"/>
        <w:tabs>
          <w:tab w:leader="none" w:pos="360" w:val="left"/>
        </w:tabs>
        <w:numPr>
          <w:ilvl w:val="0"/>
          <w:numId w:val="42"/>
        </w:numPr>
        <w:rPr>
          <w:rFonts w:ascii="Arial" w:cs="Arial" w:eastAsia="Arial" w:hAnsi="Arial"/>
          <w:sz w:val="18"/>
          <w:szCs w:val="18"/>
          <w:b w:val="1"/>
          <w:bCs w:val="1"/>
          <w:color w:val="auto"/>
        </w:rPr>
      </w:pPr>
      <w:r>
        <w:rPr>
          <w:rFonts w:ascii="Arial" w:cs="Arial" w:eastAsia="Arial" w:hAnsi="Arial"/>
          <w:sz w:val="22"/>
          <w:szCs w:val="22"/>
          <w:b w:val="1"/>
          <w:bCs w:val="1"/>
          <w:color w:val="000562"/>
        </w:rPr>
        <w:t xml:space="preserve">I </w:t>
      </w:r>
      <w:r>
        <w:rPr>
          <w:rFonts w:ascii="Arial" w:cs="Arial" w:eastAsia="Arial" w:hAnsi="Arial"/>
          <w:sz w:val="18"/>
          <w:szCs w:val="18"/>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071870" cy="431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0562"/>
        </w:rPr>
        <w:t>EXECUTIVE COMPENSATION — COMPENSATION DISCUSSION AND ANALYSIS</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 xml:space="preserve">Award Determination and Payouts. </w:t>
      </w:r>
      <w:r>
        <w:rPr>
          <w:rFonts w:ascii="Arial" w:cs="Arial" w:eastAsia="Arial" w:hAnsi="Arial"/>
          <w:sz w:val="18"/>
          <w:szCs w:val="18"/>
          <w:color w:val="auto"/>
        </w:rPr>
        <w:t>In February 2019, the Committee determined and certified the degree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underlying STI goals for the prior year were achieved, which actual results are highlighted in the tables above. As a result, our NEOs earned the following STI payouts in cash for 2018 performance: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0562"/>
              </w:rPr>
              <w:t>STI</w:t>
            </w:r>
          </w:p>
        </w:tc>
      </w:tr>
      <w:tr>
        <w:trPr>
          <w:trHeight w:val="162"/>
        </w:trPr>
        <w:tc>
          <w:tcPr>
            <w:tcW w:w="2540" w:type="dxa"/>
            <w:vAlign w:val="bottom"/>
          </w:tcPr>
          <w:p>
            <w:pPr>
              <w:spacing w:after="0"/>
              <w:rPr>
                <w:sz w:val="14"/>
                <w:szCs w:val="14"/>
                <w:color w:val="auto"/>
              </w:rPr>
            </w:pPr>
          </w:p>
        </w:tc>
        <w:tc>
          <w:tcPr>
            <w:tcW w:w="3020" w:type="dxa"/>
            <w:vAlign w:val="bottom"/>
          </w:tcPr>
          <w:p>
            <w:pPr>
              <w:jc w:val="center"/>
              <w:ind w:left="1323"/>
              <w:spacing w:after="0"/>
              <w:rPr>
                <w:sz w:val="20"/>
                <w:szCs w:val="20"/>
                <w:color w:val="auto"/>
              </w:rPr>
            </w:pPr>
            <w:r>
              <w:rPr>
                <w:rFonts w:ascii="Arial" w:cs="Arial" w:eastAsia="Arial" w:hAnsi="Arial"/>
                <w:sz w:val="14"/>
                <w:szCs w:val="14"/>
                <w:b w:val="1"/>
                <w:bCs w:val="1"/>
                <w:color w:val="000562"/>
              </w:rPr>
              <w:t>Target Award as</w:t>
            </w:r>
          </w:p>
        </w:tc>
        <w:tc>
          <w:tcPr>
            <w:tcW w:w="12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000562"/>
              </w:rPr>
              <w:t>STI Payout as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0562"/>
              </w:rPr>
              <w:t>Earned</w:t>
            </w:r>
          </w:p>
        </w:tc>
      </w:tr>
      <w:tr>
        <w:trPr>
          <w:trHeight w:val="162"/>
        </w:trPr>
        <w:tc>
          <w:tcPr>
            <w:tcW w:w="2540" w:type="dxa"/>
            <w:vAlign w:val="bottom"/>
          </w:tcPr>
          <w:p>
            <w:pPr>
              <w:spacing w:after="0"/>
              <w:rPr>
                <w:sz w:val="14"/>
                <w:szCs w:val="14"/>
                <w:color w:val="auto"/>
              </w:rPr>
            </w:pPr>
          </w:p>
        </w:tc>
        <w:tc>
          <w:tcPr>
            <w:tcW w:w="3020" w:type="dxa"/>
            <w:vAlign w:val="bottom"/>
          </w:tcPr>
          <w:p>
            <w:pPr>
              <w:jc w:val="center"/>
              <w:ind w:left="1323"/>
              <w:spacing w:after="0"/>
              <w:rPr>
                <w:sz w:val="20"/>
                <w:szCs w:val="20"/>
                <w:color w:val="auto"/>
              </w:rPr>
            </w:pPr>
            <w:r>
              <w:rPr>
                <w:rFonts w:ascii="Arial" w:cs="Arial" w:eastAsia="Arial" w:hAnsi="Arial"/>
                <w:sz w:val="14"/>
                <w:szCs w:val="14"/>
                <w:b w:val="1"/>
                <w:bCs w:val="1"/>
                <w:color w:val="000562"/>
              </w:rPr>
              <w:t>Percent of</w:t>
            </w:r>
          </w:p>
        </w:tc>
        <w:tc>
          <w:tcPr>
            <w:tcW w:w="1280" w:type="dxa"/>
            <w:vAlign w:val="bottom"/>
          </w:tcPr>
          <w:p>
            <w:pPr>
              <w:jc w:val="right"/>
              <w:ind w:right="223"/>
              <w:spacing w:after="0"/>
              <w:rPr>
                <w:sz w:val="20"/>
                <w:szCs w:val="20"/>
                <w:color w:val="auto"/>
              </w:rPr>
            </w:pPr>
            <w:r>
              <w:rPr>
                <w:rFonts w:ascii="Arial" w:cs="Arial" w:eastAsia="Arial" w:hAnsi="Arial"/>
                <w:sz w:val="14"/>
                <w:szCs w:val="14"/>
                <w:b w:val="1"/>
                <w:bCs w:val="1"/>
                <w:color w:val="000562"/>
              </w:rPr>
              <w:t>Target STI</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000562"/>
              </w:rPr>
              <w:t>% of Total</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0562"/>
              </w:rPr>
              <w:t>and Paid</w:t>
            </w:r>
          </w:p>
        </w:tc>
      </w:tr>
      <w:tr>
        <w:trPr>
          <w:trHeight w:val="189"/>
        </w:trPr>
        <w:tc>
          <w:tcPr>
            <w:tcW w:w="2540" w:type="dxa"/>
            <w:vAlign w:val="bottom"/>
            <w:tcBorders>
              <w:bottom w:val="single" w:sz="8" w:color="000562"/>
            </w:tcBorders>
          </w:tcPr>
          <w:p>
            <w:pPr>
              <w:ind w:left="20"/>
              <w:spacing w:after="0"/>
              <w:rPr>
                <w:sz w:val="20"/>
                <w:szCs w:val="20"/>
                <w:color w:val="auto"/>
              </w:rPr>
            </w:pPr>
            <w:r>
              <w:rPr>
                <w:rFonts w:ascii="Arial" w:cs="Arial" w:eastAsia="Arial" w:hAnsi="Arial"/>
                <w:sz w:val="14"/>
                <w:szCs w:val="14"/>
                <w:b w:val="1"/>
                <w:bCs w:val="1"/>
                <w:color w:val="000562"/>
              </w:rPr>
              <w:t>NEO</w:t>
            </w:r>
          </w:p>
        </w:tc>
        <w:tc>
          <w:tcPr>
            <w:tcW w:w="3020" w:type="dxa"/>
            <w:vAlign w:val="bottom"/>
            <w:tcBorders>
              <w:bottom w:val="single" w:sz="8" w:color="000562"/>
            </w:tcBorders>
          </w:tcPr>
          <w:p>
            <w:pPr>
              <w:jc w:val="center"/>
              <w:ind w:left="1323"/>
              <w:spacing w:after="0"/>
              <w:rPr>
                <w:sz w:val="20"/>
                <w:szCs w:val="20"/>
                <w:color w:val="auto"/>
              </w:rPr>
            </w:pPr>
            <w:r>
              <w:rPr>
                <w:rFonts w:ascii="Arial" w:cs="Arial" w:eastAsia="Arial" w:hAnsi="Arial"/>
                <w:sz w:val="14"/>
                <w:szCs w:val="14"/>
                <w:b w:val="1"/>
                <w:bCs w:val="1"/>
                <w:color w:val="000562"/>
              </w:rPr>
              <w:t>Base Salary</w:t>
            </w:r>
          </w:p>
        </w:tc>
        <w:tc>
          <w:tcPr>
            <w:tcW w:w="1280" w:type="dxa"/>
            <w:vAlign w:val="bottom"/>
            <w:tcBorders>
              <w:bottom w:val="single" w:sz="8" w:color="000562"/>
            </w:tcBorders>
          </w:tcPr>
          <w:p>
            <w:pPr>
              <w:jc w:val="right"/>
              <w:ind w:right="263"/>
              <w:spacing w:after="0"/>
              <w:rPr>
                <w:sz w:val="20"/>
                <w:szCs w:val="20"/>
                <w:color w:val="auto"/>
              </w:rPr>
            </w:pPr>
            <w:r>
              <w:rPr>
                <w:rFonts w:ascii="Arial" w:cs="Arial" w:eastAsia="Arial" w:hAnsi="Arial"/>
                <w:sz w:val="14"/>
                <w:szCs w:val="14"/>
                <w:b w:val="1"/>
                <w:bCs w:val="1"/>
                <w:color w:val="000562"/>
              </w:rPr>
              <w:t>Amounts</w:t>
            </w:r>
          </w:p>
        </w:tc>
        <w:tc>
          <w:tcPr>
            <w:tcW w:w="1500" w:type="dxa"/>
            <w:vAlign w:val="bottom"/>
            <w:tcBorders>
              <w:bottom w:val="single" w:sz="8" w:color="000562"/>
            </w:tcBorders>
          </w:tcPr>
          <w:p>
            <w:pPr>
              <w:jc w:val="center"/>
              <w:spacing w:after="0"/>
              <w:rPr>
                <w:sz w:val="20"/>
                <w:szCs w:val="20"/>
                <w:color w:val="auto"/>
              </w:rPr>
            </w:pPr>
            <w:r>
              <w:rPr>
                <w:rFonts w:ascii="Arial" w:cs="Arial" w:eastAsia="Arial" w:hAnsi="Arial"/>
                <w:sz w:val="14"/>
                <w:szCs w:val="14"/>
                <w:b w:val="1"/>
                <w:bCs w:val="1"/>
                <w:color w:val="000562"/>
              </w:rPr>
              <w:t>Target Award</w:t>
            </w:r>
          </w:p>
        </w:tc>
        <w:tc>
          <w:tcPr>
            <w:tcW w:w="1220" w:type="dxa"/>
            <w:vAlign w:val="bottom"/>
            <w:tcBorders>
              <w:bottom w:val="single" w:sz="8" w:color="000562"/>
            </w:tcBorders>
          </w:tcPr>
          <w:p>
            <w:pPr>
              <w:jc w:val="center"/>
              <w:spacing w:after="0"/>
              <w:rPr>
                <w:sz w:val="20"/>
                <w:szCs w:val="20"/>
                <w:color w:val="auto"/>
              </w:rPr>
            </w:pPr>
            <w:r>
              <w:rPr>
                <w:rFonts w:ascii="Arial" w:cs="Arial" w:eastAsia="Arial" w:hAnsi="Arial"/>
                <w:sz w:val="14"/>
                <w:szCs w:val="14"/>
                <w:b w:val="1"/>
                <w:bCs w:val="1"/>
                <w:color w:val="000562"/>
              </w:rPr>
              <w:t>in Cash</w:t>
            </w:r>
          </w:p>
        </w:tc>
      </w:tr>
      <w:tr>
        <w:trPr>
          <w:trHeight w:val="210"/>
        </w:trPr>
        <w:tc>
          <w:tcPr>
            <w:tcW w:w="2540" w:type="dxa"/>
            <w:vAlign w:val="bottom"/>
            <w:shd w:val="clear" w:color="auto" w:fill="E9EFEE"/>
          </w:tcPr>
          <w:p>
            <w:pPr>
              <w:ind w:left="20"/>
              <w:spacing w:after="0"/>
              <w:rPr>
                <w:sz w:val="20"/>
                <w:szCs w:val="20"/>
                <w:color w:val="auto"/>
              </w:rPr>
            </w:pPr>
            <w:r>
              <w:rPr>
                <w:rFonts w:ascii="Arial" w:cs="Arial" w:eastAsia="Arial" w:hAnsi="Arial"/>
                <w:sz w:val="16"/>
                <w:szCs w:val="16"/>
                <w:color w:val="auto"/>
              </w:rPr>
              <w:t>Mr. Amato</w:t>
            </w:r>
          </w:p>
        </w:tc>
        <w:tc>
          <w:tcPr>
            <w:tcW w:w="3020" w:type="dxa"/>
            <w:vAlign w:val="bottom"/>
            <w:shd w:val="clear" w:color="auto" w:fill="E9EFEE"/>
          </w:tcPr>
          <w:p>
            <w:pPr>
              <w:jc w:val="right"/>
              <w:ind w:right="403"/>
              <w:spacing w:after="0"/>
              <w:rPr>
                <w:sz w:val="20"/>
                <w:szCs w:val="20"/>
                <w:color w:val="auto"/>
              </w:rPr>
            </w:pPr>
            <w:r>
              <w:rPr>
                <w:rFonts w:ascii="Arial" w:cs="Arial" w:eastAsia="Arial" w:hAnsi="Arial"/>
                <w:sz w:val="16"/>
                <w:szCs w:val="16"/>
                <w:color w:val="auto"/>
              </w:rPr>
              <w:t>100.0%</w:t>
            </w:r>
          </w:p>
        </w:tc>
        <w:tc>
          <w:tcPr>
            <w:tcW w:w="1280" w:type="dxa"/>
            <w:vAlign w:val="bottom"/>
            <w:shd w:val="clear" w:color="auto" w:fill="E9EFEE"/>
          </w:tcPr>
          <w:p>
            <w:pPr>
              <w:jc w:val="right"/>
              <w:ind w:right="183"/>
              <w:spacing w:after="0"/>
              <w:rPr>
                <w:sz w:val="20"/>
                <w:szCs w:val="20"/>
                <w:color w:val="auto"/>
              </w:rPr>
            </w:pPr>
            <w:r>
              <w:rPr>
                <w:rFonts w:ascii="Arial" w:cs="Arial" w:eastAsia="Arial" w:hAnsi="Arial"/>
                <w:sz w:val="16"/>
                <w:szCs w:val="16"/>
                <w:color w:val="auto"/>
              </w:rPr>
              <w:t>$650,000</w:t>
            </w:r>
          </w:p>
        </w:tc>
        <w:tc>
          <w:tcPr>
            <w:tcW w:w="1500" w:type="dxa"/>
            <w:vAlign w:val="bottom"/>
            <w:shd w:val="clear" w:color="auto" w:fill="E9EFEE"/>
          </w:tcPr>
          <w:p>
            <w:pPr>
              <w:jc w:val="right"/>
              <w:ind w:right="363"/>
              <w:spacing w:after="0"/>
              <w:rPr>
                <w:sz w:val="20"/>
                <w:szCs w:val="20"/>
                <w:color w:val="auto"/>
              </w:rPr>
            </w:pPr>
            <w:r>
              <w:rPr>
                <w:rFonts w:ascii="Arial" w:cs="Arial" w:eastAsia="Arial" w:hAnsi="Arial"/>
                <w:sz w:val="16"/>
                <w:szCs w:val="16"/>
                <w:color w:val="auto"/>
              </w:rPr>
              <w:t>119.2%</w:t>
            </w:r>
          </w:p>
        </w:tc>
        <w:tc>
          <w:tcPr>
            <w:tcW w:w="1220" w:type="dxa"/>
            <w:vAlign w:val="bottom"/>
            <w:shd w:val="clear" w:color="auto" w:fill="E9EFEE"/>
          </w:tcPr>
          <w:p>
            <w:pPr>
              <w:jc w:val="right"/>
              <w:ind w:right="164"/>
              <w:spacing w:after="0"/>
              <w:rPr>
                <w:sz w:val="20"/>
                <w:szCs w:val="20"/>
                <w:color w:val="auto"/>
              </w:rPr>
            </w:pPr>
            <w:r>
              <w:rPr>
                <w:rFonts w:ascii="Arial" w:cs="Arial" w:eastAsia="Arial" w:hAnsi="Arial"/>
                <w:sz w:val="16"/>
                <w:szCs w:val="16"/>
                <w:color w:val="auto"/>
              </w:rPr>
              <w:t>$774,800</w:t>
            </w: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color w:val="auto"/>
              </w:rPr>
              <w:t>Mr. Zalupski</w:t>
            </w:r>
          </w:p>
        </w:tc>
        <w:tc>
          <w:tcPr>
            <w:tcW w:w="3020" w:type="dxa"/>
            <w:vAlign w:val="bottom"/>
          </w:tcPr>
          <w:p>
            <w:pPr>
              <w:jc w:val="right"/>
              <w:ind w:right="403"/>
              <w:spacing w:after="0"/>
              <w:rPr>
                <w:sz w:val="20"/>
                <w:szCs w:val="20"/>
                <w:color w:val="auto"/>
              </w:rPr>
            </w:pPr>
            <w:r>
              <w:rPr>
                <w:rFonts w:ascii="Arial" w:cs="Arial" w:eastAsia="Arial" w:hAnsi="Arial"/>
                <w:sz w:val="16"/>
                <w:szCs w:val="16"/>
                <w:color w:val="auto"/>
              </w:rPr>
              <w:t>65.0%</w:t>
            </w:r>
          </w:p>
        </w:tc>
        <w:tc>
          <w:tcPr>
            <w:tcW w:w="1280" w:type="dxa"/>
            <w:vAlign w:val="bottom"/>
          </w:tcPr>
          <w:p>
            <w:pPr>
              <w:jc w:val="right"/>
              <w:ind w:right="183"/>
              <w:spacing w:after="0"/>
              <w:rPr>
                <w:sz w:val="20"/>
                <w:szCs w:val="20"/>
                <w:color w:val="auto"/>
              </w:rPr>
            </w:pPr>
            <w:r>
              <w:rPr>
                <w:rFonts w:ascii="Arial" w:cs="Arial" w:eastAsia="Arial" w:hAnsi="Arial"/>
                <w:sz w:val="16"/>
                <w:szCs w:val="16"/>
                <w:color w:val="auto"/>
              </w:rPr>
              <w:t>273,000</w:t>
            </w:r>
          </w:p>
        </w:tc>
        <w:tc>
          <w:tcPr>
            <w:tcW w:w="1500" w:type="dxa"/>
            <w:vAlign w:val="bottom"/>
          </w:tcPr>
          <w:p>
            <w:pPr>
              <w:jc w:val="right"/>
              <w:ind w:right="363"/>
              <w:spacing w:after="0"/>
              <w:rPr>
                <w:sz w:val="20"/>
                <w:szCs w:val="20"/>
                <w:color w:val="auto"/>
              </w:rPr>
            </w:pPr>
            <w:r>
              <w:rPr>
                <w:rFonts w:ascii="Arial" w:cs="Arial" w:eastAsia="Arial" w:hAnsi="Arial"/>
                <w:sz w:val="16"/>
                <w:szCs w:val="16"/>
                <w:color w:val="auto"/>
              </w:rPr>
              <w:t>119.2%</w:t>
            </w:r>
          </w:p>
        </w:tc>
        <w:tc>
          <w:tcPr>
            <w:tcW w:w="1220" w:type="dxa"/>
            <w:vAlign w:val="bottom"/>
          </w:tcPr>
          <w:p>
            <w:pPr>
              <w:jc w:val="right"/>
              <w:ind w:right="164"/>
              <w:spacing w:after="0"/>
              <w:rPr>
                <w:sz w:val="20"/>
                <w:szCs w:val="20"/>
                <w:color w:val="auto"/>
              </w:rPr>
            </w:pPr>
            <w:r>
              <w:rPr>
                <w:rFonts w:ascii="Arial" w:cs="Arial" w:eastAsia="Arial" w:hAnsi="Arial"/>
                <w:sz w:val="16"/>
                <w:szCs w:val="16"/>
                <w:color w:val="auto"/>
              </w:rPr>
              <w:t>325,416</w:t>
            </w:r>
          </w:p>
        </w:tc>
      </w:tr>
      <w:tr>
        <w:trPr>
          <w:trHeight w:val="216"/>
        </w:trPr>
        <w:tc>
          <w:tcPr>
            <w:tcW w:w="2540" w:type="dxa"/>
            <w:vAlign w:val="bottom"/>
            <w:tcBorders>
              <w:bottom w:val="single" w:sz="8" w:color="000562"/>
            </w:tcBorders>
            <w:shd w:val="clear" w:color="auto" w:fill="E9EFEE"/>
          </w:tcPr>
          <w:p>
            <w:pPr>
              <w:ind w:left="20"/>
              <w:spacing w:after="0"/>
              <w:rPr>
                <w:sz w:val="20"/>
                <w:szCs w:val="20"/>
                <w:color w:val="auto"/>
              </w:rPr>
            </w:pPr>
            <w:r>
              <w:rPr>
                <w:rFonts w:ascii="Arial" w:cs="Arial" w:eastAsia="Arial" w:hAnsi="Arial"/>
                <w:sz w:val="16"/>
                <w:szCs w:val="16"/>
                <w:color w:val="auto"/>
              </w:rPr>
              <w:t>Mr. Sherbin</w:t>
            </w:r>
          </w:p>
        </w:tc>
        <w:tc>
          <w:tcPr>
            <w:tcW w:w="3020" w:type="dxa"/>
            <w:vAlign w:val="bottom"/>
            <w:tcBorders>
              <w:bottom w:val="single" w:sz="8" w:color="000562"/>
            </w:tcBorders>
            <w:shd w:val="clear" w:color="auto" w:fill="E9EFEE"/>
          </w:tcPr>
          <w:p>
            <w:pPr>
              <w:jc w:val="right"/>
              <w:ind w:right="403"/>
              <w:spacing w:after="0"/>
              <w:rPr>
                <w:sz w:val="20"/>
                <w:szCs w:val="20"/>
                <w:color w:val="auto"/>
              </w:rPr>
            </w:pPr>
            <w:r>
              <w:rPr>
                <w:rFonts w:ascii="Arial" w:cs="Arial" w:eastAsia="Arial" w:hAnsi="Arial"/>
                <w:sz w:val="16"/>
                <w:szCs w:val="16"/>
                <w:color w:val="auto"/>
              </w:rPr>
              <w:t>60.0%</w:t>
            </w:r>
          </w:p>
        </w:tc>
        <w:tc>
          <w:tcPr>
            <w:tcW w:w="1280" w:type="dxa"/>
            <w:vAlign w:val="bottom"/>
            <w:tcBorders>
              <w:bottom w:val="single" w:sz="8" w:color="000562"/>
            </w:tcBorders>
            <w:shd w:val="clear" w:color="auto" w:fill="E9EFEE"/>
          </w:tcPr>
          <w:p>
            <w:pPr>
              <w:jc w:val="right"/>
              <w:ind w:right="183"/>
              <w:spacing w:after="0"/>
              <w:rPr>
                <w:sz w:val="20"/>
                <w:szCs w:val="20"/>
                <w:color w:val="auto"/>
              </w:rPr>
            </w:pPr>
            <w:r>
              <w:rPr>
                <w:rFonts w:ascii="Arial" w:cs="Arial" w:eastAsia="Arial" w:hAnsi="Arial"/>
                <w:sz w:val="16"/>
                <w:szCs w:val="16"/>
                <w:color w:val="auto"/>
              </w:rPr>
              <w:t>240,240</w:t>
            </w:r>
          </w:p>
        </w:tc>
        <w:tc>
          <w:tcPr>
            <w:tcW w:w="1500" w:type="dxa"/>
            <w:vAlign w:val="bottom"/>
            <w:tcBorders>
              <w:bottom w:val="single" w:sz="8" w:color="000562"/>
            </w:tcBorders>
            <w:shd w:val="clear" w:color="auto" w:fill="E9EFEE"/>
          </w:tcPr>
          <w:p>
            <w:pPr>
              <w:jc w:val="right"/>
              <w:ind w:right="363"/>
              <w:spacing w:after="0"/>
              <w:rPr>
                <w:sz w:val="20"/>
                <w:szCs w:val="20"/>
                <w:color w:val="auto"/>
              </w:rPr>
            </w:pPr>
            <w:r>
              <w:rPr>
                <w:rFonts w:ascii="Arial" w:cs="Arial" w:eastAsia="Arial" w:hAnsi="Arial"/>
                <w:sz w:val="16"/>
                <w:szCs w:val="16"/>
                <w:color w:val="auto"/>
              </w:rPr>
              <w:t>119.2%</w:t>
            </w:r>
          </w:p>
        </w:tc>
        <w:tc>
          <w:tcPr>
            <w:tcW w:w="1220" w:type="dxa"/>
            <w:vAlign w:val="bottom"/>
            <w:tcBorders>
              <w:bottom w:val="single" w:sz="8" w:color="000562"/>
            </w:tcBorders>
            <w:shd w:val="clear" w:color="auto" w:fill="E9EFEE"/>
          </w:tcPr>
          <w:p>
            <w:pPr>
              <w:jc w:val="right"/>
              <w:ind w:right="164"/>
              <w:spacing w:after="0"/>
              <w:rPr>
                <w:sz w:val="20"/>
                <w:szCs w:val="20"/>
                <w:color w:val="auto"/>
              </w:rPr>
            </w:pPr>
            <w:r>
              <w:rPr>
                <w:rFonts w:ascii="Arial" w:cs="Arial" w:eastAsia="Arial" w:hAnsi="Arial"/>
                <w:sz w:val="16"/>
                <w:szCs w:val="16"/>
                <w:color w:val="auto"/>
              </w:rPr>
              <w:t>286,366</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2"/>
        </w:rPr>
        <w:t>Long-Term Incentive Program</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long-term equity program is designed to reward the achievement of long-term business objectives that benefit our shareholders through stock price increases, thereby aligning the interests of our executives with those of our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2"/>
        </w:rPr>
        <w:t>2018 Long-Term Incentive Awards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2018 Long-Term Incentive Award Program (“2018 LTI”), equity awards were granted to our NEOs under the 2017 Equity and Incentive Compensation Plan in order to promote the achievement of the Company’s strategic goals. The Committee granted RSUs and PSUs to our NEOs, to be settled in shares, with each vehicle accounting for 50% of the overall 2018 LTI target award value.</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determining the total value of the 2018 LTI award opportunity for each NEO, the Committee reviewed survey data provided by Meridian regarding competitive award levels and considered each participant’s total compensation targets and level of responsibility within the organization. The Committee determined adjustments to the target levels were necessary for Mr. Amato and Mr. Sherbin to better align their pay closer to the market median. Mr. Amato’s LTI target increased from $2,000,034 to $2,399,976 and Mr. Sherbin’s LTI target decreased from $600,024 to $499,996. The Committee determined that no adjustment to Mr. Zalupski’s LTI target was necessary for 2018.</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approved target 2018 LTI grants for our NEOs are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360" w:type="dxa"/>
            <w:vAlign w:val="bottom"/>
          </w:tcPr>
          <w:p>
            <w:pPr>
              <w:jc w:val="center"/>
              <w:ind w:right="179"/>
              <w:spacing w:after="0"/>
              <w:rPr>
                <w:sz w:val="20"/>
                <w:szCs w:val="20"/>
                <w:color w:val="auto"/>
              </w:rPr>
            </w:pPr>
            <w:r>
              <w:rPr>
                <w:rFonts w:ascii="Arial" w:cs="Arial" w:eastAsia="Arial" w:hAnsi="Arial"/>
                <w:sz w:val="14"/>
                <w:szCs w:val="14"/>
                <w:b w:val="1"/>
                <w:bCs w:val="1"/>
                <w:color w:val="000562"/>
              </w:rPr>
              <w:t>2018-2020 Cycle</w:t>
            </w:r>
          </w:p>
        </w:tc>
      </w:tr>
      <w:tr>
        <w:trPr>
          <w:trHeight w:val="148"/>
        </w:trPr>
        <w:tc>
          <w:tcPr>
            <w:tcW w:w="3600" w:type="dxa"/>
            <w:vAlign w:val="bottom"/>
          </w:tcPr>
          <w:p>
            <w:pPr>
              <w:spacing w:after="0"/>
              <w:rPr>
                <w:sz w:val="12"/>
                <w:szCs w:val="12"/>
                <w:color w:val="auto"/>
              </w:rPr>
            </w:pPr>
          </w:p>
        </w:tc>
        <w:tc>
          <w:tcPr>
            <w:tcW w:w="3600" w:type="dxa"/>
            <w:vAlign w:val="bottom"/>
          </w:tcPr>
          <w:p>
            <w:pPr>
              <w:jc w:val="right"/>
              <w:ind w:right="737"/>
              <w:spacing w:after="0" w:line="149" w:lineRule="exact"/>
              <w:rPr>
                <w:sz w:val="20"/>
                <w:szCs w:val="20"/>
                <w:color w:val="auto"/>
              </w:rPr>
            </w:pPr>
            <w:r>
              <w:rPr>
                <w:rFonts w:ascii="Arial" w:cs="Arial" w:eastAsia="Arial" w:hAnsi="Arial"/>
                <w:sz w:val="14"/>
                <w:szCs w:val="14"/>
                <w:b w:val="1"/>
                <w:bCs w:val="1"/>
                <w:color w:val="000562"/>
              </w:rPr>
              <w:t>RSUs</w:t>
            </w:r>
          </w:p>
        </w:tc>
        <w:tc>
          <w:tcPr>
            <w:tcW w:w="236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000562"/>
              </w:rPr>
              <w:t>PSUs</w:t>
            </w:r>
          </w:p>
        </w:tc>
      </w:tr>
      <w:tr>
        <w:trPr>
          <w:trHeight w:val="203"/>
        </w:trPr>
        <w:tc>
          <w:tcPr>
            <w:tcW w:w="3600" w:type="dxa"/>
            <w:vAlign w:val="bottom"/>
            <w:tcBorders>
              <w:bottom w:val="single" w:sz="8" w:color="000562"/>
            </w:tcBorders>
          </w:tcPr>
          <w:p>
            <w:pPr>
              <w:ind w:left="420"/>
              <w:spacing w:after="0"/>
              <w:rPr>
                <w:sz w:val="20"/>
                <w:szCs w:val="20"/>
                <w:color w:val="auto"/>
              </w:rPr>
            </w:pPr>
            <w:r>
              <w:rPr>
                <w:rFonts w:ascii="Arial" w:cs="Arial" w:eastAsia="Arial" w:hAnsi="Arial"/>
                <w:sz w:val="14"/>
                <w:szCs w:val="14"/>
                <w:b w:val="1"/>
                <w:bCs w:val="1"/>
                <w:color w:val="000562"/>
              </w:rPr>
              <w:t>Name</w:t>
            </w:r>
          </w:p>
        </w:tc>
        <w:tc>
          <w:tcPr>
            <w:tcW w:w="3600" w:type="dxa"/>
            <w:vAlign w:val="bottom"/>
            <w:tcBorders>
              <w:bottom w:val="single" w:sz="8" w:color="000562"/>
            </w:tcBorders>
          </w:tcPr>
          <w:p>
            <w:pPr>
              <w:jc w:val="right"/>
              <w:ind w:right="637"/>
              <w:spacing w:after="0"/>
              <w:rPr>
                <w:sz w:val="20"/>
                <w:szCs w:val="20"/>
                <w:color w:val="auto"/>
              </w:rPr>
            </w:pPr>
            <w:r>
              <w:rPr>
                <w:rFonts w:ascii="Arial" w:cs="Arial" w:eastAsia="Arial" w:hAnsi="Arial"/>
                <w:sz w:val="14"/>
                <w:szCs w:val="14"/>
                <w:b w:val="1"/>
                <w:bCs w:val="1"/>
                <w:color w:val="000562"/>
              </w:rPr>
              <w:t>($ Value)</w:t>
            </w:r>
          </w:p>
        </w:tc>
        <w:tc>
          <w:tcPr>
            <w:tcW w:w="2360" w:type="dxa"/>
            <w:vAlign w:val="bottom"/>
            <w:tcBorders>
              <w:bottom w:val="single" w:sz="8" w:color="000562"/>
            </w:tcBorders>
          </w:tcPr>
          <w:p>
            <w:pPr>
              <w:jc w:val="center"/>
              <w:ind w:right="179"/>
              <w:spacing w:after="0" w:line="202" w:lineRule="exact"/>
              <w:rPr>
                <w:sz w:val="20"/>
                <w:szCs w:val="20"/>
                <w:color w:val="auto"/>
              </w:rPr>
            </w:pPr>
            <w:r>
              <w:rPr>
                <w:rFonts w:ascii="Arial" w:cs="Arial" w:eastAsia="Arial" w:hAnsi="Arial"/>
                <w:sz w:val="14"/>
                <w:szCs w:val="14"/>
                <w:b w:val="1"/>
                <w:bCs w:val="1"/>
                <w:color w:val="000562"/>
                <w:w w:val="96"/>
              </w:rPr>
              <w:t xml:space="preserve">($ Value) </w:t>
            </w:r>
            <w:r>
              <w:rPr>
                <w:rFonts w:ascii="Arial" w:cs="Arial" w:eastAsia="Arial" w:hAnsi="Arial"/>
                <w:sz w:val="23"/>
                <w:szCs w:val="23"/>
                <w:b w:val="1"/>
                <w:bCs w:val="1"/>
                <w:color w:val="000562"/>
                <w:w w:val="96"/>
                <w:vertAlign w:val="superscript"/>
              </w:rPr>
              <w:t>(1)</w:t>
            </w:r>
          </w:p>
        </w:tc>
      </w:tr>
      <w:tr>
        <w:trPr>
          <w:trHeight w:val="223"/>
        </w:trPr>
        <w:tc>
          <w:tcPr>
            <w:tcW w:w="3600" w:type="dxa"/>
            <w:vAlign w:val="bottom"/>
            <w:shd w:val="clear" w:color="auto" w:fill="E9EFEE"/>
          </w:tcPr>
          <w:p>
            <w:pPr>
              <w:ind w:left="420"/>
              <w:spacing w:after="0"/>
              <w:rPr>
                <w:sz w:val="20"/>
                <w:szCs w:val="20"/>
                <w:color w:val="auto"/>
              </w:rPr>
            </w:pPr>
            <w:r>
              <w:rPr>
                <w:rFonts w:ascii="Arial" w:cs="Arial" w:eastAsia="Arial" w:hAnsi="Arial"/>
                <w:sz w:val="18"/>
                <w:szCs w:val="18"/>
                <w:color w:val="auto"/>
              </w:rPr>
              <w:t>Mr. Amato</w:t>
            </w:r>
          </w:p>
        </w:tc>
        <w:tc>
          <w:tcPr>
            <w:tcW w:w="3600" w:type="dxa"/>
            <w:vAlign w:val="bottom"/>
            <w:shd w:val="clear" w:color="auto" w:fill="E9EFEE"/>
          </w:tcPr>
          <w:p>
            <w:pPr>
              <w:jc w:val="right"/>
              <w:ind w:right="417"/>
              <w:spacing w:after="0"/>
              <w:rPr>
                <w:sz w:val="20"/>
                <w:szCs w:val="20"/>
                <w:color w:val="auto"/>
              </w:rPr>
            </w:pPr>
            <w:r>
              <w:rPr>
                <w:rFonts w:ascii="Arial" w:cs="Arial" w:eastAsia="Arial" w:hAnsi="Arial"/>
                <w:sz w:val="18"/>
                <w:szCs w:val="18"/>
                <w:color w:val="auto"/>
              </w:rPr>
              <w:t>$1,199,988</w:t>
            </w:r>
          </w:p>
        </w:tc>
        <w:tc>
          <w:tcPr>
            <w:tcW w:w="2360" w:type="dxa"/>
            <w:vAlign w:val="bottom"/>
            <w:shd w:val="clear" w:color="auto" w:fill="E9EFEE"/>
          </w:tcPr>
          <w:p>
            <w:pPr>
              <w:jc w:val="right"/>
              <w:ind w:right="699"/>
              <w:spacing w:after="0"/>
              <w:rPr>
                <w:sz w:val="20"/>
                <w:szCs w:val="20"/>
                <w:color w:val="auto"/>
              </w:rPr>
            </w:pPr>
            <w:r>
              <w:rPr>
                <w:rFonts w:ascii="Arial" w:cs="Arial" w:eastAsia="Arial" w:hAnsi="Arial"/>
                <w:sz w:val="18"/>
                <w:szCs w:val="18"/>
                <w:color w:val="auto"/>
              </w:rPr>
              <w:t>$1,199,988</w:t>
            </w:r>
          </w:p>
        </w:tc>
      </w:tr>
      <w:tr>
        <w:trPr>
          <w:trHeight w:val="230"/>
        </w:trPr>
        <w:tc>
          <w:tcPr>
            <w:tcW w:w="3600" w:type="dxa"/>
            <w:vAlign w:val="bottom"/>
          </w:tcPr>
          <w:p>
            <w:pPr>
              <w:ind w:left="420"/>
              <w:spacing w:after="0"/>
              <w:rPr>
                <w:sz w:val="20"/>
                <w:szCs w:val="20"/>
                <w:color w:val="auto"/>
              </w:rPr>
            </w:pPr>
            <w:r>
              <w:rPr>
                <w:rFonts w:ascii="Arial" w:cs="Arial" w:eastAsia="Arial" w:hAnsi="Arial"/>
                <w:sz w:val="18"/>
                <w:szCs w:val="18"/>
                <w:color w:val="auto"/>
              </w:rPr>
              <w:t>Mr. Zalupski</w:t>
            </w:r>
          </w:p>
        </w:tc>
        <w:tc>
          <w:tcPr>
            <w:tcW w:w="3600" w:type="dxa"/>
            <w:vAlign w:val="bottom"/>
          </w:tcPr>
          <w:p>
            <w:pPr>
              <w:jc w:val="right"/>
              <w:ind w:right="417"/>
              <w:spacing w:after="0"/>
              <w:rPr>
                <w:sz w:val="20"/>
                <w:szCs w:val="20"/>
                <w:color w:val="auto"/>
              </w:rPr>
            </w:pPr>
            <w:r>
              <w:rPr>
                <w:rFonts w:ascii="Arial" w:cs="Arial" w:eastAsia="Arial" w:hAnsi="Arial"/>
                <w:sz w:val="18"/>
                <w:szCs w:val="18"/>
                <w:color w:val="auto"/>
              </w:rPr>
              <w:t>349,997</w:t>
            </w:r>
          </w:p>
        </w:tc>
        <w:tc>
          <w:tcPr>
            <w:tcW w:w="2360" w:type="dxa"/>
            <w:vAlign w:val="bottom"/>
          </w:tcPr>
          <w:p>
            <w:pPr>
              <w:jc w:val="right"/>
              <w:ind w:right="699"/>
              <w:spacing w:after="0"/>
              <w:rPr>
                <w:sz w:val="20"/>
                <w:szCs w:val="20"/>
                <w:color w:val="auto"/>
              </w:rPr>
            </w:pPr>
            <w:r>
              <w:rPr>
                <w:rFonts w:ascii="Arial" w:cs="Arial" w:eastAsia="Arial" w:hAnsi="Arial"/>
                <w:sz w:val="18"/>
                <w:szCs w:val="18"/>
                <w:color w:val="auto"/>
              </w:rPr>
              <w:t>349,997</w:t>
            </w:r>
          </w:p>
        </w:tc>
      </w:tr>
      <w:tr>
        <w:trPr>
          <w:trHeight w:val="230"/>
        </w:trPr>
        <w:tc>
          <w:tcPr>
            <w:tcW w:w="3600" w:type="dxa"/>
            <w:vAlign w:val="bottom"/>
            <w:tcBorders>
              <w:bottom w:val="single" w:sz="8" w:color="000562"/>
            </w:tcBorders>
            <w:shd w:val="clear" w:color="auto" w:fill="E9EFEE"/>
          </w:tcPr>
          <w:p>
            <w:pPr>
              <w:ind w:left="420"/>
              <w:spacing w:after="0"/>
              <w:rPr>
                <w:sz w:val="20"/>
                <w:szCs w:val="20"/>
                <w:color w:val="auto"/>
              </w:rPr>
            </w:pPr>
            <w:r>
              <w:rPr>
                <w:rFonts w:ascii="Arial" w:cs="Arial" w:eastAsia="Arial" w:hAnsi="Arial"/>
                <w:sz w:val="18"/>
                <w:szCs w:val="18"/>
                <w:color w:val="auto"/>
              </w:rPr>
              <w:t>Mr. Sherbin</w:t>
            </w:r>
          </w:p>
        </w:tc>
        <w:tc>
          <w:tcPr>
            <w:tcW w:w="3600" w:type="dxa"/>
            <w:vAlign w:val="bottom"/>
            <w:tcBorders>
              <w:bottom w:val="single" w:sz="8" w:color="000562"/>
            </w:tcBorders>
            <w:shd w:val="clear" w:color="auto" w:fill="E9EFEE"/>
          </w:tcPr>
          <w:p>
            <w:pPr>
              <w:jc w:val="right"/>
              <w:ind w:right="417"/>
              <w:spacing w:after="0"/>
              <w:rPr>
                <w:sz w:val="20"/>
                <w:szCs w:val="20"/>
                <w:color w:val="auto"/>
              </w:rPr>
            </w:pPr>
            <w:r>
              <w:rPr>
                <w:rFonts w:ascii="Arial" w:cs="Arial" w:eastAsia="Arial" w:hAnsi="Arial"/>
                <w:sz w:val="18"/>
                <w:szCs w:val="18"/>
                <w:color w:val="auto"/>
              </w:rPr>
              <w:t>249,998</w:t>
            </w:r>
          </w:p>
        </w:tc>
        <w:tc>
          <w:tcPr>
            <w:tcW w:w="2360" w:type="dxa"/>
            <w:vAlign w:val="bottom"/>
            <w:tcBorders>
              <w:bottom w:val="single" w:sz="8" w:color="000562"/>
            </w:tcBorders>
            <w:shd w:val="clear" w:color="auto" w:fill="E9EFEE"/>
          </w:tcPr>
          <w:p>
            <w:pPr>
              <w:jc w:val="right"/>
              <w:ind w:right="699"/>
              <w:spacing w:after="0"/>
              <w:rPr>
                <w:sz w:val="20"/>
                <w:szCs w:val="20"/>
                <w:color w:val="auto"/>
              </w:rPr>
            </w:pPr>
            <w:r>
              <w:rPr>
                <w:rFonts w:ascii="Arial" w:cs="Arial" w:eastAsia="Arial" w:hAnsi="Arial"/>
                <w:sz w:val="18"/>
                <w:szCs w:val="18"/>
                <w:color w:val="auto"/>
              </w:rPr>
              <w:t>249,998</w:t>
            </w:r>
          </w:p>
        </w:tc>
      </w:tr>
    </w:tbl>
    <w:p>
      <w:pPr>
        <w:spacing w:after="0" w:line="113" w:lineRule="exact"/>
        <w:rPr>
          <w:sz w:val="20"/>
          <w:szCs w:val="20"/>
          <w:color w:val="auto"/>
        </w:rPr>
      </w:pPr>
    </w:p>
    <w:p>
      <w:pPr>
        <w:ind w:left="400" w:hanging="353"/>
        <w:spacing w:after="0"/>
        <w:tabs>
          <w:tab w:leader="none" w:pos="4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Grant date fair value may differ from the approved target value for PSUs due to ASC 718 compensation expense considerations.</w:t>
      </w:r>
    </w:p>
    <w:p>
      <w:pPr>
        <w:spacing w:after="0" w:line="10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dollar values listed in the above chart for the RSUs and PSUs were converted into a number of units based on the Company’s closing stock price on May 1, 2018 of $27.10 per share. The 2018 RSUs generally vest in three equal installments on the first three anniversaries of the grant date of the award.</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2018 PSU awards were designed to be earned generally based on the achievement of specific performance measures over a period of three calendar years. For the 2018-2020 cycle that began on January 1, 2018 and ends on December 31, 2020, 50% of the PSU award is earned based on the achievement of a specified RTSR percentile rank, and 50% is earned based on EPS CAGR performance, during the applicable performance period. The Committee approved RTSR as a performance measure and the use of the S&amp;P SmallCap 600 Capped Industrials Index as the peer group for the performance measurement comparison. The Committee also approved EPS CAGR as a performance measure, which measure is the cumulative average growth rate of the diluted earnings per share from continuing operations as reported in the Company’s income statement within the applicable Form 10-Q and Form 10-K, plus or minus Special Items that may occur from time to time that the Committee believes should adjust the</w:t>
      </w:r>
    </w:p>
    <w:p>
      <w:pPr>
        <w:spacing w:after="0" w:line="194" w:lineRule="exact"/>
        <w:rPr>
          <w:sz w:val="20"/>
          <w:szCs w:val="20"/>
          <w:color w:val="auto"/>
        </w:rPr>
      </w:pPr>
    </w:p>
    <w:p>
      <w:pPr>
        <w:ind w:left="7140"/>
        <w:spacing w:after="0"/>
        <w:tabs>
          <w:tab w:leader="none" w:pos="9040" w:val="left"/>
          <w:tab w:leader="none" w:pos="9340" w:val="left"/>
        </w:tabs>
        <w:rPr>
          <w:sz w:val="20"/>
          <w:szCs w:val="20"/>
          <w:color w:val="auto"/>
        </w:rPr>
      </w:pPr>
      <w:r>
        <w:rPr>
          <w:rFonts w:ascii="Arial" w:cs="Arial" w:eastAsia="Arial" w:hAnsi="Arial"/>
          <w:sz w:val="18"/>
          <w:szCs w:val="18"/>
          <w:i w:val="1"/>
          <w:iCs w:val="1"/>
          <w:color w:val="auto"/>
        </w:rPr>
        <w:t>2019 Proxy Statement</w:t>
      </w:r>
      <w:r>
        <w:rPr>
          <w:sz w:val="20"/>
          <w:szCs w:val="20"/>
          <w:color w:val="auto"/>
        </w:rPr>
        <w:tab/>
      </w:r>
      <w:r>
        <w:rPr>
          <w:rFonts w:ascii="Arial" w:cs="Arial" w:eastAsia="Arial" w:hAnsi="Arial"/>
          <w:sz w:val="22"/>
          <w:szCs w:val="22"/>
          <w:b w:val="1"/>
          <w:bCs w:val="1"/>
          <w:color w:val="000562"/>
        </w:rPr>
        <w:t>I</w:t>
      </w:r>
      <w:r>
        <w:rPr>
          <w:sz w:val="20"/>
          <w:szCs w:val="20"/>
          <w:color w:val="auto"/>
        </w:rPr>
        <w:tab/>
      </w:r>
      <w:r>
        <w:rPr>
          <w:rFonts w:ascii="Arial" w:cs="Arial" w:eastAsia="Arial" w:hAnsi="Arial"/>
          <w:sz w:val="17"/>
          <w:szCs w:val="17"/>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071870" cy="431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000562"/>
        </w:rPr>
        <w:t>TriMas Corporation</w:t>
      </w:r>
    </w:p>
    <w:p>
      <w:pPr>
        <w:spacing w:after="0" w:line="216"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as-reported results for measurement of performance. The tables below detail the threshold, target and maximum performance target and opportunity for each metric. If, upon the conclusion of the performance period, RTSR or EPS CAGR falls between performance levels, straight-line mathematical interpolation will be used to determine the amount of the target PSUs (rounded down to the nearest whole number of PSUs) earned.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840" w:type="dxa"/>
            <w:vAlign w:val="bottom"/>
            <w:gridSpan w:val="2"/>
          </w:tcPr>
          <w:p>
            <w:pPr>
              <w:jc w:val="center"/>
              <w:ind w:left="1013"/>
              <w:spacing w:after="0"/>
              <w:rPr>
                <w:sz w:val="20"/>
                <w:szCs w:val="20"/>
                <w:color w:val="auto"/>
              </w:rPr>
            </w:pPr>
            <w:r>
              <w:rPr>
                <w:rFonts w:ascii="Arial" w:cs="Arial" w:eastAsia="Arial" w:hAnsi="Arial"/>
                <w:sz w:val="14"/>
                <w:szCs w:val="14"/>
                <w:b w:val="1"/>
                <w:bCs w:val="1"/>
                <w:color w:val="000562"/>
              </w:rPr>
              <w:t>RTSR PSUs Earned</w:t>
            </w:r>
          </w:p>
        </w:tc>
      </w:tr>
      <w:tr>
        <w:trPr>
          <w:trHeight w:val="189"/>
        </w:trPr>
        <w:tc>
          <w:tcPr>
            <w:tcW w:w="2540" w:type="dxa"/>
            <w:vAlign w:val="bottom"/>
            <w:tcBorders>
              <w:bottom w:val="single" w:sz="8" w:color="000562"/>
            </w:tcBorders>
            <w:gridSpan w:val="2"/>
          </w:tcPr>
          <w:p>
            <w:pPr>
              <w:ind w:left="200"/>
              <w:spacing w:after="0"/>
              <w:rPr>
                <w:sz w:val="20"/>
                <w:szCs w:val="20"/>
                <w:color w:val="auto"/>
              </w:rPr>
            </w:pPr>
            <w:r>
              <w:rPr>
                <w:rFonts w:ascii="Arial" w:cs="Arial" w:eastAsia="Arial" w:hAnsi="Arial"/>
                <w:sz w:val="14"/>
                <w:szCs w:val="14"/>
                <w:b w:val="1"/>
                <w:bCs w:val="1"/>
                <w:color w:val="000562"/>
              </w:rPr>
              <w:t>Performance Level</w:t>
            </w:r>
          </w:p>
        </w:tc>
        <w:tc>
          <w:tcPr>
            <w:tcW w:w="3180" w:type="dxa"/>
            <w:vAlign w:val="bottom"/>
            <w:tcBorders>
              <w:bottom w:val="single" w:sz="8" w:color="000562"/>
            </w:tcBorders>
          </w:tcPr>
          <w:p>
            <w:pPr>
              <w:ind w:left="860"/>
              <w:spacing w:after="0"/>
              <w:rPr>
                <w:sz w:val="20"/>
                <w:szCs w:val="20"/>
                <w:color w:val="auto"/>
              </w:rPr>
            </w:pPr>
            <w:r>
              <w:rPr>
                <w:rFonts w:ascii="Arial" w:cs="Arial" w:eastAsia="Arial" w:hAnsi="Arial"/>
                <w:sz w:val="14"/>
                <w:szCs w:val="14"/>
                <w:b w:val="1"/>
                <w:bCs w:val="1"/>
                <w:color w:val="000562"/>
              </w:rPr>
              <w:t>Relative Total Shareholder Return</w:t>
            </w:r>
          </w:p>
        </w:tc>
        <w:tc>
          <w:tcPr>
            <w:tcW w:w="3840" w:type="dxa"/>
            <w:vAlign w:val="bottom"/>
            <w:tcBorders>
              <w:bottom w:val="single" w:sz="8" w:color="000562"/>
            </w:tcBorders>
            <w:gridSpan w:val="2"/>
          </w:tcPr>
          <w:p>
            <w:pPr>
              <w:jc w:val="center"/>
              <w:ind w:left="1033"/>
              <w:spacing w:after="0"/>
              <w:rPr>
                <w:sz w:val="20"/>
                <w:szCs w:val="20"/>
                <w:color w:val="auto"/>
              </w:rPr>
            </w:pPr>
            <w:r>
              <w:rPr>
                <w:rFonts w:ascii="Arial" w:cs="Arial" w:eastAsia="Arial" w:hAnsi="Arial"/>
                <w:sz w:val="14"/>
                <w:szCs w:val="14"/>
                <w:b w:val="1"/>
                <w:bCs w:val="1"/>
                <w:color w:val="000562"/>
              </w:rPr>
              <w:t>(50% of target)</w:t>
            </w:r>
          </w:p>
        </w:tc>
      </w:tr>
      <w:tr>
        <w:trPr>
          <w:trHeight w:val="223"/>
        </w:trPr>
        <w:tc>
          <w:tcPr>
            <w:tcW w:w="2540" w:type="dxa"/>
            <w:vAlign w:val="bottom"/>
            <w:gridSpan w:val="2"/>
            <w:shd w:val="clear" w:color="auto" w:fill="E9EFEE"/>
          </w:tcPr>
          <w:p>
            <w:pPr>
              <w:ind w:left="200"/>
              <w:spacing w:after="0"/>
              <w:rPr>
                <w:sz w:val="20"/>
                <w:szCs w:val="20"/>
                <w:color w:val="auto"/>
              </w:rPr>
            </w:pPr>
            <w:r>
              <w:rPr>
                <w:rFonts w:ascii="Arial" w:cs="Arial" w:eastAsia="Arial" w:hAnsi="Arial"/>
                <w:sz w:val="18"/>
                <w:szCs w:val="18"/>
                <w:color w:val="auto"/>
              </w:rPr>
              <w:t>Threshold</w:t>
            </w:r>
          </w:p>
        </w:tc>
        <w:tc>
          <w:tcPr>
            <w:tcW w:w="3180" w:type="dxa"/>
            <w:vAlign w:val="bottom"/>
            <w:shd w:val="clear" w:color="auto" w:fill="E9EFEE"/>
          </w:tcPr>
          <w:p>
            <w:pPr>
              <w:ind w:left="20"/>
              <w:spacing w:after="0" w:line="223" w:lineRule="exact"/>
              <w:rPr>
                <w:sz w:val="20"/>
                <w:szCs w:val="20"/>
                <w:color w:val="auto"/>
              </w:rPr>
            </w:pPr>
            <w:r>
              <w:rPr>
                <w:rFonts w:ascii="Arial" w:cs="Arial" w:eastAsia="Arial" w:hAnsi="Arial"/>
                <w:sz w:val="16"/>
                <w:szCs w:val="16"/>
                <w:color w:val="auto"/>
              </w:rPr>
              <w:t>Ranked below or at 25</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percentile</w:t>
            </w:r>
          </w:p>
        </w:tc>
        <w:tc>
          <w:tcPr>
            <w:tcW w:w="3840" w:type="dxa"/>
            <w:vAlign w:val="bottom"/>
            <w:gridSpan w:val="2"/>
            <w:shd w:val="clear" w:color="auto" w:fill="E9EFEE"/>
          </w:tcPr>
          <w:p>
            <w:pPr>
              <w:jc w:val="center"/>
              <w:ind w:left="1013"/>
              <w:spacing w:after="0"/>
              <w:rPr>
                <w:sz w:val="20"/>
                <w:szCs w:val="20"/>
                <w:color w:val="auto"/>
              </w:rPr>
            </w:pPr>
            <w:r>
              <w:rPr>
                <w:rFonts w:ascii="Arial" w:cs="Arial" w:eastAsia="Arial" w:hAnsi="Arial"/>
                <w:sz w:val="18"/>
                <w:szCs w:val="18"/>
                <w:color w:val="auto"/>
                <w:w w:val="99"/>
              </w:rPr>
              <w:t>0%</w:t>
            </w:r>
          </w:p>
        </w:tc>
      </w:tr>
      <w:tr>
        <w:trPr>
          <w:trHeight w:val="230"/>
        </w:trPr>
        <w:tc>
          <w:tcPr>
            <w:tcW w:w="2540" w:type="dxa"/>
            <w:vAlign w:val="bottom"/>
            <w:gridSpan w:val="2"/>
          </w:tcPr>
          <w:p>
            <w:pPr>
              <w:ind w:left="200"/>
              <w:spacing w:after="0"/>
              <w:rPr>
                <w:sz w:val="20"/>
                <w:szCs w:val="20"/>
                <w:color w:val="auto"/>
              </w:rPr>
            </w:pPr>
            <w:r>
              <w:rPr>
                <w:rFonts w:ascii="Arial" w:cs="Arial" w:eastAsia="Arial" w:hAnsi="Arial"/>
                <w:sz w:val="18"/>
                <w:szCs w:val="18"/>
                <w:color w:val="auto"/>
              </w:rPr>
              <w:t>Above Threshold</w:t>
            </w:r>
          </w:p>
        </w:tc>
        <w:tc>
          <w:tcPr>
            <w:tcW w:w="3180" w:type="dxa"/>
            <w:vAlign w:val="bottom"/>
          </w:tcPr>
          <w:p>
            <w:pPr>
              <w:ind w:left="20"/>
              <w:spacing w:after="0" w:line="230" w:lineRule="exact"/>
              <w:rPr>
                <w:sz w:val="20"/>
                <w:szCs w:val="20"/>
                <w:color w:val="auto"/>
              </w:rPr>
            </w:pPr>
            <w:r>
              <w:rPr>
                <w:rFonts w:ascii="Arial" w:cs="Arial" w:eastAsia="Arial" w:hAnsi="Arial"/>
                <w:sz w:val="16"/>
                <w:szCs w:val="16"/>
                <w:color w:val="auto"/>
              </w:rPr>
              <w:t>Ranked at 35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3840" w:type="dxa"/>
            <w:vAlign w:val="bottom"/>
            <w:gridSpan w:val="2"/>
          </w:tcPr>
          <w:p>
            <w:pPr>
              <w:jc w:val="center"/>
              <w:ind w:left="1033"/>
              <w:spacing w:after="0"/>
              <w:rPr>
                <w:sz w:val="20"/>
                <w:szCs w:val="20"/>
                <w:color w:val="auto"/>
              </w:rPr>
            </w:pPr>
            <w:r>
              <w:rPr>
                <w:rFonts w:ascii="Arial" w:cs="Arial" w:eastAsia="Arial" w:hAnsi="Arial"/>
                <w:sz w:val="18"/>
                <w:szCs w:val="18"/>
                <w:color w:val="auto"/>
                <w:w w:val="99"/>
              </w:rPr>
              <w:t>50%</w:t>
            </w:r>
          </w:p>
        </w:tc>
      </w:tr>
      <w:tr>
        <w:trPr>
          <w:trHeight w:val="230"/>
        </w:trPr>
        <w:tc>
          <w:tcPr>
            <w:tcW w:w="2540" w:type="dxa"/>
            <w:vAlign w:val="bottom"/>
            <w:gridSpan w:val="2"/>
            <w:shd w:val="clear" w:color="auto" w:fill="E9EFEE"/>
          </w:tcPr>
          <w:p>
            <w:pPr>
              <w:ind w:left="200"/>
              <w:spacing w:after="0"/>
              <w:rPr>
                <w:sz w:val="20"/>
                <w:szCs w:val="20"/>
                <w:color w:val="auto"/>
              </w:rPr>
            </w:pPr>
            <w:r>
              <w:rPr>
                <w:rFonts w:ascii="Arial" w:cs="Arial" w:eastAsia="Arial" w:hAnsi="Arial"/>
                <w:sz w:val="18"/>
                <w:szCs w:val="18"/>
                <w:color w:val="auto"/>
              </w:rPr>
              <w:t>Target</w:t>
            </w:r>
          </w:p>
        </w:tc>
        <w:tc>
          <w:tcPr>
            <w:tcW w:w="3180" w:type="dxa"/>
            <w:vAlign w:val="bottom"/>
            <w:shd w:val="clear" w:color="auto" w:fill="E9EFEE"/>
          </w:tcPr>
          <w:p>
            <w:pPr>
              <w:ind w:left="20"/>
              <w:spacing w:after="0" w:line="230" w:lineRule="exact"/>
              <w:rPr>
                <w:sz w:val="20"/>
                <w:szCs w:val="20"/>
                <w:color w:val="auto"/>
              </w:rPr>
            </w:pPr>
            <w:r>
              <w:rPr>
                <w:rFonts w:ascii="Arial" w:cs="Arial" w:eastAsia="Arial" w:hAnsi="Arial"/>
                <w:sz w:val="16"/>
                <w:szCs w:val="16"/>
                <w:color w:val="auto"/>
              </w:rPr>
              <w:t>Ranked at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3840" w:type="dxa"/>
            <w:vAlign w:val="bottom"/>
            <w:gridSpan w:val="2"/>
            <w:shd w:val="clear" w:color="auto" w:fill="E9EFEE"/>
          </w:tcPr>
          <w:p>
            <w:pPr>
              <w:jc w:val="center"/>
              <w:ind w:left="1013"/>
              <w:spacing w:after="0"/>
              <w:rPr>
                <w:sz w:val="20"/>
                <w:szCs w:val="20"/>
                <w:color w:val="auto"/>
              </w:rPr>
            </w:pPr>
            <w:r>
              <w:rPr>
                <w:rFonts w:ascii="Arial" w:cs="Arial" w:eastAsia="Arial" w:hAnsi="Arial"/>
                <w:sz w:val="18"/>
                <w:szCs w:val="18"/>
                <w:color w:val="auto"/>
                <w:w w:val="99"/>
              </w:rPr>
              <w:t>100%</w:t>
            </w:r>
          </w:p>
        </w:tc>
      </w:tr>
      <w:tr>
        <w:trPr>
          <w:trHeight w:val="230"/>
        </w:trPr>
        <w:tc>
          <w:tcPr>
            <w:tcW w:w="2540" w:type="dxa"/>
            <w:vAlign w:val="bottom"/>
            <w:gridSpan w:val="2"/>
          </w:tcPr>
          <w:p>
            <w:pPr>
              <w:ind w:left="200"/>
              <w:spacing w:after="0"/>
              <w:rPr>
                <w:sz w:val="20"/>
                <w:szCs w:val="20"/>
                <w:color w:val="auto"/>
              </w:rPr>
            </w:pPr>
            <w:r>
              <w:rPr>
                <w:rFonts w:ascii="Arial" w:cs="Arial" w:eastAsia="Arial" w:hAnsi="Arial"/>
                <w:sz w:val="18"/>
                <w:szCs w:val="18"/>
                <w:color w:val="auto"/>
              </w:rPr>
              <w:t>Intermediate</w:t>
            </w:r>
          </w:p>
        </w:tc>
        <w:tc>
          <w:tcPr>
            <w:tcW w:w="3180" w:type="dxa"/>
            <w:vAlign w:val="bottom"/>
          </w:tcPr>
          <w:p>
            <w:pPr>
              <w:ind w:left="20"/>
              <w:spacing w:after="0" w:line="230" w:lineRule="exact"/>
              <w:rPr>
                <w:sz w:val="20"/>
                <w:szCs w:val="20"/>
                <w:color w:val="auto"/>
              </w:rPr>
            </w:pPr>
            <w:r>
              <w:rPr>
                <w:rFonts w:ascii="Arial" w:cs="Arial" w:eastAsia="Arial" w:hAnsi="Arial"/>
                <w:sz w:val="16"/>
                <w:szCs w:val="16"/>
                <w:color w:val="auto"/>
              </w:rPr>
              <w:t>Ranked at 65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3840" w:type="dxa"/>
            <w:vAlign w:val="bottom"/>
            <w:gridSpan w:val="2"/>
          </w:tcPr>
          <w:p>
            <w:pPr>
              <w:jc w:val="center"/>
              <w:ind w:left="1013"/>
              <w:spacing w:after="0"/>
              <w:rPr>
                <w:sz w:val="20"/>
                <w:szCs w:val="20"/>
                <w:color w:val="auto"/>
              </w:rPr>
            </w:pPr>
            <w:r>
              <w:rPr>
                <w:rFonts w:ascii="Arial" w:cs="Arial" w:eastAsia="Arial" w:hAnsi="Arial"/>
                <w:sz w:val="18"/>
                <w:szCs w:val="18"/>
                <w:color w:val="auto"/>
                <w:w w:val="99"/>
              </w:rPr>
              <w:t>150%</w:t>
            </w:r>
          </w:p>
        </w:tc>
      </w:tr>
      <w:tr>
        <w:trPr>
          <w:trHeight w:val="230"/>
        </w:trPr>
        <w:tc>
          <w:tcPr>
            <w:tcW w:w="2540" w:type="dxa"/>
            <w:vAlign w:val="bottom"/>
            <w:tcBorders>
              <w:bottom w:val="single" w:sz="8" w:color="000562"/>
            </w:tcBorders>
            <w:gridSpan w:val="2"/>
            <w:shd w:val="clear" w:color="auto" w:fill="E9EFEE"/>
          </w:tcPr>
          <w:p>
            <w:pPr>
              <w:ind w:left="200"/>
              <w:spacing w:after="0"/>
              <w:rPr>
                <w:sz w:val="20"/>
                <w:szCs w:val="20"/>
                <w:color w:val="auto"/>
              </w:rPr>
            </w:pPr>
            <w:r>
              <w:rPr>
                <w:rFonts w:ascii="Arial" w:cs="Arial" w:eastAsia="Arial" w:hAnsi="Arial"/>
                <w:sz w:val="18"/>
                <w:szCs w:val="18"/>
                <w:color w:val="auto"/>
              </w:rPr>
              <w:t>Maximum</w:t>
            </w:r>
          </w:p>
        </w:tc>
        <w:tc>
          <w:tcPr>
            <w:tcW w:w="3180" w:type="dxa"/>
            <w:vAlign w:val="bottom"/>
            <w:tcBorders>
              <w:bottom w:val="single" w:sz="8" w:color="000562"/>
            </w:tcBorders>
            <w:shd w:val="clear" w:color="auto" w:fill="E9EFEE"/>
          </w:tcPr>
          <w:p>
            <w:pPr>
              <w:ind w:left="20"/>
              <w:spacing w:after="0" w:line="230" w:lineRule="exact"/>
              <w:rPr>
                <w:sz w:val="20"/>
                <w:szCs w:val="20"/>
                <w:color w:val="auto"/>
              </w:rPr>
            </w:pPr>
            <w:r>
              <w:rPr>
                <w:rFonts w:ascii="Arial" w:cs="Arial" w:eastAsia="Arial" w:hAnsi="Arial"/>
                <w:sz w:val="16"/>
                <w:szCs w:val="16"/>
                <w:color w:val="auto"/>
              </w:rPr>
              <w:t>Ranked at or above 80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3840" w:type="dxa"/>
            <w:vAlign w:val="bottom"/>
            <w:tcBorders>
              <w:bottom w:val="single" w:sz="8" w:color="000562"/>
            </w:tcBorders>
            <w:gridSpan w:val="2"/>
            <w:shd w:val="clear" w:color="auto" w:fill="E9EFEE"/>
          </w:tcPr>
          <w:p>
            <w:pPr>
              <w:jc w:val="center"/>
              <w:ind w:left="1013"/>
              <w:spacing w:after="0"/>
              <w:rPr>
                <w:sz w:val="20"/>
                <w:szCs w:val="20"/>
                <w:color w:val="auto"/>
              </w:rPr>
            </w:pPr>
            <w:r>
              <w:rPr>
                <w:rFonts w:ascii="Arial" w:cs="Arial" w:eastAsia="Arial" w:hAnsi="Arial"/>
                <w:sz w:val="18"/>
                <w:szCs w:val="18"/>
                <w:color w:val="auto"/>
                <w:w w:val="99"/>
              </w:rPr>
              <w:t>200%</w:t>
            </w:r>
          </w:p>
        </w:tc>
      </w:tr>
      <w:tr>
        <w:trPr>
          <w:trHeight w:val="210"/>
        </w:trPr>
        <w:tc>
          <w:tcPr>
            <w:tcW w:w="9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840" w:type="dxa"/>
            <w:vAlign w:val="bottom"/>
            <w:gridSpan w:val="2"/>
          </w:tcPr>
          <w:p>
            <w:pPr>
              <w:jc w:val="center"/>
              <w:ind w:right="2140"/>
              <w:spacing w:after="0"/>
              <w:rPr>
                <w:sz w:val="20"/>
                <w:szCs w:val="20"/>
                <w:color w:val="auto"/>
              </w:rPr>
            </w:pPr>
            <w:r>
              <w:rPr>
                <w:rFonts w:ascii="Arial" w:cs="Arial" w:eastAsia="Arial" w:hAnsi="Arial"/>
                <w:sz w:val="14"/>
                <w:szCs w:val="14"/>
                <w:b w:val="1"/>
                <w:bCs w:val="1"/>
                <w:color w:val="000562"/>
              </w:rPr>
              <w:t>EPS CAGR PSUs Earned</w:t>
            </w:r>
          </w:p>
        </w:tc>
      </w:tr>
      <w:tr>
        <w:trPr>
          <w:trHeight w:val="189"/>
        </w:trPr>
        <w:tc>
          <w:tcPr>
            <w:tcW w:w="900" w:type="dxa"/>
            <w:vAlign w:val="bottom"/>
          </w:tcPr>
          <w:p>
            <w:pPr>
              <w:spacing w:after="0"/>
              <w:rPr>
                <w:sz w:val="16"/>
                <w:szCs w:val="16"/>
                <w:color w:val="auto"/>
              </w:rPr>
            </w:pPr>
          </w:p>
        </w:tc>
        <w:tc>
          <w:tcPr>
            <w:tcW w:w="1640" w:type="dxa"/>
            <w:vAlign w:val="bottom"/>
          </w:tcPr>
          <w:p>
            <w:pPr>
              <w:ind w:left="440"/>
              <w:spacing w:after="0"/>
              <w:rPr>
                <w:sz w:val="20"/>
                <w:szCs w:val="20"/>
                <w:color w:val="auto"/>
              </w:rPr>
            </w:pPr>
            <w:r>
              <w:rPr>
                <w:rFonts w:ascii="Arial" w:cs="Arial" w:eastAsia="Arial" w:hAnsi="Arial"/>
                <w:sz w:val="14"/>
                <w:szCs w:val="14"/>
                <w:b w:val="1"/>
                <w:bCs w:val="1"/>
                <w:color w:val="000562"/>
              </w:rPr>
              <w:t>EPS CAGR %</w:t>
            </w:r>
          </w:p>
        </w:tc>
        <w:tc>
          <w:tcPr>
            <w:tcW w:w="3180" w:type="dxa"/>
            <w:vAlign w:val="bottom"/>
          </w:tcPr>
          <w:p>
            <w:pPr>
              <w:spacing w:after="0"/>
              <w:rPr>
                <w:sz w:val="16"/>
                <w:szCs w:val="16"/>
                <w:color w:val="auto"/>
              </w:rPr>
            </w:pPr>
          </w:p>
        </w:tc>
        <w:tc>
          <w:tcPr>
            <w:tcW w:w="3840" w:type="dxa"/>
            <w:vAlign w:val="bottom"/>
            <w:gridSpan w:val="2"/>
          </w:tcPr>
          <w:p>
            <w:pPr>
              <w:jc w:val="center"/>
              <w:ind w:right="2160"/>
              <w:spacing w:after="0"/>
              <w:rPr>
                <w:sz w:val="20"/>
                <w:szCs w:val="20"/>
                <w:color w:val="auto"/>
              </w:rPr>
            </w:pPr>
            <w:r>
              <w:rPr>
                <w:rFonts w:ascii="Arial" w:cs="Arial" w:eastAsia="Arial" w:hAnsi="Arial"/>
                <w:sz w:val="14"/>
                <w:szCs w:val="14"/>
                <w:b w:val="1"/>
                <w:bCs w:val="1"/>
                <w:color w:val="000562"/>
              </w:rPr>
              <w:t>(50% of target)</w:t>
            </w:r>
          </w:p>
        </w:tc>
      </w:tr>
      <w:tr>
        <w:trPr>
          <w:trHeight w:val="223"/>
        </w:trPr>
        <w:tc>
          <w:tcPr>
            <w:tcW w:w="900" w:type="dxa"/>
            <w:vAlign w:val="bottom"/>
          </w:tcPr>
          <w:p>
            <w:pPr>
              <w:spacing w:after="0"/>
              <w:rPr>
                <w:sz w:val="19"/>
                <w:szCs w:val="19"/>
                <w:color w:val="auto"/>
              </w:rPr>
            </w:pPr>
          </w:p>
        </w:tc>
        <w:tc>
          <w:tcPr>
            <w:tcW w:w="1640" w:type="dxa"/>
            <w:vAlign w:val="bottom"/>
            <w:tcBorders>
              <w:top w:val="single" w:sz="8" w:color="000562"/>
            </w:tcBorders>
            <w:shd w:val="clear" w:color="auto" w:fill="E9EFEE"/>
          </w:tcPr>
          <w:p>
            <w:pPr>
              <w:ind w:left="440"/>
              <w:spacing w:after="0"/>
              <w:rPr>
                <w:sz w:val="20"/>
                <w:szCs w:val="20"/>
                <w:color w:val="auto"/>
              </w:rPr>
            </w:pPr>
            <w:r>
              <w:rPr>
                <w:rFonts w:ascii="Arial" w:cs="Arial" w:eastAsia="Arial" w:hAnsi="Arial"/>
                <w:sz w:val="18"/>
                <w:szCs w:val="18"/>
                <w:color w:val="auto"/>
              </w:rPr>
              <w:t>&lt;4.5%</w:t>
            </w:r>
          </w:p>
        </w:tc>
        <w:tc>
          <w:tcPr>
            <w:tcW w:w="3180" w:type="dxa"/>
            <w:vAlign w:val="bottom"/>
            <w:tcBorders>
              <w:top w:val="single" w:sz="8" w:color="000562"/>
            </w:tcBorders>
            <w:shd w:val="clear" w:color="auto" w:fill="E9EFEE"/>
          </w:tcPr>
          <w:p>
            <w:pPr>
              <w:spacing w:after="0"/>
              <w:rPr>
                <w:sz w:val="19"/>
                <w:szCs w:val="19"/>
                <w:color w:val="auto"/>
              </w:rPr>
            </w:pPr>
          </w:p>
        </w:tc>
        <w:tc>
          <w:tcPr>
            <w:tcW w:w="2460" w:type="dxa"/>
            <w:vAlign w:val="bottom"/>
            <w:tcBorders>
              <w:top w:val="single" w:sz="8" w:color="000562"/>
            </w:tcBorders>
            <w:shd w:val="clear" w:color="auto" w:fill="E9EFEE"/>
          </w:tcPr>
          <w:p>
            <w:pPr>
              <w:jc w:val="right"/>
              <w:ind w:right="1233"/>
              <w:spacing w:after="0"/>
              <w:rPr>
                <w:sz w:val="20"/>
                <w:szCs w:val="20"/>
                <w:color w:val="auto"/>
              </w:rPr>
            </w:pPr>
            <w:r>
              <w:rPr>
                <w:rFonts w:ascii="Arial" w:cs="Arial" w:eastAsia="Arial" w:hAnsi="Arial"/>
                <w:sz w:val="18"/>
                <w:szCs w:val="18"/>
                <w:color w:val="auto"/>
              </w:rPr>
              <w:t>0.0%</w:t>
            </w:r>
          </w:p>
        </w:tc>
        <w:tc>
          <w:tcPr>
            <w:tcW w:w="1380" w:type="dxa"/>
            <w:vAlign w:val="bottom"/>
          </w:tcPr>
          <w:p>
            <w:pPr>
              <w:spacing w:after="0"/>
              <w:rPr>
                <w:sz w:val="19"/>
                <w:szCs w:val="19"/>
                <w:color w:val="auto"/>
              </w:rPr>
            </w:pPr>
          </w:p>
        </w:tc>
      </w:tr>
      <w:tr>
        <w:trPr>
          <w:trHeight w:val="230"/>
        </w:trPr>
        <w:tc>
          <w:tcPr>
            <w:tcW w:w="2540" w:type="dxa"/>
            <w:vAlign w:val="bottom"/>
            <w:gridSpan w:val="2"/>
          </w:tcPr>
          <w:p>
            <w:pPr>
              <w:ind w:left="1340"/>
              <w:spacing w:after="0"/>
              <w:rPr>
                <w:sz w:val="20"/>
                <w:szCs w:val="20"/>
                <w:color w:val="auto"/>
              </w:rPr>
            </w:pPr>
            <w:r>
              <w:rPr>
                <w:rFonts w:ascii="Arial" w:cs="Arial" w:eastAsia="Arial" w:hAnsi="Arial"/>
                <w:sz w:val="18"/>
                <w:szCs w:val="18"/>
                <w:color w:val="auto"/>
              </w:rPr>
              <w:t>4.5%</w:t>
            </w:r>
          </w:p>
        </w:tc>
        <w:tc>
          <w:tcPr>
            <w:tcW w:w="3180" w:type="dxa"/>
            <w:vAlign w:val="bottom"/>
          </w:tcPr>
          <w:p>
            <w:pPr>
              <w:spacing w:after="0"/>
              <w:rPr>
                <w:sz w:val="19"/>
                <w:szCs w:val="19"/>
                <w:color w:val="auto"/>
              </w:rPr>
            </w:pPr>
          </w:p>
        </w:tc>
        <w:tc>
          <w:tcPr>
            <w:tcW w:w="2460" w:type="dxa"/>
            <w:vAlign w:val="bottom"/>
          </w:tcPr>
          <w:p>
            <w:pPr>
              <w:jc w:val="right"/>
              <w:ind w:right="1233"/>
              <w:spacing w:after="0"/>
              <w:rPr>
                <w:sz w:val="20"/>
                <w:szCs w:val="20"/>
                <w:color w:val="auto"/>
              </w:rPr>
            </w:pPr>
            <w:r>
              <w:rPr>
                <w:rFonts w:ascii="Arial" w:cs="Arial" w:eastAsia="Arial" w:hAnsi="Arial"/>
                <w:sz w:val="18"/>
                <w:szCs w:val="18"/>
                <w:color w:val="auto"/>
              </w:rPr>
              <w:t>40.0%</w:t>
            </w:r>
          </w:p>
        </w:tc>
        <w:tc>
          <w:tcPr>
            <w:tcW w:w="1380" w:type="dxa"/>
            <w:vAlign w:val="bottom"/>
          </w:tcPr>
          <w:p>
            <w:pPr>
              <w:spacing w:after="0"/>
              <w:rPr>
                <w:sz w:val="19"/>
                <w:szCs w:val="19"/>
                <w:color w:val="auto"/>
              </w:rPr>
            </w:pPr>
          </w:p>
        </w:tc>
      </w:tr>
      <w:tr>
        <w:trPr>
          <w:trHeight w:val="230"/>
        </w:trPr>
        <w:tc>
          <w:tcPr>
            <w:tcW w:w="900" w:type="dxa"/>
            <w:vAlign w:val="bottom"/>
          </w:tcPr>
          <w:p>
            <w:pPr>
              <w:spacing w:after="0"/>
              <w:rPr>
                <w:sz w:val="19"/>
                <w:szCs w:val="19"/>
                <w:color w:val="auto"/>
              </w:rPr>
            </w:pPr>
          </w:p>
        </w:tc>
        <w:tc>
          <w:tcPr>
            <w:tcW w:w="1640" w:type="dxa"/>
            <w:vAlign w:val="bottom"/>
            <w:shd w:val="clear" w:color="auto" w:fill="E9EFEE"/>
          </w:tcPr>
          <w:p>
            <w:pPr>
              <w:ind w:left="440"/>
              <w:spacing w:after="0"/>
              <w:rPr>
                <w:sz w:val="20"/>
                <w:szCs w:val="20"/>
                <w:color w:val="auto"/>
              </w:rPr>
            </w:pPr>
            <w:r>
              <w:rPr>
                <w:rFonts w:ascii="Arial" w:cs="Arial" w:eastAsia="Arial" w:hAnsi="Arial"/>
                <w:sz w:val="18"/>
                <w:szCs w:val="18"/>
                <w:color w:val="auto"/>
              </w:rPr>
              <w:t>5.0%</w:t>
            </w:r>
          </w:p>
        </w:tc>
        <w:tc>
          <w:tcPr>
            <w:tcW w:w="3180" w:type="dxa"/>
            <w:vAlign w:val="bottom"/>
            <w:shd w:val="clear" w:color="auto" w:fill="E9EFEE"/>
          </w:tcPr>
          <w:p>
            <w:pPr>
              <w:spacing w:after="0"/>
              <w:rPr>
                <w:sz w:val="19"/>
                <w:szCs w:val="19"/>
                <w:color w:val="auto"/>
              </w:rPr>
            </w:pPr>
          </w:p>
        </w:tc>
        <w:tc>
          <w:tcPr>
            <w:tcW w:w="2460" w:type="dxa"/>
            <w:vAlign w:val="bottom"/>
            <w:shd w:val="clear" w:color="auto" w:fill="E9EFEE"/>
          </w:tcPr>
          <w:p>
            <w:pPr>
              <w:jc w:val="right"/>
              <w:ind w:right="1233"/>
              <w:spacing w:after="0"/>
              <w:rPr>
                <w:sz w:val="20"/>
                <w:szCs w:val="20"/>
                <w:color w:val="auto"/>
              </w:rPr>
            </w:pPr>
            <w:r>
              <w:rPr>
                <w:rFonts w:ascii="Arial" w:cs="Arial" w:eastAsia="Arial" w:hAnsi="Arial"/>
                <w:sz w:val="18"/>
                <w:szCs w:val="18"/>
                <w:color w:val="auto"/>
              </w:rPr>
              <w:t>50.0%</w:t>
            </w:r>
          </w:p>
        </w:tc>
        <w:tc>
          <w:tcPr>
            <w:tcW w:w="1380" w:type="dxa"/>
            <w:vAlign w:val="bottom"/>
          </w:tcPr>
          <w:p>
            <w:pPr>
              <w:spacing w:after="0"/>
              <w:rPr>
                <w:sz w:val="19"/>
                <w:szCs w:val="19"/>
                <w:color w:val="auto"/>
              </w:rPr>
            </w:pPr>
          </w:p>
        </w:tc>
      </w:tr>
      <w:tr>
        <w:trPr>
          <w:trHeight w:val="230"/>
        </w:trPr>
        <w:tc>
          <w:tcPr>
            <w:tcW w:w="2540" w:type="dxa"/>
            <w:vAlign w:val="bottom"/>
            <w:gridSpan w:val="2"/>
          </w:tcPr>
          <w:p>
            <w:pPr>
              <w:ind w:left="1340"/>
              <w:spacing w:after="0"/>
              <w:rPr>
                <w:sz w:val="20"/>
                <w:szCs w:val="20"/>
                <w:color w:val="auto"/>
              </w:rPr>
            </w:pPr>
            <w:r>
              <w:rPr>
                <w:rFonts w:ascii="Arial" w:cs="Arial" w:eastAsia="Arial" w:hAnsi="Arial"/>
                <w:sz w:val="18"/>
                <w:szCs w:val="18"/>
                <w:color w:val="auto"/>
              </w:rPr>
              <w:t>5.5%</w:t>
            </w:r>
          </w:p>
        </w:tc>
        <w:tc>
          <w:tcPr>
            <w:tcW w:w="3180" w:type="dxa"/>
            <w:vAlign w:val="bottom"/>
          </w:tcPr>
          <w:p>
            <w:pPr>
              <w:spacing w:after="0"/>
              <w:rPr>
                <w:sz w:val="19"/>
                <w:szCs w:val="19"/>
                <w:color w:val="auto"/>
              </w:rPr>
            </w:pPr>
          </w:p>
        </w:tc>
        <w:tc>
          <w:tcPr>
            <w:tcW w:w="2460" w:type="dxa"/>
            <w:vAlign w:val="bottom"/>
          </w:tcPr>
          <w:p>
            <w:pPr>
              <w:jc w:val="right"/>
              <w:ind w:right="1233"/>
              <w:spacing w:after="0"/>
              <w:rPr>
                <w:sz w:val="20"/>
                <w:szCs w:val="20"/>
                <w:color w:val="auto"/>
              </w:rPr>
            </w:pPr>
            <w:r>
              <w:rPr>
                <w:rFonts w:ascii="Arial" w:cs="Arial" w:eastAsia="Arial" w:hAnsi="Arial"/>
                <w:sz w:val="18"/>
                <w:szCs w:val="18"/>
                <w:color w:val="auto"/>
              </w:rPr>
              <w:t>65.0%</w:t>
            </w:r>
          </w:p>
        </w:tc>
        <w:tc>
          <w:tcPr>
            <w:tcW w:w="1380" w:type="dxa"/>
            <w:vAlign w:val="bottom"/>
          </w:tcPr>
          <w:p>
            <w:pPr>
              <w:spacing w:after="0"/>
              <w:rPr>
                <w:sz w:val="19"/>
                <w:szCs w:val="19"/>
                <w:color w:val="auto"/>
              </w:rPr>
            </w:pPr>
          </w:p>
        </w:tc>
      </w:tr>
      <w:tr>
        <w:trPr>
          <w:trHeight w:val="230"/>
        </w:trPr>
        <w:tc>
          <w:tcPr>
            <w:tcW w:w="900" w:type="dxa"/>
            <w:vAlign w:val="bottom"/>
          </w:tcPr>
          <w:p>
            <w:pPr>
              <w:spacing w:after="0"/>
              <w:rPr>
                <w:sz w:val="19"/>
                <w:szCs w:val="19"/>
                <w:color w:val="auto"/>
              </w:rPr>
            </w:pPr>
          </w:p>
        </w:tc>
        <w:tc>
          <w:tcPr>
            <w:tcW w:w="1640" w:type="dxa"/>
            <w:vAlign w:val="bottom"/>
            <w:shd w:val="clear" w:color="auto" w:fill="E9EFEE"/>
          </w:tcPr>
          <w:p>
            <w:pPr>
              <w:ind w:left="440"/>
              <w:spacing w:after="0"/>
              <w:rPr>
                <w:sz w:val="20"/>
                <w:szCs w:val="20"/>
                <w:color w:val="auto"/>
              </w:rPr>
            </w:pPr>
            <w:r>
              <w:rPr>
                <w:rFonts w:ascii="Arial" w:cs="Arial" w:eastAsia="Arial" w:hAnsi="Arial"/>
                <w:sz w:val="18"/>
                <w:szCs w:val="18"/>
                <w:color w:val="auto"/>
              </w:rPr>
              <w:t>6.0%</w:t>
            </w:r>
          </w:p>
        </w:tc>
        <w:tc>
          <w:tcPr>
            <w:tcW w:w="3180" w:type="dxa"/>
            <w:vAlign w:val="bottom"/>
            <w:shd w:val="clear" w:color="auto" w:fill="E9EFEE"/>
          </w:tcPr>
          <w:p>
            <w:pPr>
              <w:spacing w:after="0"/>
              <w:rPr>
                <w:sz w:val="19"/>
                <w:szCs w:val="19"/>
                <w:color w:val="auto"/>
              </w:rPr>
            </w:pPr>
          </w:p>
        </w:tc>
        <w:tc>
          <w:tcPr>
            <w:tcW w:w="2460" w:type="dxa"/>
            <w:vAlign w:val="bottom"/>
            <w:shd w:val="clear" w:color="auto" w:fill="E9EFEE"/>
          </w:tcPr>
          <w:p>
            <w:pPr>
              <w:jc w:val="right"/>
              <w:ind w:right="1233"/>
              <w:spacing w:after="0"/>
              <w:rPr>
                <w:sz w:val="20"/>
                <w:szCs w:val="20"/>
                <w:color w:val="auto"/>
              </w:rPr>
            </w:pPr>
            <w:r>
              <w:rPr>
                <w:rFonts w:ascii="Arial" w:cs="Arial" w:eastAsia="Arial" w:hAnsi="Arial"/>
                <w:sz w:val="18"/>
                <w:szCs w:val="18"/>
                <w:color w:val="auto"/>
              </w:rPr>
              <w:t>77.5%</w:t>
            </w:r>
          </w:p>
        </w:tc>
        <w:tc>
          <w:tcPr>
            <w:tcW w:w="1380" w:type="dxa"/>
            <w:vAlign w:val="bottom"/>
          </w:tcPr>
          <w:p>
            <w:pPr>
              <w:spacing w:after="0"/>
              <w:rPr>
                <w:sz w:val="19"/>
                <w:szCs w:val="19"/>
                <w:color w:val="auto"/>
              </w:rPr>
            </w:pPr>
          </w:p>
        </w:tc>
      </w:tr>
      <w:tr>
        <w:trPr>
          <w:trHeight w:val="230"/>
        </w:trPr>
        <w:tc>
          <w:tcPr>
            <w:tcW w:w="2540" w:type="dxa"/>
            <w:vAlign w:val="bottom"/>
            <w:gridSpan w:val="2"/>
          </w:tcPr>
          <w:p>
            <w:pPr>
              <w:ind w:left="1340"/>
              <w:spacing w:after="0"/>
              <w:rPr>
                <w:sz w:val="20"/>
                <w:szCs w:val="20"/>
                <w:color w:val="auto"/>
              </w:rPr>
            </w:pPr>
            <w:r>
              <w:rPr>
                <w:rFonts w:ascii="Arial" w:cs="Arial" w:eastAsia="Arial" w:hAnsi="Arial"/>
                <w:sz w:val="18"/>
                <w:szCs w:val="18"/>
                <w:color w:val="auto"/>
              </w:rPr>
              <w:t>6.5%</w:t>
            </w:r>
          </w:p>
        </w:tc>
        <w:tc>
          <w:tcPr>
            <w:tcW w:w="3180" w:type="dxa"/>
            <w:vAlign w:val="bottom"/>
          </w:tcPr>
          <w:p>
            <w:pPr>
              <w:spacing w:after="0"/>
              <w:rPr>
                <w:sz w:val="19"/>
                <w:szCs w:val="19"/>
                <w:color w:val="auto"/>
              </w:rPr>
            </w:pPr>
          </w:p>
        </w:tc>
        <w:tc>
          <w:tcPr>
            <w:tcW w:w="2460" w:type="dxa"/>
            <w:vAlign w:val="bottom"/>
          </w:tcPr>
          <w:p>
            <w:pPr>
              <w:jc w:val="right"/>
              <w:ind w:right="1233"/>
              <w:spacing w:after="0"/>
              <w:rPr>
                <w:sz w:val="20"/>
                <w:szCs w:val="20"/>
                <w:color w:val="auto"/>
              </w:rPr>
            </w:pPr>
            <w:r>
              <w:rPr>
                <w:rFonts w:ascii="Arial" w:cs="Arial" w:eastAsia="Arial" w:hAnsi="Arial"/>
                <w:sz w:val="18"/>
                <w:szCs w:val="18"/>
                <w:color w:val="auto"/>
              </w:rPr>
              <w:t>90.0%</w:t>
            </w:r>
          </w:p>
        </w:tc>
        <w:tc>
          <w:tcPr>
            <w:tcW w:w="1380" w:type="dxa"/>
            <w:vAlign w:val="bottom"/>
          </w:tcPr>
          <w:p>
            <w:pPr>
              <w:spacing w:after="0"/>
              <w:rPr>
                <w:sz w:val="19"/>
                <w:szCs w:val="19"/>
                <w:color w:val="auto"/>
              </w:rPr>
            </w:pPr>
          </w:p>
        </w:tc>
      </w:tr>
      <w:tr>
        <w:trPr>
          <w:trHeight w:val="230"/>
        </w:trPr>
        <w:tc>
          <w:tcPr>
            <w:tcW w:w="900" w:type="dxa"/>
            <w:vAlign w:val="bottom"/>
          </w:tcPr>
          <w:p>
            <w:pPr>
              <w:spacing w:after="0"/>
              <w:rPr>
                <w:sz w:val="19"/>
                <w:szCs w:val="19"/>
                <w:color w:val="auto"/>
              </w:rPr>
            </w:pPr>
          </w:p>
        </w:tc>
        <w:tc>
          <w:tcPr>
            <w:tcW w:w="1640" w:type="dxa"/>
            <w:vAlign w:val="bottom"/>
            <w:shd w:val="clear" w:color="auto" w:fill="E9EFEE"/>
          </w:tcPr>
          <w:p>
            <w:pPr>
              <w:ind w:left="440"/>
              <w:spacing w:after="0"/>
              <w:rPr>
                <w:sz w:val="20"/>
                <w:szCs w:val="20"/>
                <w:color w:val="auto"/>
              </w:rPr>
            </w:pPr>
            <w:r>
              <w:rPr>
                <w:rFonts w:ascii="Arial" w:cs="Arial" w:eastAsia="Arial" w:hAnsi="Arial"/>
                <w:sz w:val="18"/>
                <w:szCs w:val="18"/>
                <w:color w:val="auto"/>
              </w:rPr>
              <w:t>7.5%</w:t>
            </w:r>
          </w:p>
        </w:tc>
        <w:tc>
          <w:tcPr>
            <w:tcW w:w="3180" w:type="dxa"/>
            <w:vAlign w:val="bottom"/>
            <w:shd w:val="clear" w:color="auto" w:fill="E9EFEE"/>
          </w:tcPr>
          <w:p>
            <w:pPr>
              <w:spacing w:after="0"/>
              <w:rPr>
                <w:sz w:val="19"/>
                <w:szCs w:val="19"/>
                <w:color w:val="auto"/>
              </w:rPr>
            </w:pPr>
          </w:p>
        </w:tc>
        <w:tc>
          <w:tcPr>
            <w:tcW w:w="2460" w:type="dxa"/>
            <w:vAlign w:val="bottom"/>
            <w:shd w:val="clear" w:color="auto" w:fill="E9EFEE"/>
          </w:tcPr>
          <w:p>
            <w:pPr>
              <w:jc w:val="right"/>
              <w:ind w:right="1233"/>
              <w:spacing w:after="0"/>
              <w:rPr>
                <w:sz w:val="20"/>
                <w:szCs w:val="20"/>
                <w:color w:val="auto"/>
              </w:rPr>
            </w:pPr>
            <w:r>
              <w:rPr>
                <w:rFonts w:ascii="Arial" w:cs="Arial" w:eastAsia="Arial" w:hAnsi="Arial"/>
                <w:sz w:val="18"/>
                <w:szCs w:val="18"/>
                <w:color w:val="auto"/>
              </w:rPr>
              <w:t>100.0%</w:t>
            </w:r>
          </w:p>
        </w:tc>
        <w:tc>
          <w:tcPr>
            <w:tcW w:w="1380" w:type="dxa"/>
            <w:vAlign w:val="bottom"/>
          </w:tcPr>
          <w:p>
            <w:pPr>
              <w:spacing w:after="0"/>
              <w:rPr>
                <w:sz w:val="19"/>
                <w:szCs w:val="19"/>
                <w:color w:val="auto"/>
              </w:rPr>
            </w:pPr>
          </w:p>
        </w:tc>
      </w:tr>
      <w:tr>
        <w:trPr>
          <w:trHeight w:val="230"/>
        </w:trPr>
        <w:tc>
          <w:tcPr>
            <w:tcW w:w="2540" w:type="dxa"/>
            <w:vAlign w:val="bottom"/>
            <w:gridSpan w:val="2"/>
          </w:tcPr>
          <w:p>
            <w:pPr>
              <w:ind w:left="1340"/>
              <w:spacing w:after="0"/>
              <w:rPr>
                <w:sz w:val="20"/>
                <w:szCs w:val="20"/>
                <w:color w:val="auto"/>
              </w:rPr>
            </w:pPr>
            <w:r>
              <w:rPr>
                <w:rFonts w:ascii="Arial" w:cs="Arial" w:eastAsia="Arial" w:hAnsi="Arial"/>
                <w:sz w:val="18"/>
                <w:szCs w:val="18"/>
                <w:color w:val="auto"/>
              </w:rPr>
              <w:t>8.5%</w:t>
            </w:r>
          </w:p>
        </w:tc>
        <w:tc>
          <w:tcPr>
            <w:tcW w:w="3180" w:type="dxa"/>
            <w:vAlign w:val="bottom"/>
          </w:tcPr>
          <w:p>
            <w:pPr>
              <w:spacing w:after="0"/>
              <w:rPr>
                <w:sz w:val="19"/>
                <w:szCs w:val="19"/>
                <w:color w:val="auto"/>
              </w:rPr>
            </w:pPr>
          </w:p>
        </w:tc>
        <w:tc>
          <w:tcPr>
            <w:tcW w:w="2460" w:type="dxa"/>
            <w:vAlign w:val="bottom"/>
          </w:tcPr>
          <w:p>
            <w:pPr>
              <w:jc w:val="right"/>
              <w:ind w:right="1233"/>
              <w:spacing w:after="0"/>
              <w:rPr>
                <w:sz w:val="20"/>
                <w:szCs w:val="20"/>
                <w:color w:val="auto"/>
              </w:rPr>
            </w:pPr>
            <w:r>
              <w:rPr>
                <w:rFonts w:ascii="Arial" w:cs="Arial" w:eastAsia="Arial" w:hAnsi="Arial"/>
                <w:sz w:val="18"/>
                <w:szCs w:val="18"/>
                <w:color w:val="auto"/>
              </w:rPr>
              <w:t>120.0%</w:t>
            </w:r>
          </w:p>
        </w:tc>
        <w:tc>
          <w:tcPr>
            <w:tcW w:w="1380" w:type="dxa"/>
            <w:vAlign w:val="bottom"/>
          </w:tcPr>
          <w:p>
            <w:pPr>
              <w:spacing w:after="0"/>
              <w:rPr>
                <w:sz w:val="19"/>
                <w:szCs w:val="19"/>
                <w:color w:val="auto"/>
              </w:rPr>
            </w:pPr>
          </w:p>
        </w:tc>
      </w:tr>
      <w:tr>
        <w:trPr>
          <w:trHeight w:val="230"/>
        </w:trPr>
        <w:tc>
          <w:tcPr>
            <w:tcW w:w="900" w:type="dxa"/>
            <w:vAlign w:val="bottom"/>
          </w:tcPr>
          <w:p>
            <w:pPr>
              <w:spacing w:after="0"/>
              <w:rPr>
                <w:sz w:val="19"/>
                <w:szCs w:val="19"/>
                <w:color w:val="auto"/>
              </w:rPr>
            </w:pPr>
          </w:p>
        </w:tc>
        <w:tc>
          <w:tcPr>
            <w:tcW w:w="1640" w:type="dxa"/>
            <w:vAlign w:val="bottom"/>
            <w:shd w:val="clear" w:color="auto" w:fill="E9EFEE"/>
          </w:tcPr>
          <w:p>
            <w:pPr>
              <w:ind w:left="440"/>
              <w:spacing w:after="0"/>
              <w:rPr>
                <w:sz w:val="20"/>
                <w:szCs w:val="20"/>
                <w:color w:val="auto"/>
              </w:rPr>
            </w:pPr>
            <w:r>
              <w:rPr>
                <w:rFonts w:ascii="Arial" w:cs="Arial" w:eastAsia="Arial" w:hAnsi="Arial"/>
                <w:sz w:val="18"/>
                <w:szCs w:val="18"/>
                <w:color w:val="auto"/>
              </w:rPr>
              <w:t>9.5%</w:t>
            </w:r>
          </w:p>
        </w:tc>
        <w:tc>
          <w:tcPr>
            <w:tcW w:w="3180" w:type="dxa"/>
            <w:vAlign w:val="bottom"/>
            <w:shd w:val="clear" w:color="auto" w:fill="E9EFEE"/>
          </w:tcPr>
          <w:p>
            <w:pPr>
              <w:spacing w:after="0"/>
              <w:rPr>
                <w:sz w:val="19"/>
                <w:szCs w:val="19"/>
                <w:color w:val="auto"/>
              </w:rPr>
            </w:pPr>
          </w:p>
        </w:tc>
        <w:tc>
          <w:tcPr>
            <w:tcW w:w="2460" w:type="dxa"/>
            <w:vAlign w:val="bottom"/>
            <w:shd w:val="clear" w:color="auto" w:fill="E9EFEE"/>
          </w:tcPr>
          <w:p>
            <w:pPr>
              <w:jc w:val="right"/>
              <w:ind w:right="1233"/>
              <w:spacing w:after="0"/>
              <w:rPr>
                <w:sz w:val="20"/>
                <w:szCs w:val="20"/>
                <w:color w:val="auto"/>
              </w:rPr>
            </w:pPr>
            <w:r>
              <w:rPr>
                <w:rFonts w:ascii="Arial" w:cs="Arial" w:eastAsia="Arial" w:hAnsi="Arial"/>
                <w:sz w:val="18"/>
                <w:szCs w:val="18"/>
                <w:color w:val="auto"/>
              </w:rPr>
              <w:t>140.0%</w:t>
            </w:r>
          </w:p>
        </w:tc>
        <w:tc>
          <w:tcPr>
            <w:tcW w:w="1380" w:type="dxa"/>
            <w:vAlign w:val="bottom"/>
          </w:tcPr>
          <w:p>
            <w:pPr>
              <w:spacing w:after="0"/>
              <w:rPr>
                <w:sz w:val="19"/>
                <w:szCs w:val="19"/>
                <w:color w:val="auto"/>
              </w:rPr>
            </w:pPr>
          </w:p>
        </w:tc>
      </w:tr>
      <w:tr>
        <w:trPr>
          <w:trHeight w:val="230"/>
        </w:trPr>
        <w:tc>
          <w:tcPr>
            <w:tcW w:w="2540" w:type="dxa"/>
            <w:vAlign w:val="bottom"/>
            <w:gridSpan w:val="2"/>
          </w:tcPr>
          <w:p>
            <w:pPr>
              <w:ind w:left="1340"/>
              <w:spacing w:after="0"/>
              <w:rPr>
                <w:sz w:val="20"/>
                <w:szCs w:val="20"/>
                <w:color w:val="auto"/>
              </w:rPr>
            </w:pPr>
            <w:r>
              <w:rPr>
                <w:rFonts w:ascii="Arial" w:cs="Arial" w:eastAsia="Arial" w:hAnsi="Arial"/>
                <w:sz w:val="18"/>
                <w:szCs w:val="18"/>
                <w:color w:val="auto"/>
              </w:rPr>
              <w:t>10.0%</w:t>
            </w:r>
          </w:p>
        </w:tc>
        <w:tc>
          <w:tcPr>
            <w:tcW w:w="3180" w:type="dxa"/>
            <w:vAlign w:val="bottom"/>
          </w:tcPr>
          <w:p>
            <w:pPr>
              <w:spacing w:after="0"/>
              <w:rPr>
                <w:sz w:val="19"/>
                <w:szCs w:val="19"/>
                <w:color w:val="auto"/>
              </w:rPr>
            </w:pPr>
          </w:p>
        </w:tc>
        <w:tc>
          <w:tcPr>
            <w:tcW w:w="2460" w:type="dxa"/>
            <w:vAlign w:val="bottom"/>
          </w:tcPr>
          <w:p>
            <w:pPr>
              <w:jc w:val="right"/>
              <w:ind w:right="1233"/>
              <w:spacing w:after="0"/>
              <w:rPr>
                <w:sz w:val="20"/>
                <w:szCs w:val="20"/>
                <w:color w:val="auto"/>
              </w:rPr>
            </w:pPr>
            <w:r>
              <w:rPr>
                <w:rFonts w:ascii="Arial" w:cs="Arial" w:eastAsia="Arial" w:hAnsi="Arial"/>
                <w:sz w:val="18"/>
                <w:szCs w:val="18"/>
                <w:color w:val="auto"/>
              </w:rPr>
              <w:t>160.0%</w:t>
            </w:r>
          </w:p>
        </w:tc>
        <w:tc>
          <w:tcPr>
            <w:tcW w:w="1380" w:type="dxa"/>
            <w:vAlign w:val="bottom"/>
          </w:tcPr>
          <w:p>
            <w:pPr>
              <w:spacing w:after="0"/>
              <w:rPr>
                <w:sz w:val="19"/>
                <w:szCs w:val="19"/>
                <w:color w:val="auto"/>
              </w:rPr>
            </w:pPr>
          </w:p>
        </w:tc>
      </w:tr>
      <w:tr>
        <w:trPr>
          <w:trHeight w:val="230"/>
        </w:trPr>
        <w:tc>
          <w:tcPr>
            <w:tcW w:w="900" w:type="dxa"/>
            <w:vAlign w:val="bottom"/>
          </w:tcPr>
          <w:p>
            <w:pPr>
              <w:spacing w:after="0"/>
              <w:rPr>
                <w:sz w:val="19"/>
                <w:szCs w:val="19"/>
                <w:color w:val="auto"/>
              </w:rPr>
            </w:pPr>
          </w:p>
        </w:tc>
        <w:tc>
          <w:tcPr>
            <w:tcW w:w="1640" w:type="dxa"/>
            <w:vAlign w:val="bottom"/>
            <w:shd w:val="clear" w:color="auto" w:fill="E9EFEE"/>
          </w:tcPr>
          <w:p>
            <w:pPr>
              <w:ind w:left="440"/>
              <w:spacing w:after="0"/>
              <w:rPr>
                <w:sz w:val="20"/>
                <w:szCs w:val="20"/>
                <w:color w:val="auto"/>
              </w:rPr>
            </w:pPr>
            <w:r>
              <w:rPr>
                <w:rFonts w:ascii="Arial" w:cs="Arial" w:eastAsia="Arial" w:hAnsi="Arial"/>
                <w:sz w:val="18"/>
                <w:szCs w:val="18"/>
                <w:color w:val="auto"/>
              </w:rPr>
              <w:t>10.5%</w:t>
            </w:r>
          </w:p>
        </w:tc>
        <w:tc>
          <w:tcPr>
            <w:tcW w:w="3180" w:type="dxa"/>
            <w:vAlign w:val="bottom"/>
            <w:shd w:val="clear" w:color="auto" w:fill="E9EFEE"/>
          </w:tcPr>
          <w:p>
            <w:pPr>
              <w:spacing w:after="0"/>
              <w:rPr>
                <w:sz w:val="19"/>
                <w:szCs w:val="19"/>
                <w:color w:val="auto"/>
              </w:rPr>
            </w:pPr>
          </w:p>
        </w:tc>
        <w:tc>
          <w:tcPr>
            <w:tcW w:w="2460" w:type="dxa"/>
            <w:vAlign w:val="bottom"/>
            <w:shd w:val="clear" w:color="auto" w:fill="E9EFEE"/>
          </w:tcPr>
          <w:p>
            <w:pPr>
              <w:jc w:val="right"/>
              <w:ind w:right="1233"/>
              <w:spacing w:after="0"/>
              <w:rPr>
                <w:sz w:val="20"/>
                <w:szCs w:val="20"/>
                <w:color w:val="auto"/>
              </w:rPr>
            </w:pPr>
            <w:r>
              <w:rPr>
                <w:rFonts w:ascii="Arial" w:cs="Arial" w:eastAsia="Arial" w:hAnsi="Arial"/>
                <w:sz w:val="18"/>
                <w:szCs w:val="18"/>
                <w:color w:val="auto"/>
              </w:rPr>
              <w:t>180.0%</w:t>
            </w:r>
          </w:p>
        </w:tc>
        <w:tc>
          <w:tcPr>
            <w:tcW w:w="1380" w:type="dxa"/>
            <w:vAlign w:val="bottom"/>
          </w:tcPr>
          <w:p>
            <w:pPr>
              <w:spacing w:after="0"/>
              <w:rPr>
                <w:sz w:val="19"/>
                <w:szCs w:val="19"/>
                <w:color w:val="auto"/>
              </w:rPr>
            </w:pPr>
          </w:p>
        </w:tc>
      </w:tr>
      <w:tr>
        <w:trPr>
          <w:trHeight w:val="230"/>
        </w:trPr>
        <w:tc>
          <w:tcPr>
            <w:tcW w:w="900" w:type="dxa"/>
            <w:vAlign w:val="bottom"/>
          </w:tcPr>
          <w:p>
            <w:pPr>
              <w:spacing w:after="0"/>
              <w:rPr>
                <w:sz w:val="19"/>
                <w:szCs w:val="19"/>
                <w:color w:val="auto"/>
              </w:rPr>
            </w:pPr>
          </w:p>
        </w:tc>
        <w:tc>
          <w:tcPr>
            <w:tcW w:w="1640" w:type="dxa"/>
            <w:vAlign w:val="bottom"/>
            <w:tcBorders>
              <w:bottom w:val="single" w:sz="8" w:color="000562"/>
            </w:tcBorders>
          </w:tcPr>
          <w:p>
            <w:pPr>
              <w:ind w:left="440"/>
              <w:spacing w:after="0"/>
              <w:rPr>
                <w:sz w:val="20"/>
                <w:szCs w:val="20"/>
                <w:color w:val="auto"/>
              </w:rPr>
            </w:pPr>
            <w:r>
              <w:rPr>
                <w:rFonts w:ascii="Arial" w:cs="Arial" w:eastAsia="Arial" w:hAnsi="Arial"/>
                <w:sz w:val="18"/>
                <w:szCs w:val="18"/>
                <w:color w:val="auto"/>
                <w:w w:val="99"/>
              </w:rPr>
              <w:t>11.0% or more</w:t>
            </w:r>
          </w:p>
        </w:tc>
        <w:tc>
          <w:tcPr>
            <w:tcW w:w="3180" w:type="dxa"/>
            <w:vAlign w:val="bottom"/>
            <w:tcBorders>
              <w:bottom w:val="single" w:sz="8" w:color="000562"/>
            </w:tcBorders>
          </w:tcPr>
          <w:p>
            <w:pPr>
              <w:spacing w:after="0"/>
              <w:rPr>
                <w:sz w:val="19"/>
                <w:szCs w:val="19"/>
                <w:color w:val="auto"/>
              </w:rPr>
            </w:pPr>
          </w:p>
        </w:tc>
        <w:tc>
          <w:tcPr>
            <w:tcW w:w="2460" w:type="dxa"/>
            <w:vAlign w:val="bottom"/>
            <w:tcBorders>
              <w:bottom w:val="single" w:sz="8" w:color="000562"/>
            </w:tcBorders>
          </w:tcPr>
          <w:p>
            <w:pPr>
              <w:jc w:val="right"/>
              <w:ind w:right="1233"/>
              <w:spacing w:after="0"/>
              <w:rPr>
                <w:sz w:val="20"/>
                <w:szCs w:val="20"/>
                <w:color w:val="auto"/>
              </w:rPr>
            </w:pPr>
            <w:r>
              <w:rPr>
                <w:rFonts w:ascii="Arial" w:cs="Arial" w:eastAsia="Arial" w:hAnsi="Arial"/>
                <w:sz w:val="18"/>
                <w:szCs w:val="18"/>
                <w:color w:val="auto"/>
              </w:rPr>
              <w:t>200.0%</w:t>
            </w:r>
          </w:p>
        </w:tc>
        <w:tc>
          <w:tcPr>
            <w:tcW w:w="1380" w:type="dxa"/>
            <w:vAlign w:val="bottom"/>
          </w:tcPr>
          <w:p>
            <w:pPr>
              <w:spacing w:after="0"/>
              <w:rPr>
                <w:sz w:val="19"/>
                <w:szCs w:val="19"/>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Based on the degree to which the performance goals are met, any PSUs earned for the 2018-2020 cycle vest in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2"/>
        </w:rPr>
        <w:t>2016 PSU Grant (2016 - 2018 Performance Period) - Results</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information is provided to describe the performance goals for the 2016 PSU awards, the actual results relative to such performance goals and how the Company calculated the payout amount for each 2016 PSU award. As an initial matter, the 2016 PSU awards were designed for NEOs other than Mr. Amato to be initially funded based on our achievement of a threshold level of $ 63.7 million in recurring operating profit. Our 2018 actual recurring operating profit achievement was $116.1 million, and thus the participating NEOs’ 2016-2018 Cycle PSU awards were initially funded at 200% of target opportunities, subject to reduction to final payout levels as explained further below.</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2016-2018 Cycle PSU award opportunities provided to the participating NEOs in 2016 represented performance based opportunities allocated 100% to be earned generally based on the achievement of a specified RTSR percentile rank for a performance period running from January 1, 2016 to December 31, 2018. Overall achievement could vary from 0% of the target award to 200% of the target award (assuming maximum performance), with no award earned if performance fell below the threshold level.</w:t>
      </w:r>
    </w:p>
    <w:p>
      <w:pPr>
        <w:spacing w:after="0" w:line="187" w:lineRule="exact"/>
        <w:rPr>
          <w:sz w:val="20"/>
          <w:szCs w:val="20"/>
          <w:color w:val="auto"/>
        </w:rPr>
      </w:pPr>
    </w:p>
    <w:p>
      <w:pPr>
        <w:ind w:left="360" w:hanging="349"/>
        <w:spacing w:after="0"/>
        <w:tabs>
          <w:tab w:leader="none" w:pos="360" w:val="left"/>
        </w:tabs>
        <w:numPr>
          <w:ilvl w:val="0"/>
          <w:numId w:val="44"/>
        </w:numPr>
        <w:rPr>
          <w:rFonts w:ascii="Arial" w:cs="Arial" w:eastAsia="Arial" w:hAnsi="Arial"/>
          <w:sz w:val="18"/>
          <w:szCs w:val="18"/>
          <w:b w:val="1"/>
          <w:bCs w:val="1"/>
          <w:color w:val="auto"/>
        </w:rPr>
      </w:pPr>
      <w:r>
        <w:rPr>
          <w:rFonts w:ascii="Arial" w:cs="Arial" w:eastAsia="Arial" w:hAnsi="Arial"/>
          <w:sz w:val="22"/>
          <w:szCs w:val="22"/>
          <w:b w:val="1"/>
          <w:bCs w:val="1"/>
          <w:color w:val="000562"/>
        </w:rPr>
        <w:t xml:space="preserve">I </w:t>
      </w:r>
      <w:r>
        <w:rPr>
          <w:rFonts w:ascii="Arial" w:cs="Arial" w:eastAsia="Arial" w:hAnsi="Arial"/>
          <w:sz w:val="18"/>
          <w:szCs w:val="18"/>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071870" cy="43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0562"/>
        </w:rPr>
        <w:t>EXECUTIVE COMPENSATION — COMPENSATION DISCUSSION AND ANALYSIS</w:t>
      </w:r>
    </w:p>
    <w:p>
      <w:pPr>
        <w:spacing w:after="0" w:line="22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RTSR performance levels, achieved results, and resulting percentage of target award achieved for the 2016 PSU awards are summarized in the following tables: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00" w:type="dxa"/>
            <w:vAlign w:val="bottom"/>
            <w:tcBorders>
              <w:bottom w:val="single" w:sz="8" w:color="000562"/>
            </w:tcBorders>
          </w:tcPr>
          <w:p>
            <w:pPr>
              <w:ind w:left="200"/>
              <w:spacing w:after="0"/>
              <w:rPr>
                <w:sz w:val="20"/>
                <w:szCs w:val="20"/>
                <w:color w:val="auto"/>
              </w:rPr>
            </w:pPr>
            <w:r>
              <w:rPr>
                <w:rFonts w:ascii="Arial" w:cs="Arial" w:eastAsia="Arial" w:hAnsi="Arial"/>
                <w:sz w:val="14"/>
                <w:szCs w:val="14"/>
                <w:b w:val="1"/>
                <w:bCs w:val="1"/>
                <w:color w:val="000562"/>
              </w:rPr>
              <w:t>Performance Level</w:t>
            </w:r>
          </w:p>
        </w:tc>
        <w:tc>
          <w:tcPr>
            <w:tcW w:w="4160" w:type="dxa"/>
            <w:vAlign w:val="bottom"/>
            <w:tcBorders>
              <w:bottom w:val="single" w:sz="8" w:color="000562"/>
            </w:tcBorders>
          </w:tcPr>
          <w:p>
            <w:pPr>
              <w:jc w:val="center"/>
              <w:ind w:left="280"/>
              <w:spacing w:after="0"/>
              <w:rPr>
                <w:sz w:val="20"/>
                <w:szCs w:val="20"/>
                <w:color w:val="auto"/>
              </w:rPr>
            </w:pPr>
            <w:r>
              <w:rPr>
                <w:rFonts w:ascii="Arial" w:cs="Arial" w:eastAsia="Arial" w:hAnsi="Arial"/>
                <w:sz w:val="14"/>
                <w:szCs w:val="14"/>
                <w:b w:val="1"/>
                <w:bCs w:val="1"/>
                <w:color w:val="000562"/>
              </w:rPr>
              <w:t>Relative Total Shareholder Return</w:t>
            </w:r>
          </w:p>
        </w:tc>
        <w:tc>
          <w:tcPr>
            <w:tcW w:w="2900" w:type="dxa"/>
            <w:vAlign w:val="bottom"/>
            <w:tcBorders>
              <w:bottom w:val="single" w:sz="8" w:color="000562"/>
            </w:tcBorders>
          </w:tcPr>
          <w:p>
            <w:pPr>
              <w:ind w:left="880"/>
              <w:spacing w:after="0"/>
              <w:rPr>
                <w:sz w:val="20"/>
                <w:szCs w:val="20"/>
                <w:color w:val="auto"/>
              </w:rPr>
            </w:pPr>
            <w:r>
              <w:rPr>
                <w:rFonts w:ascii="Arial" w:cs="Arial" w:eastAsia="Arial" w:hAnsi="Arial"/>
                <w:sz w:val="14"/>
                <w:szCs w:val="14"/>
                <w:b w:val="1"/>
                <w:bCs w:val="1"/>
                <w:color w:val="000562"/>
              </w:rPr>
              <w:t>Target PSUs Earned</w:t>
            </w:r>
          </w:p>
        </w:tc>
      </w:tr>
      <w:tr>
        <w:trPr>
          <w:trHeight w:val="223"/>
        </w:trPr>
        <w:tc>
          <w:tcPr>
            <w:tcW w:w="2500" w:type="dxa"/>
            <w:vAlign w:val="bottom"/>
            <w:shd w:val="clear" w:color="auto" w:fill="E9EFEE"/>
          </w:tcPr>
          <w:p>
            <w:pPr>
              <w:jc w:val="center"/>
              <w:ind w:left="14"/>
              <w:spacing w:after="0"/>
              <w:rPr>
                <w:sz w:val="20"/>
                <w:szCs w:val="20"/>
                <w:color w:val="auto"/>
              </w:rPr>
            </w:pPr>
            <w:r>
              <w:rPr>
                <w:rFonts w:ascii="Arial" w:cs="Arial" w:eastAsia="Arial" w:hAnsi="Arial"/>
                <w:sz w:val="18"/>
                <w:szCs w:val="18"/>
                <w:color w:val="auto"/>
                <w:w w:val="99"/>
              </w:rPr>
              <w:t>Threshold</w:t>
            </w:r>
          </w:p>
        </w:tc>
        <w:tc>
          <w:tcPr>
            <w:tcW w:w="4160" w:type="dxa"/>
            <w:vAlign w:val="bottom"/>
            <w:shd w:val="clear" w:color="auto" w:fill="E9EFEE"/>
          </w:tcPr>
          <w:p>
            <w:pPr>
              <w:jc w:val="center"/>
              <w:ind w:left="280"/>
              <w:spacing w:after="0" w:line="223" w:lineRule="exact"/>
              <w:rPr>
                <w:sz w:val="20"/>
                <w:szCs w:val="20"/>
                <w:color w:val="auto"/>
              </w:rPr>
            </w:pPr>
            <w:r>
              <w:rPr>
                <w:rFonts w:ascii="Arial" w:cs="Arial" w:eastAsia="Arial" w:hAnsi="Arial"/>
                <w:sz w:val="16"/>
                <w:szCs w:val="16"/>
                <w:color w:val="auto"/>
              </w:rPr>
              <w:t>Ranked below or at 25</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percentile</w:t>
            </w:r>
          </w:p>
        </w:tc>
        <w:tc>
          <w:tcPr>
            <w:tcW w:w="2900" w:type="dxa"/>
            <w:vAlign w:val="bottom"/>
            <w:shd w:val="clear" w:color="auto" w:fill="E9EFEE"/>
          </w:tcPr>
          <w:p>
            <w:pPr>
              <w:jc w:val="center"/>
              <w:ind w:left="154"/>
              <w:spacing w:after="0"/>
              <w:rPr>
                <w:sz w:val="20"/>
                <w:szCs w:val="20"/>
                <w:color w:val="auto"/>
              </w:rPr>
            </w:pPr>
            <w:r>
              <w:rPr>
                <w:rFonts w:ascii="Arial" w:cs="Arial" w:eastAsia="Arial" w:hAnsi="Arial"/>
                <w:sz w:val="18"/>
                <w:szCs w:val="18"/>
                <w:color w:val="auto"/>
                <w:w w:val="99"/>
              </w:rPr>
              <w:t>0%</w:t>
            </w:r>
          </w:p>
        </w:tc>
      </w:tr>
      <w:tr>
        <w:trPr>
          <w:trHeight w:val="230"/>
        </w:trPr>
        <w:tc>
          <w:tcPr>
            <w:tcW w:w="2500" w:type="dxa"/>
            <w:vAlign w:val="bottom"/>
          </w:tcPr>
          <w:p>
            <w:pPr>
              <w:jc w:val="center"/>
              <w:ind w:left="14"/>
              <w:spacing w:after="0"/>
              <w:rPr>
                <w:sz w:val="20"/>
                <w:szCs w:val="20"/>
                <w:color w:val="auto"/>
              </w:rPr>
            </w:pPr>
            <w:r>
              <w:rPr>
                <w:rFonts w:ascii="Arial" w:cs="Arial" w:eastAsia="Arial" w:hAnsi="Arial"/>
                <w:sz w:val="18"/>
                <w:szCs w:val="18"/>
                <w:color w:val="auto"/>
                <w:w w:val="99"/>
              </w:rPr>
              <w:t>Above Threshold</w:t>
            </w:r>
          </w:p>
        </w:tc>
        <w:tc>
          <w:tcPr>
            <w:tcW w:w="4160" w:type="dxa"/>
            <w:vAlign w:val="bottom"/>
          </w:tcPr>
          <w:p>
            <w:pPr>
              <w:jc w:val="center"/>
              <w:ind w:left="280"/>
              <w:spacing w:after="0" w:line="230" w:lineRule="exact"/>
              <w:rPr>
                <w:sz w:val="20"/>
                <w:szCs w:val="20"/>
                <w:color w:val="auto"/>
              </w:rPr>
            </w:pPr>
            <w:r>
              <w:rPr>
                <w:rFonts w:ascii="Arial" w:cs="Arial" w:eastAsia="Arial" w:hAnsi="Arial"/>
                <w:sz w:val="16"/>
                <w:szCs w:val="16"/>
                <w:color w:val="auto"/>
              </w:rPr>
              <w:t>Ranked at 35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2900" w:type="dxa"/>
            <w:vAlign w:val="bottom"/>
          </w:tcPr>
          <w:p>
            <w:pPr>
              <w:jc w:val="center"/>
              <w:ind w:left="174"/>
              <w:spacing w:after="0"/>
              <w:rPr>
                <w:sz w:val="20"/>
                <w:szCs w:val="20"/>
                <w:color w:val="auto"/>
              </w:rPr>
            </w:pPr>
            <w:r>
              <w:rPr>
                <w:rFonts w:ascii="Arial" w:cs="Arial" w:eastAsia="Arial" w:hAnsi="Arial"/>
                <w:sz w:val="18"/>
                <w:szCs w:val="18"/>
                <w:color w:val="auto"/>
                <w:w w:val="99"/>
              </w:rPr>
              <w:t>50%</w:t>
            </w:r>
          </w:p>
        </w:tc>
      </w:tr>
      <w:tr>
        <w:trPr>
          <w:trHeight w:val="230"/>
        </w:trPr>
        <w:tc>
          <w:tcPr>
            <w:tcW w:w="2500" w:type="dxa"/>
            <w:vAlign w:val="bottom"/>
            <w:shd w:val="clear" w:color="auto" w:fill="E9EFEE"/>
          </w:tcPr>
          <w:p>
            <w:pPr>
              <w:jc w:val="center"/>
              <w:spacing w:after="0"/>
              <w:rPr>
                <w:sz w:val="20"/>
                <w:szCs w:val="20"/>
                <w:color w:val="auto"/>
              </w:rPr>
            </w:pPr>
            <w:r>
              <w:rPr>
                <w:rFonts w:ascii="Arial" w:cs="Arial" w:eastAsia="Arial" w:hAnsi="Arial"/>
                <w:sz w:val="18"/>
                <w:szCs w:val="18"/>
                <w:color w:val="auto"/>
                <w:w w:val="96"/>
              </w:rPr>
              <w:t>Target</w:t>
            </w:r>
          </w:p>
        </w:tc>
        <w:tc>
          <w:tcPr>
            <w:tcW w:w="4160" w:type="dxa"/>
            <w:vAlign w:val="bottom"/>
            <w:shd w:val="clear" w:color="auto" w:fill="E9EFEE"/>
          </w:tcPr>
          <w:p>
            <w:pPr>
              <w:jc w:val="center"/>
              <w:ind w:left="280"/>
              <w:spacing w:after="0" w:line="230" w:lineRule="exact"/>
              <w:rPr>
                <w:sz w:val="20"/>
                <w:szCs w:val="20"/>
                <w:color w:val="auto"/>
              </w:rPr>
            </w:pPr>
            <w:r>
              <w:rPr>
                <w:rFonts w:ascii="Arial" w:cs="Arial" w:eastAsia="Arial" w:hAnsi="Arial"/>
                <w:sz w:val="16"/>
                <w:szCs w:val="16"/>
                <w:color w:val="auto"/>
              </w:rPr>
              <w:t>Ranked at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2900" w:type="dxa"/>
            <w:vAlign w:val="bottom"/>
            <w:shd w:val="clear" w:color="auto" w:fill="E9EFEE"/>
          </w:tcPr>
          <w:p>
            <w:pPr>
              <w:jc w:val="center"/>
              <w:ind w:left="154"/>
              <w:spacing w:after="0"/>
              <w:rPr>
                <w:sz w:val="20"/>
                <w:szCs w:val="20"/>
                <w:color w:val="auto"/>
              </w:rPr>
            </w:pPr>
            <w:r>
              <w:rPr>
                <w:rFonts w:ascii="Arial" w:cs="Arial" w:eastAsia="Arial" w:hAnsi="Arial"/>
                <w:sz w:val="18"/>
                <w:szCs w:val="18"/>
                <w:color w:val="auto"/>
                <w:w w:val="99"/>
              </w:rPr>
              <w:t>100%</w:t>
            </w:r>
          </w:p>
        </w:tc>
      </w:tr>
      <w:tr>
        <w:trPr>
          <w:trHeight w:val="230"/>
        </w:trPr>
        <w:tc>
          <w:tcPr>
            <w:tcW w:w="2500" w:type="dxa"/>
            <w:vAlign w:val="bottom"/>
          </w:tcPr>
          <w:p>
            <w:pPr>
              <w:jc w:val="center"/>
              <w:ind w:left="14"/>
              <w:spacing w:after="0"/>
              <w:rPr>
                <w:sz w:val="20"/>
                <w:szCs w:val="20"/>
                <w:color w:val="auto"/>
              </w:rPr>
            </w:pPr>
            <w:r>
              <w:rPr>
                <w:rFonts w:ascii="Arial" w:cs="Arial" w:eastAsia="Arial" w:hAnsi="Arial"/>
                <w:sz w:val="18"/>
                <w:szCs w:val="18"/>
                <w:color w:val="auto"/>
                <w:w w:val="99"/>
              </w:rPr>
              <w:t>Intermediate</w:t>
            </w:r>
          </w:p>
        </w:tc>
        <w:tc>
          <w:tcPr>
            <w:tcW w:w="4160" w:type="dxa"/>
            <w:vAlign w:val="bottom"/>
          </w:tcPr>
          <w:p>
            <w:pPr>
              <w:jc w:val="center"/>
              <w:ind w:left="280"/>
              <w:spacing w:after="0" w:line="230" w:lineRule="exact"/>
              <w:rPr>
                <w:sz w:val="20"/>
                <w:szCs w:val="20"/>
                <w:color w:val="auto"/>
              </w:rPr>
            </w:pPr>
            <w:r>
              <w:rPr>
                <w:rFonts w:ascii="Arial" w:cs="Arial" w:eastAsia="Arial" w:hAnsi="Arial"/>
                <w:sz w:val="16"/>
                <w:szCs w:val="16"/>
                <w:color w:val="auto"/>
              </w:rPr>
              <w:t>Ranked at 65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2900" w:type="dxa"/>
            <w:vAlign w:val="bottom"/>
          </w:tcPr>
          <w:p>
            <w:pPr>
              <w:jc w:val="center"/>
              <w:ind w:left="154"/>
              <w:spacing w:after="0"/>
              <w:rPr>
                <w:sz w:val="20"/>
                <w:szCs w:val="20"/>
                <w:color w:val="auto"/>
              </w:rPr>
            </w:pPr>
            <w:r>
              <w:rPr>
                <w:rFonts w:ascii="Arial" w:cs="Arial" w:eastAsia="Arial" w:hAnsi="Arial"/>
                <w:sz w:val="18"/>
                <w:szCs w:val="18"/>
                <w:color w:val="auto"/>
                <w:w w:val="99"/>
              </w:rPr>
              <w:t>150%</w:t>
            </w:r>
          </w:p>
        </w:tc>
      </w:tr>
      <w:tr>
        <w:trPr>
          <w:trHeight w:val="230"/>
        </w:trPr>
        <w:tc>
          <w:tcPr>
            <w:tcW w:w="2500" w:type="dxa"/>
            <w:vAlign w:val="bottom"/>
            <w:tcBorders>
              <w:bottom w:val="single" w:sz="8" w:color="000562"/>
            </w:tcBorders>
            <w:shd w:val="clear" w:color="auto" w:fill="E9EFEE"/>
          </w:tcPr>
          <w:p>
            <w:pPr>
              <w:jc w:val="center"/>
              <w:spacing w:after="0"/>
              <w:rPr>
                <w:sz w:val="20"/>
                <w:szCs w:val="20"/>
                <w:color w:val="auto"/>
              </w:rPr>
            </w:pPr>
            <w:r>
              <w:rPr>
                <w:rFonts w:ascii="Arial" w:cs="Arial" w:eastAsia="Arial" w:hAnsi="Arial"/>
                <w:sz w:val="18"/>
                <w:szCs w:val="18"/>
                <w:color w:val="auto"/>
                <w:w w:val="99"/>
              </w:rPr>
              <w:t>Maximum</w:t>
            </w:r>
          </w:p>
        </w:tc>
        <w:tc>
          <w:tcPr>
            <w:tcW w:w="4160" w:type="dxa"/>
            <w:vAlign w:val="bottom"/>
            <w:tcBorders>
              <w:bottom w:val="single" w:sz="8" w:color="000562"/>
            </w:tcBorders>
            <w:shd w:val="clear" w:color="auto" w:fill="E9EFEE"/>
          </w:tcPr>
          <w:p>
            <w:pPr>
              <w:jc w:val="center"/>
              <w:ind w:left="280"/>
              <w:spacing w:after="0" w:line="230" w:lineRule="exact"/>
              <w:rPr>
                <w:sz w:val="20"/>
                <w:szCs w:val="20"/>
                <w:color w:val="auto"/>
              </w:rPr>
            </w:pPr>
            <w:r>
              <w:rPr>
                <w:rFonts w:ascii="Arial" w:cs="Arial" w:eastAsia="Arial" w:hAnsi="Arial"/>
                <w:sz w:val="16"/>
                <w:szCs w:val="16"/>
                <w:color w:val="auto"/>
              </w:rPr>
              <w:t>Ranked at or above 80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2900" w:type="dxa"/>
            <w:vAlign w:val="bottom"/>
            <w:tcBorders>
              <w:bottom w:val="single" w:sz="8" w:color="000562"/>
            </w:tcBorders>
            <w:shd w:val="clear" w:color="auto" w:fill="E9EFEE"/>
          </w:tcPr>
          <w:p>
            <w:pPr>
              <w:jc w:val="center"/>
              <w:ind w:left="154"/>
              <w:spacing w:after="0"/>
              <w:rPr>
                <w:sz w:val="20"/>
                <w:szCs w:val="20"/>
                <w:color w:val="auto"/>
              </w:rPr>
            </w:pPr>
            <w:r>
              <w:rPr>
                <w:rFonts w:ascii="Arial" w:cs="Arial" w:eastAsia="Arial" w:hAnsi="Arial"/>
                <w:sz w:val="18"/>
                <w:szCs w:val="18"/>
                <w:color w:val="auto"/>
                <w:w w:val="99"/>
              </w:rPr>
              <w:t>200%</w:t>
            </w:r>
          </w:p>
        </w:tc>
      </w:tr>
      <w:tr>
        <w:trPr>
          <w:trHeight w:val="237"/>
        </w:trPr>
        <w:tc>
          <w:tcPr>
            <w:tcW w:w="2500" w:type="dxa"/>
            <w:vAlign w:val="bottom"/>
            <w:tcBorders>
              <w:bottom w:val="single" w:sz="8" w:color="000562"/>
            </w:tcBorders>
          </w:tcPr>
          <w:p>
            <w:pPr>
              <w:ind w:left="20"/>
              <w:spacing w:after="0"/>
              <w:rPr>
                <w:sz w:val="20"/>
                <w:szCs w:val="20"/>
                <w:color w:val="auto"/>
              </w:rPr>
            </w:pPr>
            <w:r>
              <w:rPr>
                <w:rFonts w:ascii="Arial" w:cs="Arial" w:eastAsia="Arial" w:hAnsi="Arial"/>
                <w:sz w:val="14"/>
                <w:szCs w:val="14"/>
                <w:b w:val="1"/>
                <w:bCs w:val="1"/>
                <w:color w:val="000562"/>
              </w:rPr>
              <w:t>TriMas TSR</w:t>
            </w:r>
          </w:p>
        </w:tc>
        <w:tc>
          <w:tcPr>
            <w:tcW w:w="4160" w:type="dxa"/>
            <w:vAlign w:val="bottom"/>
            <w:tcBorders>
              <w:bottom w:val="single" w:sz="8" w:color="000562"/>
            </w:tcBorders>
          </w:tcPr>
          <w:p>
            <w:pPr>
              <w:jc w:val="center"/>
              <w:ind w:right="1780"/>
              <w:spacing w:after="0"/>
              <w:rPr>
                <w:sz w:val="20"/>
                <w:szCs w:val="20"/>
                <w:color w:val="auto"/>
              </w:rPr>
            </w:pPr>
            <w:r>
              <w:rPr>
                <w:rFonts w:ascii="Arial" w:cs="Arial" w:eastAsia="Arial" w:hAnsi="Arial"/>
                <w:sz w:val="14"/>
                <w:szCs w:val="14"/>
                <w:b w:val="1"/>
                <w:bCs w:val="1"/>
                <w:color w:val="000562"/>
                <w:w w:val="99"/>
              </w:rPr>
              <w:t>RTSR</w:t>
            </w:r>
          </w:p>
        </w:tc>
        <w:tc>
          <w:tcPr>
            <w:tcW w:w="2900" w:type="dxa"/>
            <w:vAlign w:val="bottom"/>
            <w:tcBorders>
              <w:bottom w:val="single" w:sz="8" w:color="000562"/>
            </w:tcBorders>
          </w:tcPr>
          <w:p>
            <w:pPr>
              <w:jc w:val="center"/>
              <w:ind w:right="474"/>
              <w:spacing w:after="0"/>
              <w:rPr>
                <w:sz w:val="20"/>
                <w:szCs w:val="20"/>
                <w:color w:val="auto"/>
              </w:rPr>
            </w:pPr>
            <w:r>
              <w:rPr>
                <w:rFonts w:ascii="Arial" w:cs="Arial" w:eastAsia="Arial" w:hAnsi="Arial"/>
                <w:sz w:val="14"/>
                <w:szCs w:val="14"/>
                <w:b w:val="1"/>
                <w:bCs w:val="1"/>
                <w:color w:val="000562"/>
              </w:rPr>
              <w:t>% of Target Earned</w:t>
            </w:r>
          </w:p>
        </w:tc>
      </w:tr>
      <w:tr>
        <w:trPr>
          <w:trHeight w:val="223"/>
        </w:trPr>
        <w:tc>
          <w:tcPr>
            <w:tcW w:w="2500" w:type="dxa"/>
            <w:vAlign w:val="bottom"/>
            <w:tcBorders>
              <w:bottom w:val="single" w:sz="8" w:color="000562"/>
            </w:tcBorders>
            <w:shd w:val="clear" w:color="auto" w:fill="E9EFEE"/>
          </w:tcPr>
          <w:p>
            <w:pPr>
              <w:ind w:left="20"/>
              <w:spacing w:after="0"/>
              <w:rPr>
                <w:sz w:val="20"/>
                <w:szCs w:val="20"/>
                <w:color w:val="auto"/>
              </w:rPr>
            </w:pPr>
            <w:r>
              <w:rPr>
                <w:rFonts w:ascii="Arial" w:cs="Arial" w:eastAsia="Arial" w:hAnsi="Arial"/>
                <w:sz w:val="18"/>
                <w:szCs w:val="18"/>
                <w:color w:val="auto"/>
              </w:rPr>
              <w:t>41.19%</w:t>
            </w:r>
          </w:p>
        </w:tc>
        <w:tc>
          <w:tcPr>
            <w:tcW w:w="4160" w:type="dxa"/>
            <w:vAlign w:val="bottom"/>
            <w:tcBorders>
              <w:bottom w:val="single" w:sz="8" w:color="000562"/>
            </w:tcBorders>
            <w:shd w:val="clear" w:color="auto" w:fill="E9EFEE"/>
          </w:tcPr>
          <w:p>
            <w:pPr>
              <w:jc w:val="center"/>
              <w:ind w:right="1760"/>
              <w:spacing w:after="0"/>
              <w:rPr>
                <w:sz w:val="20"/>
                <w:szCs w:val="20"/>
                <w:color w:val="auto"/>
              </w:rPr>
            </w:pPr>
            <w:r>
              <w:rPr>
                <w:rFonts w:ascii="Arial" w:cs="Arial" w:eastAsia="Arial" w:hAnsi="Arial"/>
                <w:sz w:val="18"/>
                <w:szCs w:val="18"/>
                <w:color w:val="auto"/>
                <w:w w:val="99"/>
              </w:rPr>
              <w:t>61.70 percentile</w:t>
            </w:r>
          </w:p>
        </w:tc>
        <w:tc>
          <w:tcPr>
            <w:tcW w:w="2900" w:type="dxa"/>
            <w:vAlign w:val="bottom"/>
            <w:tcBorders>
              <w:bottom w:val="single" w:sz="8" w:color="000562"/>
            </w:tcBorders>
            <w:shd w:val="clear" w:color="auto" w:fill="E9EFEE"/>
          </w:tcPr>
          <w:p>
            <w:pPr>
              <w:jc w:val="right"/>
              <w:ind w:right="1414"/>
              <w:spacing w:after="0"/>
              <w:rPr>
                <w:sz w:val="20"/>
                <w:szCs w:val="20"/>
                <w:color w:val="auto"/>
              </w:rPr>
            </w:pPr>
            <w:r>
              <w:rPr>
                <w:rFonts w:ascii="Arial" w:cs="Arial" w:eastAsia="Arial" w:hAnsi="Arial"/>
                <w:sz w:val="18"/>
                <w:szCs w:val="18"/>
                <w:color w:val="auto"/>
              </w:rPr>
              <w:t>139%</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After performance results were determined, the earned 2016 PSUs were settled in shares in early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2"/>
        </w:rPr>
        <w:t>Benefits and Retirement Programs</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Consistent with our overall philosophy, the NEOs are eligible to participate during their service to the Company in benefit plans that are available to substantially all the Company’s U.S. employees. These programs include participation in our medical, dental, vision, group life, accidental death and dismemberment insurance programs, and the Company’s retirement program (comprised of a 401(k) savings plan). The TriMas Corporation Salaried Retirement Program (the “Plan”) is designed to reward continued employment with the Company and assist participants with financial preparation for retirement. Under the Plan, the Company provides a matching contribution of 75% of the participant’s first 5% contributed, up to a maximum of 3.75% of their eligible compensation. Company matching contributions are immediately vested.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2"/>
        </w:rPr>
        <w:t>Executive Retirement Program</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executive retirement program provides senior managers with retirement benefits in addition to those provided under the Company’s qualified retirement plans. The Company offers these additional programs to enhance total executive pay so that it remains competitive in the market. In 2013, the Company began funding a Rabbi Trust for our obligations under this program. Trust assets are subject to the claims of the Company’s creditors in the event of bankruptcy.</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Supplemental Executive Retirement Plan (“SERP”), the Company makes a contribution to each participant’s account at the end of each quarter with the amount determined as a fixed percentage of the employee’s eligible compensation. The percentage is based on the employee’s age on the date of original participation in the plan (a 4.0% contribution for Messrs. Zalupski and Sherbin). Messrs. Zalupski and Sherbin’s contributions are 100% vested. Mr. Amato does not participate in the SERP.</w:t>
      </w:r>
    </w:p>
    <w:p>
      <w:pPr>
        <w:spacing w:after="0" w:line="9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Compensation Limit Restoration Plan (“CLRP”) provides benefits to senior managers, including our NEOs, in the form of Company contributions which would have been payable under the Company match component of the Company’s tax-qualified retirement plan, but for tax code limits on the amount of pay that can be considered in a qualified plan. There are no employee contributions permitted under this plan. Company contributions under the CLRP vary as a percent of eligible compensation based on the employee’s elective deferrals into the qualified plan.</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executive retirement program also provides for an elective deferral compensation feature to supplement the existing executive retirement program. Employees eligible to receive SERP contributions may elect to defer up to 25% of base pay and up to 100% of bonus. This plan design component is intended to encourage the continued employment and diligent service of plan participants.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2"/>
        </w:rPr>
        <w:t>Perquisites</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maintains a Flexible Cash Allowance Policy. Under this program, participating executives receive a quarterly cash allowance in lieu of other Company-provided perquisites including supplemental</w:t>
      </w:r>
    </w:p>
    <w:p>
      <w:pPr>
        <w:spacing w:after="0" w:line="178" w:lineRule="exact"/>
        <w:rPr>
          <w:sz w:val="20"/>
          <w:szCs w:val="20"/>
          <w:color w:val="auto"/>
        </w:rPr>
      </w:pPr>
    </w:p>
    <w:p>
      <w:pPr>
        <w:ind w:left="7140"/>
        <w:spacing w:after="0"/>
        <w:tabs>
          <w:tab w:leader="none" w:pos="9040" w:val="left"/>
          <w:tab w:leader="none" w:pos="9340" w:val="left"/>
        </w:tabs>
        <w:rPr>
          <w:sz w:val="20"/>
          <w:szCs w:val="20"/>
          <w:color w:val="auto"/>
        </w:rPr>
      </w:pPr>
      <w:r>
        <w:rPr>
          <w:rFonts w:ascii="Arial" w:cs="Arial" w:eastAsia="Arial" w:hAnsi="Arial"/>
          <w:sz w:val="18"/>
          <w:szCs w:val="18"/>
          <w:i w:val="1"/>
          <w:iCs w:val="1"/>
          <w:color w:val="auto"/>
        </w:rPr>
        <w:t>2019 Proxy Statement</w:t>
      </w:r>
      <w:r>
        <w:rPr>
          <w:sz w:val="20"/>
          <w:szCs w:val="20"/>
          <w:color w:val="auto"/>
        </w:rPr>
        <w:tab/>
      </w:r>
      <w:r>
        <w:rPr>
          <w:rFonts w:ascii="Arial" w:cs="Arial" w:eastAsia="Arial" w:hAnsi="Arial"/>
          <w:sz w:val="22"/>
          <w:szCs w:val="22"/>
          <w:b w:val="1"/>
          <w:bCs w:val="1"/>
          <w:color w:val="000562"/>
        </w:rPr>
        <w:t>I</w:t>
      </w:r>
      <w:r>
        <w:rPr>
          <w:sz w:val="20"/>
          <w:szCs w:val="20"/>
          <w:color w:val="auto"/>
        </w:rPr>
        <w:tab/>
      </w:r>
      <w:r>
        <w:rPr>
          <w:rFonts w:ascii="Arial" w:cs="Arial" w:eastAsia="Arial" w:hAnsi="Arial"/>
          <w:sz w:val="17"/>
          <w:szCs w:val="17"/>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071870" cy="431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000562"/>
        </w:rPr>
        <w:t>TriMas Corporation</w:t>
      </w:r>
    </w:p>
    <w:p>
      <w:pPr>
        <w:spacing w:after="0" w:line="21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universal life insurance, automobile allowance, private club membership and tax reimbursements. Eligibility for the cash allowances, and the amounts, are periodically reviewed by the Committee. Mr. Amato does not participate in this program. Quarterly cash payments are made at the start of each fiscal quarter.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2018, the participating NEOs received the following cash allowances:</w:t>
      </w:r>
    </w:p>
    <w:p>
      <w:pPr>
        <w:spacing w:after="0" w:line="104" w:lineRule="exact"/>
        <w:rPr>
          <w:sz w:val="20"/>
          <w:szCs w:val="20"/>
          <w:color w:val="auto"/>
        </w:rPr>
      </w:pPr>
    </w:p>
    <w:p>
      <w:pPr>
        <w:ind w:left="700" w:hanging="356"/>
        <w:spacing w:after="0"/>
        <w:tabs>
          <w:tab w:leader="none" w:pos="700" w:val="left"/>
        </w:tabs>
        <w:numPr>
          <w:ilvl w:val="0"/>
          <w:numId w:val="45"/>
        </w:numPr>
        <w:rPr>
          <w:rFonts w:ascii="Arial" w:cs="Arial" w:eastAsia="Arial" w:hAnsi="Arial"/>
          <w:sz w:val="18"/>
          <w:szCs w:val="18"/>
          <w:color w:val="000562"/>
        </w:rPr>
      </w:pPr>
      <w:r>
        <w:rPr>
          <w:rFonts w:ascii="Arial" w:cs="Arial" w:eastAsia="Arial" w:hAnsi="Arial"/>
          <w:sz w:val="18"/>
          <w:szCs w:val="18"/>
          <w:color w:val="auto"/>
        </w:rPr>
        <w:t>Messrs. Zalupski and Sherbin - $25,000.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continues to make executive physical examinations available to its officers.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2"/>
        </w:rPr>
        <w:t>Change-of-Control and Severance-Based Compensation</w:t>
      </w:r>
    </w:p>
    <w:p>
      <w:pPr>
        <w:spacing w:after="0" w:line="1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The NEOs are covered by the Company’s Severance Policy (“Severance Policy”), the operation of which is described in further detail below under </w:t>
      </w:r>
      <w:r>
        <w:rPr>
          <w:rFonts w:ascii="Arial" w:cs="Arial" w:eastAsia="Arial" w:hAnsi="Arial"/>
          <w:sz w:val="18"/>
          <w:szCs w:val="18"/>
          <w:i w:val="1"/>
          <w:iCs w:val="1"/>
          <w:color w:val="auto"/>
        </w:rPr>
        <w:t>“Post-Employment Compensation.”</w:t>
      </w:r>
      <w:r>
        <w:rPr>
          <w:rFonts w:ascii="Arial" w:cs="Arial" w:eastAsia="Arial" w:hAnsi="Arial"/>
          <w:sz w:val="18"/>
          <w:szCs w:val="18"/>
          <w:color w:val="auto"/>
        </w:rPr>
        <w:t xml:space="preserve"> In general, the Severance Policy provides that the Company will make severance payments to a covered executive if his or her employment is terminated under certain qualifying circumstances. The Severance Policy does not provide for any excise tax gross-ups, however, it provides for payments otherwise due upon a change-of-control to be reduced to ensure that none are subject to the golden parachute excise tax. The Severance Policy provides important financial protection to the named participants in exchange for non-compete and non-solicit covenants for the duration of an executive’s employment and a period following termination, and a requirement that an executive execute a release of claims in favor of the Company in order to receive any benefits under the Severance Policy. The Committee believes that offering this program is consistent with market practices, assures the Company can both attract and retain executive talent, and will assist with management stability and continuity in the face of a possible business combination.</w:t>
      </w:r>
    </w:p>
    <w:p>
      <w:pPr>
        <w:spacing w:after="0" w:line="10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Committee periodically reviews the Severance Policy to evaluate both its effectiveness and competitiveness and to determine the value of potential payments.</w:t>
      </w:r>
    </w:p>
    <w:p>
      <w:pPr>
        <w:spacing w:after="0" w:line="178" w:lineRule="exact"/>
        <w:rPr>
          <w:sz w:val="20"/>
          <w:szCs w:val="20"/>
          <w:color w:val="auto"/>
        </w:rPr>
      </w:pPr>
    </w:p>
    <w:p>
      <w:pPr>
        <w:ind w:left="360" w:hanging="349"/>
        <w:spacing w:after="0"/>
        <w:tabs>
          <w:tab w:leader="none" w:pos="360" w:val="left"/>
        </w:tabs>
        <w:numPr>
          <w:ilvl w:val="0"/>
          <w:numId w:val="46"/>
        </w:numPr>
        <w:rPr>
          <w:rFonts w:ascii="Arial" w:cs="Arial" w:eastAsia="Arial" w:hAnsi="Arial"/>
          <w:sz w:val="18"/>
          <w:szCs w:val="18"/>
          <w:b w:val="1"/>
          <w:bCs w:val="1"/>
          <w:color w:val="auto"/>
        </w:rPr>
      </w:pPr>
      <w:r>
        <w:rPr>
          <w:rFonts w:ascii="Arial" w:cs="Arial" w:eastAsia="Arial" w:hAnsi="Arial"/>
          <w:sz w:val="22"/>
          <w:szCs w:val="22"/>
          <w:b w:val="1"/>
          <w:bCs w:val="1"/>
          <w:color w:val="000562"/>
        </w:rPr>
        <w:t xml:space="preserve">I </w:t>
      </w:r>
      <w:r>
        <w:rPr>
          <w:rFonts w:ascii="Arial" w:cs="Arial" w:eastAsia="Arial" w:hAnsi="Arial"/>
          <w:sz w:val="18"/>
          <w:szCs w:val="18"/>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071870" cy="431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060"/>
        <w:spacing w:after="0"/>
        <w:rPr>
          <w:sz w:val="20"/>
          <w:szCs w:val="20"/>
          <w:color w:val="auto"/>
        </w:rPr>
      </w:pPr>
      <w:r>
        <w:rPr>
          <w:rFonts w:ascii="Arial" w:cs="Arial" w:eastAsia="Arial" w:hAnsi="Arial"/>
          <w:sz w:val="19"/>
          <w:szCs w:val="19"/>
          <w:b w:val="1"/>
          <w:bCs w:val="1"/>
          <w:color w:val="000562"/>
        </w:rPr>
        <w:t>EXECUTIVE COMPENSATION — COMPENSATION DISCUSSION AND ANALYSIS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2"/>
        </w:rPr>
        <w:t>Risk Mitigation in our Compensation Practices</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Committee focuses on risk mitigation in the design and implementation of the Company’s compensation practices. The Committee seeks to properly balance maximizing shareholder value creation, maintaining a strong pay for performance relationship and providing for business risk mitigation. The Committee and management believe that the Company maintains appropriate compensation policies and practices and that they do not give rise to risks that are reasonably likely to have a material adverse effect on the Company or encourage excessive risk taking. The Committee notes the employee compensation program includes a number of risk mitigation strategies, as detailed in the following chart:</w:t>
      </w:r>
    </w:p>
    <w:p>
      <w:pPr>
        <w:spacing w:after="0" w:line="46" w:lineRule="exact"/>
        <w:rPr>
          <w:sz w:val="20"/>
          <w:szCs w:val="20"/>
          <w:color w:val="auto"/>
        </w:rPr>
      </w:pPr>
    </w:p>
    <w:p>
      <w:pPr>
        <w:ind w:left="260"/>
        <w:spacing w:after="0"/>
        <w:tabs>
          <w:tab w:leader="none" w:pos="5040" w:val="left"/>
        </w:tabs>
        <w:rPr>
          <w:sz w:val="20"/>
          <w:szCs w:val="20"/>
          <w:color w:val="auto"/>
        </w:rPr>
      </w:pPr>
      <w:r>
        <w:rPr>
          <w:rFonts w:ascii="Arial" w:cs="Arial" w:eastAsia="Arial" w:hAnsi="Arial"/>
          <w:sz w:val="14"/>
          <w:szCs w:val="14"/>
          <w:b w:val="1"/>
          <w:bCs w:val="1"/>
          <w:color w:val="000562"/>
        </w:rPr>
        <w:t>COMPENSATION PRACTICE</w:t>
      </w:r>
      <w:r>
        <w:rPr>
          <w:sz w:val="20"/>
          <w:szCs w:val="20"/>
          <w:color w:val="auto"/>
        </w:rPr>
        <w:tab/>
      </w:r>
      <w:r>
        <w:rPr>
          <w:rFonts w:ascii="Arial" w:cs="Arial" w:eastAsia="Arial" w:hAnsi="Arial"/>
          <w:sz w:val="14"/>
          <w:szCs w:val="14"/>
          <w:b w:val="1"/>
          <w:bCs w:val="1"/>
          <w:color w:val="000562"/>
        </w:rPr>
        <w:t>RISK MITIGATION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607187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340"/>
        <w:spacing w:after="0"/>
        <w:rPr>
          <w:sz w:val="20"/>
          <w:szCs w:val="20"/>
          <w:color w:val="auto"/>
        </w:rPr>
      </w:pPr>
      <w:r>
        <w:rPr>
          <w:rFonts w:ascii="Arial" w:cs="Arial" w:eastAsia="Arial" w:hAnsi="Arial"/>
          <w:sz w:val="17"/>
          <w:szCs w:val="17"/>
          <w:b w:val="1"/>
          <w:bCs w:val="1"/>
          <w:color w:val="auto"/>
        </w:rPr>
        <w:t>Short-Term Incentive</w:t>
      </w:r>
    </w:p>
    <w:p>
      <w:pPr>
        <w:spacing w:after="0" w:line="2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Compensation</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b w:val="1"/>
          <w:bCs w:val="1"/>
          <w:color w:val="auto"/>
        </w:rPr>
        <w:t xml:space="preserve">Multiple Performance Metrics. </w:t>
      </w:r>
      <w:r>
        <w:rPr>
          <w:rFonts w:ascii="Arial" w:cs="Arial" w:eastAsia="Arial" w:hAnsi="Arial"/>
          <w:sz w:val="18"/>
          <w:szCs w:val="18"/>
          <w:color w:val="auto"/>
        </w:rPr>
        <w:t>The short-term incentive plan uses multiple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measures that encourage employees to focus on the overall strength of the business rather than a single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-400685</wp:posOffset>
            </wp:positionV>
            <wp:extent cx="6071870" cy="16122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71870" cy="1612265"/>
                    </a:xfrm>
                    <a:prstGeom prst="rect">
                      <a:avLst/>
                    </a:prstGeom>
                    <a:noFill/>
                  </pic:spPr>
                </pic:pic>
              </a:graphicData>
            </a:graphic>
          </wp:anchor>
        </w:drawing>
      </w:r>
    </w:p>
    <w:p>
      <w:pPr>
        <w:ind w:right="400"/>
        <w:spacing w:after="0" w:line="250" w:lineRule="auto"/>
        <w:rPr>
          <w:sz w:val="20"/>
          <w:szCs w:val="20"/>
          <w:color w:val="auto"/>
        </w:rPr>
      </w:pPr>
      <w:r>
        <w:rPr>
          <w:rFonts w:ascii="Arial" w:cs="Arial" w:eastAsia="Arial" w:hAnsi="Arial"/>
          <w:sz w:val="18"/>
          <w:szCs w:val="18"/>
          <w:b w:val="1"/>
          <w:bCs w:val="1"/>
          <w:color w:val="auto"/>
        </w:rPr>
        <w:t xml:space="preserve">Award Cap. </w:t>
      </w:r>
      <w:r>
        <w:rPr>
          <w:rFonts w:ascii="Arial" w:cs="Arial" w:eastAsia="Arial" w:hAnsi="Arial"/>
          <w:sz w:val="18"/>
          <w:szCs w:val="18"/>
          <w:color w:val="auto"/>
        </w:rPr>
        <w:t>STI awards payable to any individual are capped at 200% of the target</w:t>
      </w:r>
      <w:r>
        <w:rPr>
          <w:rFonts w:ascii="Arial" w:cs="Arial" w:eastAsia="Arial" w:hAnsi="Arial"/>
          <w:sz w:val="18"/>
          <w:szCs w:val="18"/>
          <w:b w:val="1"/>
          <w:bCs w:val="1"/>
          <w:color w:val="auto"/>
        </w:rPr>
        <w:t xml:space="preserve"> </w:t>
      </w:r>
      <w:r>
        <w:rPr>
          <w:rFonts w:ascii="Arial" w:cs="Arial" w:eastAsia="Arial" w:hAnsi="Arial"/>
          <w:sz w:val="18"/>
          <w:szCs w:val="18"/>
          <w:color w:val="auto"/>
        </w:rPr>
        <w:t>award.</w:t>
      </w:r>
    </w:p>
    <w:p>
      <w:pPr>
        <w:spacing w:after="0" w:line="1" w:lineRule="exact"/>
        <w:rPr>
          <w:sz w:val="20"/>
          <w:szCs w:val="20"/>
          <w:color w:val="auto"/>
        </w:rPr>
      </w:pPr>
    </w:p>
    <w:p>
      <w:pPr>
        <w:ind w:right="460"/>
        <w:spacing w:after="0" w:line="245" w:lineRule="auto"/>
        <w:rPr>
          <w:sz w:val="20"/>
          <w:szCs w:val="20"/>
          <w:color w:val="auto"/>
        </w:rPr>
      </w:pPr>
      <w:r>
        <w:rPr>
          <w:rFonts w:ascii="Arial" w:cs="Arial" w:eastAsia="Arial" w:hAnsi="Arial"/>
          <w:sz w:val="18"/>
          <w:szCs w:val="18"/>
          <w:b w:val="1"/>
          <w:bCs w:val="1"/>
          <w:color w:val="auto"/>
        </w:rPr>
        <w:t xml:space="preserve">Clawback Provision. </w:t>
      </w:r>
      <w:r>
        <w:rPr>
          <w:rFonts w:ascii="Arial" w:cs="Arial" w:eastAsia="Arial" w:hAnsi="Arial"/>
          <w:sz w:val="18"/>
          <w:szCs w:val="18"/>
          <w:color w:val="auto"/>
        </w:rPr>
        <w:t>Our clawback policy allows us to recapture STI awards from</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executives, including NEOs, in certain situations, including restatement of financial results.</w:t>
      </w:r>
    </w:p>
    <w:p>
      <w:pPr>
        <w:spacing w:after="0" w:line="1"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b w:val="1"/>
          <w:bCs w:val="1"/>
          <w:color w:val="auto"/>
        </w:rPr>
        <w:t xml:space="preserve">Management Processes. </w:t>
      </w:r>
      <w:r>
        <w:rPr>
          <w:rFonts w:ascii="Arial" w:cs="Arial" w:eastAsia="Arial" w:hAnsi="Arial"/>
          <w:sz w:val="18"/>
          <w:szCs w:val="18"/>
          <w:color w:val="auto"/>
        </w:rPr>
        <w:t>Board and management processes are in place to oversee</w:t>
      </w:r>
      <w:r>
        <w:rPr>
          <w:rFonts w:ascii="Arial" w:cs="Arial" w:eastAsia="Arial" w:hAnsi="Arial"/>
          <w:sz w:val="18"/>
          <w:szCs w:val="18"/>
          <w:b w:val="1"/>
          <w:bCs w:val="1"/>
          <w:color w:val="auto"/>
        </w:rPr>
        <w:t xml:space="preserve"> </w:t>
      </w:r>
      <w:r>
        <w:rPr>
          <w:rFonts w:ascii="Arial" w:cs="Arial" w:eastAsia="Arial" w:hAnsi="Arial"/>
          <w:sz w:val="18"/>
          <w:szCs w:val="18"/>
          <w:color w:val="auto"/>
        </w:rPr>
        <w:t>risk associated with the STI plan, including, but not limited to, monthly business performance reviews by management and regular business performance reviews by the Board, Audit Committee, and our internal management disclosure committee.</w:t>
      </w:r>
    </w:p>
    <w:p>
      <w:pPr>
        <w:spacing w:after="0" w:line="200" w:lineRule="exact"/>
        <w:rPr>
          <w:sz w:val="20"/>
          <w:szCs w:val="20"/>
          <w:color w:val="auto"/>
        </w:rPr>
      </w:pPr>
    </w:p>
    <w:p>
      <w:pPr>
        <w:sectPr>
          <w:pgSz w:w="11900" w:h="16838" w:orient="portrait"/>
          <w:cols w:equalWidth="0" w:num="2">
            <w:col w:w="2140" w:space="380"/>
            <w:col w:w="7040"/>
          </w:cols>
          <w:pgMar w:left="1180" w:top="279" w:right="115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00" w:type="dxa"/>
            <w:vAlign w:val="bottom"/>
            <w:shd w:val="clear" w:color="auto" w:fill="E9EFEE"/>
          </w:tcPr>
          <w:p>
            <w:pPr>
              <w:spacing w:after="0"/>
              <w:rPr>
                <w:sz w:val="18"/>
                <w:szCs w:val="18"/>
                <w:color w:val="auto"/>
              </w:rPr>
            </w:pPr>
          </w:p>
        </w:tc>
        <w:tc>
          <w:tcPr>
            <w:tcW w:w="7060" w:type="dxa"/>
            <w:vAlign w:val="bottom"/>
            <w:shd w:val="clear" w:color="auto" w:fill="E9EFEE"/>
          </w:tcPr>
          <w:p>
            <w:pPr>
              <w:ind w:left="20"/>
              <w:spacing w:after="0"/>
              <w:rPr>
                <w:sz w:val="20"/>
                <w:szCs w:val="20"/>
                <w:color w:val="auto"/>
              </w:rPr>
            </w:pPr>
            <w:r>
              <w:rPr>
                <w:rFonts w:ascii="Arial" w:cs="Arial" w:eastAsia="Arial" w:hAnsi="Arial"/>
                <w:sz w:val="18"/>
                <w:szCs w:val="18"/>
                <w:b w:val="1"/>
                <w:bCs w:val="1"/>
                <w:color w:val="auto"/>
              </w:rPr>
              <w:t xml:space="preserve">Stock Ownership Guidelines. </w:t>
            </w:r>
            <w:r>
              <w:rPr>
                <w:rFonts w:ascii="Arial" w:cs="Arial" w:eastAsia="Arial" w:hAnsi="Arial"/>
                <w:sz w:val="18"/>
                <w:szCs w:val="18"/>
                <w:color w:val="auto"/>
              </w:rPr>
              <w:t>We have stock ownership requirements consistent with</w:t>
            </w:r>
          </w:p>
        </w:tc>
        <w:tc>
          <w:tcPr>
            <w:tcW w:w="0" w:type="dxa"/>
            <w:vAlign w:val="bottom"/>
          </w:tcPr>
          <w:p>
            <w:pPr>
              <w:spacing w:after="0"/>
              <w:rPr>
                <w:sz w:val="1"/>
                <w:szCs w:val="1"/>
                <w:color w:val="auto"/>
              </w:rPr>
            </w:pPr>
          </w:p>
        </w:tc>
      </w:tr>
      <w:tr>
        <w:trPr>
          <w:trHeight w:val="217"/>
        </w:trPr>
        <w:tc>
          <w:tcPr>
            <w:tcW w:w="2500" w:type="dxa"/>
            <w:vAlign w:val="bottom"/>
            <w:shd w:val="clear" w:color="auto" w:fill="E9EFEE"/>
          </w:tcPr>
          <w:p>
            <w:pPr>
              <w:spacing w:after="0"/>
              <w:rPr>
                <w:sz w:val="18"/>
                <w:szCs w:val="18"/>
                <w:color w:val="auto"/>
              </w:rPr>
            </w:pPr>
          </w:p>
        </w:tc>
        <w:tc>
          <w:tcPr>
            <w:tcW w:w="7060" w:type="dxa"/>
            <w:vAlign w:val="bottom"/>
            <w:shd w:val="clear" w:color="auto" w:fill="E9EFEE"/>
          </w:tcPr>
          <w:p>
            <w:pPr>
              <w:ind w:left="20"/>
              <w:spacing w:after="0"/>
              <w:rPr>
                <w:sz w:val="20"/>
                <w:szCs w:val="20"/>
                <w:color w:val="auto"/>
              </w:rPr>
            </w:pPr>
            <w:r>
              <w:rPr>
                <w:rFonts w:ascii="Arial" w:cs="Arial" w:eastAsia="Arial" w:hAnsi="Arial"/>
                <w:sz w:val="18"/>
                <w:szCs w:val="18"/>
                <w:color w:val="auto"/>
              </w:rPr>
              <w:t>market norms for certain executives, including NEOs.</w:t>
            </w:r>
          </w:p>
        </w:tc>
        <w:tc>
          <w:tcPr>
            <w:tcW w:w="0" w:type="dxa"/>
            <w:vAlign w:val="bottom"/>
          </w:tcPr>
          <w:p>
            <w:pPr>
              <w:spacing w:after="0"/>
              <w:rPr>
                <w:sz w:val="1"/>
                <w:szCs w:val="1"/>
                <w:color w:val="auto"/>
              </w:rPr>
            </w:pPr>
          </w:p>
        </w:tc>
      </w:tr>
      <w:tr>
        <w:trPr>
          <w:trHeight w:val="230"/>
        </w:trPr>
        <w:tc>
          <w:tcPr>
            <w:tcW w:w="2500" w:type="dxa"/>
            <w:vAlign w:val="bottom"/>
            <w:shd w:val="clear" w:color="auto" w:fill="E9EFEE"/>
          </w:tcPr>
          <w:p>
            <w:pPr>
              <w:spacing w:after="0"/>
              <w:rPr>
                <w:sz w:val="19"/>
                <w:szCs w:val="19"/>
                <w:color w:val="auto"/>
              </w:rPr>
            </w:pPr>
          </w:p>
        </w:tc>
        <w:tc>
          <w:tcPr>
            <w:tcW w:w="7060" w:type="dxa"/>
            <w:vAlign w:val="bottom"/>
            <w:shd w:val="clear" w:color="auto" w:fill="E9EFEE"/>
          </w:tcPr>
          <w:p>
            <w:pPr>
              <w:ind w:left="20"/>
              <w:spacing w:after="0"/>
              <w:rPr>
                <w:sz w:val="20"/>
                <w:szCs w:val="20"/>
                <w:color w:val="auto"/>
              </w:rPr>
            </w:pPr>
            <w:r>
              <w:rPr>
                <w:rFonts w:ascii="Arial" w:cs="Arial" w:eastAsia="Arial" w:hAnsi="Arial"/>
                <w:sz w:val="18"/>
                <w:szCs w:val="18"/>
                <w:b w:val="1"/>
                <w:bCs w:val="1"/>
                <w:color w:val="auto"/>
              </w:rPr>
              <w:t xml:space="preserve">Award Cap. </w:t>
            </w:r>
            <w:r>
              <w:rPr>
                <w:rFonts w:ascii="Arial" w:cs="Arial" w:eastAsia="Arial" w:hAnsi="Arial"/>
                <w:sz w:val="18"/>
                <w:szCs w:val="18"/>
                <w:color w:val="auto"/>
              </w:rPr>
              <w:t>LTI awards payable to any individual are capped.</w:t>
            </w:r>
          </w:p>
        </w:tc>
        <w:tc>
          <w:tcPr>
            <w:tcW w:w="0" w:type="dxa"/>
            <w:vAlign w:val="bottom"/>
          </w:tcPr>
          <w:p>
            <w:pPr>
              <w:spacing w:after="0"/>
              <w:rPr>
                <w:sz w:val="1"/>
                <w:szCs w:val="1"/>
                <w:color w:val="auto"/>
              </w:rPr>
            </w:pPr>
          </w:p>
        </w:tc>
      </w:tr>
      <w:tr>
        <w:trPr>
          <w:trHeight w:val="215"/>
        </w:trPr>
        <w:tc>
          <w:tcPr>
            <w:tcW w:w="2500" w:type="dxa"/>
            <w:vAlign w:val="bottom"/>
            <w:shd w:val="clear" w:color="auto" w:fill="E9EFEE"/>
          </w:tcPr>
          <w:p>
            <w:pPr>
              <w:spacing w:after="0"/>
              <w:rPr>
                <w:sz w:val="18"/>
                <w:szCs w:val="18"/>
                <w:color w:val="auto"/>
              </w:rPr>
            </w:pPr>
          </w:p>
        </w:tc>
        <w:tc>
          <w:tcPr>
            <w:tcW w:w="7060" w:type="dxa"/>
            <w:vAlign w:val="bottom"/>
            <w:shd w:val="clear" w:color="auto" w:fill="E9EFEE"/>
          </w:tcPr>
          <w:p>
            <w:pPr>
              <w:ind w:left="20"/>
              <w:spacing w:after="0"/>
              <w:rPr>
                <w:sz w:val="20"/>
                <w:szCs w:val="20"/>
                <w:color w:val="auto"/>
              </w:rPr>
            </w:pPr>
            <w:r>
              <w:rPr>
                <w:rFonts w:ascii="Arial" w:cs="Arial" w:eastAsia="Arial" w:hAnsi="Arial"/>
                <w:sz w:val="18"/>
                <w:szCs w:val="18"/>
                <w:b w:val="1"/>
                <w:bCs w:val="1"/>
                <w:color w:val="auto"/>
              </w:rPr>
              <w:t xml:space="preserve">Retention of Shares. </w:t>
            </w:r>
            <w:r>
              <w:rPr>
                <w:rFonts w:ascii="Arial" w:cs="Arial" w:eastAsia="Arial" w:hAnsi="Arial"/>
                <w:sz w:val="18"/>
                <w:szCs w:val="18"/>
                <w:color w:val="auto"/>
              </w:rPr>
              <w:t>With respect to any certain executive, including NEOs, who has</w:t>
            </w:r>
          </w:p>
        </w:tc>
        <w:tc>
          <w:tcPr>
            <w:tcW w:w="0" w:type="dxa"/>
            <w:vAlign w:val="bottom"/>
          </w:tcPr>
          <w:p>
            <w:pPr>
              <w:spacing w:after="0"/>
              <w:rPr>
                <w:sz w:val="1"/>
                <w:szCs w:val="1"/>
                <w:color w:val="auto"/>
              </w:rPr>
            </w:pPr>
          </w:p>
        </w:tc>
      </w:tr>
      <w:tr>
        <w:trPr>
          <w:trHeight w:val="203"/>
        </w:trPr>
        <w:tc>
          <w:tcPr>
            <w:tcW w:w="2500" w:type="dxa"/>
            <w:vAlign w:val="bottom"/>
            <w:vMerge w:val="restart"/>
            <w:shd w:val="clear" w:color="auto" w:fill="E9EFEE"/>
          </w:tcPr>
          <w:p>
            <w:pPr>
              <w:jc w:val="center"/>
              <w:spacing w:after="0"/>
              <w:rPr>
                <w:sz w:val="20"/>
                <w:szCs w:val="20"/>
                <w:color w:val="auto"/>
              </w:rPr>
            </w:pPr>
            <w:r>
              <w:rPr>
                <w:rFonts w:ascii="Arial" w:cs="Arial" w:eastAsia="Arial" w:hAnsi="Arial"/>
                <w:sz w:val="18"/>
                <w:szCs w:val="18"/>
                <w:b w:val="1"/>
                <w:bCs w:val="1"/>
                <w:color w:val="auto"/>
                <w:w w:val="99"/>
              </w:rPr>
              <w:t>Long-Term Incentive</w:t>
            </w:r>
          </w:p>
        </w:tc>
        <w:tc>
          <w:tcPr>
            <w:tcW w:w="7060" w:type="dxa"/>
            <w:vAlign w:val="bottom"/>
            <w:shd w:val="clear" w:color="auto" w:fill="E9EFEE"/>
          </w:tcPr>
          <w:p>
            <w:pPr>
              <w:ind w:left="20"/>
              <w:spacing w:after="0" w:line="202" w:lineRule="exact"/>
              <w:rPr>
                <w:sz w:val="20"/>
                <w:szCs w:val="20"/>
                <w:color w:val="auto"/>
              </w:rPr>
            </w:pPr>
            <w:r>
              <w:rPr>
                <w:rFonts w:ascii="Arial" w:cs="Arial" w:eastAsia="Arial" w:hAnsi="Arial"/>
                <w:sz w:val="18"/>
                <w:szCs w:val="18"/>
                <w:color w:val="auto"/>
              </w:rPr>
              <w:t>not met the ownership guidelines within the required period, the Committee may require</w:t>
            </w:r>
          </w:p>
        </w:tc>
        <w:tc>
          <w:tcPr>
            <w:tcW w:w="0" w:type="dxa"/>
            <w:vAlign w:val="bottom"/>
          </w:tcPr>
          <w:p>
            <w:pPr>
              <w:spacing w:after="0"/>
              <w:rPr>
                <w:sz w:val="1"/>
                <w:szCs w:val="1"/>
                <w:color w:val="auto"/>
              </w:rPr>
            </w:pPr>
          </w:p>
        </w:tc>
      </w:tr>
      <w:tr>
        <w:trPr>
          <w:trHeight w:val="181"/>
        </w:trPr>
        <w:tc>
          <w:tcPr>
            <w:tcW w:w="2500" w:type="dxa"/>
            <w:vAlign w:val="bottom"/>
            <w:vMerge w:val="continue"/>
            <w:shd w:val="clear" w:color="auto" w:fill="E9EFEE"/>
          </w:tcPr>
          <w:p>
            <w:pPr>
              <w:spacing w:after="0"/>
              <w:rPr>
                <w:sz w:val="15"/>
                <w:szCs w:val="15"/>
                <w:color w:val="auto"/>
              </w:rPr>
            </w:pPr>
          </w:p>
        </w:tc>
        <w:tc>
          <w:tcPr>
            <w:tcW w:w="7060" w:type="dxa"/>
            <w:vAlign w:val="bottom"/>
            <w:shd w:val="clear" w:color="auto" w:fill="E9EFEE"/>
          </w:tcPr>
          <w:p>
            <w:pPr>
              <w:ind w:left="20"/>
              <w:spacing w:after="0" w:line="181" w:lineRule="exact"/>
              <w:rPr>
                <w:sz w:val="20"/>
                <w:szCs w:val="20"/>
                <w:color w:val="auto"/>
              </w:rPr>
            </w:pPr>
            <w:r>
              <w:rPr>
                <w:rFonts w:ascii="Arial" w:cs="Arial" w:eastAsia="Arial" w:hAnsi="Arial"/>
                <w:sz w:val="18"/>
                <w:szCs w:val="18"/>
                <w:color w:val="auto"/>
              </w:rPr>
              <w:t>the executive to retain all shares necessary to satisfy the guidelines, less an amount</w:t>
            </w:r>
          </w:p>
        </w:tc>
        <w:tc>
          <w:tcPr>
            <w:tcW w:w="0" w:type="dxa"/>
            <w:vAlign w:val="bottom"/>
          </w:tcPr>
          <w:p>
            <w:pPr>
              <w:spacing w:after="0"/>
              <w:rPr>
                <w:sz w:val="1"/>
                <w:szCs w:val="1"/>
                <w:color w:val="auto"/>
              </w:rPr>
            </w:pPr>
          </w:p>
        </w:tc>
      </w:tr>
      <w:tr>
        <w:trPr>
          <w:trHeight w:val="239"/>
        </w:trPr>
        <w:tc>
          <w:tcPr>
            <w:tcW w:w="2500" w:type="dxa"/>
            <w:vAlign w:val="bottom"/>
            <w:shd w:val="clear" w:color="auto" w:fill="E9EFEE"/>
          </w:tcPr>
          <w:p>
            <w:pPr>
              <w:jc w:val="center"/>
              <w:spacing w:after="0"/>
              <w:rPr>
                <w:sz w:val="20"/>
                <w:szCs w:val="20"/>
                <w:color w:val="auto"/>
              </w:rPr>
            </w:pPr>
            <w:r>
              <w:rPr>
                <w:rFonts w:ascii="Arial" w:cs="Arial" w:eastAsia="Arial" w:hAnsi="Arial"/>
                <w:sz w:val="18"/>
                <w:szCs w:val="18"/>
                <w:b w:val="1"/>
                <w:bCs w:val="1"/>
                <w:color w:val="auto"/>
                <w:w w:val="99"/>
              </w:rPr>
              <w:t>Compensation</w:t>
            </w:r>
          </w:p>
        </w:tc>
        <w:tc>
          <w:tcPr>
            <w:tcW w:w="7060" w:type="dxa"/>
            <w:vAlign w:val="bottom"/>
            <w:shd w:val="clear" w:color="auto" w:fill="E9EFEE"/>
          </w:tcPr>
          <w:p>
            <w:pPr>
              <w:ind w:left="20"/>
              <w:spacing w:after="0"/>
              <w:rPr>
                <w:sz w:val="20"/>
                <w:szCs w:val="20"/>
                <w:color w:val="auto"/>
              </w:rPr>
            </w:pPr>
            <w:r>
              <w:rPr>
                <w:rFonts w:ascii="Arial" w:cs="Arial" w:eastAsia="Arial" w:hAnsi="Arial"/>
                <w:sz w:val="18"/>
                <w:szCs w:val="18"/>
                <w:color w:val="auto"/>
              </w:rPr>
              <w:t>that may be relinquished for the exercise price and taxes.</w:t>
            </w:r>
          </w:p>
        </w:tc>
        <w:tc>
          <w:tcPr>
            <w:tcW w:w="0" w:type="dxa"/>
            <w:vAlign w:val="bottom"/>
          </w:tcPr>
          <w:p>
            <w:pPr>
              <w:spacing w:after="0"/>
              <w:rPr>
                <w:sz w:val="1"/>
                <w:szCs w:val="1"/>
                <w:color w:val="auto"/>
              </w:rPr>
            </w:pPr>
          </w:p>
        </w:tc>
      </w:tr>
      <w:tr>
        <w:trPr>
          <w:trHeight w:val="215"/>
        </w:trPr>
        <w:tc>
          <w:tcPr>
            <w:tcW w:w="2500" w:type="dxa"/>
            <w:vAlign w:val="bottom"/>
            <w:shd w:val="clear" w:color="auto" w:fill="E9EFEE"/>
          </w:tcPr>
          <w:p>
            <w:pPr>
              <w:spacing w:after="0"/>
              <w:rPr>
                <w:sz w:val="18"/>
                <w:szCs w:val="18"/>
                <w:color w:val="auto"/>
              </w:rPr>
            </w:pPr>
          </w:p>
        </w:tc>
        <w:tc>
          <w:tcPr>
            <w:tcW w:w="7060" w:type="dxa"/>
            <w:vAlign w:val="bottom"/>
            <w:shd w:val="clear" w:color="auto" w:fill="E9EFEE"/>
          </w:tcPr>
          <w:p>
            <w:pPr>
              <w:ind w:left="20"/>
              <w:spacing w:after="0"/>
              <w:rPr>
                <w:sz w:val="20"/>
                <w:szCs w:val="20"/>
                <w:color w:val="auto"/>
              </w:rPr>
            </w:pPr>
            <w:r>
              <w:rPr>
                <w:rFonts w:ascii="Arial" w:cs="Arial" w:eastAsia="Arial" w:hAnsi="Arial"/>
                <w:sz w:val="18"/>
                <w:szCs w:val="18"/>
                <w:b w:val="1"/>
                <w:bCs w:val="1"/>
                <w:color w:val="auto"/>
              </w:rPr>
              <w:t xml:space="preserve">Anti-Hedging/Pledging Restriction Policy. </w:t>
            </w:r>
            <w:r>
              <w:rPr>
                <w:rFonts w:ascii="Arial" w:cs="Arial" w:eastAsia="Arial" w:hAnsi="Arial"/>
                <w:sz w:val="18"/>
                <w:szCs w:val="18"/>
                <w:color w:val="auto"/>
              </w:rPr>
              <w:t>See discussion below regarding our anti-</w:t>
            </w:r>
          </w:p>
        </w:tc>
        <w:tc>
          <w:tcPr>
            <w:tcW w:w="0" w:type="dxa"/>
            <w:vAlign w:val="bottom"/>
          </w:tcPr>
          <w:p>
            <w:pPr>
              <w:spacing w:after="0"/>
              <w:rPr>
                <w:sz w:val="1"/>
                <w:szCs w:val="1"/>
                <w:color w:val="auto"/>
              </w:rPr>
            </w:pPr>
          </w:p>
        </w:tc>
      </w:tr>
      <w:tr>
        <w:trPr>
          <w:trHeight w:val="217"/>
        </w:trPr>
        <w:tc>
          <w:tcPr>
            <w:tcW w:w="2500" w:type="dxa"/>
            <w:vAlign w:val="bottom"/>
            <w:shd w:val="clear" w:color="auto" w:fill="E9EFEE"/>
          </w:tcPr>
          <w:p>
            <w:pPr>
              <w:spacing w:after="0"/>
              <w:rPr>
                <w:sz w:val="18"/>
                <w:szCs w:val="18"/>
                <w:color w:val="auto"/>
              </w:rPr>
            </w:pPr>
          </w:p>
        </w:tc>
        <w:tc>
          <w:tcPr>
            <w:tcW w:w="7060" w:type="dxa"/>
            <w:vAlign w:val="bottom"/>
            <w:shd w:val="clear" w:color="auto" w:fill="E9EFEE"/>
          </w:tcPr>
          <w:p>
            <w:pPr>
              <w:ind w:left="20"/>
              <w:spacing w:after="0"/>
              <w:rPr>
                <w:sz w:val="20"/>
                <w:szCs w:val="20"/>
                <w:color w:val="auto"/>
              </w:rPr>
            </w:pPr>
            <w:r>
              <w:rPr>
                <w:rFonts w:ascii="Arial" w:cs="Arial" w:eastAsia="Arial" w:hAnsi="Arial"/>
                <w:sz w:val="18"/>
                <w:szCs w:val="18"/>
                <w:color w:val="auto"/>
              </w:rPr>
              <w:t>hedging and short sale/restricted pledging policies.</w:t>
            </w:r>
          </w:p>
        </w:tc>
        <w:tc>
          <w:tcPr>
            <w:tcW w:w="0" w:type="dxa"/>
            <w:vAlign w:val="bottom"/>
          </w:tcPr>
          <w:p>
            <w:pPr>
              <w:spacing w:after="0"/>
              <w:rPr>
                <w:sz w:val="1"/>
                <w:szCs w:val="1"/>
                <w:color w:val="auto"/>
              </w:rPr>
            </w:pPr>
          </w:p>
        </w:tc>
      </w:tr>
      <w:tr>
        <w:trPr>
          <w:trHeight w:val="215"/>
        </w:trPr>
        <w:tc>
          <w:tcPr>
            <w:tcW w:w="2500" w:type="dxa"/>
            <w:vAlign w:val="bottom"/>
            <w:shd w:val="clear" w:color="auto" w:fill="E9EFEE"/>
          </w:tcPr>
          <w:p>
            <w:pPr>
              <w:spacing w:after="0"/>
              <w:rPr>
                <w:sz w:val="18"/>
                <w:szCs w:val="18"/>
                <w:color w:val="auto"/>
              </w:rPr>
            </w:pPr>
          </w:p>
        </w:tc>
        <w:tc>
          <w:tcPr>
            <w:tcW w:w="7060" w:type="dxa"/>
            <w:vAlign w:val="bottom"/>
            <w:shd w:val="clear" w:color="auto" w:fill="E9EFEE"/>
          </w:tcPr>
          <w:p>
            <w:pPr>
              <w:ind w:left="20"/>
              <w:spacing w:after="0"/>
              <w:rPr>
                <w:sz w:val="20"/>
                <w:szCs w:val="20"/>
                <w:color w:val="auto"/>
              </w:rPr>
            </w:pPr>
            <w:r>
              <w:rPr>
                <w:rFonts w:ascii="Arial" w:cs="Arial" w:eastAsia="Arial" w:hAnsi="Arial"/>
                <w:sz w:val="18"/>
                <w:szCs w:val="18"/>
                <w:b w:val="1"/>
                <w:bCs w:val="1"/>
                <w:color w:val="auto"/>
              </w:rPr>
              <w:t xml:space="preserve">Clawback Provision. </w:t>
            </w:r>
            <w:r>
              <w:rPr>
                <w:rFonts w:ascii="Arial" w:cs="Arial" w:eastAsia="Arial" w:hAnsi="Arial"/>
                <w:sz w:val="18"/>
                <w:szCs w:val="18"/>
                <w:color w:val="auto"/>
              </w:rPr>
              <w:t>Our clawback policy permits the Committee to recoup or rescind</w:t>
            </w:r>
          </w:p>
        </w:tc>
        <w:tc>
          <w:tcPr>
            <w:tcW w:w="0" w:type="dxa"/>
            <w:vAlign w:val="bottom"/>
          </w:tcPr>
          <w:p>
            <w:pPr>
              <w:spacing w:after="0"/>
              <w:rPr>
                <w:sz w:val="1"/>
                <w:szCs w:val="1"/>
                <w:color w:val="auto"/>
              </w:rPr>
            </w:pPr>
          </w:p>
        </w:tc>
      </w:tr>
      <w:tr>
        <w:trPr>
          <w:trHeight w:val="203"/>
        </w:trPr>
        <w:tc>
          <w:tcPr>
            <w:tcW w:w="2500" w:type="dxa"/>
            <w:vAlign w:val="bottom"/>
            <w:shd w:val="clear" w:color="auto" w:fill="E9EFEE"/>
          </w:tcPr>
          <w:p>
            <w:pPr>
              <w:spacing w:after="0"/>
              <w:rPr>
                <w:sz w:val="17"/>
                <w:szCs w:val="17"/>
                <w:color w:val="auto"/>
              </w:rPr>
            </w:pPr>
          </w:p>
        </w:tc>
        <w:tc>
          <w:tcPr>
            <w:tcW w:w="7060" w:type="dxa"/>
            <w:vAlign w:val="bottom"/>
            <w:shd w:val="clear" w:color="auto" w:fill="E9EFEE"/>
          </w:tcPr>
          <w:p>
            <w:pPr>
              <w:ind w:left="20"/>
              <w:spacing w:after="0" w:line="202" w:lineRule="exact"/>
              <w:rPr>
                <w:sz w:val="20"/>
                <w:szCs w:val="20"/>
                <w:color w:val="auto"/>
              </w:rPr>
            </w:pPr>
            <w:r>
              <w:rPr>
                <w:rFonts w:ascii="Arial" w:cs="Arial" w:eastAsia="Arial" w:hAnsi="Arial"/>
                <w:sz w:val="18"/>
                <w:szCs w:val="18"/>
                <w:color w:val="auto"/>
              </w:rPr>
              <w:t>equity awards to certain executives, including NEOs, under the LTI plan under certain</w:t>
            </w:r>
          </w:p>
        </w:tc>
        <w:tc>
          <w:tcPr>
            <w:tcW w:w="0" w:type="dxa"/>
            <w:vAlign w:val="bottom"/>
          </w:tcPr>
          <w:p>
            <w:pPr>
              <w:spacing w:after="0"/>
              <w:rPr>
                <w:sz w:val="1"/>
                <w:szCs w:val="1"/>
                <w:color w:val="auto"/>
              </w:rPr>
            </w:pPr>
          </w:p>
        </w:tc>
      </w:tr>
      <w:tr>
        <w:trPr>
          <w:trHeight w:val="217"/>
        </w:trPr>
        <w:tc>
          <w:tcPr>
            <w:tcW w:w="2500" w:type="dxa"/>
            <w:vAlign w:val="bottom"/>
            <w:tcBorders>
              <w:bottom w:val="single" w:sz="8" w:color="000562"/>
            </w:tcBorders>
            <w:shd w:val="clear" w:color="auto" w:fill="E9EFEE"/>
          </w:tcPr>
          <w:p>
            <w:pPr>
              <w:spacing w:after="0"/>
              <w:rPr>
                <w:sz w:val="18"/>
                <w:szCs w:val="18"/>
                <w:color w:val="auto"/>
              </w:rPr>
            </w:pPr>
          </w:p>
        </w:tc>
        <w:tc>
          <w:tcPr>
            <w:tcW w:w="7060" w:type="dxa"/>
            <w:vAlign w:val="bottom"/>
            <w:tcBorders>
              <w:bottom w:val="single" w:sz="8" w:color="000562"/>
            </w:tcBorders>
            <w:shd w:val="clear" w:color="auto" w:fill="E9EFEE"/>
          </w:tcPr>
          <w:p>
            <w:pPr>
              <w:ind w:left="20"/>
              <w:spacing w:after="0"/>
              <w:rPr>
                <w:sz w:val="20"/>
                <w:szCs w:val="20"/>
                <w:color w:val="auto"/>
              </w:rPr>
            </w:pPr>
            <w:r>
              <w:rPr>
                <w:rFonts w:ascii="Arial" w:cs="Arial" w:eastAsia="Arial" w:hAnsi="Arial"/>
                <w:sz w:val="18"/>
                <w:szCs w:val="18"/>
                <w:color w:val="auto"/>
              </w:rPr>
              <w:t>situations, including restatement of financial results.</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2"/>
        </w:rPr>
        <w:t>Accounting and Tax Effects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impact of accounting treatment is considered in developing and implementing the Company’s compensation programs generally, including the accounting treatment as it applies to amounts awarded or paid to the Company’s executives.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impact of federal tax laws on the Company’s compensation programs is also considered generally, including the deductibility of compensation paid to the NEOs, as regulated by Section 162(m) of the Internal Revenue Code of 1986, as amended (the “Code”). Under Section 162(m) of the Code, compensation paid to certain executive officers (and, beginning in 2018, certain former executive officers) in excess of $1 million is not tax deductible. Historically, compensation that qualified as “performance-based compensation” under Section 162(m) of the Code could be excluded from this $1 million limit, but this exception has now been repealed, effective for taxable years beginning after December 31, 2017, unless certain transition relief for certain compensation arrangements in place as of November 2, 2017 is available. The Committee believes</w:t>
      </w:r>
    </w:p>
    <w:p>
      <w:pPr>
        <w:spacing w:after="0" w:line="188" w:lineRule="exact"/>
        <w:rPr>
          <w:sz w:val="20"/>
          <w:szCs w:val="20"/>
          <w:color w:val="auto"/>
        </w:rPr>
      </w:pPr>
    </w:p>
    <w:p>
      <w:pPr>
        <w:ind w:left="7140"/>
        <w:spacing w:after="0"/>
        <w:tabs>
          <w:tab w:leader="none" w:pos="9040" w:val="left"/>
          <w:tab w:leader="none" w:pos="9340" w:val="left"/>
        </w:tabs>
        <w:rPr>
          <w:sz w:val="20"/>
          <w:szCs w:val="20"/>
          <w:color w:val="auto"/>
        </w:rPr>
      </w:pPr>
      <w:r>
        <w:rPr>
          <w:rFonts w:ascii="Arial" w:cs="Arial" w:eastAsia="Arial" w:hAnsi="Arial"/>
          <w:sz w:val="18"/>
          <w:szCs w:val="18"/>
          <w:i w:val="1"/>
          <w:iCs w:val="1"/>
          <w:color w:val="auto"/>
        </w:rPr>
        <w:t>2019 Proxy Statement</w:t>
      </w:r>
      <w:r>
        <w:rPr>
          <w:sz w:val="20"/>
          <w:szCs w:val="20"/>
          <w:color w:val="auto"/>
        </w:rPr>
        <w:tab/>
      </w:r>
      <w:r>
        <w:rPr>
          <w:rFonts w:ascii="Arial" w:cs="Arial" w:eastAsia="Arial" w:hAnsi="Arial"/>
          <w:sz w:val="22"/>
          <w:szCs w:val="22"/>
          <w:b w:val="1"/>
          <w:bCs w:val="1"/>
          <w:color w:val="000562"/>
        </w:rPr>
        <w:t>I</w:t>
      </w:r>
      <w:r>
        <w:rPr>
          <w:sz w:val="20"/>
          <w:szCs w:val="20"/>
          <w:color w:val="auto"/>
        </w:rPr>
        <w:tab/>
      </w:r>
      <w:r>
        <w:rPr>
          <w:rFonts w:ascii="Arial" w:cs="Arial" w:eastAsia="Arial" w:hAnsi="Arial"/>
          <w:sz w:val="17"/>
          <w:szCs w:val="17"/>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071870" cy="431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43" w:name="page44"/>
    <w:bookmarkEnd w:id="4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000562"/>
        </w:rPr>
        <w:t>TriMas Corporation</w:t>
      </w: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that the tax deduction limitation should not be permitted to compromise the Company’s ability to design and maintain executive compensation arrangements that will attract and retain the executive talent to compete successfully. Accordingly, achieving the desired flexibility in the design and delivery of compensation may result in compensation that in certain cases is not deductible for federal income tax purposes. Moreover, even if the Committee intended to grant compensation that qualifies as “performance-based compensation” for purposes of Section 162(m) of the Code, the Company cannot guarantee that such compensation will so qualify or ultimately is or will be deductible.</w:t>
      </w:r>
    </w:p>
    <w:p>
      <w:pPr>
        <w:spacing w:after="0" w:line="10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Likewise, the impact of Section 409A of the Code is taken into account and the Company’s executive plans and programs are designed to comply with, or be exempt from, the requirements of that section so as to avoid possible adverse tax consequences that may result from noncompliance with Section 409A.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2"/>
        </w:rPr>
        <w:t>Stock Ownership Guidelines for Executives</w:t>
      </w:r>
    </w:p>
    <w:p>
      <w:pPr>
        <w:spacing w:after="0" w:line="12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To further align the interests of executives with those of shareholders, the Committee adopted stock ownership guidelines for certain executives, including the NEOs. The guidelines are expressed as a multiple of base salary, as set forth below:</w:t>
      </w:r>
    </w:p>
    <w:p>
      <w:pPr>
        <w:spacing w:after="0" w:line="41" w:lineRule="exact"/>
        <w:rPr>
          <w:sz w:val="20"/>
          <w:szCs w:val="20"/>
          <w:color w:val="auto"/>
        </w:rPr>
      </w:pPr>
    </w:p>
    <w:tbl>
      <w:tblPr>
        <w:tblLayout w:type="fixed"/>
        <w:tblInd w:w="900" w:type="dxa"/>
        <w:tblCellMar>
          <w:top w:w="0" w:type="dxa"/>
          <w:left w:w="0" w:type="dxa"/>
          <w:bottom w:w="0" w:type="dxa"/>
          <w:right w:w="0" w:type="dxa"/>
        </w:tblCellMar>
      </w:tblPr>
      <w:tr>
        <w:trPr>
          <w:trHeight w:val="230"/>
        </w:trPr>
        <w:tc>
          <w:tcPr>
            <w:tcW w:w="4900" w:type="dxa"/>
            <w:vAlign w:val="bottom"/>
            <w:shd w:val="clear" w:color="auto" w:fill="E9EFEE"/>
          </w:tcPr>
          <w:p>
            <w:pPr>
              <w:ind w:left="440"/>
              <w:spacing w:after="0"/>
              <w:rPr>
                <w:sz w:val="20"/>
                <w:szCs w:val="20"/>
                <w:color w:val="auto"/>
              </w:rPr>
            </w:pPr>
            <w:r>
              <w:rPr>
                <w:rFonts w:ascii="Arial" w:cs="Arial" w:eastAsia="Arial" w:hAnsi="Arial"/>
                <w:sz w:val="18"/>
                <w:szCs w:val="18"/>
                <w:color w:val="auto"/>
              </w:rPr>
              <w:t>Mr. Amato</w:t>
            </w:r>
          </w:p>
        </w:tc>
        <w:tc>
          <w:tcPr>
            <w:tcW w:w="2380" w:type="dxa"/>
            <w:vAlign w:val="bottom"/>
            <w:shd w:val="clear" w:color="auto" w:fill="E9EFEE"/>
          </w:tcPr>
          <w:p>
            <w:pPr>
              <w:ind w:left="2080"/>
              <w:spacing w:after="0"/>
              <w:rPr>
                <w:sz w:val="20"/>
                <w:szCs w:val="20"/>
                <w:color w:val="auto"/>
              </w:rPr>
            </w:pPr>
            <w:r>
              <w:rPr>
                <w:rFonts w:ascii="Arial" w:cs="Arial" w:eastAsia="Arial" w:hAnsi="Arial"/>
                <w:sz w:val="18"/>
                <w:szCs w:val="18"/>
                <w:color w:val="auto"/>
              </w:rPr>
              <w:t>5x</w:t>
            </w:r>
          </w:p>
        </w:tc>
      </w:tr>
      <w:tr>
        <w:trPr>
          <w:trHeight w:val="230"/>
        </w:trPr>
        <w:tc>
          <w:tcPr>
            <w:tcW w:w="4900" w:type="dxa"/>
            <w:vAlign w:val="bottom"/>
            <w:tcBorders>
              <w:bottom w:val="single" w:sz="8" w:color="000562"/>
            </w:tcBorders>
          </w:tcPr>
          <w:p>
            <w:pPr>
              <w:ind w:left="440"/>
              <w:spacing w:after="0"/>
              <w:rPr>
                <w:sz w:val="20"/>
                <w:szCs w:val="20"/>
                <w:color w:val="auto"/>
              </w:rPr>
            </w:pPr>
            <w:r>
              <w:rPr>
                <w:rFonts w:ascii="Arial" w:cs="Arial" w:eastAsia="Arial" w:hAnsi="Arial"/>
                <w:sz w:val="18"/>
                <w:szCs w:val="18"/>
                <w:color w:val="auto"/>
              </w:rPr>
              <w:t>Messrs. Zalupski and Sherbin</w:t>
            </w:r>
          </w:p>
        </w:tc>
        <w:tc>
          <w:tcPr>
            <w:tcW w:w="2380" w:type="dxa"/>
            <w:vAlign w:val="bottom"/>
            <w:tcBorders>
              <w:bottom w:val="single" w:sz="8" w:color="000562"/>
            </w:tcBorders>
          </w:tcPr>
          <w:p>
            <w:pPr>
              <w:ind w:left="2080"/>
              <w:spacing w:after="0"/>
              <w:rPr>
                <w:sz w:val="20"/>
                <w:szCs w:val="20"/>
                <w:color w:val="auto"/>
              </w:rPr>
            </w:pPr>
            <w:r>
              <w:rPr>
                <w:rFonts w:ascii="Arial" w:cs="Arial" w:eastAsia="Arial" w:hAnsi="Arial"/>
                <w:sz w:val="18"/>
                <w:szCs w:val="18"/>
                <w:color w:val="auto"/>
              </w:rPr>
              <w:t>3x</w:t>
            </w:r>
          </w:p>
        </w:tc>
      </w:tr>
    </w:tbl>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31, 2018, all of the continuing NEOs were in compliance with the stock ownership guidelines then applicable to them. New executives designated as participants will have five years from the time they are named to a qualifying position to meet the ownership guidelines. Adherence to these guidelines will be evaluated each year on the last trading day of the year, using the executive’s base salary and the value of the executive’s holdings and stock price on such day. Once an executive attains the required ownership level, the executive will not be considered noncompliant solely due to subsequent stock price declines as long as the executive continues to hold at least the number of shares the executive held as of the measurement date until the guideline ownership is again achieved.</w:t>
      </w:r>
    </w:p>
    <w:p>
      <w:pPr>
        <w:spacing w:after="0" w:line="99"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Generally, Common Stock owned or beneficially owned by the executive, service -vesting restricted stock or restricted stock units, and vested, in-the-money stock options count toward satisfaction of the guidelines. Before satisfying the guidelines, an executive must hold at least 50% of shares acquired from equity compensation awards (generally, after recognition of shares or cash used for tax withholding or to pay the exercise price of an option).</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Committee has the discretion to consider non-compliance with the guidelines in determining whether or the extent to which future equity awards should be granted and may require all stock attained through Company grants be retained until the guidelines are satisfied.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2"/>
        </w:rPr>
        <w:t>Anti-Hedging, Short Sale and Pledging Policies</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anti-hedging policy prohibits our directors and executives, including NEOs, from purchasing any financial instrument that is designed to hedge or offset any decrease in the market value of the Common Stock, including prepaid variable forward contracts, equity swaps, collars and exchange funds. The policy also prohibits our directors and executives from engaging in short sales related to the Common Stock. Under the policy, directors and executives are prohibited from pledging shares of Common Stock. The prohibition on pledging implemented in 2018 modifies a policy adopted in 2014 that permitted pledging on a limited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2"/>
        </w:rPr>
        <w:t>Recoupment Policy</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2009, the Committee implemented a recoupment (or clawback) policy subjecting incentive compensation and grants under the Company’s equity compensation plans to executive officers and business unit presidents to potential recoupment. The Board has the authority to trigger recoupment in the event of a material financial restatement or manipulation of a financial measure on which compensation is based where the employee’s intentional misconduct contributed to the restatement or manipulation and, but for such</w:t>
      </w:r>
    </w:p>
    <w:p>
      <w:pPr>
        <w:spacing w:after="0" w:line="187" w:lineRule="exact"/>
        <w:rPr>
          <w:sz w:val="20"/>
          <w:szCs w:val="20"/>
          <w:color w:val="auto"/>
        </w:rPr>
      </w:pPr>
    </w:p>
    <w:p>
      <w:pPr>
        <w:ind w:left="360" w:hanging="349"/>
        <w:spacing w:after="0"/>
        <w:tabs>
          <w:tab w:leader="none" w:pos="360" w:val="left"/>
        </w:tabs>
        <w:numPr>
          <w:ilvl w:val="0"/>
          <w:numId w:val="47"/>
        </w:numPr>
        <w:rPr>
          <w:rFonts w:ascii="Arial" w:cs="Arial" w:eastAsia="Arial" w:hAnsi="Arial"/>
          <w:sz w:val="18"/>
          <w:szCs w:val="18"/>
          <w:b w:val="1"/>
          <w:bCs w:val="1"/>
          <w:color w:val="auto"/>
        </w:rPr>
      </w:pPr>
      <w:r>
        <w:rPr>
          <w:rFonts w:ascii="Arial" w:cs="Arial" w:eastAsia="Arial" w:hAnsi="Arial"/>
          <w:sz w:val="22"/>
          <w:szCs w:val="22"/>
          <w:b w:val="1"/>
          <w:bCs w:val="1"/>
          <w:color w:val="000562"/>
        </w:rPr>
        <w:t xml:space="preserve">I </w:t>
      </w:r>
      <w:r>
        <w:rPr>
          <w:rFonts w:ascii="Arial" w:cs="Arial" w:eastAsia="Arial" w:hAnsi="Arial"/>
          <w:sz w:val="18"/>
          <w:szCs w:val="18"/>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071870" cy="431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0562"/>
        </w:rPr>
        <w:t>EXECUTIVE COMPENSATION — COMPENSATION DISCUSSION AND ANALYSIS</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misconduct, a lesser amount of compensation would have been paid. The Committee will reevaluate and, if necessary, revise the Company’s recoupment policy to comply with the Dodd-Frank Wall Street Reform and Consumer Protection Act once the rules implementing the recoupment requirements have been finalized by the SEC.</w:t>
      </w:r>
    </w:p>
    <w:p>
      <w:pPr>
        <w:spacing w:after="0" w:line="184" w:lineRule="exact"/>
        <w:rPr>
          <w:sz w:val="20"/>
          <w:szCs w:val="20"/>
          <w:color w:val="auto"/>
        </w:rPr>
      </w:pPr>
    </w:p>
    <w:p>
      <w:pPr>
        <w:ind w:left="7140"/>
        <w:spacing w:after="0"/>
        <w:tabs>
          <w:tab w:leader="none" w:pos="9040" w:val="left"/>
          <w:tab w:leader="none" w:pos="9340" w:val="left"/>
        </w:tabs>
        <w:rPr>
          <w:sz w:val="20"/>
          <w:szCs w:val="20"/>
          <w:color w:val="auto"/>
        </w:rPr>
      </w:pPr>
      <w:r>
        <w:rPr>
          <w:rFonts w:ascii="Arial" w:cs="Arial" w:eastAsia="Arial" w:hAnsi="Arial"/>
          <w:sz w:val="18"/>
          <w:szCs w:val="18"/>
          <w:i w:val="1"/>
          <w:iCs w:val="1"/>
          <w:color w:val="auto"/>
        </w:rPr>
        <w:t>2019 Proxy Statement</w:t>
      </w:r>
      <w:r>
        <w:rPr>
          <w:sz w:val="20"/>
          <w:szCs w:val="20"/>
          <w:color w:val="auto"/>
        </w:rPr>
        <w:tab/>
      </w:r>
      <w:r>
        <w:rPr>
          <w:rFonts w:ascii="Arial" w:cs="Arial" w:eastAsia="Arial" w:hAnsi="Arial"/>
          <w:sz w:val="22"/>
          <w:szCs w:val="22"/>
          <w:b w:val="1"/>
          <w:bCs w:val="1"/>
          <w:color w:val="000562"/>
        </w:rPr>
        <w:t>I</w:t>
      </w:r>
      <w:r>
        <w:rPr>
          <w:sz w:val="20"/>
          <w:szCs w:val="20"/>
          <w:color w:val="auto"/>
        </w:rPr>
        <w:tab/>
      </w:r>
      <w:r>
        <w:rPr>
          <w:rFonts w:ascii="Arial" w:cs="Arial" w:eastAsia="Arial" w:hAnsi="Arial"/>
          <w:sz w:val="17"/>
          <w:szCs w:val="17"/>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071870" cy="431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000562"/>
        </w:rPr>
        <w:t>TriMas Corporation</w:t>
      </w:r>
    </w:p>
    <w:p>
      <w:pPr>
        <w:spacing w:after="0" w:line="228" w:lineRule="exact"/>
        <w:rPr>
          <w:sz w:val="20"/>
          <w:szCs w:val="20"/>
          <w:color w:val="auto"/>
        </w:rPr>
      </w:pPr>
    </w:p>
    <w:p>
      <w:pPr>
        <w:spacing w:after="0"/>
        <w:rPr>
          <w:sz w:val="20"/>
          <w:szCs w:val="20"/>
          <w:color w:val="auto"/>
        </w:rPr>
      </w:pPr>
      <w:r>
        <w:rPr>
          <w:rFonts w:ascii="Arial" w:cs="Arial" w:eastAsia="Arial" w:hAnsi="Arial"/>
          <w:sz w:val="43"/>
          <w:szCs w:val="43"/>
          <w:color w:val="000562"/>
        </w:rPr>
        <w:t>COMPENSATION COMMITTEE REPORT</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Compensation Committee of the Board of TriMas Corporation has reviewed and discussed with management the Compensation Discussion and Analysis. Based on this review and discussion, it has recommended to the Board that the Compensation Discussion and Analysis be included in the 2019 Proxy Statement and in the Annual Report on Form10-K of TriMas Corporation filed for the fiscal year ended December 31, 2018.</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members of the Compensation Committee have submitted this report to the Board.</w:t>
      </w:r>
    </w:p>
    <w:p>
      <w:pPr>
        <w:spacing w:after="0" w:line="8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The Compensation Committee</w:t>
      </w:r>
    </w:p>
    <w:p>
      <w:pPr>
        <w:spacing w:after="0" w:line="24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Samuel Valenti III, Chair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Richard M. Gabrys</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Nancy S. Gougarty</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Eugene A. Miller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Herbert K. Parker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Nick L. Stanage</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Daniel P. Tredwell</w:t>
      </w:r>
    </w:p>
    <w:p>
      <w:pPr>
        <w:spacing w:after="0" w:line="207" w:lineRule="exact"/>
        <w:rPr>
          <w:sz w:val="20"/>
          <w:szCs w:val="20"/>
          <w:color w:val="auto"/>
        </w:rPr>
      </w:pPr>
    </w:p>
    <w:p>
      <w:pPr>
        <w:ind w:left="360" w:hanging="349"/>
        <w:spacing w:after="0"/>
        <w:tabs>
          <w:tab w:leader="none" w:pos="360" w:val="left"/>
        </w:tabs>
        <w:numPr>
          <w:ilvl w:val="0"/>
          <w:numId w:val="48"/>
        </w:numPr>
        <w:rPr>
          <w:rFonts w:ascii="Arial" w:cs="Arial" w:eastAsia="Arial" w:hAnsi="Arial"/>
          <w:sz w:val="18"/>
          <w:szCs w:val="18"/>
          <w:b w:val="1"/>
          <w:bCs w:val="1"/>
          <w:color w:val="auto"/>
        </w:rPr>
      </w:pPr>
      <w:r>
        <w:rPr>
          <w:rFonts w:ascii="Arial" w:cs="Arial" w:eastAsia="Arial" w:hAnsi="Arial"/>
          <w:sz w:val="22"/>
          <w:szCs w:val="22"/>
          <w:b w:val="1"/>
          <w:bCs w:val="1"/>
          <w:color w:val="000562"/>
        </w:rPr>
        <w:t xml:space="preserve">I </w:t>
      </w:r>
      <w:r>
        <w:rPr>
          <w:rFonts w:ascii="Arial" w:cs="Arial" w:eastAsia="Arial" w:hAnsi="Arial"/>
          <w:sz w:val="18"/>
          <w:szCs w:val="18"/>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071870" cy="431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2018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0718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total compensation paid to or earned by the NEOs in 2018, 2017 and 2016:</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00562"/>
              </w:rPr>
              <w:t>Non-Equity</w:t>
            </w: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center"/>
              <w:ind w:right="23"/>
              <w:spacing w:after="0"/>
              <w:rPr>
                <w:sz w:val="20"/>
                <w:szCs w:val="20"/>
                <w:color w:val="auto"/>
              </w:rPr>
            </w:pPr>
            <w:r>
              <w:rPr>
                <w:rFonts w:ascii="Arial" w:cs="Arial" w:eastAsia="Arial" w:hAnsi="Arial"/>
                <w:sz w:val="14"/>
                <w:szCs w:val="14"/>
                <w:b w:val="1"/>
                <w:bCs w:val="1"/>
                <w:color w:val="000562"/>
              </w:rPr>
              <w:t>Stock</w:t>
            </w:r>
          </w:p>
        </w:tc>
        <w:tc>
          <w:tcPr>
            <w:tcW w:w="980" w:type="dxa"/>
            <w:vAlign w:val="bottom"/>
          </w:tcPr>
          <w:p>
            <w:pPr>
              <w:jc w:val="center"/>
              <w:ind w:right="1"/>
              <w:spacing w:after="0"/>
              <w:rPr>
                <w:sz w:val="20"/>
                <w:szCs w:val="20"/>
                <w:color w:val="auto"/>
              </w:rPr>
            </w:pPr>
            <w:r>
              <w:rPr>
                <w:rFonts w:ascii="Arial" w:cs="Arial" w:eastAsia="Arial" w:hAnsi="Arial"/>
                <w:sz w:val="14"/>
                <w:szCs w:val="14"/>
                <w:b w:val="1"/>
                <w:bCs w:val="1"/>
                <w:color w:val="000562"/>
              </w:rPr>
              <w:t>Option</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00562"/>
              </w:rPr>
              <w:t>Incentive Plan</w:t>
            </w:r>
          </w:p>
        </w:tc>
        <w:tc>
          <w:tcPr>
            <w:tcW w:w="1340" w:type="dxa"/>
            <w:vAlign w:val="bottom"/>
          </w:tcPr>
          <w:p>
            <w:pPr>
              <w:jc w:val="center"/>
              <w:ind w:right="21"/>
              <w:spacing w:after="0"/>
              <w:rPr>
                <w:sz w:val="20"/>
                <w:szCs w:val="20"/>
                <w:color w:val="auto"/>
              </w:rPr>
            </w:pPr>
            <w:r>
              <w:rPr>
                <w:rFonts w:ascii="Arial" w:cs="Arial" w:eastAsia="Arial" w:hAnsi="Arial"/>
                <w:sz w:val="14"/>
                <w:szCs w:val="14"/>
                <w:b w:val="1"/>
                <w:bCs w:val="1"/>
                <w:color w:val="000562"/>
              </w:rPr>
              <w:t>All Other</w:t>
            </w:r>
          </w:p>
        </w:tc>
        <w:tc>
          <w:tcPr>
            <w:tcW w:w="960" w:type="dxa"/>
            <w:vAlign w:val="bottom"/>
          </w:tcPr>
          <w:p>
            <w:pPr>
              <w:spacing w:after="0"/>
              <w:rPr>
                <w:sz w:val="14"/>
                <w:szCs w:val="14"/>
                <w:color w:val="auto"/>
              </w:rPr>
            </w:pPr>
          </w:p>
        </w:tc>
      </w:tr>
      <w:tr>
        <w:trPr>
          <w:trHeight w:val="148"/>
        </w:trPr>
        <w:tc>
          <w:tcPr>
            <w:tcW w:w="2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jc w:val="right"/>
              <w:ind w:right="201"/>
              <w:spacing w:after="0" w:line="149" w:lineRule="exact"/>
              <w:rPr>
                <w:sz w:val="20"/>
                <w:szCs w:val="20"/>
                <w:color w:val="auto"/>
              </w:rPr>
            </w:pPr>
            <w:r>
              <w:rPr>
                <w:rFonts w:ascii="Arial" w:cs="Arial" w:eastAsia="Arial" w:hAnsi="Arial"/>
                <w:sz w:val="14"/>
                <w:szCs w:val="14"/>
                <w:b w:val="1"/>
                <w:bCs w:val="1"/>
                <w:color w:val="000562"/>
              </w:rPr>
              <w:t>Salary</w:t>
            </w:r>
          </w:p>
        </w:tc>
        <w:tc>
          <w:tcPr>
            <w:tcW w:w="102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000562"/>
              </w:rPr>
              <w:t>Awards</w:t>
            </w:r>
          </w:p>
        </w:tc>
        <w:tc>
          <w:tcPr>
            <w:tcW w:w="9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000562"/>
              </w:rPr>
              <w:t>Awards</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000562"/>
              </w:rPr>
              <w:t>Compensation</w:t>
            </w:r>
          </w:p>
        </w:tc>
        <w:tc>
          <w:tcPr>
            <w:tcW w:w="13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000562"/>
              </w:rPr>
              <w:t>Compensation</w:t>
            </w:r>
          </w:p>
        </w:tc>
        <w:tc>
          <w:tcPr>
            <w:tcW w:w="960" w:type="dxa"/>
            <w:vAlign w:val="bottom"/>
          </w:tcPr>
          <w:p>
            <w:pPr>
              <w:jc w:val="right"/>
              <w:ind w:right="261"/>
              <w:spacing w:after="0" w:line="149" w:lineRule="exact"/>
              <w:rPr>
                <w:sz w:val="20"/>
                <w:szCs w:val="20"/>
                <w:color w:val="auto"/>
              </w:rPr>
            </w:pPr>
            <w:r>
              <w:rPr>
                <w:rFonts w:ascii="Arial" w:cs="Arial" w:eastAsia="Arial" w:hAnsi="Arial"/>
                <w:sz w:val="14"/>
                <w:szCs w:val="14"/>
                <w:b w:val="1"/>
                <w:bCs w:val="1"/>
                <w:color w:val="000562"/>
              </w:rPr>
              <w:t>Total</w:t>
            </w:r>
          </w:p>
        </w:tc>
      </w:tr>
      <w:tr>
        <w:trPr>
          <w:trHeight w:val="203"/>
        </w:trPr>
        <w:tc>
          <w:tcPr>
            <w:tcW w:w="2440" w:type="dxa"/>
            <w:vAlign w:val="bottom"/>
            <w:tcBorders>
              <w:bottom w:val="single" w:sz="8" w:color="000562"/>
            </w:tcBorders>
          </w:tcPr>
          <w:p>
            <w:pPr>
              <w:ind w:left="20"/>
              <w:spacing w:after="0"/>
              <w:rPr>
                <w:sz w:val="20"/>
                <w:szCs w:val="20"/>
                <w:color w:val="auto"/>
              </w:rPr>
            </w:pPr>
            <w:r>
              <w:rPr>
                <w:rFonts w:ascii="Arial" w:cs="Arial" w:eastAsia="Arial" w:hAnsi="Arial"/>
                <w:sz w:val="14"/>
                <w:szCs w:val="14"/>
                <w:b w:val="1"/>
                <w:bCs w:val="1"/>
                <w:color w:val="000562"/>
              </w:rPr>
              <w:t>Name and Principal Position</w:t>
            </w:r>
          </w:p>
        </w:tc>
        <w:tc>
          <w:tcPr>
            <w:tcW w:w="560" w:type="dxa"/>
            <w:vAlign w:val="bottom"/>
            <w:tcBorders>
              <w:bottom w:val="single" w:sz="8" w:color="000562"/>
            </w:tcBorders>
          </w:tcPr>
          <w:p>
            <w:pPr>
              <w:jc w:val="center"/>
              <w:spacing w:after="0"/>
              <w:rPr>
                <w:sz w:val="20"/>
                <w:szCs w:val="20"/>
                <w:color w:val="auto"/>
              </w:rPr>
            </w:pPr>
            <w:r>
              <w:rPr>
                <w:rFonts w:ascii="Arial" w:cs="Arial" w:eastAsia="Arial" w:hAnsi="Arial"/>
                <w:sz w:val="14"/>
                <w:szCs w:val="14"/>
                <w:b w:val="1"/>
                <w:bCs w:val="1"/>
                <w:color w:val="000562"/>
                <w:w w:val="98"/>
              </w:rPr>
              <w:t>Year</w:t>
            </w:r>
          </w:p>
        </w:tc>
        <w:tc>
          <w:tcPr>
            <w:tcW w:w="920" w:type="dxa"/>
            <w:vAlign w:val="bottom"/>
            <w:tcBorders>
              <w:bottom w:val="single" w:sz="8" w:color="000562"/>
            </w:tcBorders>
          </w:tcPr>
          <w:p>
            <w:pPr>
              <w:jc w:val="right"/>
              <w:ind w:right="321"/>
              <w:spacing w:after="0"/>
              <w:rPr>
                <w:sz w:val="20"/>
                <w:szCs w:val="20"/>
                <w:color w:val="auto"/>
              </w:rPr>
            </w:pPr>
            <w:r>
              <w:rPr>
                <w:rFonts w:ascii="Arial" w:cs="Arial" w:eastAsia="Arial" w:hAnsi="Arial"/>
                <w:sz w:val="14"/>
                <w:szCs w:val="14"/>
                <w:b w:val="1"/>
                <w:bCs w:val="1"/>
                <w:color w:val="000562"/>
              </w:rPr>
              <w:t>($)</w:t>
            </w:r>
          </w:p>
        </w:tc>
        <w:tc>
          <w:tcPr>
            <w:tcW w:w="1020" w:type="dxa"/>
            <w:vAlign w:val="bottom"/>
            <w:tcBorders>
              <w:bottom w:val="single" w:sz="8" w:color="000562"/>
            </w:tcBorders>
          </w:tcPr>
          <w:p>
            <w:pPr>
              <w:jc w:val="center"/>
              <w:ind w:right="23"/>
              <w:spacing w:after="0" w:line="202" w:lineRule="exact"/>
              <w:rPr>
                <w:sz w:val="20"/>
                <w:szCs w:val="20"/>
                <w:color w:val="auto"/>
              </w:rPr>
            </w:pPr>
            <w:r>
              <w:rPr>
                <w:rFonts w:ascii="Arial" w:cs="Arial" w:eastAsia="Arial" w:hAnsi="Arial"/>
                <w:sz w:val="23"/>
                <w:szCs w:val="23"/>
                <w:b w:val="1"/>
                <w:bCs w:val="1"/>
                <w:color w:val="000562"/>
                <w:vertAlign w:val="subscript"/>
              </w:rPr>
              <w:t>($)</w:t>
            </w:r>
            <w:r>
              <w:rPr>
                <w:rFonts w:ascii="Arial" w:cs="Arial" w:eastAsia="Arial" w:hAnsi="Arial"/>
                <w:sz w:val="11"/>
                <w:szCs w:val="11"/>
                <w:b w:val="1"/>
                <w:bCs w:val="1"/>
                <w:color w:val="000562"/>
              </w:rPr>
              <w:t>(1)(2)</w:t>
            </w:r>
          </w:p>
        </w:tc>
        <w:tc>
          <w:tcPr>
            <w:tcW w:w="980" w:type="dxa"/>
            <w:vAlign w:val="bottom"/>
            <w:tcBorders>
              <w:bottom w:val="single" w:sz="8" w:color="000562"/>
            </w:tcBorders>
          </w:tcPr>
          <w:p>
            <w:pPr>
              <w:jc w:val="center"/>
              <w:ind w:right="1"/>
              <w:spacing w:after="0"/>
              <w:rPr>
                <w:sz w:val="20"/>
                <w:szCs w:val="20"/>
                <w:color w:val="auto"/>
              </w:rPr>
            </w:pPr>
            <w:r>
              <w:rPr>
                <w:rFonts w:ascii="Arial" w:cs="Arial" w:eastAsia="Arial" w:hAnsi="Arial"/>
                <w:sz w:val="14"/>
                <w:szCs w:val="14"/>
                <w:b w:val="1"/>
                <w:bCs w:val="1"/>
                <w:color w:val="000562"/>
              </w:rPr>
              <w:t>($)</w:t>
            </w:r>
          </w:p>
        </w:tc>
        <w:tc>
          <w:tcPr>
            <w:tcW w:w="1340" w:type="dxa"/>
            <w:vAlign w:val="bottom"/>
            <w:tcBorders>
              <w:bottom w:val="single" w:sz="8" w:color="000562"/>
            </w:tcBorders>
          </w:tcPr>
          <w:p>
            <w:pPr>
              <w:jc w:val="center"/>
              <w:spacing w:after="0" w:line="202" w:lineRule="exact"/>
              <w:rPr>
                <w:sz w:val="20"/>
                <w:szCs w:val="20"/>
                <w:color w:val="auto"/>
              </w:rPr>
            </w:pPr>
            <w:r>
              <w:rPr>
                <w:rFonts w:ascii="Arial" w:cs="Arial" w:eastAsia="Arial" w:hAnsi="Arial"/>
                <w:sz w:val="14"/>
                <w:szCs w:val="14"/>
                <w:b w:val="1"/>
                <w:bCs w:val="1"/>
                <w:color w:val="000562"/>
                <w:w w:val="89"/>
              </w:rPr>
              <w:t>($)</w:t>
            </w:r>
            <w:r>
              <w:rPr>
                <w:rFonts w:ascii="Arial" w:cs="Arial" w:eastAsia="Arial" w:hAnsi="Arial"/>
                <w:sz w:val="23"/>
                <w:szCs w:val="23"/>
                <w:b w:val="1"/>
                <w:bCs w:val="1"/>
                <w:color w:val="000562"/>
                <w:w w:val="89"/>
                <w:vertAlign w:val="superscript"/>
              </w:rPr>
              <w:t>(3)</w:t>
            </w:r>
          </w:p>
        </w:tc>
        <w:tc>
          <w:tcPr>
            <w:tcW w:w="1340" w:type="dxa"/>
            <w:vAlign w:val="bottom"/>
            <w:tcBorders>
              <w:bottom w:val="single" w:sz="8" w:color="000562"/>
            </w:tcBorders>
          </w:tcPr>
          <w:p>
            <w:pPr>
              <w:jc w:val="center"/>
              <w:ind w:right="21"/>
              <w:spacing w:after="0" w:line="202" w:lineRule="exact"/>
              <w:rPr>
                <w:sz w:val="20"/>
                <w:szCs w:val="20"/>
                <w:color w:val="auto"/>
              </w:rPr>
            </w:pPr>
            <w:r>
              <w:rPr>
                <w:rFonts w:ascii="Arial" w:cs="Arial" w:eastAsia="Arial" w:hAnsi="Arial"/>
                <w:sz w:val="14"/>
                <w:szCs w:val="14"/>
                <w:b w:val="1"/>
                <w:bCs w:val="1"/>
                <w:color w:val="000562"/>
                <w:w w:val="89"/>
              </w:rPr>
              <w:t>($)</w:t>
            </w:r>
            <w:r>
              <w:rPr>
                <w:rFonts w:ascii="Arial" w:cs="Arial" w:eastAsia="Arial" w:hAnsi="Arial"/>
                <w:sz w:val="23"/>
                <w:szCs w:val="23"/>
                <w:b w:val="1"/>
                <w:bCs w:val="1"/>
                <w:color w:val="000562"/>
                <w:w w:val="89"/>
                <w:vertAlign w:val="superscript"/>
              </w:rPr>
              <w:t>(4)</w:t>
            </w:r>
          </w:p>
        </w:tc>
        <w:tc>
          <w:tcPr>
            <w:tcW w:w="960" w:type="dxa"/>
            <w:vAlign w:val="bottom"/>
            <w:tcBorders>
              <w:bottom w:val="single" w:sz="8" w:color="000562"/>
            </w:tcBorders>
          </w:tcPr>
          <w:p>
            <w:pPr>
              <w:jc w:val="right"/>
              <w:ind w:right="341"/>
              <w:spacing w:after="0"/>
              <w:rPr>
                <w:sz w:val="20"/>
                <w:szCs w:val="20"/>
                <w:color w:val="auto"/>
              </w:rPr>
            </w:pPr>
            <w:r>
              <w:rPr>
                <w:rFonts w:ascii="Arial" w:cs="Arial" w:eastAsia="Arial" w:hAnsi="Arial"/>
                <w:sz w:val="14"/>
                <w:szCs w:val="14"/>
                <w:b w:val="1"/>
                <w:bCs w:val="1"/>
                <w:color w:val="000562"/>
              </w:rPr>
              <w:t>($)</w:t>
            </w:r>
          </w:p>
        </w:tc>
      </w:tr>
      <w:tr>
        <w:trPr>
          <w:trHeight w:val="198"/>
        </w:trPr>
        <w:tc>
          <w:tcPr>
            <w:tcW w:w="2440" w:type="dxa"/>
            <w:vAlign w:val="bottom"/>
            <w:shd w:val="clear" w:color="auto" w:fill="E9EFEE"/>
          </w:tcPr>
          <w:p>
            <w:pPr>
              <w:ind w:left="20"/>
              <w:spacing w:after="0"/>
              <w:rPr>
                <w:sz w:val="20"/>
                <w:szCs w:val="20"/>
                <w:color w:val="auto"/>
              </w:rPr>
            </w:pPr>
            <w:r>
              <w:rPr>
                <w:rFonts w:ascii="Arial" w:cs="Arial" w:eastAsia="Arial" w:hAnsi="Arial"/>
                <w:sz w:val="16"/>
                <w:szCs w:val="16"/>
                <w:color w:val="auto"/>
              </w:rPr>
              <w:t>Thomas A. Amato,</w:t>
            </w:r>
          </w:p>
        </w:tc>
        <w:tc>
          <w:tcPr>
            <w:tcW w:w="560" w:type="dxa"/>
            <w:vAlign w:val="bottom"/>
            <w:shd w:val="clear" w:color="auto" w:fill="E9EFEE"/>
          </w:tcPr>
          <w:p>
            <w:pPr>
              <w:jc w:val="center"/>
              <w:spacing w:after="0"/>
              <w:rPr>
                <w:sz w:val="20"/>
                <w:szCs w:val="20"/>
                <w:color w:val="auto"/>
              </w:rPr>
            </w:pPr>
            <w:r>
              <w:rPr>
                <w:rFonts w:ascii="Arial" w:cs="Arial" w:eastAsia="Arial" w:hAnsi="Arial"/>
                <w:sz w:val="16"/>
                <w:szCs w:val="16"/>
                <w:color w:val="auto"/>
              </w:rPr>
              <w:t>2018</w:t>
            </w:r>
          </w:p>
        </w:tc>
        <w:tc>
          <w:tcPr>
            <w:tcW w:w="920" w:type="dxa"/>
            <w:vAlign w:val="bottom"/>
            <w:shd w:val="clear" w:color="auto" w:fill="E9EFEE"/>
          </w:tcPr>
          <w:p>
            <w:pPr>
              <w:jc w:val="right"/>
              <w:ind w:right="61"/>
              <w:spacing w:after="0"/>
              <w:rPr>
                <w:sz w:val="20"/>
                <w:szCs w:val="20"/>
                <w:color w:val="auto"/>
              </w:rPr>
            </w:pPr>
            <w:r>
              <w:rPr>
                <w:rFonts w:ascii="Arial" w:cs="Arial" w:eastAsia="Arial" w:hAnsi="Arial"/>
                <w:sz w:val="16"/>
                <w:szCs w:val="16"/>
                <w:color w:val="auto"/>
              </w:rPr>
              <w:t>637,500</w:t>
            </w:r>
          </w:p>
        </w:tc>
        <w:tc>
          <w:tcPr>
            <w:tcW w:w="1020" w:type="dxa"/>
            <w:vAlign w:val="bottom"/>
            <w:shd w:val="clear" w:color="auto" w:fill="E9EFEE"/>
          </w:tcPr>
          <w:p>
            <w:pPr>
              <w:jc w:val="right"/>
              <w:ind w:right="83"/>
              <w:spacing w:after="0"/>
              <w:rPr>
                <w:sz w:val="20"/>
                <w:szCs w:val="20"/>
                <w:color w:val="auto"/>
              </w:rPr>
            </w:pPr>
            <w:r>
              <w:rPr>
                <w:rFonts w:ascii="Arial" w:cs="Arial" w:eastAsia="Arial" w:hAnsi="Arial"/>
                <w:sz w:val="16"/>
                <w:szCs w:val="16"/>
                <w:color w:val="auto"/>
              </w:rPr>
              <w:t>2,638,354</w:t>
            </w:r>
          </w:p>
        </w:tc>
        <w:tc>
          <w:tcPr>
            <w:tcW w:w="980" w:type="dxa"/>
            <w:vAlign w:val="bottom"/>
            <w:shd w:val="clear" w:color="auto" w:fill="E9EFEE"/>
          </w:tcPr>
          <w:p>
            <w:pPr>
              <w:jc w:val="right"/>
              <w:ind w:right="41"/>
              <w:spacing w:after="0"/>
              <w:rPr>
                <w:sz w:val="20"/>
                <w:szCs w:val="20"/>
                <w:color w:val="auto"/>
              </w:rPr>
            </w:pPr>
            <w:r>
              <w:rPr>
                <w:rFonts w:ascii="Arial" w:cs="Arial" w:eastAsia="Arial" w:hAnsi="Arial"/>
                <w:sz w:val="16"/>
                <w:szCs w:val="16"/>
                <w:color w:val="auto"/>
              </w:rPr>
              <w:t>—</w:t>
            </w:r>
          </w:p>
        </w:tc>
        <w:tc>
          <w:tcPr>
            <w:tcW w:w="1340" w:type="dxa"/>
            <w:vAlign w:val="bottom"/>
            <w:shd w:val="clear" w:color="auto" w:fill="E9EFEE"/>
          </w:tcPr>
          <w:p>
            <w:pPr>
              <w:jc w:val="right"/>
              <w:ind w:right="62"/>
              <w:spacing w:after="0"/>
              <w:rPr>
                <w:sz w:val="20"/>
                <w:szCs w:val="20"/>
                <w:color w:val="auto"/>
              </w:rPr>
            </w:pPr>
            <w:r>
              <w:rPr>
                <w:rFonts w:ascii="Arial" w:cs="Arial" w:eastAsia="Arial" w:hAnsi="Arial"/>
                <w:sz w:val="16"/>
                <w:szCs w:val="16"/>
                <w:color w:val="auto"/>
              </w:rPr>
              <w:t>774,800</w:t>
            </w:r>
          </w:p>
        </w:tc>
        <w:tc>
          <w:tcPr>
            <w:tcW w:w="1340" w:type="dxa"/>
            <w:vAlign w:val="bottom"/>
            <w:shd w:val="clear" w:color="auto" w:fill="E9EFEE"/>
          </w:tcPr>
          <w:p>
            <w:pPr>
              <w:jc w:val="right"/>
              <w:ind w:right="81"/>
              <w:spacing w:after="0"/>
              <w:rPr>
                <w:sz w:val="20"/>
                <w:szCs w:val="20"/>
                <w:color w:val="auto"/>
              </w:rPr>
            </w:pPr>
            <w:r>
              <w:rPr>
                <w:rFonts w:ascii="Arial" w:cs="Arial" w:eastAsia="Arial" w:hAnsi="Arial"/>
                <w:sz w:val="16"/>
                <w:szCs w:val="16"/>
                <w:color w:val="auto"/>
              </w:rPr>
              <w:t>23,907</w:t>
            </w:r>
          </w:p>
        </w:tc>
        <w:tc>
          <w:tcPr>
            <w:tcW w:w="960" w:type="dxa"/>
            <w:vAlign w:val="bottom"/>
            <w:shd w:val="clear" w:color="auto" w:fill="E9EFEE"/>
          </w:tcPr>
          <w:p>
            <w:pPr>
              <w:jc w:val="right"/>
              <w:ind w:right="21"/>
              <w:spacing w:after="0"/>
              <w:rPr>
                <w:sz w:val="20"/>
                <w:szCs w:val="20"/>
                <w:color w:val="auto"/>
              </w:rPr>
            </w:pPr>
            <w:r>
              <w:rPr>
                <w:rFonts w:ascii="Arial" w:cs="Arial" w:eastAsia="Arial" w:hAnsi="Arial"/>
                <w:sz w:val="16"/>
                <w:szCs w:val="16"/>
                <w:color w:val="auto"/>
              </w:rPr>
              <w:t>4,074,561</w:t>
            </w:r>
          </w:p>
        </w:tc>
      </w:tr>
      <w:tr>
        <w:trPr>
          <w:trHeight w:val="222"/>
        </w:trPr>
        <w:tc>
          <w:tcPr>
            <w:tcW w:w="2440" w:type="dxa"/>
            <w:vAlign w:val="bottom"/>
            <w:shd w:val="clear" w:color="auto" w:fill="E9EFEE"/>
          </w:tcPr>
          <w:p>
            <w:pPr>
              <w:ind w:left="180"/>
              <w:spacing w:after="0"/>
              <w:rPr>
                <w:sz w:val="20"/>
                <w:szCs w:val="20"/>
                <w:color w:val="auto"/>
              </w:rPr>
            </w:pPr>
            <w:r>
              <w:rPr>
                <w:rFonts w:ascii="Arial" w:cs="Arial" w:eastAsia="Arial" w:hAnsi="Arial"/>
                <w:sz w:val="16"/>
                <w:szCs w:val="16"/>
                <w:color w:val="auto"/>
              </w:rPr>
              <w:t>President and CEO</w:t>
            </w:r>
          </w:p>
        </w:tc>
        <w:tc>
          <w:tcPr>
            <w:tcW w:w="560" w:type="dxa"/>
            <w:vAlign w:val="bottom"/>
            <w:shd w:val="clear" w:color="auto" w:fill="E9EFEE"/>
          </w:tcPr>
          <w:p>
            <w:pPr>
              <w:jc w:val="center"/>
              <w:spacing w:after="0"/>
              <w:rPr>
                <w:sz w:val="20"/>
                <w:szCs w:val="20"/>
                <w:color w:val="auto"/>
              </w:rPr>
            </w:pPr>
            <w:r>
              <w:rPr>
                <w:rFonts w:ascii="Arial" w:cs="Arial" w:eastAsia="Arial" w:hAnsi="Arial"/>
                <w:sz w:val="16"/>
                <w:szCs w:val="16"/>
                <w:color w:val="auto"/>
              </w:rPr>
              <w:t>2017</w:t>
            </w:r>
          </w:p>
        </w:tc>
        <w:tc>
          <w:tcPr>
            <w:tcW w:w="920" w:type="dxa"/>
            <w:vAlign w:val="bottom"/>
            <w:shd w:val="clear" w:color="auto" w:fill="E9EFEE"/>
          </w:tcPr>
          <w:p>
            <w:pPr>
              <w:jc w:val="right"/>
              <w:ind w:right="61"/>
              <w:spacing w:after="0"/>
              <w:rPr>
                <w:sz w:val="20"/>
                <w:szCs w:val="20"/>
                <w:color w:val="auto"/>
              </w:rPr>
            </w:pPr>
            <w:r>
              <w:rPr>
                <w:rFonts w:ascii="Arial" w:cs="Arial" w:eastAsia="Arial" w:hAnsi="Arial"/>
                <w:sz w:val="16"/>
                <w:szCs w:val="16"/>
                <w:color w:val="auto"/>
              </w:rPr>
              <w:t>625,000</w:t>
            </w:r>
          </w:p>
        </w:tc>
        <w:tc>
          <w:tcPr>
            <w:tcW w:w="1020" w:type="dxa"/>
            <w:vAlign w:val="bottom"/>
            <w:shd w:val="clear" w:color="auto" w:fill="E9EFEE"/>
          </w:tcPr>
          <w:p>
            <w:pPr>
              <w:jc w:val="right"/>
              <w:ind w:right="83"/>
              <w:spacing w:after="0"/>
              <w:rPr>
                <w:sz w:val="20"/>
                <w:szCs w:val="20"/>
                <w:color w:val="auto"/>
              </w:rPr>
            </w:pPr>
            <w:r>
              <w:rPr>
                <w:rFonts w:ascii="Arial" w:cs="Arial" w:eastAsia="Arial" w:hAnsi="Arial"/>
                <w:sz w:val="16"/>
                <w:szCs w:val="16"/>
                <w:color w:val="auto"/>
              </w:rPr>
              <w:t>2,141,936</w:t>
            </w:r>
          </w:p>
        </w:tc>
        <w:tc>
          <w:tcPr>
            <w:tcW w:w="980" w:type="dxa"/>
            <w:vAlign w:val="bottom"/>
            <w:shd w:val="clear" w:color="auto" w:fill="E9EFEE"/>
          </w:tcPr>
          <w:p>
            <w:pPr>
              <w:jc w:val="right"/>
              <w:ind w:right="41"/>
              <w:spacing w:after="0"/>
              <w:rPr>
                <w:sz w:val="20"/>
                <w:szCs w:val="20"/>
                <w:color w:val="auto"/>
              </w:rPr>
            </w:pPr>
            <w:r>
              <w:rPr>
                <w:rFonts w:ascii="Arial" w:cs="Arial" w:eastAsia="Arial" w:hAnsi="Arial"/>
                <w:sz w:val="16"/>
                <w:szCs w:val="16"/>
                <w:color w:val="auto"/>
              </w:rPr>
              <w:t>—</w:t>
            </w:r>
          </w:p>
        </w:tc>
        <w:tc>
          <w:tcPr>
            <w:tcW w:w="1340" w:type="dxa"/>
            <w:vAlign w:val="bottom"/>
            <w:shd w:val="clear" w:color="auto" w:fill="E9EFEE"/>
          </w:tcPr>
          <w:p>
            <w:pPr>
              <w:jc w:val="right"/>
              <w:ind w:right="62"/>
              <w:spacing w:after="0"/>
              <w:rPr>
                <w:sz w:val="20"/>
                <w:szCs w:val="20"/>
                <w:color w:val="auto"/>
              </w:rPr>
            </w:pPr>
            <w:r>
              <w:rPr>
                <w:rFonts w:ascii="Arial" w:cs="Arial" w:eastAsia="Arial" w:hAnsi="Arial"/>
                <w:sz w:val="16"/>
                <w:szCs w:val="16"/>
                <w:color w:val="auto"/>
              </w:rPr>
              <w:t>776,250</w:t>
            </w:r>
          </w:p>
        </w:tc>
        <w:tc>
          <w:tcPr>
            <w:tcW w:w="1340" w:type="dxa"/>
            <w:vAlign w:val="bottom"/>
            <w:shd w:val="clear" w:color="auto" w:fill="E9EFEE"/>
          </w:tcPr>
          <w:p>
            <w:pPr>
              <w:jc w:val="right"/>
              <w:ind w:right="81"/>
              <w:spacing w:after="0"/>
              <w:rPr>
                <w:sz w:val="20"/>
                <w:szCs w:val="20"/>
                <w:color w:val="auto"/>
              </w:rPr>
            </w:pPr>
            <w:r>
              <w:rPr>
                <w:rFonts w:ascii="Arial" w:cs="Arial" w:eastAsia="Arial" w:hAnsi="Arial"/>
                <w:sz w:val="16"/>
                <w:szCs w:val="16"/>
                <w:color w:val="auto"/>
              </w:rPr>
              <w:t>23,438</w:t>
            </w:r>
          </w:p>
        </w:tc>
        <w:tc>
          <w:tcPr>
            <w:tcW w:w="960" w:type="dxa"/>
            <w:vAlign w:val="bottom"/>
            <w:shd w:val="clear" w:color="auto" w:fill="E9EFEE"/>
          </w:tcPr>
          <w:p>
            <w:pPr>
              <w:jc w:val="right"/>
              <w:ind w:right="21"/>
              <w:spacing w:after="0"/>
              <w:rPr>
                <w:sz w:val="20"/>
                <w:szCs w:val="20"/>
                <w:color w:val="auto"/>
              </w:rPr>
            </w:pPr>
            <w:r>
              <w:rPr>
                <w:rFonts w:ascii="Arial" w:cs="Arial" w:eastAsia="Arial" w:hAnsi="Arial"/>
                <w:sz w:val="16"/>
                <w:szCs w:val="16"/>
                <w:color w:val="auto"/>
              </w:rPr>
              <w:t>3,566,624</w:t>
            </w:r>
          </w:p>
        </w:tc>
      </w:tr>
      <w:tr>
        <w:trPr>
          <w:trHeight w:val="222"/>
        </w:trPr>
        <w:tc>
          <w:tcPr>
            <w:tcW w:w="2440" w:type="dxa"/>
            <w:vAlign w:val="bottom"/>
            <w:shd w:val="clear" w:color="auto" w:fill="E9EFEE"/>
          </w:tcPr>
          <w:p>
            <w:pPr>
              <w:spacing w:after="0"/>
              <w:rPr>
                <w:sz w:val="19"/>
                <w:szCs w:val="19"/>
                <w:color w:val="auto"/>
              </w:rPr>
            </w:pPr>
          </w:p>
        </w:tc>
        <w:tc>
          <w:tcPr>
            <w:tcW w:w="560" w:type="dxa"/>
            <w:vAlign w:val="bottom"/>
            <w:shd w:val="clear" w:color="auto" w:fill="E9EFEE"/>
          </w:tcPr>
          <w:p>
            <w:pPr>
              <w:jc w:val="center"/>
              <w:spacing w:after="0"/>
              <w:rPr>
                <w:sz w:val="20"/>
                <w:szCs w:val="20"/>
                <w:color w:val="auto"/>
              </w:rPr>
            </w:pPr>
            <w:r>
              <w:rPr>
                <w:rFonts w:ascii="Arial" w:cs="Arial" w:eastAsia="Arial" w:hAnsi="Arial"/>
                <w:sz w:val="16"/>
                <w:szCs w:val="16"/>
                <w:color w:val="auto"/>
              </w:rPr>
              <w:t>2016</w:t>
            </w:r>
          </w:p>
        </w:tc>
        <w:tc>
          <w:tcPr>
            <w:tcW w:w="920" w:type="dxa"/>
            <w:vAlign w:val="bottom"/>
            <w:shd w:val="clear" w:color="auto" w:fill="E9EFEE"/>
          </w:tcPr>
          <w:p>
            <w:pPr>
              <w:jc w:val="right"/>
              <w:ind w:right="61"/>
              <w:spacing w:after="0"/>
              <w:rPr>
                <w:sz w:val="20"/>
                <w:szCs w:val="20"/>
                <w:color w:val="auto"/>
              </w:rPr>
            </w:pPr>
            <w:r>
              <w:rPr>
                <w:rFonts w:ascii="Arial" w:cs="Arial" w:eastAsia="Arial" w:hAnsi="Arial"/>
                <w:sz w:val="16"/>
                <w:szCs w:val="16"/>
                <w:color w:val="auto"/>
              </w:rPr>
              <w:t>257,212</w:t>
            </w:r>
          </w:p>
        </w:tc>
        <w:tc>
          <w:tcPr>
            <w:tcW w:w="1020" w:type="dxa"/>
            <w:vAlign w:val="bottom"/>
            <w:shd w:val="clear" w:color="auto" w:fill="E9EFEE"/>
          </w:tcPr>
          <w:p>
            <w:pPr>
              <w:jc w:val="right"/>
              <w:ind w:right="83"/>
              <w:spacing w:after="0"/>
              <w:rPr>
                <w:sz w:val="20"/>
                <w:szCs w:val="20"/>
                <w:color w:val="auto"/>
              </w:rPr>
            </w:pPr>
            <w:r>
              <w:rPr>
                <w:rFonts w:ascii="Arial" w:cs="Arial" w:eastAsia="Arial" w:hAnsi="Arial"/>
                <w:sz w:val="16"/>
                <w:szCs w:val="16"/>
                <w:color w:val="auto"/>
              </w:rPr>
              <w:t>—</w:t>
            </w:r>
          </w:p>
        </w:tc>
        <w:tc>
          <w:tcPr>
            <w:tcW w:w="980" w:type="dxa"/>
            <w:vAlign w:val="bottom"/>
            <w:shd w:val="clear" w:color="auto" w:fill="E9EFEE"/>
          </w:tcPr>
          <w:p>
            <w:pPr>
              <w:jc w:val="right"/>
              <w:ind w:right="41"/>
              <w:spacing w:after="0"/>
              <w:rPr>
                <w:sz w:val="20"/>
                <w:szCs w:val="20"/>
                <w:color w:val="auto"/>
              </w:rPr>
            </w:pPr>
            <w:r>
              <w:rPr>
                <w:rFonts w:ascii="Arial" w:cs="Arial" w:eastAsia="Arial" w:hAnsi="Arial"/>
                <w:sz w:val="16"/>
                <w:szCs w:val="16"/>
                <w:color w:val="auto"/>
              </w:rPr>
              <w:t>1,137,090</w:t>
            </w:r>
          </w:p>
        </w:tc>
        <w:tc>
          <w:tcPr>
            <w:tcW w:w="1340" w:type="dxa"/>
            <w:vAlign w:val="bottom"/>
            <w:shd w:val="clear" w:color="auto" w:fill="E9EFEE"/>
          </w:tcPr>
          <w:p>
            <w:pPr>
              <w:jc w:val="right"/>
              <w:ind w:right="62"/>
              <w:spacing w:after="0"/>
              <w:rPr>
                <w:sz w:val="20"/>
                <w:szCs w:val="20"/>
                <w:color w:val="auto"/>
              </w:rPr>
            </w:pPr>
            <w:r>
              <w:rPr>
                <w:rFonts w:ascii="Arial" w:cs="Arial" w:eastAsia="Arial" w:hAnsi="Arial"/>
                <w:sz w:val="16"/>
                <w:szCs w:val="16"/>
                <w:color w:val="auto"/>
              </w:rPr>
              <w:t>—</w:t>
            </w:r>
          </w:p>
        </w:tc>
        <w:tc>
          <w:tcPr>
            <w:tcW w:w="1340" w:type="dxa"/>
            <w:vAlign w:val="bottom"/>
            <w:shd w:val="clear" w:color="auto" w:fill="E9EFEE"/>
          </w:tcPr>
          <w:p>
            <w:pPr>
              <w:jc w:val="right"/>
              <w:ind w:right="81"/>
              <w:spacing w:after="0"/>
              <w:rPr>
                <w:sz w:val="20"/>
                <w:szCs w:val="20"/>
                <w:color w:val="auto"/>
              </w:rPr>
            </w:pPr>
            <w:r>
              <w:rPr>
                <w:rFonts w:ascii="Arial" w:cs="Arial" w:eastAsia="Arial" w:hAnsi="Arial"/>
                <w:sz w:val="16"/>
                <w:szCs w:val="16"/>
                <w:color w:val="auto"/>
              </w:rPr>
              <w:t>901</w:t>
            </w:r>
          </w:p>
        </w:tc>
        <w:tc>
          <w:tcPr>
            <w:tcW w:w="960" w:type="dxa"/>
            <w:vAlign w:val="bottom"/>
            <w:shd w:val="clear" w:color="auto" w:fill="E9EFEE"/>
          </w:tcPr>
          <w:p>
            <w:pPr>
              <w:jc w:val="right"/>
              <w:ind w:right="21"/>
              <w:spacing w:after="0"/>
              <w:rPr>
                <w:sz w:val="20"/>
                <w:szCs w:val="20"/>
                <w:color w:val="auto"/>
              </w:rPr>
            </w:pPr>
            <w:r>
              <w:rPr>
                <w:rFonts w:ascii="Arial" w:cs="Arial" w:eastAsia="Arial" w:hAnsi="Arial"/>
                <w:sz w:val="16"/>
                <w:szCs w:val="16"/>
                <w:color w:val="auto"/>
              </w:rPr>
              <w:t>1,395,203</w:t>
            </w:r>
          </w:p>
        </w:tc>
      </w:tr>
      <w:tr>
        <w:trPr>
          <w:trHeight w:val="216"/>
        </w:trPr>
        <w:tc>
          <w:tcPr>
            <w:tcW w:w="2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0"/>
        </w:trPr>
        <w:tc>
          <w:tcPr>
            <w:tcW w:w="2440" w:type="dxa"/>
            <w:vAlign w:val="bottom"/>
            <w:shd w:val="clear" w:color="auto" w:fill="E9EFEE"/>
          </w:tcPr>
          <w:p>
            <w:pPr>
              <w:ind w:left="20"/>
              <w:spacing w:after="0"/>
              <w:rPr>
                <w:sz w:val="20"/>
                <w:szCs w:val="20"/>
                <w:color w:val="auto"/>
              </w:rPr>
            </w:pPr>
            <w:r>
              <w:rPr>
                <w:rFonts w:ascii="Arial" w:cs="Arial" w:eastAsia="Arial" w:hAnsi="Arial"/>
                <w:sz w:val="16"/>
                <w:szCs w:val="16"/>
                <w:color w:val="auto"/>
              </w:rPr>
              <w:t>Robert J. Zalupski, CFO</w:t>
            </w:r>
          </w:p>
        </w:tc>
        <w:tc>
          <w:tcPr>
            <w:tcW w:w="560" w:type="dxa"/>
            <w:vAlign w:val="bottom"/>
            <w:shd w:val="clear" w:color="auto" w:fill="E9EFEE"/>
          </w:tcPr>
          <w:p>
            <w:pPr>
              <w:jc w:val="center"/>
              <w:spacing w:after="0"/>
              <w:rPr>
                <w:sz w:val="20"/>
                <w:szCs w:val="20"/>
                <w:color w:val="auto"/>
              </w:rPr>
            </w:pPr>
            <w:r>
              <w:rPr>
                <w:rFonts w:ascii="Arial" w:cs="Arial" w:eastAsia="Arial" w:hAnsi="Arial"/>
                <w:sz w:val="16"/>
                <w:szCs w:val="16"/>
                <w:color w:val="auto"/>
              </w:rPr>
              <w:t>2018</w:t>
            </w:r>
          </w:p>
        </w:tc>
        <w:tc>
          <w:tcPr>
            <w:tcW w:w="920" w:type="dxa"/>
            <w:vAlign w:val="bottom"/>
            <w:shd w:val="clear" w:color="auto" w:fill="E9EFEE"/>
          </w:tcPr>
          <w:p>
            <w:pPr>
              <w:jc w:val="right"/>
              <w:ind w:right="61"/>
              <w:spacing w:after="0"/>
              <w:rPr>
                <w:sz w:val="20"/>
                <w:szCs w:val="20"/>
                <w:color w:val="auto"/>
              </w:rPr>
            </w:pPr>
            <w:r>
              <w:rPr>
                <w:rFonts w:ascii="Arial" w:cs="Arial" w:eastAsia="Arial" w:hAnsi="Arial"/>
                <w:sz w:val="16"/>
                <w:szCs w:val="16"/>
                <w:color w:val="auto"/>
              </w:rPr>
              <w:t>416,500</w:t>
            </w:r>
          </w:p>
        </w:tc>
        <w:tc>
          <w:tcPr>
            <w:tcW w:w="1020" w:type="dxa"/>
            <w:vAlign w:val="bottom"/>
            <w:shd w:val="clear" w:color="auto" w:fill="E9EFEE"/>
          </w:tcPr>
          <w:p>
            <w:pPr>
              <w:jc w:val="right"/>
              <w:ind w:right="83"/>
              <w:spacing w:after="0"/>
              <w:rPr>
                <w:sz w:val="20"/>
                <w:szCs w:val="20"/>
                <w:color w:val="auto"/>
              </w:rPr>
            </w:pPr>
            <w:r>
              <w:rPr>
                <w:rFonts w:ascii="Arial" w:cs="Arial" w:eastAsia="Arial" w:hAnsi="Arial"/>
                <w:sz w:val="16"/>
                <w:szCs w:val="16"/>
                <w:color w:val="auto"/>
              </w:rPr>
              <w:t>769,521</w:t>
            </w:r>
          </w:p>
        </w:tc>
        <w:tc>
          <w:tcPr>
            <w:tcW w:w="980" w:type="dxa"/>
            <w:vAlign w:val="bottom"/>
            <w:shd w:val="clear" w:color="auto" w:fill="E9EFEE"/>
          </w:tcPr>
          <w:p>
            <w:pPr>
              <w:jc w:val="right"/>
              <w:ind w:right="41"/>
              <w:spacing w:after="0"/>
              <w:rPr>
                <w:sz w:val="20"/>
                <w:szCs w:val="20"/>
                <w:color w:val="auto"/>
              </w:rPr>
            </w:pPr>
            <w:r>
              <w:rPr>
                <w:rFonts w:ascii="Arial" w:cs="Arial" w:eastAsia="Arial" w:hAnsi="Arial"/>
                <w:sz w:val="16"/>
                <w:szCs w:val="16"/>
                <w:color w:val="auto"/>
              </w:rPr>
              <w:t>—</w:t>
            </w:r>
          </w:p>
        </w:tc>
        <w:tc>
          <w:tcPr>
            <w:tcW w:w="1340" w:type="dxa"/>
            <w:vAlign w:val="bottom"/>
            <w:shd w:val="clear" w:color="auto" w:fill="E9EFEE"/>
          </w:tcPr>
          <w:p>
            <w:pPr>
              <w:jc w:val="right"/>
              <w:ind w:right="62"/>
              <w:spacing w:after="0"/>
              <w:rPr>
                <w:sz w:val="20"/>
                <w:szCs w:val="20"/>
                <w:color w:val="auto"/>
              </w:rPr>
            </w:pPr>
            <w:r>
              <w:rPr>
                <w:rFonts w:ascii="Arial" w:cs="Arial" w:eastAsia="Arial" w:hAnsi="Arial"/>
                <w:sz w:val="16"/>
                <w:szCs w:val="16"/>
                <w:color w:val="auto"/>
              </w:rPr>
              <w:t>325,416</w:t>
            </w:r>
          </w:p>
        </w:tc>
        <w:tc>
          <w:tcPr>
            <w:tcW w:w="1340" w:type="dxa"/>
            <w:vAlign w:val="bottom"/>
            <w:shd w:val="clear" w:color="auto" w:fill="E9EFEE"/>
          </w:tcPr>
          <w:p>
            <w:pPr>
              <w:jc w:val="right"/>
              <w:ind w:right="81"/>
              <w:spacing w:after="0"/>
              <w:rPr>
                <w:sz w:val="20"/>
                <w:szCs w:val="20"/>
                <w:color w:val="auto"/>
              </w:rPr>
            </w:pPr>
            <w:r>
              <w:rPr>
                <w:rFonts w:ascii="Arial" w:cs="Arial" w:eastAsia="Arial" w:hAnsi="Arial"/>
                <w:sz w:val="16"/>
                <w:szCs w:val="16"/>
                <w:color w:val="auto"/>
              </w:rPr>
              <w:t>58,540</w:t>
            </w:r>
          </w:p>
        </w:tc>
        <w:tc>
          <w:tcPr>
            <w:tcW w:w="960" w:type="dxa"/>
            <w:vAlign w:val="bottom"/>
            <w:shd w:val="clear" w:color="auto" w:fill="E9EFEE"/>
          </w:tcPr>
          <w:p>
            <w:pPr>
              <w:jc w:val="right"/>
              <w:ind w:right="21"/>
              <w:spacing w:after="0"/>
              <w:rPr>
                <w:sz w:val="20"/>
                <w:szCs w:val="20"/>
                <w:color w:val="auto"/>
              </w:rPr>
            </w:pPr>
            <w:r>
              <w:rPr>
                <w:rFonts w:ascii="Arial" w:cs="Arial" w:eastAsia="Arial" w:hAnsi="Arial"/>
                <w:sz w:val="16"/>
                <w:szCs w:val="16"/>
                <w:color w:val="auto"/>
              </w:rPr>
              <w:t>1,569,977</w:t>
            </w:r>
          </w:p>
        </w:tc>
      </w:tr>
      <w:tr>
        <w:trPr>
          <w:trHeight w:val="216"/>
        </w:trPr>
        <w:tc>
          <w:tcPr>
            <w:tcW w:w="2440" w:type="dxa"/>
            <w:vAlign w:val="bottom"/>
            <w:shd w:val="clear" w:color="auto" w:fill="E9EFEE"/>
          </w:tcPr>
          <w:p>
            <w:pPr>
              <w:spacing w:after="0"/>
              <w:rPr>
                <w:sz w:val="18"/>
                <w:szCs w:val="18"/>
                <w:color w:val="auto"/>
              </w:rPr>
            </w:pPr>
          </w:p>
        </w:tc>
        <w:tc>
          <w:tcPr>
            <w:tcW w:w="560" w:type="dxa"/>
            <w:vAlign w:val="bottom"/>
            <w:shd w:val="clear" w:color="auto" w:fill="E9EFEE"/>
          </w:tcPr>
          <w:p>
            <w:pPr>
              <w:jc w:val="center"/>
              <w:spacing w:after="0"/>
              <w:rPr>
                <w:sz w:val="20"/>
                <w:szCs w:val="20"/>
                <w:color w:val="auto"/>
              </w:rPr>
            </w:pPr>
            <w:r>
              <w:rPr>
                <w:rFonts w:ascii="Arial" w:cs="Arial" w:eastAsia="Arial" w:hAnsi="Arial"/>
                <w:sz w:val="16"/>
                <w:szCs w:val="16"/>
                <w:color w:val="auto"/>
              </w:rPr>
              <w:t>2017</w:t>
            </w:r>
          </w:p>
        </w:tc>
        <w:tc>
          <w:tcPr>
            <w:tcW w:w="920" w:type="dxa"/>
            <w:vAlign w:val="bottom"/>
            <w:shd w:val="clear" w:color="auto" w:fill="E9EFEE"/>
          </w:tcPr>
          <w:p>
            <w:pPr>
              <w:jc w:val="right"/>
              <w:ind w:right="61"/>
              <w:spacing w:after="0"/>
              <w:rPr>
                <w:sz w:val="20"/>
                <w:szCs w:val="20"/>
                <w:color w:val="auto"/>
              </w:rPr>
            </w:pPr>
            <w:r>
              <w:rPr>
                <w:rFonts w:ascii="Arial" w:cs="Arial" w:eastAsia="Arial" w:hAnsi="Arial"/>
                <w:sz w:val="16"/>
                <w:szCs w:val="16"/>
                <w:color w:val="auto"/>
              </w:rPr>
              <w:t>413,000</w:t>
            </w:r>
          </w:p>
        </w:tc>
        <w:tc>
          <w:tcPr>
            <w:tcW w:w="1020" w:type="dxa"/>
            <w:vAlign w:val="bottom"/>
            <w:shd w:val="clear" w:color="auto" w:fill="E9EFEE"/>
          </w:tcPr>
          <w:p>
            <w:pPr>
              <w:jc w:val="right"/>
              <w:ind w:right="83"/>
              <w:spacing w:after="0"/>
              <w:rPr>
                <w:sz w:val="20"/>
                <w:szCs w:val="20"/>
                <w:color w:val="auto"/>
              </w:rPr>
            </w:pPr>
            <w:r>
              <w:rPr>
                <w:rFonts w:ascii="Arial" w:cs="Arial" w:eastAsia="Arial" w:hAnsi="Arial"/>
                <w:sz w:val="16"/>
                <w:szCs w:val="16"/>
                <w:color w:val="auto"/>
              </w:rPr>
              <w:t>749,695</w:t>
            </w:r>
          </w:p>
        </w:tc>
        <w:tc>
          <w:tcPr>
            <w:tcW w:w="980" w:type="dxa"/>
            <w:vAlign w:val="bottom"/>
            <w:shd w:val="clear" w:color="auto" w:fill="E9EFEE"/>
          </w:tcPr>
          <w:p>
            <w:pPr>
              <w:jc w:val="right"/>
              <w:ind w:right="41"/>
              <w:spacing w:after="0"/>
              <w:rPr>
                <w:sz w:val="20"/>
                <w:szCs w:val="20"/>
                <w:color w:val="auto"/>
              </w:rPr>
            </w:pPr>
            <w:r>
              <w:rPr>
                <w:rFonts w:ascii="Arial" w:cs="Arial" w:eastAsia="Arial" w:hAnsi="Arial"/>
                <w:sz w:val="16"/>
                <w:szCs w:val="16"/>
                <w:color w:val="auto"/>
              </w:rPr>
              <w:t>—</w:t>
            </w:r>
          </w:p>
        </w:tc>
        <w:tc>
          <w:tcPr>
            <w:tcW w:w="1340" w:type="dxa"/>
            <w:vAlign w:val="bottom"/>
            <w:shd w:val="clear" w:color="auto" w:fill="E9EFEE"/>
          </w:tcPr>
          <w:p>
            <w:pPr>
              <w:jc w:val="right"/>
              <w:ind w:right="62"/>
              <w:spacing w:after="0"/>
              <w:rPr>
                <w:sz w:val="20"/>
                <w:szCs w:val="20"/>
                <w:color w:val="auto"/>
              </w:rPr>
            </w:pPr>
            <w:r>
              <w:rPr>
                <w:rFonts w:ascii="Arial" w:cs="Arial" w:eastAsia="Arial" w:hAnsi="Arial"/>
                <w:sz w:val="16"/>
                <w:szCs w:val="16"/>
                <w:color w:val="auto"/>
              </w:rPr>
              <w:t>333,415</w:t>
            </w:r>
          </w:p>
        </w:tc>
        <w:tc>
          <w:tcPr>
            <w:tcW w:w="1340" w:type="dxa"/>
            <w:vAlign w:val="bottom"/>
            <w:shd w:val="clear" w:color="auto" w:fill="E9EFEE"/>
          </w:tcPr>
          <w:p>
            <w:pPr>
              <w:jc w:val="right"/>
              <w:ind w:right="81"/>
              <w:spacing w:after="0"/>
              <w:rPr>
                <w:sz w:val="20"/>
                <w:szCs w:val="20"/>
                <w:color w:val="auto"/>
              </w:rPr>
            </w:pPr>
            <w:r>
              <w:rPr>
                <w:rFonts w:ascii="Arial" w:cs="Arial" w:eastAsia="Arial" w:hAnsi="Arial"/>
                <w:sz w:val="16"/>
                <w:szCs w:val="16"/>
                <w:color w:val="auto"/>
              </w:rPr>
              <w:t>64,508</w:t>
            </w:r>
          </w:p>
        </w:tc>
        <w:tc>
          <w:tcPr>
            <w:tcW w:w="960" w:type="dxa"/>
            <w:vAlign w:val="bottom"/>
            <w:shd w:val="clear" w:color="auto" w:fill="E9EFEE"/>
          </w:tcPr>
          <w:p>
            <w:pPr>
              <w:jc w:val="right"/>
              <w:ind w:right="21"/>
              <w:spacing w:after="0"/>
              <w:rPr>
                <w:sz w:val="20"/>
                <w:szCs w:val="20"/>
                <w:color w:val="auto"/>
              </w:rPr>
            </w:pPr>
            <w:r>
              <w:rPr>
                <w:rFonts w:ascii="Arial" w:cs="Arial" w:eastAsia="Arial" w:hAnsi="Arial"/>
                <w:sz w:val="16"/>
                <w:szCs w:val="16"/>
                <w:color w:val="auto"/>
              </w:rPr>
              <w:t>1,560,618</w:t>
            </w:r>
          </w:p>
        </w:tc>
      </w:tr>
      <w:tr>
        <w:trPr>
          <w:trHeight w:val="222"/>
        </w:trPr>
        <w:tc>
          <w:tcPr>
            <w:tcW w:w="2440" w:type="dxa"/>
            <w:vAlign w:val="bottom"/>
            <w:shd w:val="clear" w:color="auto" w:fill="E9EFEE"/>
          </w:tcPr>
          <w:p>
            <w:pPr>
              <w:spacing w:after="0"/>
              <w:rPr>
                <w:sz w:val="19"/>
                <w:szCs w:val="19"/>
                <w:color w:val="auto"/>
              </w:rPr>
            </w:pPr>
          </w:p>
        </w:tc>
        <w:tc>
          <w:tcPr>
            <w:tcW w:w="560" w:type="dxa"/>
            <w:vAlign w:val="bottom"/>
            <w:shd w:val="clear" w:color="auto" w:fill="E9EFEE"/>
          </w:tcPr>
          <w:p>
            <w:pPr>
              <w:jc w:val="center"/>
              <w:spacing w:after="0"/>
              <w:rPr>
                <w:sz w:val="20"/>
                <w:szCs w:val="20"/>
                <w:color w:val="auto"/>
              </w:rPr>
            </w:pPr>
            <w:r>
              <w:rPr>
                <w:rFonts w:ascii="Arial" w:cs="Arial" w:eastAsia="Arial" w:hAnsi="Arial"/>
                <w:sz w:val="16"/>
                <w:szCs w:val="16"/>
                <w:color w:val="auto"/>
              </w:rPr>
              <w:t>2016</w:t>
            </w:r>
          </w:p>
        </w:tc>
        <w:tc>
          <w:tcPr>
            <w:tcW w:w="920" w:type="dxa"/>
            <w:vAlign w:val="bottom"/>
            <w:shd w:val="clear" w:color="auto" w:fill="E9EFEE"/>
          </w:tcPr>
          <w:p>
            <w:pPr>
              <w:jc w:val="right"/>
              <w:ind w:right="61"/>
              <w:spacing w:after="0"/>
              <w:rPr>
                <w:sz w:val="20"/>
                <w:szCs w:val="20"/>
                <w:color w:val="auto"/>
              </w:rPr>
            </w:pPr>
            <w:r>
              <w:rPr>
                <w:rFonts w:ascii="Arial" w:cs="Arial" w:eastAsia="Arial" w:hAnsi="Arial"/>
                <w:sz w:val="16"/>
                <w:szCs w:val="16"/>
                <w:color w:val="auto"/>
              </w:rPr>
              <w:t>407,154</w:t>
            </w:r>
          </w:p>
        </w:tc>
        <w:tc>
          <w:tcPr>
            <w:tcW w:w="1020" w:type="dxa"/>
            <w:vAlign w:val="bottom"/>
            <w:shd w:val="clear" w:color="auto" w:fill="E9EFEE"/>
          </w:tcPr>
          <w:p>
            <w:pPr>
              <w:jc w:val="right"/>
              <w:ind w:right="83"/>
              <w:spacing w:after="0"/>
              <w:rPr>
                <w:sz w:val="20"/>
                <w:szCs w:val="20"/>
                <w:color w:val="auto"/>
              </w:rPr>
            </w:pPr>
            <w:r>
              <w:rPr>
                <w:rFonts w:ascii="Arial" w:cs="Arial" w:eastAsia="Arial" w:hAnsi="Arial"/>
                <w:sz w:val="16"/>
                <w:szCs w:val="16"/>
                <w:color w:val="auto"/>
              </w:rPr>
              <w:t>778,953</w:t>
            </w:r>
          </w:p>
        </w:tc>
        <w:tc>
          <w:tcPr>
            <w:tcW w:w="980" w:type="dxa"/>
            <w:vAlign w:val="bottom"/>
            <w:shd w:val="clear" w:color="auto" w:fill="E9EFEE"/>
          </w:tcPr>
          <w:p>
            <w:pPr>
              <w:jc w:val="right"/>
              <w:ind w:right="41"/>
              <w:spacing w:after="0"/>
              <w:rPr>
                <w:sz w:val="20"/>
                <w:szCs w:val="20"/>
                <w:color w:val="auto"/>
              </w:rPr>
            </w:pPr>
            <w:r>
              <w:rPr>
                <w:rFonts w:ascii="Arial" w:cs="Arial" w:eastAsia="Arial" w:hAnsi="Arial"/>
                <w:sz w:val="16"/>
                <w:szCs w:val="16"/>
                <w:color w:val="auto"/>
              </w:rPr>
              <w:t>—</w:t>
            </w:r>
          </w:p>
        </w:tc>
        <w:tc>
          <w:tcPr>
            <w:tcW w:w="1340" w:type="dxa"/>
            <w:vAlign w:val="bottom"/>
            <w:shd w:val="clear" w:color="auto" w:fill="E9EFEE"/>
          </w:tcPr>
          <w:p>
            <w:pPr>
              <w:jc w:val="right"/>
              <w:ind w:right="62"/>
              <w:spacing w:after="0"/>
              <w:rPr>
                <w:sz w:val="20"/>
                <w:szCs w:val="20"/>
                <w:color w:val="auto"/>
              </w:rPr>
            </w:pPr>
            <w:r>
              <w:rPr>
                <w:rFonts w:ascii="Arial" w:cs="Arial" w:eastAsia="Arial" w:hAnsi="Arial"/>
                <w:sz w:val="16"/>
                <w:szCs w:val="16"/>
                <w:color w:val="auto"/>
              </w:rPr>
              <w:t>175,062</w:t>
            </w:r>
          </w:p>
        </w:tc>
        <w:tc>
          <w:tcPr>
            <w:tcW w:w="1340" w:type="dxa"/>
            <w:vAlign w:val="bottom"/>
            <w:shd w:val="clear" w:color="auto" w:fill="E9EFEE"/>
          </w:tcPr>
          <w:p>
            <w:pPr>
              <w:jc w:val="right"/>
              <w:ind w:right="81"/>
              <w:spacing w:after="0"/>
              <w:rPr>
                <w:sz w:val="20"/>
                <w:szCs w:val="20"/>
                <w:color w:val="auto"/>
              </w:rPr>
            </w:pPr>
            <w:r>
              <w:rPr>
                <w:rFonts w:ascii="Arial" w:cs="Arial" w:eastAsia="Arial" w:hAnsi="Arial"/>
                <w:sz w:val="16"/>
                <w:szCs w:val="16"/>
                <w:color w:val="auto"/>
              </w:rPr>
              <w:t>115,036</w:t>
            </w:r>
          </w:p>
        </w:tc>
        <w:tc>
          <w:tcPr>
            <w:tcW w:w="960" w:type="dxa"/>
            <w:vAlign w:val="bottom"/>
            <w:shd w:val="clear" w:color="auto" w:fill="E9EFEE"/>
          </w:tcPr>
          <w:p>
            <w:pPr>
              <w:jc w:val="right"/>
              <w:ind w:right="21"/>
              <w:spacing w:after="0"/>
              <w:rPr>
                <w:sz w:val="20"/>
                <w:szCs w:val="20"/>
                <w:color w:val="auto"/>
              </w:rPr>
            </w:pPr>
            <w:r>
              <w:rPr>
                <w:rFonts w:ascii="Arial" w:cs="Arial" w:eastAsia="Arial" w:hAnsi="Arial"/>
                <w:sz w:val="16"/>
                <w:szCs w:val="16"/>
                <w:color w:val="auto"/>
              </w:rPr>
              <w:t>1,476,205</w:t>
            </w:r>
          </w:p>
        </w:tc>
      </w:tr>
      <w:tr>
        <w:trPr>
          <w:trHeight w:val="216"/>
        </w:trPr>
        <w:tc>
          <w:tcPr>
            <w:tcW w:w="2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4"/>
        </w:trPr>
        <w:tc>
          <w:tcPr>
            <w:tcW w:w="2440" w:type="dxa"/>
            <w:vAlign w:val="bottom"/>
            <w:shd w:val="clear" w:color="auto" w:fill="E9EFEE"/>
          </w:tcPr>
          <w:p>
            <w:pPr>
              <w:ind w:left="20"/>
              <w:spacing w:after="0"/>
              <w:rPr>
                <w:sz w:val="20"/>
                <w:szCs w:val="20"/>
                <w:color w:val="auto"/>
              </w:rPr>
            </w:pPr>
            <w:r>
              <w:rPr>
                <w:rFonts w:ascii="Arial" w:cs="Arial" w:eastAsia="Arial" w:hAnsi="Arial"/>
                <w:sz w:val="16"/>
                <w:szCs w:val="16"/>
                <w:color w:val="auto"/>
              </w:rPr>
              <w:t>Joshua A. Sherbin, General</w:t>
            </w:r>
          </w:p>
        </w:tc>
        <w:tc>
          <w:tcPr>
            <w:tcW w:w="560" w:type="dxa"/>
            <w:vAlign w:val="bottom"/>
            <w:shd w:val="clear" w:color="auto" w:fill="E9EFEE"/>
          </w:tcPr>
          <w:p>
            <w:pPr>
              <w:jc w:val="center"/>
              <w:spacing w:after="0"/>
              <w:rPr>
                <w:sz w:val="20"/>
                <w:szCs w:val="20"/>
                <w:color w:val="auto"/>
              </w:rPr>
            </w:pPr>
            <w:r>
              <w:rPr>
                <w:rFonts w:ascii="Arial" w:cs="Arial" w:eastAsia="Arial" w:hAnsi="Arial"/>
                <w:sz w:val="16"/>
                <w:szCs w:val="16"/>
                <w:color w:val="auto"/>
              </w:rPr>
              <w:t>2018</w:t>
            </w:r>
          </w:p>
        </w:tc>
        <w:tc>
          <w:tcPr>
            <w:tcW w:w="920" w:type="dxa"/>
            <w:vAlign w:val="bottom"/>
            <w:shd w:val="clear" w:color="auto" w:fill="E9EFEE"/>
          </w:tcPr>
          <w:p>
            <w:pPr>
              <w:jc w:val="right"/>
              <w:ind w:right="61"/>
              <w:spacing w:after="0"/>
              <w:rPr>
                <w:sz w:val="20"/>
                <w:szCs w:val="20"/>
                <w:color w:val="auto"/>
              </w:rPr>
            </w:pPr>
            <w:r>
              <w:rPr>
                <w:rFonts w:ascii="Arial" w:cs="Arial" w:eastAsia="Arial" w:hAnsi="Arial"/>
                <w:sz w:val="16"/>
                <w:szCs w:val="16"/>
                <w:color w:val="auto"/>
              </w:rPr>
              <w:t>400,400</w:t>
            </w:r>
          </w:p>
        </w:tc>
        <w:tc>
          <w:tcPr>
            <w:tcW w:w="1020" w:type="dxa"/>
            <w:vAlign w:val="bottom"/>
            <w:shd w:val="clear" w:color="auto" w:fill="E9EFEE"/>
          </w:tcPr>
          <w:p>
            <w:pPr>
              <w:jc w:val="right"/>
              <w:ind w:right="83"/>
              <w:spacing w:after="0"/>
              <w:rPr>
                <w:sz w:val="20"/>
                <w:szCs w:val="20"/>
                <w:color w:val="auto"/>
              </w:rPr>
            </w:pPr>
            <w:r>
              <w:rPr>
                <w:rFonts w:ascii="Arial" w:cs="Arial" w:eastAsia="Arial" w:hAnsi="Arial"/>
                <w:sz w:val="16"/>
                <w:szCs w:val="16"/>
                <w:color w:val="auto"/>
              </w:rPr>
              <w:t>549,658</w:t>
            </w:r>
          </w:p>
        </w:tc>
        <w:tc>
          <w:tcPr>
            <w:tcW w:w="980" w:type="dxa"/>
            <w:vAlign w:val="bottom"/>
            <w:shd w:val="clear" w:color="auto" w:fill="E9EFEE"/>
          </w:tcPr>
          <w:p>
            <w:pPr>
              <w:jc w:val="right"/>
              <w:ind w:right="41"/>
              <w:spacing w:after="0"/>
              <w:rPr>
                <w:sz w:val="20"/>
                <w:szCs w:val="20"/>
                <w:color w:val="auto"/>
              </w:rPr>
            </w:pPr>
            <w:r>
              <w:rPr>
                <w:rFonts w:ascii="Arial" w:cs="Arial" w:eastAsia="Arial" w:hAnsi="Arial"/>
                <w:sz w:val="16"/>
                <w:szCs w:val="16"/>
                <w:color w:val="auto"/>
              </w:rPr>
              <w:t>—</w:t>
            </w:r>
          </w:p>
        </w:tc>
        <w:tc>
          <w:tcPr>
            <w:tcW w:w="1340" w:type="dxa"/>
            <w:vAlign w:val="bottom"/>
            <w:shd w:val="clear" w:color="auto" w:fill="E9EFEE"/>
          </w:tcPr>
          <w:p>
            <w:pPr>
              <w:jc w:val="right"/>
              <w:ind w:right="62"/>
              <w:spacing w:after="0"/>
              <w:rPr>
                <w:sz w:val="20"/>
                <w:szCs w:val="20"/>
                <w:color w:val="auto"/>
              </w:rPr>
            </w:pPr>
            <w:r>
              <w:rPr>
                <w:rFonts w:ascii="Arial" w:cs="Arial" w:eastAsia="Arial" w:hAnsi="Arial"/>
                <w:sz w:val="16"/>
                <w:szCs w:val="16"/>
                <w:color w:val="auto"/>
              </w:rPr>
              <w:t>286,366</w:t>
            </w:r>
          </w:p>
        </w:tc>
        <w:tc>
          <w:tcPr>
            <w:tcW w:w="1340" w:type="dxa"/>
            <w:vAlign w:val="bottom"/>
            <w:shd w:val="clear" w:color="auto" w:fill="E9EFEE"/>
          </w:tcPr>
          <w:p>
            <w:pPr>
              <w:jc w:val="right"/>
              <w:ind w:right="81"/>
              <w:spacing w:after="0"/>
              <w:rPr>
                <w:sz w:val="20"/>
                <w:szCs w:val="20"/>
                <w:color w:val="auto"/>
              </w:rPr>
            </w:pPr>
            <w:r>
              <w:rPr>
                <w:rFonts w:ascii="Arial" w:cs="Arial" w:eastAsia="Arial" w:hAnsi="Arial"/>
                <w:sz w:val="16"/>
                <w:szCs w:val="16"/>
                <w:color w:val="auto"/>
              </w:rPr>
              <w:t>56,032</w:t>
            </w:r>
          </w:p>
        </w:tc>
        <w:tc>
          <w:tcPr>
            <w:tcW w:w="960" w:type="dxa"/>
            <w:vAlign w:val="bottom"/>
            <w:shd w:val="clear" w:color="auto" w:fill="E9EFEE"/>
          </w:tcPr>
          <w:p>
            <w:pPr>
              <w:jc w:val="right"/>
              <w:ind w:right="21"/>
              <w:spacing w:after="0"/>
              <w:rPr>
                <w:sz w:val="20"/>
                <w:szCs w:val="20"/>
                <w:color w:val="auto"/>
              </w:rPr>
            </w:pPr>
            <w:r>
              <w:rPr>
                <w:rFonts w:ascii="Arial" w:cs="Arial" w:eastAsia="Arial" w:hAnsi="Arial"/>
                <w:sz w:val="16"/>
                <w:szCs w:val="16"/>
                <w:color w:val="auto"/>
              </w:rPr>
              <w:t>1,292,456</w:t>
            </w:r>
          </w:p>
        </w:tc>
      </w:tr>
      <w:tr>
        <w:trPr>
          <w:trHeight w:val="222"/>
        </w:trPr>
        <w:tc>
          <w:tcPr>
            <w:tcW w:w="2440" w:type="dxa"/>
            <w:vAlign w:val="bottom"/>
            <w:shd w:val="clear" w:color="auto" w:fill="E9EFEE"/>
          </w:tcPr>
          <w:p>
            <w:pPr>
              <w:ind w:left="180"/>
              <w:spacing w:after="0"/>
              <w:rPr>
                <w:sz w:val="20"/>
                <w:szCs w:val="20"/>
                <w:color w:val="auto"/>
              </w:rPr>
            </w:pPr>
            <w:r>
              <w:rPr>
                <w:rFonts w:ascii="Arial" w:cs="Arial" w:eastAsia="Arial" w:hAnsi="Arial"/>
                <w:sz w:val="16"/>
                <w:szCs w:val="16"/>
                <w:color w:val="auto"/>
              </w:rPr>
              <w:t>Counsel</w:t>
            </w:r>
          </w:p>
        </w:tc>
        <w:tc>
          <w:tcPr>
            <w:tcW w:w="560" w:type="dxa"/>
            <w:vAlign w:val="bottom"/>
            <w:shd w:val="clear" w:color="auto" w:fill="E9EFEE"/>
          </w:tcPr>
          <w:p>
            <w:pPr>
              <w:jc w:val="center"/>
              <w:spacing w:after="0"/>
              <w:rPr>
                <w:sz w:val="20"/>
                <w:szCs w:val="20"/>
                <w:color w:val="auto"/>
              </w:rPr>
            </w:pPr>
            <w:r>
              <w:rPr>
                <w:rFonts w:ascii="Arial" w:cs="Arial" w:eastAsia="Arial" w:hAnsi="Arial"/>
                <w:sz w:val="16"/>
                <w:szCs w:val="16"/>
                <w:color w:val="auto"/>
              </w:rPr>
              <w:t>2017</w:t>
            </w:r>
          </w:p>
        </w:tc>
        <w:tc>
          <w:tcPr>
            <w:tcW w:w="920" w:type="dxa"/>
            <w:vAlign w:val="bottom"/>
            <w:shd w:val="clear" w:color="auto" w:fill="E9EFEE"/>
          </w:tcPr>
          <w:p>
            <w:pPr>
              <w:jc w:val="right"/>
              <w:ind w:right="61"/>
              <w:spacing w:after="0"/>
              <w:rPr>
                <w:sz w:val="20"/>
                <w:szCs w:val="20"/>
                <w:color w:val="auto"/>
              </w:rPr>
            </w:pPr>
            <w:r>
              <w:rPr>
                <w:rFonts w:ascii="Arial" w:cs="Arial" w:eastAsia="Arial" w:hAnsi="Arial"/>
                <w:sz w:val="16"/>
                <w:szCs w:val="16"/>
                <w:color w:val="auto"/>
              </w:rPr>
              <w:t>400,400</w:t>
            </w:r>
          </w:p>
        </w:tc>
        <w:tc>
          <w:tcPr>
            <w:tcW w:w="1020" w:type="dxa"/>
            <w:vAlign w:val="bottom"/>
            <w:shd w:val="clear" w:color="auto" w:fill="E9EFEE"/>
          </w:tcPr>
          <w:p>
            <w:pPr>
              <w:jc w:val="right"/>
              <w:ind w:right="83"/>
              <w:spacing w:after="0"/>
              <w:rPr>
                <w:sz w:val="20"/>
                <w:szCs w:val="20"/>
                <w:color w:val="auto"/>
              </w:rPr>
            </w:pPr>
            <w:r>
              <w:rPr>
                <w:rFonts w:ascii="Arial" w:cs="Arial" w:eastAsia="Arial" w:hAnsi="Arial"/>
                <w:sz w:val="16"/>
                <w:szCs w:val="16"/>
                <w:color w:val="auto"/>
              </w:rPr>
              <w:t>642,596</w:t>
            </w:r>
          </w:p>
        </w:tc>
        <w:tc>
          <w:tcPr>
            <w:tcW w:w="980" w:type="dxa"/>
            <w:vAlign w:val="bottom"/>
            <w:shd w:val="clear" w:color="auto" w:fill="E9EFEE"/>
          </w:tcPr>
          <w:p>
            <w:pPr>
              <w:jc w:val="right"/>
              <w:ind w:right="41"/>
              <w:spacing w:after="0"/>
              <w:rPr>
                <w:sz w:val="20"/>
                <w:szCs w:val="20"/>
                <w:color w:val="auto"/>
              </w:rPr>
            </w:pPr>
            <w:r>
              <w:rPr>
                <w:rFonts w:ascii="Arial" w:cs="Arial" w:eastAsia="Arial" w:hAnsi="Arial"/>
                <w:sz w:val="16"/>
                <w:szCs w:val="16"/>
                <w:color w:val="auto"/>
              </w:rPr>
              <w:t>—</w:t>
            </w:r>
          </w:p>
        </w:tc>
        <w:tc>
          <w:tcPr>
            <w:tcW w:w="1340" w:type="dxa"/>
            <w:vAlign w:val="bottom"/>
            <w:shd w:val="clear" w:color="auto" w:fill="E9EFEE"/>
          </w:tcPr>
          <w:p>
            <w:pPr>
              <w:jc w:val="right"/>
              <w:ind w:right="62"/>
              <w:spacing w:after="0"/>
              <w:rPr>
                <w:sz w:val="20"/>
                <w:szCs w:val="20"/>
                <w:color w:val="auto"/>
              </w:rPr>
            </w:pPr>
            <w:r>
              <w:rPr>
                <w:rFonts w:ascii="Arial" w:cs="Arial" w:eastAsia="Arial" w:hAnsi="Arial"/>
                <w:sz w:val="16"/>
                <w:szCs w:val="16"/>
                <w:color w:val="auto"/>
              </w:rPr>
              <w:t>298,378</w:t>
            </w:r>
          </w:p>
        </w:tc>
        <w:tc>
          <w:tcPr>
            <w:tcW w:w="1340" w:type="dxa"/>
            <w:vAlign w:val="bottom"/>
            <w:shd w:val="clear" w:color="auto" w:fill="E9EFEE"/>
          </w:tcPr>
          <w:p>
            <w:pPr>
              <w:jc w:val="right"/>
              <w:ind w:right="81"/>
              <w:spacing w:after="0"/>
              <w:rPr>
                <w:sz w:val="20"/>
                <w:szCs w:val="20"/>
                <w:color w:val="auto"/>
              </w:rPr>
            </w:pPr>
            <w:r>
              <w:rPr>
                <w:rFonts w:ascii="Arial" w:cs="Arial" w:eastAsia="Arial" w:hAnsi="Arial"/>
                <w:sz w:val="16"/>
                <w:szCs w:val="16"/>
                <w:color w:val="auto"/>
              </w:rPr>
              <w:t>63,531</w:t>
            </w:r>
          </w:p>
        </w:tc>
        <w:tc>
          <w:tcPr>
            <w:tcW w:w="960" w:type="dxa"/>
            <w:vAlign w:val="bottom"/>
            <w:shd w:val="clear" w:color="auto" w:fill="E9EFEE"/>
          </w:tcPr>
          <w:p>
            <w:pPr>
              <w:jc w:val="right"/>
              <w:ind w:right="21"/>
              <w:spacing w:after="0"/>
              <w:rPr>
                <w:sz w:val="20"/>
                <w:szCs w:val="20"/>
                <w:color w:val="auto"/>
              </w:rPr>
            </w:pPr>
            <w:r>
              <w:rPr>
                <w:rFonts w:ascii="Arial" w:cs="Arial" w:eastAsia="Arial" w:hAnsi="Arial"/>
                <w:sz w:val="16"/>
                <w:szCs w:val="16"/>
                <w:color w:val="auto"/>
              </w:rPr>
              <w:t>1,404,905</w:t>
            </w:r>
          </w:p>
        </w:tc>
      </w:tr>
      <w:tr>
        <w:trPr>
          <w:trHeight w:val="219"/>
        </w:trPr>
        <w:tc>
          <w:tcPr>
            <w:tcW w:w="2440" w:type="dxa"/>
            <w:vAlign w:val="bottom"/>
            <w:tcBorders>
              <w:bottom w:val="single" w:sz="8" w:color="000562"/>
            </w:tcBorders>
            <w:shd w:val="clear" w:color="auto" w:fill="E9EFEE"/>
          </w:tcPr>
          <w:p>
            <w:pPr>
              <w:spacing w:after="0"/>
              <w:rPr>
                <w:sz w:val="19"/>
                <w:szCs w:val="19"/>
                <w:color w:val="auto"/>
              </w:rPr>
            </w:pPr>
          </w:p>
        </w:tc>
        <w:tc>
          <w:tcPr>
            <w:tcW w:w="560" w:type="dxa"/>
            <w:vAlign w:val="bottom"/>
            <w:tcBorders>
              <w:bottom w:val="single" w:sz="8" w:color="000562"/>
            </w:tcBorders>
            <w:shd w:val="clear" w:color="auto" w:fill="E9EFEE"/>
          </w:tcPr>
          <w:p>
            <w:pPr>
              <w:jc w:val="center"/>
              <w:spacing w:after="0"/>
              <w:rPr>
                <w:sz w:val="20"/>
                <w:szCs w:val="20"/>
                <w:color w:val="auto"/>
              </w:rPr>
            </w:pPr>
            <w:r>
              <w:rPr>
                <w:rFonts w:ascii="Arial" w:cs="Arial" w:eastAsia="Arial" w:hAnsi="Arial"/>
                <w:sz w:val="16"/>
                <w:szCs w:val="16"/>
                <w:color w:val="auto"/>
              </w:rPr>
              <w:t>2016</w:t>
            </w:r>
          </w:p>
        </w:tc>
        <w:tc>
          <w:tcPr>
            <w:tcW w:w="920" w:type="dxa"/>
            <w:vAlign w:val="bottom"/>
            <w:tcBorders>
              <w:bottom w:val="single" w:sz="8" w:color="000562"/>
            </w:tcBorders>
            <w:shd w:val="clear" w:color="auto" w:fill="E9EFEE"/>
          </w:tcPr>
          <w:p>
            <w:pPr>
              <w:jc w:val="right"/>
              <w:ind w:right="61"/>
              <w:spacing w:after="0"/>
              <w:rPr>
                <w:sz w:val="20"/>
                <w:szCs w:val="20"/>
                <w:color w:val="auto"/>
              </w:rPr>
            </w:pPr>
            <w:r>
              <w:rPr>
                <w:rFonts w:ascii="Arial" w:cs="Arial" w:eastAsia="Arial" w:hAnsi="Arial"/>
                <w:sz w:val="16"/>
                <w:szCs w:val="16"/>
                <w:color w:val="auto"/>
              </w:rPr>
              <w:t>400,400</w:t>
            </w:r>
          </w:p>
        </w:tc>
        <w:tc>
          <w:tcPr>
            <w:tcW w:w="1020" w:type="dxa"/>
            <w:vAlign w:val="bottom"/>
            <w:tcBorders>
              <w:bottom w:val="single" w:sz="8" w:color="000562"/>
            </w:tcBorders>
            <w:shd w:val="clear" w:color="auto" w:fill="E9EFEE"/>
          </w:tcPr>
          <w:p>
            <w:pPr>
              <w:jc w:val="right"/>
              <w:ind w:right="83"/>
              <w:spacing w:after="0"/>
              <w:rPr>
                <w:sz w:val="20"/>
                <w:szCs w:val="20"/>
                <w:color w:val="auto"/>
              </w:rPr>
            </w:pPr>
            <w:r>
              <w:rPr>
                <w:rFonts w:ascii="Arial" w:cs="Arial" w:eastAsia="Arial" w:hAnsi="Arial"/>
                <w:sz w:val="16"/>
                <w:szCs w:val="16"/>
                <w:color w:val="auto"/>
              </w:rPr>
              <w:t>666,257</w:t>
            </w:r>
          </w:p>
        </w:tc>
        <w:tc>
          <w:tcPr>
            <w:tcW w:w="980" w:type="dxa"/>
            <w:vAlign w:val="bottom"/>
            <w:tcBorders>
              <w:bottom w:val="single" w:sz="8" w:color="000562"/>
            </w:tcBorders>
            <w:shd w:val="clear" w:color="auto" w:fill="E9EFEE"/>
          </w:tcPr>
          <w:p>
            <w:pPr>
              <w:jc w:val="right"/>
              <w:ind w:right="4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000562"/>
            </w:tcBorders>
            <w:shd w:val="clear" w:color="auto" w:fill="E9EFEE"/>
          </w:tcPr>
          <w:p>
            <w:pPr>
              <w:jc w:val="right"/>
              <w:ind w:right="62"/>
              <w:spacing w:after="0"/>
              <w:rPr>
                <w:sz w:val="20"/>
                <w:szCs w:val="20"/>
                <w:color w:val="auto"/>
              </w:rPr>
            </w:pPr>
            <w:r>
              <w:rPr>
                <w:rFonts w:ascii="Arial" w:cs="Arial" w:eastAsia="Arial" w:hAnsi="Arial"/>
                <w:sz w:val="16"/>
                <w:szCs w:val="16"/>
                <w:color w:val="auto"/>
              </w:rPr>
              <w:t>156,676</w:t>
            </w:r>
          </w:p>
        </w:tc>
        <w:tc>
          <w:tcPr>
            <w:tcW w:w="1340" w:type="dxa"/>
            <w:vAlign w:val="bottom"/>
            <w:tcBorders>
              <w:bottom w:val="single" w:sz="8" w:color="000562"/>
            </w:tcBorders>
            <w:shd w:val="clear" w:color="auto" w:fill="E9EFEE"/>
          </w:tcPr>
          <w:p>
            <w:pPr>
              <w:jc w:val="right"/>
              <w:ind w:right="81"/>
              <w:spacing w:after="0"/>
              <w:rPr>
                <w:sz w:val="20"/>
                <w:szCs w:val="20"/>
                <w:color w:val="auto"/>
              </w:rPr>
            </w:pPr>
            <w:r>
              <w:rPr>
                <w:rFonts w:ascii="Arial" w:cs="Arial" w:eastAsia="Arial" w:hAnsi="Arial"/>
                <w:sz w:val="16"/>
                <w:szCs w:val="16"/>
                <w:color w:val="auto"/>
              </w:rPr>
              <w:t>152,311</w:t>
            </w:r>
          </w:p>
        </w:tc>
        <w:tc>
          <w:tcPr>
            <w:tcW w:w="960" w:type="dxa"/>
            <w:vAlign w:val="bottom"/>
            <w:tcBorders>
              <w:bottom w:val="single" w:sz="8" w:color="000562"/>
            </w:tcBorders>
            <w:shd w:val="clear" w:color="auto" w:fill="E9EFEE"/>
          </w:tcPr>
          <w:p>
            <w:pPr>
              <w:jc w:val="right"/>
              <w:ind w:right="21"/>
              <w:spacing w:after="0"/>
              <w:rPr>
                <w:sz w:val="20"/>
                <w:szCs w:val="20"/>
                <w:color w:val="auto"/>
              </w:rPr>
            </w:pPr>
            <w:r>
              <w:rPr>
                <w:rFonts w:ascii="Arial" w:cs="Arial" w:eastAsia="Arial" w:hAnsi="Arial"/>
                <w:sz w:val="16"/>
                <w:szCs w:val="16"/>
                <w:color w:val="auto"/>
              </w:rPr>
              <w:t>1,375,644</w:t>
            </w:r>
          </w:p>
        </w:tc>
      </w:tr>
    </w:tbl>
    <w:p>
      <w:pPr>
        <w:spacing w:after="0" w:line="113" w:lineRule="exact"/>
        <w:rPr>
          <w:sz w:val="20"/>
          <w:szCs w:val="20"/>
          <w:color w:val="auto"/>
        </w:rPr>
      </w:pPr>
    </w:p>
    <w:p>
      <w:pPr>
        <w:jc w:val="both"/>
        <w:ind w:left="400" w:hanging="353"/>
        <w:spacing w:after="0" w:line="244" w:lineRule="auto"/>
        <w:tabs>
          <w:tab w:leader="none" w:pos="4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All awards in this column relate to restricted stock units (including performance stock units) granted under the 2017 Equity and Incentive Compensation Plan or the Amended 2011 Plan that are calculated in accordance with FASB ASC, Topic 718, “Stock Compensation.” This column includes the value of performance stock units based on the targeted attainment levels, which represents the probable outcome of the performance condition on the date of grant. The 2017 and 2016 amounts (as applicable) have been revised from the values included in the Company’s 2018 proxy statement to properly reflect the ASC 718 grant date fair values by the following increased amounts, respectively: Mr. Amato, $141,902; Mr. Zalupski, $49,667 and $76,751; and Mr. Sherbin, $42,572 and $65,647.</w:t>
      </w:r>
    </w:p>
    <w:p>
      <w:pPr>
        <w:spacing w:after="0" w:line="98" w:lineRule="exact"/>
        <w:rPr>
          <w:rFonts w:ascii="Arial" w:cs="Arial" w:eastAsia="Arial" w:hAnsi="Arial"/>
          <w:sz w:val="14"/>
          <w:szCs w:val="14"/>
          <w:color w:val="auto"/>
        </w:rPr>
      </w:pPr>
    </w:p>
    <w:p>
      <w:pPr>
        <w:jc w:val="both"/>
        <w:ind w:left="400" w:hanging="353"/>
        <w:spacing w:after="0" w:line="245" w:lineRule="auto"/>
        <w:tabs>
          <w:tab w:leader="none" w:pos="4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On May 1, 2018, each NEO received time-based restricted stock units that generally vest ratably over a three-year period. In addition, each NEO received a performance-based award which generally cliff-vests after three years and is subject to RTSR and EPS CAGR achievement over the performance period. Maximum fair values for all performance-based awards granted in 2018 were $2,038,360 for Mr. Amato, $594,522 for Mr. Zalupski and $424,659 for Mr. Sherbin. Attainment of the performance-based awards can vary from zero percent if the lowest milestone is not attained to a maximum of 200% of the target award.</w:t>
      </w:r>
    </w:p>
    <w:p>
      <w:pPr>
        <w:spacing w:after="0" w:line="96" w:lineRule="exact"/>
        <w:rPr>
          <w:rFonts w:ascii="Arial" w:cs="Arial" w:eastAsia="Arial" w:hAnsi="Arial"/>
          <w:sz w:val="14"/>
          <w:szCs w:val="14"/>
          <w:color w:val="auto"/>
        </w:rPr>
      </w:pPr>
    </w:p>
    <w:p>
      <w:pPr>
        <w:jc w:val="both"/>
        <w:ind w:left="400" w:hanging="353"/>
        <w:spacing w:after="0" w:line="250" w:lineRule="auto"/>
        <w:tabs>
          <w:tab w:leader="none" w:pos="4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STI payments are made in the year subsequent to which they were earned. Amounts earned under the 2018 STI were approved by the Committee on February 21, 2019 and paid in cash. For additional information about STI awards, please refer to the “Grants of Plan-Based Awards in 2018” table.</w:t>
      </w:r>
    </w:p>
    <w:p>
      <w:pPr>
        <w:spacing w:after="0" w:line="91" w:lineRule="exact"/>
        <w:rPr>
          <w:rFonts w:ascii="Arial" w:cs="Arial" w:eastAsia="Arial" w:hAnsi="Arial"/>
          <w:sz w:val="14"/>
          <w:szCs w:val="14"/>
          <w:color w:val="auto"/>
        </w:rPr>
      </w:pPr>
    </w:p>
    <w:p>
      <w:pPr>
        <w:jc w:val="both"/>
        <w:ind w:left="400" w:hanging="353"/>
        <w:spacing w:after="0" w:line="248" w:lineRule="auto"/>
        <w:tabs>
          <w:tab w:leader="none" w:pos="4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For 2018, includes perquisite allowance and Company contributions to retirement and 401(k) plans. Specifically, in 2018, Messrs. Zalupski and Sherbin each received a perquisite allowance of $25,000. Company contributions during 2018 into the retirement and 401(k) plans were $23,907 for Mr. Amato, $32,279 for Mr. Zalupski and $31,032 for Mr. Sherbin. See “Compensation Components-Benefit and Retirement Programs.”</w:t>
      </w:r>
    </w:p>
    <w:p>
      <w:pPr>
        <w:spacing w:after="0" w:line="342" w:lineRule="exact"/>
        <w:rPr>
          <w:sz w:val="20"/>
          <w:szCs w:val="20"/>
          <w:color w:val="auto"/>
        </w:rPr>
      </w:pPr>
    </w:p>
    <w:p>
      <w:pPr>
        <w:ind w:left="7140"/>
        <w:spacing w:after="0"/>
        <w:tabs>
          <w:tab w:leader="none" w:pos="9040" w:val="left"/>
          <w:tab w:leader="none" w:pos="9340" w:val="left"/>
        </w:tabs>
        <w:rPr>
          <w:sz w:val="20"/>
          <w:szCs w:val="20"/>
          <w:color w:val="auto"/>
        </w:rPr>
      </w:pPr>
      <w:r>
        <w:rPr>
          <w:rFonts w:ascii="Arial" w:cs="Arial" w:eastAsia="Arial" w:hAnsi="Arial"/>
          <w:sz w:val="18"/>
          <w:szCs w:val="18"/>
          <w:i w:val="1"/>
          <w:iCs w:val="1"/>
          <w:color w:val="auto"/>
        </w:rPr>
        <w:t>2019 Proxy Statement</w:t>
      </w:r>
      <w:r>
        <w:rPr>
          <w:sz w:val="20"/>
          <w:szCs w:val="20"/>
          <w:color w:val="auto"/>
        </w:rPr>
        <w:tab/>
      </w:r>
      <w:r>
        <w:rPr>
          <w:rFonts w:ascii="Arial" w:cs="Arial" w:eastAsia="Arial" w:hAnsi="Arial"/>
          <w:sz w:val="22"/>
          <w:szCs w:val="22"/>
          <w:b w:val="1"/>
          <w:bCs w:val="1"/>
          <w:color w:val="000562"/>
        </w:rPr>
        <w:t>I</w:t>
      </w:r>
      <w:r>
        <w:rPr>
          <w:sz w:val="20"/>
          <w:szCs w:val="20"/>
          <w:color w:val="auto"/>
        </w:rPr>
        <w:tab/>
      </w:r>
      <w:r>
        <w:rPr>
          <w:rFonts w:ascii="Arial" w:cs="Arial" w:eastAsia="Arial" w:hAnsi="Arial"/>
          <w:sz w:val="17"/>
          <w:szCs w:val="17"/>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071870" cy="431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000562"/>
        </w:rPr>
        <w:t>TriMas Corporation</w:t>
      </w:r>
    </w:p>
    <w:p>
      <w:pPr>
        <w:spacing w:after="0" w:line="1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Grants of Plan-Based Awards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0718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the plan-based awards granted to the NEOs in 2018:</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000562"/>
                <w:w w:val="98"/>
              </w:rPr>
              <w:t>All Other</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000562"/>
                <w:w w:val="95"/>
              </w:rPr>
              <w:t>Stock</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000562"/>
                <w:w w:val="96"/>
              </w:rPr>
              <w:t>Estimated Possible Payouts</w:t>
            </w:r>
          </w:p>
        </w:tc>
        <w:tc>
          <w:tcPr>
            <w:tcW w:w="100" w:type="dxa"/>
            <w:vAlign w:val="bottom"/>
          </w:tcPr>
          <w:p>
            <w:pPr>
              <w:spacing w:after="0"/>
              <w:rPr>
                <w:sz w:val="11"/>
                <w:szCs w:val="11"/>
                <w:color w:val="auto"/>
              </w:rPr>
            </w:pPr>
          </w:p>
        </w:tc>
        <w:tc>
          <w:tcPr>
            <w:tcW w:w="22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000562"/>
                <w:w w:val="96"/>
              </w:rPr>
              <w:t>Estimated Future Payouts</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000562"/>
                <w:w w:val="97"/>
              </w:rPr>
              <w:t>Awards:</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000562"/>
                <w:w w:val="96"/>
              </w:rPr>
              <w:t>Grant Date</w:t>
            </w:r>
          </w:p>
        </w:tc>
        <w:tc>
          <w:tcPr>
            <w:tcW w:w="0" w:type="dxa"/>
            <w:vAlign w:val="bottom"/>
          </w:tcPr>
          <w:p>
            <w:pPr>
              <w:spacing w:after="0"/>
              <w:rPr>
                <w:sz w:val="1"/>
                <w:szCs w:val="1"/>
                <w:color w:val="auto"/>
              </w:rPr>
            </w:pPr>
          </w:p>
        </w:tc>
      </w:tr>
      <w:tr>
        <w:trPr>
          <w:trHeight w:val="130"/>
        </w:trPr>
        <w:tc>
          <w:tcPr>
            <w:tcW w:w="8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gridSpan w:val="3"/>
            <w:vMerge w:val="continue"/>
          </w:tcPr>
          <w:p>
            <w:pPr>
              <w:spacing w:after="0"/>
              <w:rPr>
                <w:sz w:val="11"/>
                <w:szCs w:val="11"/>
                <w:color w:val="auto"/>
              </w:rPr>
            </w:pPr>
          </w:p>
        </w:tc>
        <w:tc>
          <w:tcPr>
            <w:tcW w:w="780" w:type="dxa"/>
            <w:vAlign w:val="bottom"/>
          </w:tcPr>
          <w:p>
            <w:pPr>
              <w:jc w:val="center"/>
              <w:spacing w:after="0" w:line="130" w:lineRule="exact"/>
              <w:rPr>
                <w:sz w:val="20"/>
                <w:szCs w:val="20"/>
                <w:color w:val="auto"/>
              </w:rPr>
            </w:pPr>
            <w:r>
              <w:rPr>
                <w:rFonts w:ascii="Arial" w:cs="Arial" w:eastAsia="Arial" w:hAnsi="Arial"/>
                <w:sz w:val="13"/>
                <w:szCs w:val="13"/>
                <w:b w:val="1"/>
                <w:bCs w:val="1"/>
                <w:color w:val="000562"/>
                <w:w w:val="95"/>
              </w:rPr>
              <w:t>Number of</w:t>
            </w:r>
          </w:p>
        </w:tc>
        <w:tc>
          <w:tcPr>
            <w:tcW w:w="900" w:type="dxa"/>
            <w:vAlign w:val="bottom"/>
          </w:tcPr>
          <w:p>
            <w:pPr>
              <w:jc w:val="center"/>
              <w:spacing w:after="0" w:line="130" w:lineRule="exact"/>
              <w:rPr>
                <w:sz w:val="20"/>
                <w:szCs w:val="20"/>
                <w:color w:val="auto"/>
              </w:rPr>
            </w:pPr>
            <w:r>
              <w:rPr>
                <w:rFonts w:ascii="Arial" w:cs="Arial" w:eastAsia="Arial" w:hAnsi="Arial"/>
                <w:sz w:val="13"/>
                <w:szCs w:val="13"/>
                <w:b w:val="1"/>
                <w:bCs w:val="1"/>
                <w:color w:val="000562"/>
                <w:w w:val="96"/>
              </w:rPr>
              <w:t>Fair Value</w:t>
            </w: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00" w:type="dxa"/>
            <w:vAlign w:val="bottom"/>
            <w:gridSpan w:val="2"/>
          </w:tcPr>
          <w:p>
            <w:pPr>
              <w:jc w:val="center"/>
              <w:ind w:right="550"/>
              <w:spacing w:after="0" w:line="135" w:lineRule="exact"/>
              <w:rPr>
                <w:sz w:val="20"/>
                <w:szCs w:val="20"/>
                <w:color w:val="auto"/>
              </w:rPr>
            </w:pPr>
            <w:r>
              <w:rPr>
                <w:rFonts w:ascii="Arial" w:cs="Arial" w:eastAsia="Arial" w:hAnsi="Arial"/>
                <w:sz w:val="13"/>
                <w:szCs w:val="13"/>
                <w:b w:val="1"/>
                <w:bCs w:val="1"/>
                <w:color w:val="000562"/>
                <w:w w:val="97"/>
              </w:rPr>
              <w:t>Under Non-Equity</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000562"/>
                <w:w w:val="96"/>
              </w:rPr>
              <w:t>Under Equity</w:t>
            </w:r>
          </w:p>
        </w:tc>
        <w:tc>
          <w:tcPr>
            <w:tcW w:w="7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000562"/>
                <w:w w:val="97"/>
              </w:rPr>
              <w:t>Shares of</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000562"/>
                <w:w w:val="97"/>
              </w:rPr>
              <w:t>of Stock</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tcBorders>
              <w:bottom w:val="single" w:sz="8" w:color="000562"/>
            </w:tcBorders>
            <w:gridSpan w:val="3"/>
          </w:tcPr>
          <w:p>
            <w:pPr>
              <w:jc w:val="center"/>
              <w:spacing w:after="0" w:line="88" w:lineRule="exact"/>
              <w:rPr>
                <w:sz w:val="20"/>
                <w:szCs w:val="20"/>
                <w:color w:val="auto"/>
              </w:rPr>
            </w:pPr>
            <w:r>
              <w:rPr>
                <w:rFonts w:ascii="Arial" w:cs="Arial" w:eastAsia="Arial" w:hAnsi="Arial"/>
                <w:sz w:val="9"/>
                <w:szCs w:val="9"/>
                <w:b w:val="1"/>
                <w:bCs w:val="1"/>
                <w:color w:val="000562"/>
              </w:rPr>
              <w:t>Incentive Plan Awards</w:t>
            </w:r>
          </w:p>
        </w:tc>
        <w:tc>
          <w:tcPr>
            <w:tcW w:w="100" w:type="dxa"/>
            <w:vAlign w:val="bottom"/>
            <w:vMerge w:val="restart"/>
          </w:tcPr>
          <w:p>
            <w:pPr>
              <w:spacing w:after="0"/>
              <w:rPr>
                <w:sz w:val="9"/>
                <w:szCs w:val="9"/>
                <w:color w:val="auto"/>
              </w:rPr>
            </w:pPr>
          </w:p>
        </w:tc>
        <w:tc>
          <w:tcPr>
            <w:tcW w:w="2200" w:type="dxa"/>
            <w:vAlign w:val="bottom"/>
            <w:gridSpan w:val="3"/>
            <w:vMerge w:val="restart"/>
          </w:tcPr>
          <w:p>
            <w:pPr>
              <w:jc w:val="center"/>
              <w:spacing w:after="0" w:line="115" w:lineRule="exact"/>
              <w:rPr>
                <w:sz w:val="20"/>
                <w:szCs w:val="20"/>
                <w:color w:val="auto"/>
              </w:rPr>
            </w:pPr>
            <w:r>
              <w:rPr>
                <w:rFonts w:ascii="Arial" w:cs="Arial" w:eastAsia="Arial" w:hAnsi="Arial"/>
                <w:sz w:val="13"/>
                <w:szCs w:val="13"/>
                <w:b w:val="1"/>
                <w:bCs w:val="1"/>
                <w:color w:val="000562"/>
                <w:w w:val="97"/>
              </w:rPr>
              <w:t>Incentive Plan Awards</w:t>
            </w:r>
          </w:p>
        </w:tc>
        <w:tc>
          <w:tcPr>
            <w:tcW w:w="780" w:type="dxa"/>
            <w:vAlign w:val="bottom"/>
            <w:vMerge w:val="restart"/>
          </w:tcPr>
          <w:p>
            <w:pPr>
              <w:jc w:val="center"/>
              <w:spacing w:after="0" w:line="115" w:lineRule="exact"/>
              <w:rPr>
                <w:sz w:val="20"/>
                <w:szCs w:val="20"/>
                <w:color w:val="auto"/>
              </w:rPr>
            </w:pPr>
            <w:r>
              <w:rPr>
                <w:rFonts w:ascii="Arial" w:cs="Arial" w:eastAsia="Arial" w:hAnsi="Arial"/>
                <w:sz w:val="13"/>
                <w:szCs w:val="13"/>
                <w:b w:val="1"/>
                <w:bCs w:val="1"/>
                <w:color w:val="000562"/>
                <w:w w:val="96"/>
              </w:rPr>
              <w:t>Stock or</w:t>
            </w:r>
          </w:p>
        </w:tc>
        <w:tc>
          <w:tcPr>
            <w:tcW w:w="900" w:type="dxa"/>
            <w:vAlign w:val="bottom"/>
            <w:vMerge w:val="restart"/>
          </w:tcPr>
          <w:p>
            <w:pPr>
              <w:jc w:val="center"/>
              <w:spacing w:after="0" w:line="115" w:lineRule="exact"/>
              <w:rPr>
                <w:sz w:val="20"/>
                <w:szCs w:val="20"/>
                <w:color w:val="auto"/>
              </w:rPr>
            </w:pPr>
            <w:r>
              <w:rPr>
                <w:rFonts w:ascii="Arial" w:cs="Arial" w:eastAsia="Arial" w:hAnsi="Arial"/>
                <w:sz w:val="13"/>
                <w:szCs w:val="13"/>
                <w:b w:val="1"/>
                <w:bCs w:val="1"/>
                <w:color w:val="000562"/>
                <w:w w:val="99"/>
              </w:rPr>
              <w:t>and Option</w:t>
            </w:r>
          </w:p>
        </w:tc>
        <w:tc>
          <w:tcPr>
            <w:tcW w:w="0" w:type="dxa"/>
            <w:vAlign w:val="bottom"/>
          </w:tcPr>
          <w:p>
            <w:pPr>
              <w:spacing w:after="0"/>
              <w:rPr>
                <w:sz w:val="1"/>
                <w:szCs w:val="1"/>
                <w:color w:val="auto"/>
              </w:rPr>
            </w:pPr>
          </w:p>
        </w:tc>
      </w:tr>
      <w:tr>
        <w:trPr>
          <w:trHeight w:val="25"/>
        </w:trPr>
        <w:tc>
          <w:tcPr>
            <w:tcW w:w="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200" w:type="dxa"/>
            <w:vAlign w:val="bottom"/>
            <w:tcBorders>
              <w:bottom w:val="single" w:sz="8" w:color="000562"/>
            </w:tcBorders>
            <w:gridSpan w:val="3"/>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gridSpan w:val="2"/>
          </w:tcPr>
          <w:p>
            <w:pPr>
              <w:jc w:val="right"/>
              <w:spacing w:after="0" w:line="107" w:lineRule="exact"/>
              <w:rPr>
                <w:sz w:val="20"/>
                <w:szCs w:val="20"/>
                <w:color w:val="auto"/>
              </w:rPr>
            </w:pPr>
            <w:r>
              <w:rPr>
                <w:rFonts w:ascii="Arial" w:cs="Arial" w:eastAsia="Arial" w:hAnsi="Arial"/>
                <w:sz w:val="12"/>
                <w:szCs w:val="12"/>
                <w:b w:val="1"/>
                <w:bCs w:val="1"/>
                <w:color w:val="000562"/>
              </w:rPr>
              <w:t>Threshold</w:t>
            </w:r>
          </w:p>
        </w:tc>
        <w:tc>
          <w:tcPr>
            <w:tcW w:w="900" w:type="dxa"/>
            <w:vAlign w:val="bottom"/>
          </w:tcPr>
          <w:p>
            <w:pPr>
              <w:jc w:val="right"/>
              <w:ind w:right="171"/>
              <w:spacing w:after="0" w:line="107" w:lineRule="exact"/>
              <w:rPr>
                <w:sz w:val="20"/>
                <w:szCs w:val="20"/>
                <w:color w:val="auto"/>
              </w:rPr>
            </w:pPr>
            <w:r>
              <w:rPr>
                <w:rFonts w:ascii="Arial" w:cs="Arial" w:eastAsia="Arial" w:hAnsi="Arial"/>
                <w:sz w:val="12"/>
                <w:szCs w:val="12"/>
                <w:b w:val="1"/>
                <w:bCs w:val="1"/>
                <w:color w:val="000562"/>
              </w:rPr>
              <w:t>Target</w:t>
            </w:r>
          </w:p>
        </w:tc>
        <w:tc>
          <w:tcPr>
            <w:tcW w:w="800" w:type="dxa"/>
            <w:vAlign w:val="bottom"/>
          </w:tcPr>
          <w:p>
            <w:pPr>
              <w:jc w:val="right"/>
              <w:ind w:right="10"/>
              <w:spacing w:after="0" w:line="107" w:lineRule="exact"/>
              <w:rPr>
                <w:sz w:val="20"/>
                <w:szCs w:val="20"/>
                <w:color w:val="auto"/>
              </w:rPr>
            </w:pPr>
            <w:r>
              <w:rPr>
                <w:rFonts w:ascii="Arial" w:cs="Arial" w:eastAsia="Arial" w:hAnsi="Arial"/>
                <w:sz w:val="12"/>
                <w:szCs w:val="12"/>
                <w:b w:val="1"/>
                <w:bCs w:val="1"/>
                <w:color w:val="000562"/>
              </w:rPr>
              <w:t>Maximum</w:t>
            </w:r>
          </w:p>
        </w:tc>
        <w:tc>
          <w:tcPr>
            <w:tcW w:w="100" w:type="dxa"/>
            <w:vAlign w:val="bottom"/>
          </w:tcPr>
          <w:p>
            <w:pPr>
              <w:spacing w:after="0"/>
              <w:rPr>
                <w:sz w:val="9"/>
                <w:szCs w:val="9"/>
                <w:color w:val="auto"/>
              </w:rPr>
            </w:pPr>
          </w:p>
        </w:tc>
        <w:tc>
          <w:tcPr>
            <w:tcW w:w="680" w:type="dxa"/>
            <w:vAlign w:val="bottom"/>
          </w:tcPr>
          <w:p>
            <w:pPr>
              <w:jc w:val="center"/>
              <w:spacing w:after="0" w:line="107" w:lineRule="exact"/>
              <w:rPr>
                <w:sz w:val="20"/>
                <w:szCs w:val="20"/>
                <w:color w:val="auto"/>
              </w:rPr>
            </w:pPr>
            <w:r>
              <w:rPr>
                <w:rFonts w:ascii="Arial" w:cs="Arial" w:eastAsia="Arial" w:hAnsi="Arial"/>
                <w:sz w:val="12"/>
                <w:szCs w:val="12"/>
                <w:b w:val="1"/>
                <w:bCs w:val="1"/>
                <w:color w:val="000562"/>
              </w:rPr>
              <w:t>Threshold</w:t>
            </w:r>
          </w:p>
        </w:tc>
        <w:tc>
          <w:tcPr>
            <w:tcW w:w="820" w:type="dxa"/>
            <w:vAlign w:val="bottom"/>
          </w:tcPr>
          <w:p>
            <w:pPr>
              <w:jc w:val="center"/>
              <w:spacing w:after="0" w:line="107" w:lineRule="exact"/>
              <w:rPr>
                <w:sz w:val="20"/>
                <w:szCs w:val="20"/>
                <w:color w:val="auto"/>
              </w:rPr>
            </w:pPr>
            <w:r>
              <w:rPr>
                <w:rFonts w:ascii="Arial" w:cs="Arial" w:eastAsia="Arial" w:hAnsi="Arial"/>
                <w:sz w:val="12"/>
                <w:szCs w:val="12"/>
                <w:b w:val="1"/>
                <w:bCs w:val="1"/>
                <w:color w:val="000562"/>
              </w:rPr>
              <w:t>Target</w:t>
            </w:r>
          </w:p>
        </w:tc>
        <w:tc>
          <w:tcPr>
            <w:tcW w:w="700" w:type="dxa"/>
            <w:vAlign w:val="bottom"/>
          </w:tcPr>
          <w:p>
            <w:pPr>
              <w:jc w:val="right"/>
              <w:ind w:right="10"/>
              <w:spacing w:after="0" w:line="107" w:lineRule="exact"/>
              <w:rPr>
                <w:sz w:val="20"/>
                <w:szCs w:val="20"/>
                <w:color w:val="auto"/>
              </w:rPr>
            </w:pPr>
            <w:r>
              <w:rPr>
                <w:rFonts w:ascii="Arial" w:cs="Arial" w:eastAsia="Arial" w:hAnsi="Arial"/>
                <w:sz w:val="12"/>
                <w:szCs w:val="12"/>
                <w:b w:val="1"/>
                <w:bCs w:val="1"/>
                <w:color w:val="000562"/>
              </w:rPr>
              <w:t>Maximum</w:t>
            </w:r>
          </w:p>
        </w:tc>
        <w:tc>
          <w:tcPr>
            <w:tcW w:w="780" w:type="dxa"/>
            <w:vAlign w:val="bottom"/>
          </w:tcPr>
          <w:p>
            <w:pPr>
              <w:jc w:val="center"/>
              <w:spacing w:after="0" w:line="107" w:lineRule="exact"/>
              <w:rPr>
                <w:sz w:val="20"/>
                <w:szCs w:val="20"/>
                <w:color w:val="auto"/>
              </w:rPr>
            </w:pPr>
            <w:r>
              <w:rPr>
                <w:rFonts w:ascii="Arial" w:cs="Arial" w:eastAsia="Arial" w:hAnsi="Arial"/>
                <w:sz w:val="12"/>
                <w:szCs w:val="12"/>
                <w:b w:val="1"/>
                <w:bCs w:val="1"/>
                <w:color w:val="000562"/>
                <w:w w:val="99"/>
              </w:rPr>
              <w:t>Units</w:t>
            </w:r>
          </w:p>
        </w:tc>
        <w:tc>
          <w:tcPr>
            <w:tcW w:w="900" w:type="dxa"/>
            <w:vAlign w:val="bottom"/>
          </w:tcPr>
          <w:p>
            <w:pPr>
              <w:jc w:val="center"/>
              <w:spacing w:after="0" w:line="107" w:lineRule="exact"/>
              <w:rPr>
                <w:sz w:val="20"/>
                <w:szCs w:val="20"/>
                <w:color w:val="auto"/>
              </w:rPr>
            </w:pPr>
            <w:r>
              <w:rPr>
                <w:rFonts w:ascii="Arial" w:cs="Arial" w:eastAsia="Arial" w:hAnsi="Arial"/>
                <w:sz w:val="12"/>
                <w:szCs w:val="12"/>
                <w:b w:val="1"/>
                <w:bCs w:val="1"/>
                <w:color w:val="000562"/>
              </w:rPr>
              <w:t>Awards</w:t>
            </w:r>
          </w:p>
        </w:tc>
        <w:tc>
          <w:tcPr>
            <w:tcW w:w="0" w:type="dxa"/>
            <w:vAlign w:val="bottom"/>
          </w:tcPr>
          <w:p>
            <w:pPr>
              <w:spacing w:after="0"/>
              <w:rPr>
                <w:sz w:val="1"/>
                <w:szCs w:val="1"/>
                <w:color w:val="auto"/>
              </w:rPr>
            </w:pPr>
          </w:p>
        </w:tc>
      </w:tr>
      <w:tr>
        <w:trPr>
          <w:trHeight w:val="169"/>
        </w:trPr>
        <w:tc>
          <w:tcPr>
            <w:tcW w:w="820" w:type="dxa"/>
            <w:vAlign w:val="bottom"/>
            <w:tcBorders>
              <w:bottom w:val="single" w:sz="8" w:color="000562"/>
            </w:tcBorders>
          </w:tcPr>
          <w:p>
            <w:pPr>
              <w:ind w:left="20"/>
              <w:spacing w:after="0"/>
              <w:rPr>
                <w:sz w:val="20"/>
                <w:szCs w:val="20"/>
                <w:color w:val="auto"/>
              </w:rPr>
            </w:pPr>
            <w:r>
              <w:rPr>
                <w:rFonts w:ascii="Arial" w:cs="Arial" w:eastAsia="Arial" w:hAnsi="Arial"/>
                <w:sz w:val="13"/>
                <w:szCs w:val="13"/>
                <w:b w:val="1"/>
                <w:bCs w:val="1"/>
                <w:color w:val="000562"/>
              </w:rPr>
              <w:t>Name</w:t>
            </w:r>
          </w:p>
        </w:tc>
        <w:tc>
          <w:tcPr>
            <w:tcW w:w="1620" w:type="dxa"/>
            <w:vAlign w:val="bottom"/>
            <w:tcBorders>
              <w:bottom w:val="single" w:sz="8" w:color="000562"/>
            </w:tcBorders>
          </w:tcPr>
          <w:p>
            <w:pPr>
              <w:ind w:left="460"/>
              <w:spacing w:after="0"/>
              <w:rPr>
                <w:sz w:val="20"/>
                <w:szCs w:val="20"/>
                <w:color w:val="auto"/>
              </w:rPr>
            </w:pPr>
            <w:r>
              <w:rPr>
                <w:rFonts w:ascii="Arial" w:cs="Arial" w:eastAsia="Arial" w:hAnsi="Arial"/>
                <w:sz w:val="13"/>
                <w:szCs w:val="13"/>
                <w:b w:val="1"/>
                <w:bCs w:val="1"/>
                <w:color w:val="000562"/>
              </w:rPr>
              <w:t>Grant Type</w:t>
            </w:r>
          </w:p>
        </w:tc>
        <w:tc>
          <w:tcPr>
            <w:tcW w:w="740" w:type="dxa"/>
            <w:vAlign w:val="bottom"/>
            <w:tcBorders>
              <w:bottom w:val="single" w:sz="8" w:color="000562"/>
            </w:tcBorders>
          </w:tcPr>
          <w:p>
            <w:pPr>
              <w:jc w:val="center"/>
              <w:spacing w:after="0"/>
              <w:rPr>
                <w:sz w:val="20"/>
                <w:szCs w:val="20"/>
                <w:color w:val="auto"/>
              </w:rPr>
            </w:pPr>
            <w:r>
              <w:rPr>
                <w:rFonts w:ascii="Arial" w:cs="Arial" w:eastAsia="Arial" w:hAnsi="Arial"/>
                <w:sz w:val="13"/>
                <w:szCs w:val="13"/>
                <w:b w:val="1"/>
                <w:bCs w:val="1"/>
                <w:color w:val="000562"/>
                <w:w w:val="96"/>
              </w:rPr>
              <w:t>Grant Date</w:t>
            </w:r>
          </w:p>
        </w:tc>
        <w:tc>
          <w:tcPr>
            <w:tcW w:w="700" w:type="dxa"/>
            <w:vAlign w:val="bottom"/>
            <w:tcBorders>
              <w:bottom w:val="single" w:sz="8" w:color="000562"/>
            </w:tcBorders>
            <w:gridSpan w:val="2"/>
          </w:tcPr>
          <w:p>
            <w:pPr>
              <w:jc w:val="right"/>
              <w:ind w:right="172"/>
              <w:spacing w:after="0"/>
              <w:rPr>
                <w:sz w:val="20"/>
                <w:szCs w:val="20"/>
                <w:color w:val="auto"/>
              </w:rPr>
            </w:pPr>
            <w:r>
              <w:rPr>
                <w:rFonts w:ascii="Arial" w:cs="Arial" w:eastAsia="Arial" w:hAnsi="Arial"/>
                <w:sz w:val="13"/>
                <w:szCs w:val="13"/>
                <w:b w:val="1"/>
                <w:bCs w:val="1"/>
                <w:color w:val="000562"/>
              </w:rPr>
              <w:t>($)</w:t>
            </w:r>
          </w:p>
        </w:tc>
        <w:tc>
          <w:tcPr>
            <w:tcW w:w="900" w:type="dxa"/>
            <w:vAlign w:val="bottom"/>
            <w:tcBorders>
              <w:bottom w:val="single" w:sz="8" w:color="000562"/>
            </w:tcBorders>
          </w:tcPr>
          <w:p>
            <w:pPr>
              <w:jc w:val="right"/>
              <w:ind w:right="291"/>
              <w:spacing w:after="0"/>
              <w:rPr>
                <w:sz w:val="20"/>
                <w:szCs w:val="20"/>
                <w:color w:val="auto"/>
              </w:rPr>
            </w:pPr>
            <w:r>
              <w:rPr>
                <w:rFonts w:ascii="Arial" w:cs="Arial" w:eastAsia="Arial" w:hAnsi="Arial"/>
                <w:sz w:val="13"/>
                <w:szCs w:val="13"/>
                <w:b w:val="1"/>
                <w:bCs w:val="1"/>
                <w:color w:val="000562"/>
              </w:rPr>
              <w:t>($)</w:t>
            </w:r>
          </w:p>
        </w:tc>
        <w:tc>
          <w:tcPr>
            <w:tcW w:w="800" w:type="dxa"/>
            <w:vAlign w:val="bottom"/>
            <w:tcBorders>
              <w:bottom w:val="single" w:sz="8" w:color="000562"/>
            </w:tcBorders>
          </w:tcPr>
          <w:p>
            <w:pPr>
              <w:jc w:val="right"/>
              <w:ind w:right="230"/>
              <w:spacing w:after="0"/>
              <w:rPr>
                <w:sz w:val="20"/>
                <w:szCs w:val="20"/>
                <w:color w:val="auto"/>
              </w:rPr>
            </w:pPr>
            <w:r>
              <w:rPr>
                <w:rFonts w:ascii="Arial" w:cs="Arial" w:eastAsia="Arial" w:hAnsi="Arial"/>
                <w:sz w:val="13"/>
                <w:szCs w:val="13"/>
                <w:b w:val="1"/>
                <w:bCs w:val="1"/>
                <w:color w:val="000562"/>
              </w:rPr>
              <w:t>($)</w:t>
            </w:r>
          </w:p>
        </w:tc>
        <w:tc>
          <w:tcPr>
            <w:tcW w:w="780" w:type="dxa"/>
            <w:vAlign w:val="bottom"/>
            <w:tcBorders>
              <w:bottom w:val="single" w:sz="8" w:color="000562"/>
            </w:tcBorders>
            <w:gridSpan w:val="2"/>
          </w:tcPr>
          <w:p>
            <w:pPr>
              <w:jc w:val="right"/>
              <w:ind w:right="171"/>
              <w:spacing w:after="0"/>
              <w:rPr>
                <w:sz w:val="20"/>
                <w:szCs w:val="20"/>
                <w:color w:val="auto"/>
              </w:rPr>
            </w:pPr>
            <w:r>
              <w:rPr>
                <w:rFonts w:ascii="Arial" w:cs="Arial" w:eastAsia="Arial" w:hAnsi="Arial"/>
                <w:sz w:val="13"/>
                <w:szCs w:val="13"/>
                <w:b w:val="1"/>
                <w:bCs w:val="1"/>
                <w:color w:val="000562"/>
              </w:rPr>
              <w:t>(#)</w:t>
            </w:r>
          </w:p>
        </w:tc>
        <w:tc>
          <w:tcPr>
            <w:tcW w:w="820" w:type="dxa"/>
            <w:vAlign w:val="bottom"/>
            <w:tcBorders>
              <w:bottom w:val="single" w:sz="8" w:color="000562"/>
            </w:tcBorders>
          </w:tcPr>
          <w:p>
            <w:pPr>
              <w:jc w:val="center"/>
              <w:spacing w:after="0"/>
              <w:rPr>
                <w:sz w:val="20"/>
                <w:szCs w:val="20"/>
                <w:color w:val="auto"/>
              </w:rPr>
            </w:pPr>
            <w:r>
              <w:rPr>
                <w:rFonts w:ascii="Arial" w:cs="Arial" w:eastAsia="Arial" w:hAnsi="Arial"/>
                <w:sz w:val="13"/>
                <w:szCs w:val="13"/>
                <w:b w:val="1"/>
                <w:bCs w:val="1"/>
                <w:color w:val="000562"/>
              </w:rPr>
              <w:t>(#)</w:t>
            </w:r>
          </w:p>
        </w:tc>
        <w:tc>
          <w:tcPr>
            <w:tcW w:w="700" w:type="dxa"/>
            <w:vAlign w:val="bottom"/>
            <w:tcBorders>
              <w:bottom w:val="single" w:sz="8" w:color="000562"/>
            </w:tcBorders>
          </w:tcPr>
          <w:p>
            <w:pPr>
              <w:jc w:val="right"/>
              <w:ind w:right="230"/>
              <w:spacing w:after="0"/>
              <w:rPr>
                <w:sz w:val="20"/>
                <w:szCs w:val="20"/>
                <w:color w:val="auto"/>
              </w:rPr>
            </w:pPr>
            <w:r>
              <w:rPr>
                <w:rFonts w:ascii="Arial" w:cs="Arial" w:eastAsia="Arial" w:hAnsi="Arial"/>
                <w:sz w:val="13"/>
                <w:szCs w:val="13"/>
                <w:b w:val="1"/>
                <w:bCs w:val="1"/>
                <w:color w:val="000562"/>
              </w:rPr>
              <w:t>(#)</w:t>
            </w:r>
          </w:p>
        </w:tc>
        <w:tc>
          <w:tcPr>
            <w:tcW w:w="780" w:type="dxa"/>
            <w:vAlign w:val="bottom"/>
            <w:tcBorders>
              <w:bottom w:val="single" w:sz="8" w:color="000562"/>
            </w:tcBorders>
          </w:tcPr>
          <w:p>
            <w:pPr>
              <w:jc w:val="center"/>
              <w:spacing w:after="0"/>
              <w:rPr>
                <w:sz w:val="20"/>
                <w:szCs w:val="20"/>
                <w:color w:val="auto"/>
              </w:rPr>
            </w:pPr>
            <w:r>
              <w:rPr>
                <w:rFonts w:ascii="Arial" w:cs="Arial" w:eastAsia="Arial" w:hAnsi="Arial"/>
                <w:sz w:val="13"/>
                <w:szCs w:val="13"/>
                <w:b w:val="1"/>
                <w:bCs w:val="1"/>
                <w:color w:val="000562"/>
                <w:w w:val="87"/>
              </w:rPr>
              <w:t>(#)</w:t>
            </w:r>
          </w:p>
        </w:tc>
        <w:tc>
          <w:tcPr>
            <w:tcW w:w="900" w:type="dxa"/>
            <w:vAlign w:val="bottom"/>
            <w:tcBorders>
              <w:bottom w:val="single" w:sz="8" w:color="000562"/>
            </w:tcBorders>
          </w:tcPr>
          <w:p>
            <w:pPr>
              <w:jc w:val="center"/>
              <w:spacing w:after="0"/>
              <w:rPr>
                <w:sz w:val="20"/>
                <w:szCs w:val="20"/>
                <w:color w:val="auto"/>
              </w:rPr>
            </w:pPr>
            <w:r>
              <w:rPr>
                <w:rFonts w:ascii="Arial" w:cs="Arial" w:eastAsia="Arial" w:hAnsi="Arial"/>
                <w:sz w:val="13"/>
                <w:szCs w:val="13"/>
                <w:b w:val="1"/>
                <w:bCs w:val="1"/>
                <w:color w:val="000562"/>
              </w:rPr>
              <w:t>($)</w:t>
            </w:r>
          </w:p>
        </w:tc>
        <w:tc>
          <w:tcPr>
            <w:tcW w:w="0" w:type="dxa"/>
            <w:vAlign w:val="bottom"/>
          </w:tcPr>
          <w:p>
            <w:pPr>
              <w:spacing w:after="0"/>
              <w:rPr>
                <w:sz w:val="1"/>
                <w:szCs w:val="1"/>
                <w:color w:val="auto"/>
              </w:rPr>
            </w:pPr>
          </w:p>
        </w:tc>
      </w:tr>
      <w:tr>
        <w:trPr>
          <w:trHeight w:val="175"/>
        </w:trPr>
        <w:tc>
          <w:tcPr>
            <w:tcW w:w="820" w:type="dxa"/>
            <w:vAlign w:val="bottom"/>
            <w:shd w:val="clear" w:color="auto" w:fill="E9EFEE"/>
          </w:tcPr>
          <w:p>
            <w:pPr>
              <w:ind w:left="20"/>
              <w:spacing w:after="0"/>
              <w:rPr>
                <w:sz w:val="20"/>
                <w:szCs w:val="20"/>
                <w:color w:val="auto"/>
              </w:rPr>
            </w:pPr>
            <w:r>
              <w:rPr>
                <w:rFonts w:ascii="Arial" w:cs="Arial" w:eastAsia="Arial" w:hAnsi="Arial"/>
                <w:sz w:val="14"/>
                <w:szCs w:val="14"/>
                <w:color w:val="auto"/>
              </w:rPr>
              <w:t>Thomas A.</w:t>
            </w:r>
          </w:p>
        </w:tc>
        <w:tc>
          <w:tcPr>
            <w:tcW w:w="1620" w:type="dxa"/>
            <w:vAlign w:val="bottom"/>
            <w:shd w:val="clear" w:color="auto" w:fill="E9EFEE"/>
          </w:tcPr>
          <w:p>
            <w:pPr>
              <w:spacing w:after="0" w:line="175" w:lineRule="exact"/>
              <w:rPr>
                <w:sz w:val="20"/>
                <w:szCs w:val="20"/>
                <w:color w:val="auto"/>
              </w:rPr>
            </w:pPr>
            <w:r>
              <w:rPr>
                <w:rFonts w:ascii="Arial" w:cs="Arial" w:eastAsia="Arial" w:hAnsi="Arial"/>
                <w:sz w:val="12"/>
                <w:szCs w:val="12"/>
                <w:color w:val="auto"/>
              </w:rPr>
              <w:t>STI</w:t>
            </w:r>
            <w:r>
              <w:rPr>
                <w:rFonts w:ascii="Arial" w:cs="Arial" w:eastAsia="Arial" w:hAnsi="Arial"/>
                <w:sz w:val="20"/>
                <w:szCs w:val="20"/>
                <w:color w:val="auto"/>
                <w:vertAlign w:val="superscript"/>
              </w:rPr>
              <w:t>(1)</w:t>
            </w:r>
          </w:p>
        </w:tc>
        <w:tc>
          <w:tcPr>
            <w:tcW w:w="740" w:type="dxa"/>
            <w:vAlign w:val="bottom"/>
            <w:shd w:val="clear" w:color="auto" w:fill="E9EFEE"/>
          </w:tcPr>
          <w:p>
            <w:pPr>
              <w:spacing w:after="0"/>
              <w:rPr>
                <w:sz w:val="15"/>
                <w:szCs w:val="15"/>
                <w:color w:val="auto"/>
              </w:rPr>
            </w:pPr>
          </w:p>
        </w:tc>
        <w:tc>
          <w:tcPr>
            <w:tcW w:w="700" w:type="dxa"/>
            <w:vAlign w:val="bottom"/>
            <w:gridSpan w:val="2"/>
            <w:shd w:val="clear" w:color="auto" w:fill="E9EFEE"/>
          </w:tcPr>
          <w:p>
            <w:pPr>
              <w:jc w:val="right"/>
              <w:spacing w:after="0"/>
              <w:rPr>
                <w:sz w:val="20"/>
                <w:szCs w:val="20"/>
                <w:color w:val="auto"/>
              </w:rPr>
            </w:pPr>
            <w:r>
              <w:rPr>
                <w:rFonts w:ascii="Arial" w:cs="Arial" w:eastAsia="Arial" w:hAnsi="Arial"/>
                <w:sz w:val="14"/>
                <w:szCs w:val="14"/>
                <w:color w:val="auto"/>
              </w:rPr>
              <w:t>136,500</w:t>
            </w:r>
          </w:p>
        </w:tc>
        <w:tc>
          <w:tcPr>
            <w:tcW w:w="900" w:type="dxa"/>
            <w:vAlign w:val="bottom"/>
            <w:shd w:val="clear" w:color="auto" w:fill="E9EFEE"/>
          </w:tcPr>
          <w:p>
            <w:pPr>
              <w:jc w:val="right"/>
              <w:ind w:right="51"/>
              <w:spacing w:after="0"/>
              <w:rPr>
                <w:sz w:val="20"/>
                <w:szCs w:val="20"/>
                <w:color w:val="auto"/>
              </w:rPr>
            </w:pPr>
            <w:r>
              <w:rPr>
                <w:rFonts w:ascii="Arial" w:cs="Arial" w:eastAsia="Arial" w:hAnsi="Arial"/>
                <w:sz w:val="14"/>
                <w:szCs w:val="14"/>
                <w:color w:val="auto"/>
              </w:rPr>
              <w:t>650,000</w:t>
            </w:r>
          </w:p>
        </w:tc>
        <w:tc>
          <w:tcPr>
            <w:tcW w:w="800" w:type="dxa"/>
            <w:vAlign w:val="bottom"/>
            <w:shd w:val="clear" w:color="auto" w:fill="E9EFEE"/>
          </w:tcPr>
          <w:p>
            <w:pPr>
              <w:jc w:val="right"/>
              <w:spacing w:after="0"/>
              <w:rPr>
                <w:sz w:val="20"/>
                <w:szCs w:val="20"/>
                <w:color w:val="auto"/>
              </w:rPr>
            </w:pPr>
            <w:r>
              <w:rPr>
                <w:rFonts w:ascii="Arial" w:cs="Arial" w:eastAsia="Arial" w:hAnsi="Arial"/>
                <w:sz w:val="14"/>
                <w:szCs w:val="14"/>
                <w:color w:val="auto"/>
              </w:rPr>
              <w:t>1,300,000</w:t>
            </w:r>
          </w:p>
        </w:tc>
        <w:tc>
          <w:tcPr>
            <w:tcW w:w="100" w:type="dxa"/>
            <w:vAlign w:val="bottom"/>
            <w:shd w:val="clear" w:color="auto" w:fill="E9EFEE"/>
          </w:tcPr>
          <w:p>
            <w:pPr>
              <w:spacing w:after="0"/>
              <w:rPr>
                <w:sz w:val="15"/>
                <w:szCs w:val="15"/>
                <w:color w:val="auto"/>
              </w:rPr>
            </w:pPr>
          </w:p>
        </w:tc>
        <w:tc>
          <w:tcPr>
            <w:tcW w:w="680" w:type="dxa"/>
            <w:vAlign w:val="bottom"/>
            <w:shd w:val="clear" w:color="auto" w:fill="E9EFEE"/>
          </w:tcPr>
          <w:p>
            <w:pPr>
              <w:ind w:left="480"/>
              <w:spacing w:after="0"/>
              <w:rPr>
                <w:sz w:val="20"/>
                <w:szCs w:val="20"/>
                <w:color w:val="auto"/>
              </w:rPr>
            </w:pPr>
            <w:r>
              <w:rPr>
                <w:rFonts w:ascii="Arial" w:cs="Arial" w:eastAsia="Arial" w:hAnsi="Arial"/>
                <w:sz w:val="14"/>
                <w:szCs w:val="14"/>
                <w:color w:val="auto"/>
              </w:rPr>
              <w:t>—</w:t>
            </w:r>
          </w:p>
        </w:tc>
        <w:tc>
          <w:tcPr>
            <w:tcW w:w="820" w:type="dxa"/>
            <w:vAlign w:val="bottom"/>
            <w:shd w:val="clear" w:color="auto" w:fill="E9EFEE"/>
          </w:tcPr>
          <w:p>
            <w:pPr>
              <w:jc w:val="right"/>
              <w:ind w:right="91"/>
              <w:spacing w:after="0"/>
              <w:rPr>
                <w:sz w:val="20"/>
                <w:szCs w:val="20"/>
                <w:color w:val="auto"/>
              </w:rPr>
            </w:pPr>
            <w:r>
              <w:rPr>
                <w:rFonts w:ascii="Arial" w:cs="Arial" w:eastAsia="Arial" w:hAnsi="Arial"/>
                <w:sz w:val="14"/>
                <w:szCs w:val="14"/>
                <w:color w:val="auto"/>
              </w:rPr>
              <w:t>—</w:t>
            </w:r>
          </w:p>
        </w:tc>
        <w:tc>
          <w:tcPr>
            <w:tcW w:w="700" w:type="dxa"/>
            <w:vAlign w:val="bottom"/>
            <w:shd w:val="clear" w:color="auto" w:fill="E9EFEE"/>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shd w:val="clear" w:color="auto" w:fill="E9EFEE"/>
          </w:tcPr>
          <w:p>
            <w:pPr>
              <w:jc w:val="right"/>
              <w:ind w:right="73"/>
              <w:spacing w:after="0"/>
              <w:rPr>
                <w:sz w:val="20"/>
                <w:szCs w:val="20"/>
                <w:color w:val="auto"/>
              </w:rPr>
            </w:pPr>
            <w:r>
              <w:rPr>
                <w:rFonts w:ascii="Arial" w:cs="Arial" w:eastAsia="Arial" w:hAnsi="Arial"/>
                <w:sz w:val="14"/>
                <w:szCs w:val="14"/>
                <w:color w:val="auto"/>
              </w:rPr>
              <w:t>—</w:t>
            </w:r>
          </w:p>
        </w:tc>
        <w:tc>
          <w:tcPr>
            <w:tcW w:w="900" w:type="dxa"/>
            <w:vAlign w:val="bottom"/>
            <w:shd w:val="clear" w:color="auto" w:fill="E9EFEE"/>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20" w:type="dxa"/>
            <w:vAlign w:val="bottom"/>
            <w:shd w:val="clear" w:color="auto" w:fill="E9EFEE"/>
          </w:tcPr>
          <w:p>
            <w:pPr>
              <w:ind w:left="160"/>
              <w:spacing w:after="0"/>
              <w:rPr>
                <w:sz w:val="20"/>
                <w:szCs w:val="20"/>
                <w:color w:val="auto"/>
              </w:rPr>
            </w:pPr>
            <w:r>
              <w:rPr>
                <w:rFonts w:ascii="Arial" w:cs="Arial" w:eastAsia="Arial" w:hAnsi="Arial"/>
                <w:sz w:val="14"/>
                <w:szCs w:val="14"/>
                <w:color w:val="auto"/>
              </w:rPr>
              <w:t>Amato</w:t>
            </w:r>
          </w:p>
        </w:tc>
        <w:tc>
          <w:tcPr>
            <w:tcW w:w="1620" w:type="dxa"/>
            <w:vAlign w:val="bottom"/>
            <w:shd w:val="clear" w:color="auto" w:fill="E9EFEE"/>
          </w:tcPr>
          <w:p>
            <w:pPr>
              <w:spacing w:after="0" w:line="198" w:lineRule="exact"/>
              <w:rPr>
                <w:sz w:val="20"/>
                <w:szCs w:val="20"/>
                <w:color w:val="auto"/>
              </w:rPr>
            </w:pPr>
            <w:r>
              <w:rPr>
                <w:rFonts w:ascii="Arial" w:cs="Arial" w:eastAsia="Arial" w:hAnsi="Arial"/>
                <w:sz w:val="13"/>
                <w:szCs w:val="13"/>
                <w:color w:val="auto"/>
              </w:rPr>
              <w:t>Restricted Stock Unit</w:t>
            </w:r>
            <w:r>
              <w:rPr>
                <w:rFonts w:ascii="Arial" w:cs="Arial" w:eastAsia="Arial" w:hAnsi="Arial"/>
                <w:sz w:val="22"/>
                <w:szCs w:val="22"/>
                <w:color w:val="auto"/>
                <w:vertAlign w:val="superscript"/>
              </w:rPr>
              <w:t>(2)</w:t>
            </w:r>
          </w:p>
        </w:tc>
        <w:tc>
          <w:tcPr>
            <w:tcW w:w="740" w:type="dxa"/>
            <w:vAlign w:val="bottom"/>
            <w:shd w:val="clear" w:color="auto" w:fill="E9EFEE"/>
          </w:tcPr>
          <w:p>
            <w:pPr>
              <w:jc w:val="center"/>
              <w:spacing w:after="0"/>
              <w:rPr>
                <w:sz w:val="20"/>
                <w:szCs w:val="20"/>
                <w:color w:val="auto"/>
              </w:rPr>
            </w:pPr>
            <w:r>
              <w:rPr>
                <w:rFonts w:ascii="Arial" w:cs="Arial" w:eastAsia="Arial" w:hAnsi="Arial"/>
                <w:sz w:val="14"/>
                <w:szCs w:val="14"/>
                <w:color w:val="auto"/>
              </w:rPr>
              <w:t>5/1/2018</w:t>
            </w:r>
          </w:p>
        </w:tc>
        <w:tc>
          <w:tcPr>
            <w:tcW w:w="80" w:type="dxa"/>
            <w:vAlign w:val="bottom"/>
            <w:shd w:val="clear" w:color="auto" w:fill="E9EFEE"/>
          </w:tcPr>
          <w:p>
            <w:pPr>
              <w:spacing w:after="0"/>
              <w:rPr>
                <w:sz w:val="17"/>
                <w:szCs w:val="17"/>
                <w:color w:val="auto"/>
              </w:rPr>
            </w:pPr>
          </w:p>
        </w:tc>
        <w:tc>
          <w:tcPr>
            <w:tcW w:w="620" w:type="dxa"/>
            <w:vAlign w:val="bottom"/>
            <w:shd w:val="clear" w:color="auto" w:fill="E9EFEE"/>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9EFEE"/>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shd w:val="clear" w:color="auto" w:fill="E9EFEE"/>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9EFEE"/>
          </w:tcPr>
          <w:p>
            <w:pPr>
              <w:spacing w:after="0"/>
              <w:rPr>
                <w:sz w:val="17"/>
                <w:szCs w:val="17"/>
                <w:color w:val="auto"/>
              </w:rPr>
            </w:pPr>
          </w:p>
        </w:tc>
        <w:tc>
          <w:tcPr>
            <w:tcW w:w="680" w:type="dxa"/>
            <w:vAlign w:val="bottom"/>
            <w:shd w:val="clear" w:color="auto" w:fill="E9EFEE"/>
          </w:tcPr>
          <w:p>
            <w:pPr>
              <w:ind w:left="480"/>
              <w:spacing w:after="0"/>
              <w:rPr>
                <w:sz w:val="20"/>
                <w:szCs w:val="20"/>
                <w:color w:val="auto"/>
              </w:rPr>
            </w:pPr>
            <w:r>
              <w:rPr>
                <w:rFonts w:ascii="Arial" w:cs="Arial" w:eastAsia="Arial" w:hAnsi="Arial"/>
                <w:sz w:val="14"/>
                <w:szCs w:val="14"/>
                <w:color w:val="auto"/>
              </w:rPr>
              <w:t>—</w:t>
            </w:r>
          </w:p>
        </w:tc>
        <w:tc>
          <w:tcPr>
            <w:tcW w:w="820" w:type="dxa"/>
            <w:vAlign w:val="bottom"/>
            <w:shd w:val="clear" w:color="auto" w:fill="E9EFEE"/>
          </w:tcPr>
          <w:p>
            <w:pPr>
              <w:jc w:val="right"/>
              <w:ind w:right="91"/>
              <w:spacing w:after="0"/>
              <w:rPr>
                <w:sz w:val="20"/>
                <w:szCs w:val="20"/>
                <w:color w:val="auto"/>
              </w:rPr>
            </w:pPr>
            <w:r>
              <w:rPr>
                <w:rFonts w:ascii="Arial" w:cs="Arial" w:eastAsia="Arial" w:hAnsi="Arial"/>
                <w:sz w:val="14"/>
                <w:szCs w:val="14"/>
                <w:color w:val="auto"/>
              </w:rPr>
              <w:t>—</w:t>
            </w:r>
          </w:p>
        </w:tc>
        <w:tc>
          <w:tcPr>
            <w:tcW w:w="700" w:type="dxa"/>
            <w:vAlign w:val="bottom"/>
            <w:shd w:val="clear" w:color="auto" w:fill="E9EFEE"/>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shd w:val="clear" w:color="auto" w:fill="E9EFEE"/>
          </w:tcPr>
          <w:p>
            <w:pPr>
              <w:jc w:val="right"/>
              <w:ind w:right="73"/>
              <w:spacing w:after="0"/>
              <w:rPr>
                <w:sz w:val="20"/>
                <w:szCs w:val="20"/>
                <w:color w:val="auto"/>
              </w:rPr>
            </w:pPr>
            <w:r>
              <w:rPr>
                <w:rFonts w:ascii="Arial" w:cs="Arial" w:eastAsia="Arial" w:hAnsi="Arial"/>
                <w:sz w:val="14"/>
                <w:szCs w:val="14"/>
                <w:color w:val="auto"/>
              </w:rPr>
              <w:t>44,280</w:t>
            </w:r>
          </w:p>
        </w:tc>
        <w:tc>
          <w:tcPr>
            <w:tcW w:w="900" w:type="dxa"/>
            <w:vAlign w:val="bottom"/>
            <w:shd w:val="clear" w:color="auto" w:fill="E9EFEE"/>
          </w:tcPr>
          <w:p>
            <w:pPr>
              <w:jc w:val="right"/>
              <w:ind w:right="32"/>
              <w:spacing w:after="0"/>
              <w:rPr>
                <w:sz w:val="20"/>
                <w:szCs w:val="20"/>
                <w:color w:val="auto"/>
              </w:rPr>
            </w:pPr>
            <w:r>
              <w:rPr>
                <w:rFonts w:ascii="Arial" w:cs="Arial" w:eastAsia="Arial" w:hAnsi="Arial"/>
                <w:sz w:val="14"/>
                <w:szCs w:val="14"/>
                <w:color w:val="auto"/>
              </w:rPr>
              <w:t>1,199,988</w:t>
            </w:r>
          </w:p>
        </w:tc>
        <w:tc>
          <w:tcPr>
            <w:tcW w:w="0" w:type="dxa"/>
            <w:vAlign w:val="bottom"/>
          </w:tcPr>
          <w:p>
            <w:pPr>
              <w:spacing w:after="0"/>
              <w:rPr>
                <w:sz w:val="1"/>
                <w:szCs w:val="1"/>
                <w:color w:val="auto"/>
              </w:rPr>
            </w:pPr>
          </w:p>
        </w:tc>
      </w:tr>
      <w:tr>
        <w:trPr>
          <w:trHeight w:val="161"/>
        </w:trPr>
        <w:tc>
          <w:tcPr>
            <w:tcW w:w="820" w:type="dxa"/>
            <w:vAlign w:val="bottom"/>
            <w:shd w:val="clear" w:color="auto" w:fill="E9EFEE"/>
          </w:tcPr>
          <w:p>
            <w:pPr>
              <w:spacing w:after="0"/>
              <w:rPr>
                <w:sz w:val="14"/>
                <w:szCs w:val="14"/>
                <w:color w:val="auto"/>
              </w:rPr>
            </w:pPr>
          </w:p>
        </w:tc>
        <w:tc>
          <w:tcPr>
            <w:tcW w:w="1620" w:type="dxa"/>
            <w:vAlign w:val="bottom"/>
            <w:shd w:val="clear" w:color="auto" w:fill="E9EFEE"/>
          </w:tcPr>
          <w:p>
            <w:pPr>
              <w:spacing w:after="0"/>
              <w:rPr>
                <w:sz w:val="20"/>
                <w:szCs w:val="20"/>
                <w:color w:val="auto"/>
              </w:rPr>
            </w:pPr>
            <w:r>
              <w:rPr>
                <w:rFonts w:ascii="Arial" w:cs="Arial" w:eastAsia="Arial" w:hAnsi="Arial"/>
                <w:sz w:val="14"/>
                <w:szCs w:val="14"/>
                <w:color w:val="auto"/>
              </w:rPr>
              <w:t>Performance Stock</w:t>
            </w:r>
          </w:p>
        </w:tc>
        <w:tc>
          <w:tcPr>
            <w:tcW w:w="740" w:type="dxa"/>
            <w:vAlign w:val="bottom"/>
            <w:shd w:val="clear" w:color="auto" w:fill="E9EFEE"/>
          </w:tcPr>
          <w:p>
            <w:pPr>
              <w:spacing w:after="0"/>
              <w:rPr>
                <w:sz w:val="14"/>
                <w:szCs w:val="14"/>
                <w:color w:val="auto"/>
              </w:rPr>
            </w:pPr>
          </w:p>
        </w:tc>
        <w:tc>
          <w:tcPr>
            <w:tcW w:w="80" w:type="dxa"/>
            <w:vAlign w:val="bottom"/>
            <w:shd w:val="clear" w:color="auto" w:fill="E9EFEE"/>
          </w:tcPr>
          <w:p>
            <w:pPr>
              <w:spacing w:after="0"/>
              <w:rPr>
                <w:sz w:val="14"/>
                <w:szCs w:val="14"/>
                <w:color w:val="auto"/>
              </w:rPr>
            </w:pPr>
          </w:p>
        </w:tc>
        <w:tc>
          <w:tcPr>
            <w:tcW w:w="620" w:type="dxa"/>
            <w:vAlign w:val="bottom"/>
            <w:shd w:val="clear" w:color="auto" w:fill="E9EFEE"/>
          </w:tcPr>
          <w:p>
            <w:pPr>
              <w:spacing w:after="0"/>
              <w:rPr>
                <w:sz w:val="14"/>
                <w:szCs w:val="14"/>
                <w:color w:val="auto"/>
              </w:rPr>
            </w:pPr>
          </w:p>
        </w:tc>
        <w:tc>
          <w:tcPr>
            <w:tcW w:w="900" w:type="dxa"/>
            <w:vAlign w:val="bottom"/>
            <w:shd w:val="clear" w:color="auto" w:fill="E9EFEE"/>
          </w:tcPr>
          <w:p>
            <w:pPr>
              <w:spacing w:after="0"/>
              <w:rPr>
                <w:sz w:val="14"/>
                <w:szCs w:val="14"/>
                <w:color w:val="auto"/>
              </w:rPr>
            </w:pPr>
          </w:p>
        </w:tc>
        <w:tc>
          <w:tcPr>
            <w:tcW w:w="800" w:type="dxa"/>
            <w:vAlign w:val="bottom"/>
            <w:shd w:val="clear" w:color="auto" w:fill="E9EFEE"/>
          </w:tcPr>
          <w:p>
            <w:pPr>
              <w:spacing w:after="0"/>
              <w:rPr>
                <w:sz w:val="14"/>
                <w:szCs w:val="14"/>
                <w:color w:val="auto"/>
              </w:rPr>
            </w:pPr>
          </w:p>
        </w:tc>
        <w:tc>
          <w:tcPr>
            <w:tcW w:w="100" w:type="dxa"/>
            <w:vAlign w:val="bottom"/>
            <w:shd w:val="clear" w:color="auto" w:fill="E9EFEE"/>
          </w:tcPr>
          <w:p>
            <w:pPr>
              <w:spacing w:after="0"/>
              <w:rPr>
                <w:sz w:val="14"/>
                <w:szCs w:val="14"/>
                <w:color w:val="auto"/>
              </w:rPr>
            </w:pPr>
          </w:p>
        </w:tc>
        <w:tc>
          <w:tcPr>
            <w:tcW w:w="680" w:type="dxa"/>
            <w:vAlign w:val="bottom"/>
            <w:shd w:val="clear" w:color="auto" w:fill="E9EFEE"/>
          </w:tcPr>
          <w:p>
            <w:pPr>
              <w:spacing w:after="0"/>
              <w:rPr>
                <w:sz w:val="14"/>
                <w:szCs w:val="14"/>
                <w:color w:val="auto"/>
              </w:rPr>
            </w:pPr>
          </w:p>
        </w:tc>
        <w:tc>
          <w:tcPr>
            <w:tcW w:w="820" w:type="dxa"/>
            <w:vAlign w:val="bottom"/>
            <w:shd w:val="clear" w:color="auto" w:fill="E9EFEE"/>
          </w:tcPr>
          <w:p>
            <w:pPr>
              <w:spacing w:after="0"/>
              <w:rPr>
                <w:sz w:val="14"/>
                <w:szCs w:val="14"/>
                <w:color w:val="auto"/>
              </w:rPr>
            </w:pPr>
          </w:p>
        </w:tc>
        <w:tc>
          <w:tcPr>
            <w:tcW w:w="700" w:type="dxa"/>
            <w:vAlign w:val="bottom"/>
            <w:shd w:val="clear" w:color="auto" w:fill="E9EFEE"/>
          </w:tcPr>
          <w:p>
            <w:pPr>
              <w:spacing w:after="0"/>
              <w:rPr>
                <w:sz w:val="14"/>
                <w:szCs w:val="14"/>
                <w:color w:val="auto"/>
              </w:rPr>
            </w:pPr>
          </w:p>
        </w:tc>
        <w:tc>
          <w:tcPr>
            <w:tcW w:w="780" w:type="dxa"/>
            <w:vAlign w:val="bottom"/>
            <w:shd w:val="clear" w:color="auto" w:fill="E9EFEE"/>
          </w:tcPr>
          <w:p>
            <w:pPr>
              <w:spacing w:after="0"/>
              <w:rPr>
                <w:sz w:val="14"/>
                <w:szCs w:val="14"/>
                <w:color w:val="auto"/>
              </w:rPr>
            </w:pPr>
          </w:p>
        </w:tc>
        <w:tc>
          <w:tcPr>
            <w:tcW w:w="900" w:type="dxa"/>
            <w:vAlign w:val="bottom"/>
            <w:shd w:val="clear" w:color="auto" w:fill="E9EFE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20" w:type="dxa"/>
            <w:vAlign w:val="bottom"/>
            <w:shd w:val="clear" w:color="auto" w:fill="E9EFEE"/>
          </w:tcPr>
          <w:p>
            <w:pPr>
              <w:spacing w:after="0"/>
              <w:rPr>
                <w:sz w:val="16"/>
                <w:szCs w:val="16"/>
                <w:color w:val="auto"/>
              </w:rPr>
            </w:pPr>
          </w:p>
        </w:tc>
        <w:tc>
          <w:tcPr>
            <w:tcW w:w="1620" w:type="dxa"/>
            <w:vAlign w:val="bottom"/>
            <w:shd w:val="clear" w:color="auto" w:fill="E9EFEE"/>
          </w:tcPr>
          <w:p>
            <w:pPr>
              <w:spacing w:after="0" w:line="190" w:lineRule="exact"/>
              <w:rPr>
                <w:sz w:val="20"/>
                <w:szCs w:val="20"/>
                <w:color w:val="auto"/>
              </w:rPr>
            </w:pPr>
            <w:r>
              <w:rPr>
                <w:rFonts w:ascii="Arial" w:cs="Arial" w:eastAsia="Arial" w:hAnsi="Arial"/>
                <w:sz w:val="13"/>
                <w:szCs w:val="13"/>
                <w:color w:val="auto"/>
              </w:rPr>
              <w:t>Unit</w:t>
            </w:r>
            <w:r>
              <w:rPr>
                <w:rFonts w:ascii="Arial" w:cs="Arial" w:eastAsia="Arial" w:hAnsi="Arial"/>
                <w:sz w:val="21"/>
                <w:szCs w:val="21"/>
                <w:color w:val="auto"/>
                <w:vertAlign w:val="superscript"/>
              </w:rPr>
              <w:t>(3)</w:t>
            </w:r>
          </w:p>
        </w:tc>
        <w:tc>
          <w:tcPr>
            <w:tcW w:w="740" w:type="dxa"/>
            <w:vAlign w:val="bottom"/>
            <w:shd w:val="clear" w:color="auto" w:fill="E9EFEE"/>
          </w:tcPr>
          <w:p>
            <w:pPr>
              <w:jc w:val="center"/>
              <w:spacing w:after="0"/>
              <w:rPr>
                <w:sz w:val="20"/>
                <w:szCs w:val="20"/>
                <w:color w:val="auto"/>
              </w:rPr>
            </w:pPr>
            <w:r>
              <w:rPr>
                <w:rFonts w:ascii="Arial" w:cs="Arial" w:eastAsia="Arial" w:hAnsi="Arial"/>
                <w:sz w:val="14"/>
                <w:szCs w:val="14"/>
                <w:color w:val="auto"/>
              </w:rPr>
              <w:t>5/1/2018</w:t>
            </w:r>
          </w:p>
        </w:tc>
        <w:tc>
          <w:tcPr>
            <w:tcW w:w="80" w:type="dxa"/>
            <w:vAlign w:val="bottom"/>
            <w:shd w:val="clear" w:color="auto" w:fill="E9EFEE"/>
          </w:tcPr>
          <w:p>
            <w:pPr>
              <w:spacing w:after="0"/>
              <w:rPr>
                <w:sz w:val="16"/>
                <w:szCs w:val="16"/>
                <w:color w:val="auto"/>
              </w:rPr>
            </w:pPr>
          </w:p>
        </w:tc>
        <w:tc>
          <w:tcPr>
            <w:tcW w:w="620" w:type="dxa"/>
            <w:vAlign w:val="bottom"/>
            <w:shd w:val="clear" w:color="auto" w:fill="E9EFEE"/>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9EFEE"/>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shd w:val="clear" w:color="auto" w:fill="E9EFEE"/>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9EFEE"/>
          </w:tcPr>
          <w:p>
            <w:pPr>
              <w:spacing w:after="0"/>
              <w:rPr>
                <w:sz w:val="16"/>
                <w:szCs w:val="16"/>
                <w:color w:val="auto"/>
              </w:rPr>
            </w:pPr>
          </w:p>
        </w:tc>
        <w:tc>
          <w:tcPr>
            <w:tcW w:w="680" w:type="dxa"/>
            <w:vAlign w:val="bottom"/>
            <w:shd w:val="clear" w:color="auto" w:fill="E9EFEE"/>
          </w:tcPr>
          <w:p>
            <w:pPr>
              <w:ind w:left="480"/>
              <w:spacing w:after="0"/>
              <w:rPr>
                <w:sz w:val="20"/>
                <w:szCs w:val="20"/>
                <w:color w:val="auto"/>
              </w:rPr>
            </w:pPr>
            <w:r>
              <w:rPr>
                <w:rFonts w:ascii="Arial" w:cs="Arial" w:eastAsia="Arial" w:hAnsi="Arial"/>
                <w:sz w:val="14"/>
                <w:szCs w:val="14"/>
                <w:color w:val="auto"/>
              </w:rPr>
              <w:t>—</w:t>
            </w:r>
          </w:p>
        </w:tc>
        <w:tc>
          <w:tcPr>
            <w:tcW w:w="820" w:type="dxa"/>
            <w:vAlign w:val="bottom"/>
            <w:shd w:val="clear" w:color="auto" w:fill="E9EFEE"/>
          </w:tcPr>
          <w:p>
            <w:pPr>
              <w:jc w:val="right"/>
              <w:ind w:right="91"/>
              <w:spacing w:after="0"/>
              <w:rPr>
                <w:sz w:val="20"/>
                <w:szCs w:val="20"/>
                <w:color w:val="auto"/>
              </w:rPr>
            </w:pPr>
            <w:r>
              <w:rPr>
                <w:rFonts w:ascii="Arial" w:cs="Arial" w:eastAsia="Arial" w:hAnsi="Arial"/>
                <w:sz w:val="14"/>
                <w:szCs w:val="14"/>
                <w:color w:val="auto"/>
              </w:rPr>
              <w:t>44,280</w:t>
            </w:r>
          </w:p>
        </w:tc>
        <w:tc>
          <w:tcPr>
            <w:tcW w:w="700" w:type="dxa"/>
            <w:vAlign w:val="bottom"/>
            <w:shd w:val="clear" w:color="auto" w:fill="E9EFEE"/>
          </w:tcPr>
          <w:p>
            <w:pPr>
              <w:jc w:val="right"/>
              <w:ind w:right="30"/>
              <w:spacing w:after="0"/>
              <w:rPr>
                <w:sz w:val="20"/>
                <w:szCs w:val="20"/>
                <w:color w:val="auto"/>
              </w:rPr>
            </w:pPr>
            <w:r>
              <w:rPr>
                <w:rFonts w:ascii="Arial" w:cs="Arial" w:eastAsia="Arial" w:hAnsi="Arial"/>
                <w:sz w:val="14"/>
                <w:szCs w:val="14"/>
                <w:color w:val="auto"/>
              </w:rPr>
              <w:t>88,560</w:t>
            </w:r>
          </w:p>
        </w:tc>
        <w:tc>
          <w:tcPr>
            <w:tcW w:w="780" w:type="dxa"/>
            <w:vAlign w:val="bottom"/>
            <w:shd w:val="clear" w:color="auto" w:fill="E9EFEE"/>
          </w:tcPr>
          <w:p>
            <w:pPr>
              <w:jc w:val="right"/>
              <w:ind w:right="73"/>
              <w:spacing w:after="0"/>
              <w:rPr>
                <w:sz w:val="20"/>
                <w:szCs w:val="20"/>
                <w:color w:val="auto"/>
              </w:rPr>
            </w:pPr>
            <w:r>
              <w:rPr>
                <w:rFonts w:ascii="Arial" w:cs="Arial" w:eastAsia="Arial" w:hAnsi="Arial"/>
                <w:sz w:val="14"/>
                <w:szCs w:val="14"/>
                <w:color w:val="auto"/>
              </w:rPr>
              <w:t>—</w:t>
            </w:r>
          </w:p>
        </w:tc>
        <w:tc>
          <w:tcPr>
            <w:tcW w:w="900" w:type="dxa"/>
            <w:vAlign w:val="bottom"/>
            <w:shd w:val="clear" w:color="auto" w:fill="E9EFEE"/>
          </w:tcPr>
          <w:p>
            <w:pPr>
              <w:jc w:val="right"/>
              <w:ind w:right="32"/>
              <w:spacing w:after="0"/>
              <w:rPr>
                <w:sz w:val="20"/>
                <w:szCs w:val="20"/>
                <w:color w:val="auto"/>
              </w:rPr>
            </w:pPr>
            <w:r>
              <w:rPr>
                <w:rFonts w:ascii="Arial" w:cs="Arial" w:eastAsia="Arial" w:hAnsi="Arial"/>
                <w:sz w:val="14"/>
                <w:szCs w:val="14"/>
                <w:color w:val="auto"/>
              </w:rPr>
              <w:t>1,438,366</w:t>
            </w: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20" w:type="dxa"/>
            <w:vAlign w:val="bottom"/>
            <w:shd w:val="clear" w:color="auto" w:fill="E9EFEE"/>
          </w:tcPr>
          <w:p>
            <w:pPr>
              <w:ind w:left="20"/>
              <w:spacing w:after="0"/>
              <w:rPr>
                <w:sz w:val="20"/>
                <w:szCs w:val="20"/>
                <w:color w:val="auto"/>
              </w:rPr>
            </w:pPr>
            <w:r>
              <w:rPr>
                <w:rFonts w:ascii="Arial" w:cs="Arial" w:eastAsia="Arial" w:hAnsi="Arial"/>
                <w:sz w:val="14"/>
                <w:szCs w:val="14"/>
                <w:color w:val="auto"/>
              </w:rPr>
              <w:t>Robert J.</w:t>
            </w:r>
          </w:p>
        </w:tc>
        <w:tc>
          <w:tcPr>
            <w:tcW w:w="1620" w:type="dxa"/>
            <w:vAlign w:val="bottom"/>
            <w:shd w:val="clear" w:color="auto" w:fill="E9EFEE"/>
          </w:tcPr>
          <w:p>
            <w:pPr>
              <w:spacing w:after="0" w:line="181" w:lineRule="exact"/>
              <w:rPr>
                <w:sz w:val="20"/>
                <w:szCs w:val="20"/>
                <w:color w:val="auto"/>
              </w:rPr>
            </w:pPr>
            <w:r>
              <w:rPr>
                <w:rFonts w:ascii="Arial" w:cs="Arial" w:eastAsia="Arial" w:hAnsi="Arial"/>
                <w:sz w:val="20"/>
                <w:szCs w:val="20"/>
                <w:color w:val="auto"/>
                <w:vertAlign w:val="subscript"/>
              </w:rPr>
              <w:t>STI</w:t>
            </w:r>
            <w:r>
              <w:rPr>
                <w:rFonts w:ascii="Arial" w:cs="Arial" w:eastAsia="Arial" w:hAnsi="Arial"/>
                <w:sz w:val="10"/>
                <w:szCs w:val="10"/>
                <w:color w:val="auto"/>
              </w:rPr>
              <w:t>(1)</w:t>
            </w:r>
          </w:p>
        </w:tc>
        <w:tc>
          <w:tcPr>
            <w:tcW w:w="740" w:type="dxa"/>
            <w:vAlign w:val="bottom"/>
            <w:shd w:val="clear" w:color="auto" w:fill="E9EFEE"/>
          </w:tcPr>
          <w:p>
            <w:pPr>
              <w:spacing w:after="0"/>
              <w:rPr>
                <w:sz w:val="15"/>
                <w:szCs w:val="15"/>
                <w:color w:val="auto"/>
              </w:rPr>
            </w:pPr>
          </w:p>
        </w:tc>
        <w:tc>
          <w:tcPr>
            <w:tcW w:w="700" w:type="dxa"/>
            <w:vAlign w:val="bottom"/>
            <w:gridSpan w:val="2"/>
            <w:shd w:val="clear" w:color="auto" w:fill="E9EFEE"/>
          </w:tcPr>
          <w:p>
            <w:pPr>
              <w:jc w:val="right"/>
              <w:spacing w:after="0"/>
              <w:rPr>
                <w:sz w:val="20"/>
                <w:szCs w:val="20"/>
                <w:color w:val="auto"/>
              </w:rPr>
            </w:pPr>
            <w:r>
              <w:rPr>
                <w:rFonts w:ascii="Arial" w:cs="Arial" w:eastAsia="Arial" w:hAnsi="Arial"/>
                <w:sz w:val="14"/>
                <w:szCs w:val="14"/>
                <w:color w:val="auto"/>
              </w:rPr>
              <w:t>57,330</w:t>
            </w:r>
          </w:p>
        </w:tc>
        <w:tc>
          <w:tcPr>
            <w:tcW w:w="900" w:type="dxa"/>
            <w:vAlign w:val="bottom"/>
            <w:shd w:val="clear" w:color="auto" w:fill="E9EFEE"/>
          </w:tcPr>
          <w:p>
            <w:pPr>
              <w:jc w:val="right"/>
              <w:ind w:right="51"/>
              <w:spacing w:after="0"/>
              <w:rPr>
                <w:sz w:val="20"/>
                <w:szCs w:val="20"/>
                <w:color w:val="auto"/>
              </w:rPr>
            </w:pPr>
            <w:r>
              <w:rPr>
                <w:rFonts w:ascii="Arial" w:cs="Arial" w:eastAsia="Arial" w:hAnsi="Arial"/>
                <w:sz w:val="14"/>
                <w:szCs w:val="14"/>
                <w:color w:val="auto"/>
              </w:rPr>
              <w:t>273,000</w:t>
            </w:r>
          </w:p>
        </w:tc>
        <w:tc>
          <w:tcPr>
            <w:tcW w:w="800" w:type="dxa"/>
            <w:vAlign w:val="bottom"/>
            <w:shd w:val="clear" w:color="auto" w:fill="E9EFEE"/>
          </w:tcPr>
          <w:p>
            <w:pPr>
              <w:jc w:val="right"/>
              <w:spacing w:after="0"/>
              <w:rPr>
                <w:sz w:val="20"/>
                <w:szCs w:val="20"/>
                <w:color w:val="auto"/>
              </w:rPr>
            </w:pPr>
            <w:r>
              <w:rPr>
                <w:rFonts w:ascii="Arial" w:cs="Arial" w:eastAsia="Arial" w:hAnsi="Arial"/>
                <w:sz w:val="14"/>
                <w:szCs w:val="14"/>
                <w:color w:val="auto"/>
              </w:rPr>
              <w:t>546,000</w:t>
            </w:r>
          </w:p>
        </w:tc>
        <w:tc>
          <w:tcPr>
            <w:tcW w:w="100" w:type="dxa"/>
            <w:vAlign w:val="bottom"/>
            <w:shd w:val="clear" w:color="auto" w:fill="E9EFEE"/>
          </w:tcPr>
          <w:p>
            <w:pPr>
              <w:spacing w:after="0"/>
              <w:rPr>
                <w:sz w:val="15"/>
                <w:szCs w:val="15"/>
                <w:color w:val="auto"/>
              </w:rPr>
            </w:pPr>
          </w:p>
        </w:tc>
        <w:tc>
          <w:tcPr>
            <w:tcW w:w="680" w:type="dxa"/>
            <w:vAlign w:val="bottom"/>
            <w:shd w:val="clear" w:color="auto" w:fill="E9EFEE"/>
          </w:tcPr>
          <w:p>
            <w:pPr>
              <w:ind w:left="480"/>
              <w:spacing w:after="0"/>
              <w:rPr>
                <w:sz w:val="20"/>
                <w:szCs w:val="20"/>
                <w:color w:val="auto"/>
              </w:rPr>
            </w:pPr>
            <w:r>
              <w:rPr>
                <w:rFonts w:ascii="Arial" w:cs="Arial" w:eastAsia="Arial" w:hAnsi="Arial"/>
                <w:sz w:val="14"/>
                <w:szCs w:val="14"/>
                <w:color w:val="auto"/>
              </w:rPr>
              <w:t>—</w:t>
            </w:r>
          </w:p>
        </w:tc>
        <w:tc>
          <w:tcPr>
            <w:tcW w:w="820" w:type="dxa"/>
            <w:vAlign w:val="bottom"/>
            <w:shd w:val="clear" w:color="auto" w:fill="E9EFEE"/>
          </w:tcPr>
          <w:p>
            <w:pPr>
              <w:jc w:val="right"/>
              <w:ind w:right="91"/>
              <w:spacing w:after="0"/>
              <w:rPr>
                <w:sz w:val="20"/>
                <w:szCs w:val="20"/>
                <w:color w:val="auto"/>
              </w:rPr>
            </w:pPr>
            <w:r>
              <w:rPr>
                <w:rFonts w:ascii="Arial" w:cs="Arial" w:eastAsia="Arial" w:hAnsi="Arial"/>
                <w:sz w:val="14"/>
                <w:szCs w:val="14"/>
                <w:color w:val="auto"/>
              </w:rPr>
              <w:t>—</w:t>
            </w:r>
          </w:p>
        </w:tc>
        <w:tc>
          <w:tcPr>
            <w:tcW w:w="700" w:type="dxa"/>
            <w:vAlign w:val="bottom"/>
            <w:shd w:val="clear" w:color="auto" w:fill="E9EFEE"/>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shd w:val="clear" w:color="auto" w:fill="E9EFEE"/>
          </w:tcPr>
          <w:p>
            <w:pPr>
              <w:jc w:val="right"/>
              <w:ind w:right="73"/>
              <w:spacing w:after="0"/>
              <w:rPr>
                <w:sz w:val="20"/>
                <w:szCs w:val="20"/>
                <w:color w:val="auto"/>
              </w:rPr>
            </w:pPr>
            <w:r>
              <w:rPr>
                <w:rFonts w:ascii="Arial" w:cs="Arial" w:eastAsia="Arial" w:hAnsi="Arial"/>
                <w:sz w:val="14"/>
                <w:szCs w:val="14"/>
                <w:color w:val="auto"/>
              </w:rPr>
              <w:t>—</w:t>
            </w:r>
          </w:p>
        </w:tc>
        <w:tc>
          <w:tcPr>
            <w:tcW w:w="900" w:type="dxa"/>
            <w:vAlign w:val="bottom"/>
            <w:shd w:val="clear" w:color="auto" w:fill="E9EFEE"/>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20" w:type="dxa"/>
            <w:vAlign w:val="bottom"/>
            <w:shd w:val="clear" w:color="auto" w:fill="E9EFEE"/>
          </w:tcPr>
          <w:p>
            <w:pPr>
              <w:ind w:left="160"/>
              <w:spacing w:after="0"/>
              <w:rPr>
                <w:sz w:val="20"/>
                <w:szCs w:val="20"/>
                <w:color w:val="auto"/>
              </w:rPr>
            </w:pPr>
            <w:r>
              <w:rPr>
                <w:rFonts w:ascii="Arial" w:cs="Arial" w:eastAsia="Arial" w:hAnsi="Arial"/>
                <w:sz w:val="14"/>
                <w:szCs w:val="14"/>
                <w:color w:val="auto"/>
              </w:rPr>
              <w:t>Zalupski</w:t>
            </w:r>
          </w:p>
        </w:tc>
        <w:tc>
          <w:tcPr>
            <w:tcW w:w="1620" w:type="dxa"/>
            <w:vAlign w:val="bottom"/>
            <w:shd w:val="clear" w:color="auto" w:fill="E9EFEE"/>
          </w:tcPr>
          <w:p>
            <w:pPr>
              <w:spacing w:after="0" w:line="198" w:lineRule="exact"/>
              <w:rPr>
                <w:sz w:val="20"/>
                <w:szCs w:val="20"/>
                <w:color w:val="auto"/>
              </w:rPr>
            </w:pPr>
            <w:r>
              <w:rPr>
                <w:rFonts w:ascii="Arial" w:cs="Arial" w:eastAsia="Arial" w:hAnsi="Arial"/>
                <w:sz w:val="13"/>
                <w:szCs w:val="13"/>
                <w:color w:val="auto"/>
              </w:rPr>
              <w:t>Restricted Stock Unit</w:t>
            </w:r>
            <w:r>
              <w:rPr>
                <w:rFonts w:ascii="Arial" w:cs="Arial" w:eastAsia="Arial" w:hAnsi="Arial"/>
                <w:sz w:val="22"/>
                <w:szCs w:val="22"/>
                <w:color w:val="auto"/>
                <w:vertAlign w:val="superscript"/>
              </w:rPr>
              <w:t>(2)</w:t>
            </w:r>
          </w:p>
        </w:tc>
        <w:tc>
          <w:tcPr>
            <w:tcW w:w="740" w:type="dxa"/>
            <w:vAlign w:val="bottom"/>
            <w:shd w:val="clear" w:color="auto" w:fill="E9EFEE"/>
          </w:tcPr>
          <w:p>
            <w:pPr>
              <w:jc w:val="center"/>
              <w:spacing w:after="0"/>
              <w:rPr>
                <w:sz w:val="20"/>
                <w:szCs w:val="20"/>
                <w:color w:val="auto"/>
              </w:rPr>
            </w:pPr>
            <w:r>
              <w:rPr>
                <w:rFonts w:ascii="Arial" w:cs="Arial" w:eastAsia="Arial" w:hAnsi="Arial"/>
                <w:sz w:val="14"/>
                <w:szCs w:val="14"/>
                <w:color w:val="auto"/>
              </w:rPr>
              <w:t>5/1/2018</w:t>
            </w:r>
          </w:p>
        </w:tc>
        <w:tc>
          <w:tcPr>
            <w:tcW w:w="80" w:type="dxa"/>
            <w:vAlign w:val="bottom"/>
            <w:shd w:val="clear" w:color="auto" w:fill="E9EFEE"/>
          </w:tcPr>
          <w:p>
            <w:pPr>
              <w:spacing w:after="0"/>
              <w:rPr>
                <w:sz w:val="17"/>
                <w:szCs w:val="17"/>
                <w:color w:val="auto"/>
              </w:rPr>
            </w:pPr>
          </w:p>
        </w:tc>
        <w:tc>
          <w:tcPr>
            <w:tcW w:w="620" w:type="dxa"/>
            <w:vAlign w:val="bottom"/>
            <w:shd w:val="clear" w:color="auto" w:fill="E9EFEE"/>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9EFEE"/>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shd w:val="clear" w:color="auto" w:fill="E9EFEE"/>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9EFEE"/>
          </w:tcPr>
          <w:p>
            <w:pPr>
              <w:spacing w:after="0"/>
              <w:rPr>
                <w:sz w:val="17"/>
                <w:szCs w:val="17"/>
                <w:color w:val="auto"/>
              </w:rPr>
            </w:pPr>
          </w:p>
        </w:tc>
        <w:tc>
          <w:tcPr>
            <w:tcW w:w="680" w:type="dxa"/>
            <w:vAlign w:val="bottom"/>
            <w:shd w:val="clear" w:color="auto" w:fill="E9EFEE"/>
          </w:tcPr>
          <w:p>
            <w:pPr>
              <w:ind w:left="480"/>
              <w:spacing w:after="0"/>
              <w:rPr>
                <w:sz w:val="20"/>
                <w:szCs w:val="20"/>
                <w:color w:val="auto"/>
              </w:rPr>
            </w:pPr>
            <w:r>
              <w:rPr>
                <w:rFonts w:ascii="Arial" w:cs="Arial" w:eastAsia="Arial" w:hAnsi="Arial"/>
                <w:sz w:val="14"/>
                <w:szCs w:val="14"/>
                <w:color w:val="auto"/>
              </w:rPr>
              <w:t>—</w:t>
            </w:r>
          </w:p>
        </w:tc>
        <w:tc>
          <w:tcPr>
            <w:tcW w:w="820" w:type="dxa"/>
            <w:vAlign w:val="bottom"/>
            <w:shd w:val="clear" w:color="auto" w:fill="E9EFEE"/>
          </w:tcPr>
          <w:p>
            <w:pPr>
              <w:jc w:val="right"/>
              <w:ind w:right="91"/>
              <w:spacing w:after="0"/>
              <w:rPr>
                <w:sz w:val="20"/>
                <w:szCs w:val="20"/>
                <w:color w:val="auto"/>
              </w:rPr>
            </w:pPr>
            <w:r>
              <w:rPr>
                <w:rFonts w:ascii="Arial" w:cs="Arial" w:eastAsia="Arial" w:hAnsi="Arial"/>
                <w:sz w:val="14"/>
                <w:szCs w:val="14"/>
                <w:color w:val="auto"/>
              </w:rPr>
              <w:t>—</w:t>
            </w:r>
          </w:p>
        </w:tc>
        <w:tc>
          <w:tcPr>
            <w:tcW w:w="700" w:type="dxa"/>
            <w:vAlign w:val="bottom"/>
            <w:shd w:val="clear" w:color="auto" w:fill="E9EFEE"/>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shd w:val="clear" w:color="auto" w:fill="E9EFEE"/>
          </w:tcPr>
          <w:p>
            <w:pPr>
              <w:jc w:val="right"/>
              <w:ind w:right="73"/>
              <w:spacing w:after="0"/>
              <w:rPr>
                <w:sz w:val="20"/>
                <w:szCs w:val="20"/>
                <w:color w:val="auto"/>
              </w:rPr>
            </w:pPr>
            <w:r>
              <w:rPr>
                <w:rFonts w:ascii="Arial" w:cs="Arial" w:eastAsia="Arial" w:hAnsi="Arial"/>
                <w:sz w:val="14"/>
                <w:szCs w:val="14"/>
                <w:color w:val="auto"/>
              </w:rPr>
              <w:t>12,915</w:t>
            </w:r>
          </w:p>
        </w:tc>
        <w:tc>
          <w:tcPr>
            <w:tcW w:w="900" w:type="dxa"/>
            <w:vAlign w:val="bottom"/>
            <w:shd w:val="clear" w:color="auto" w:fill="E9EFEE"/>
          </w:tcPr>
          <w:p>
            <w:pPr>
              <w:jc w:val="right"/>
              <w:ind w:right="32"/>
              <w:spacing w:after="0"/>
              <w:rPr>
                <w:sz w:val="20"/>
                <w:szCs w:val="20"/>
                <w:color w:val="auto"/>
              </w:rPr>
            </w:pPr>
            <w:r>
              <w:rPr>
                <w:rFonts w:ascii="Arial" w:cs="Arial" w:eastAsia="Arial" w:hAnsi="Arial"/>
                <w:sz w:val="14"/>
                <w:szCs w:val="14"/>
                <w:color w:val="auto"/>
              </w:rPr>
              <w:t>349,997</w:t>
            </w:r>
          </w:p>
        </w:tc>
        <w:tc>
          <w:tcPr>
            <w:tcW w:w="0" w:type="dxa"/>
            <w:vAlign w:val="bottom"/>
          </w:tcPr>
          <w:p>
            <w:pPr>
              <w:spacing w:after="0"/>
              <w:rPr>
                <w:sz w:val="1"/>
                <w:szCs w:val="1"/>
                <w:color w:val="auto"/>
              </w:rPr>
            </w:pPr>
          </w:p>
        </w:tc>
      </w:tr>
      <w:tr>
        <w:trPr>
          <w:trHeight w:val="161"/>
        </w:trPr>
        <w:tc>
          <w:tcPr>
            <w:tcW w:w="820" w:type="dxa"/>
            <w:vAlign w:val="bottom"/>
            <w:shd w:val="clear" w:color="auto" w:fill="E9EFEE"/>
          </w:tcPr>
          <w:p>
            <w:pPr>
              <w:spacing w:after="0"/>
              <w:rPr>
                <w:sz w:val="14"/>
                <w:szCs w:val="14"/>
                <w:color w:val="auto"/>
              </w:rPr>
            </w:pPr>
          </w:p>
        </w:tc>
        <w:tc>
          <w:tcPr>
            <w:tcW w:w="1620" w:type="dxa"/>
            <w:vAlign w:val="bottom"/>
            <w:shd w:val="clear" w:color="auto" w:fill="E9EFEE"/>
          </w:tcPr>
          <w:p>
            <w:pPr>
              <w:spacing w:after="0"/>
              <w:rPr>
                <w:sz w:val="20"/>
                <w:szCs w:val="20"/>
                <w:color w:val="auto"/>
              </w:rPr>
            </w:pPr>
            <w:r>
              <w:rPr>
                <w:rFonts w:ascii="Arial" w:cs="Arial" w:eastAsia="Arial" w:hAnsi="Arial"/>
                <w:sz w:val="14"/>
                <w:szCs w:val="14"/>
                <w:color w:val="auto"/>
              </w:rPr>
              <w:t>Performance Stock</w:t>
            </w:r>
          </w:p>
        </w:tc>
        <w:tc>
          <w:tcPr>
            <w:tcW w:w="740" w:type="dxa"/>
            <w:vAlign w:val="bottom"/>
            <w:shd w:val="clear" w:color="auto" w:fill="E9EFEE"/>
          </w:tcPr>
          <w:p>
            <w:pPr>
              <w:spacing w:after="0"/>
              <w:rPr>
                <w:sz w:val="14"/>
                <w:szCs w:val="14"/>
                <w:color w:val="auto"/>
              </w:rPr>
            </w:pPr>
          </w:p>
        </w:tc>
        <w:tc>
          <w:tcPr>
            <w:tcW w:w="80" w:type="dxa"/>
            <w:vAlign w:val="bottom"/>
            <w:shd w:val="clear" w:color="auto" w:fill="E9EFEE"/>
          </w:tcPr>
          <w:p>
            <w:pPr>
              <w:spacing w:after="0"/>
              <w:rPr>
                <w:sz w:val="14"/>
                <w:szCs w:val="14"/>
                <w:color w:val="auto"/>
              </w:rPr>
            </w:pPr>
          </w:p>
        </w:tc>
        <w:tc>
          <w:tcPr>
            <w:tcW w:w="620" w:type="dxa"/>
            <w:vAlign w:val="bottom"/>
            <w:shd w:val="clear" w:color="auto" w:fill="E9EFEE"/>
          </w:tcPr>
          <w:p>
            <w:pPr>
              <w:spacing w:after="0"/>
              <w:rPr>
                <w:sz w:val="14"/>
                <w:szCs w:val="14"/>
                <w:color w:val="auto"/>
              </w:rPr>
            </w:pPr>
          </w:p>
        </w:tc>
        <w:tc>
          <w:tcPr>
            <w:tcW w:w="900" w:type="dxa"/>
            <w:vAlign w:val="bottom"/>
            <w:shd w:val="clear" w:color="auto" w:fill="E9EFEE"/>
          </w:tcPr>
          <w:p>
            <w:pPr>
              <w:spacing w:after="0"/>
              <w:rPr>
                <w:sz w:val="14"/>
                <w:szCs w:val="14"/>
                <w:color w:val="auto"/>
              </w:rPr>
            </w:pPr>
          </w:p>
        </w:tc>
        <w:tc>
          <w:tcPr>
            <w:tcW w:w="800" w:type="dxa"/>
            <w:vAlign w:val="bottom"/>
            <w:shd w:val="clear" w:color="auto" w:fill="E9EFEE"/>
          </w:tcPr>
          <w:p>
            <w:pPr>
              <w:spacing w:after="0"/>
              <w:rPr>
                <w:sz w:val="14"/>
                <w:szCs w:val="14"/>
                <w:color w:val="auto"/>
              </w:rPr>
            </w:pPr>
          </w:p>
        </w:tc>
        <w:tc>
          <w:tcPr>
            <w:tcW w:w="100" w:type="dxa"/>
            <w:vAlign w:val="bottom"/>
            <w:shd w:val="clear" w:color="auto" w:fill="E9EFEE"/>
          </w:tcPr>
          <w:p>
            <w:pPr>
              <w:spacing w:after="0"/>
              <w:rPr>
                <w:sz w:val="14"/>
                <w:szCs w:val="14"/>
                <w:color w:val="auto"/>
              </w:rPr>
            </w:pPr>
          </w:p>
        </w:tc>
        <w:tc>
          <w:tcPr>
            <w:tcW w:w="680" w:type="dxa"/>
            <w:vAlign w:val="bottom"/>
            <w:shd w:val="clear" w:color="auto" w:fill="E9EFEE"/>
          </w:tcPr>
          <w:p>
            <w:pPr>
              <w:spacing w:after="0"/>
              <w:rPr>
                <w:sz w:val="14"/>
                <w:szCs w:val="14"/>
                <w:color w:val="auto"/>
              </w:rPr>
            </w:pPr>
          </w:p>
        </w:tc>
        <w:tc>
          <w:tcPr>
            <w:tcW w:w="820" w:type="dxa"/>
            <w:vAlign w:val="bottom"/>
            <w:shd w:val="clear" w:color="auto" w:fill="E9EFEE"/>
          </w:tcPr>
          <w:p>
            <w:pPr>
              <w:spacing w:after="0"/>
              <w:rPr>
                <w:sz w:val="14"/>
                <w:szCs w:val="14"/>
                <w:color w:val="auto"/>
              </w:rPr>
            </w:pPr>
          </w:p>
        </w:tc>
        <w:tc>
          <w:tcPr>
            <w:tcW w:w="700" w:type="dxa"/>
            <w:vAlign w:val="bottom"/>
            <w:shd w:val="clear" w:color="auto" w:fill="E9EFEE"/>
          </w:tcPr>
          <w:p>
            <w:pPr>
              <w:spacing w:after="0"/>
              <w:rPr>
                <w:sz w:val="14"/>
                <w:szCs w:val="14"/>
                <w:color w:val="auto"/>
              </w:rPr>
            </w:pPr>
          </w:p>
        </w:tc>
        <w:tc>
          <w:tcPr>
            <w:tcW w:w="780" w:type="dxa"/>
            <w:vAlign w:val="bottom"/>
            <w:shd w:val="clear" w:color="auto" w:fill="E9EFEE"/>
          </w:tcPr>
          <w:p>
            <w:pPr>
              <w:spacing w:after="0"/>
              <w:rPr>
                <w:sz w:val="14"/>
                <w:szCs w:val="14"/>
                <w:color w:val="auto"/>
              </w:rPr>
            </w:pPr>
          </w:p>
        </w:tc>
        <w:tc>
          <w:tcPr>
            <w:tcW w:w="900" w:type="dxa"/>
            <w:vAlign w:val="bottom"/>
            <w:shd w:val="clear" w:color="auto" w:fill="E9EFE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20" w:type="dxa"/>
            <w:vAlign w:val="bottom"/>
            <w:shd w:val="clear" w:color="auto" w:fill="E9EFEE"/>
          </w:tcPr>
          <w:p>
            <w:pPr>
              <w:spacing w:after="0"/>
              <w:rPr>
                <w:sz w:val="16"/>
                <w:szCs w:val="16"/>
                <w:color w:val="auto"/>
              </w:rPr>
            </w:pPr>
          </w:p>
        </w:tc>
        <w:tc>
          <w:tcPr>
            <w:tcW w:w="1620" w:type="dxa"/>
            <w:vAlign w:val="bottom"/>
            <w:shd w:val="clear" w:color="auto" w:fill="E9EFEE"/>
          </w:tcPr>
          <w:p>
            <w:pPr>
              <w:spacing w:after="0" w:line="190" w:lineRule="exact"/>
              <w:rPr>
                <w:sz w:val="20"/>
                <w:szCs w:val="20"/>
                <w:color w:val="auto"/>
              </w:rPr>
            </w:pPr>
            <w:r>
              <w:rPr>
                <w:rFonts w:ascii="Arial" w:cs="Arial" w:eastAsia="Arial" w:hAnsi="Arial"/>
                <w:sz w:val="13"/>
                <w:szCs w:val="13"/>
                <w:color w:val="auto"/>
              </w:rPr>
              <w:t>Unit</w:t>
            </w:r>
            <w:r>
              <w:rPr>
                <w:rFonts w:ascii="Arial" w:cs="Arial" w:eastAsia="Arial" w:hAnsi="Arial"/>
                <w:sz w:val="21"/>
                <w:szCs w:val="21"/>
                <w:color w:val="auto"/>
                <w:vertAlign w:val="superscript"/>
              </w:rPr>
              <w:t>(3)</w:t>
            </w:r>
          </w:p>
        </w:tc>
        <w:tc>
          <w:tcPr>
            <w:tcW w:w="740" w:type="dxa"/>
            <w:vAlign w:val="bottom"/>
            <w:shd w:val="clear" w:color="auto" w:fill="E9EFEE"/>
          </w:tcPr>
          <w:p>
            <w:pPr>
              <w:jc w:val="center"/>
              <w:spacing w:after="0"/>
              <w:rPr>
                <w:sz w:val="20"/>
                <w:szCs w:val="20"/>
                <w:color w:val="auto"/>
              </w:rPr>
            </w:pPr>
            <w:r>
              <w:rPr>
                <w:rFonts w:ascii="Arial" w:cs="Arial" w:eastAsia="Arial" w:hAnsi="Arial"/>
                <w:sz w:val="14"/>
                <w:szCs w:val="14"/>
                <w:color w:val="auto"/>
              </w:rPr>
              <w:t>5/1/2018</w:t>
            </w:r>
          </w:p>
        </w:tc>
        <w:tc>
          <w:tcPr>
            <w:tcW w:w="80" w:type="dxa"/>
            <w:vAlign w:val="bottom"/>
            <w:shd w:val="clear" w:color="auto" w:fill="E9EFEE"/>
          </w:tcPr>
          <w:p>
            <w:pPr>
              <w:spacing w:after="0"/>
              <w:rPr>
                <w:sz w:val="16"/>
                <w:szCs w:val="16"/>
                <w:color w:val="auto"/>
              </w:rPr>
            </w:pPr>
          </w:p>
        </w:tc>
        <w:tc>
          <w:tcPr>
            <w:tcW w:w="620" w:type="dxa"/>
            <w:vAlign w:val="bottom"/>
            <w:shd w:val="clear" w:color="auto" w:fill="E9EFEE"/>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9EFEE"/>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shd w:val="clear" w:color="auto" w:fill="E9EFEE"/>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9EFEE"/>
          </w:tcPr>
          <w:p>
            <w:pPr>
              <w:spacing w:after="0"/>
              <w:rPr>
                <w:sz w:val="16"/>
                <w:szCs w:val="16"/>
                <w:color w:val="auto"/>
              </w:rPr>
            </w:pPr>
          </w:p>
        </w:tc>
        <w:tc>
          <w:tcPr>
            <w:tcW w:w="680" w:type="dxa"/>
            <w:vAlign w:val="bottom"/>
            <w:shd w:val="clear" w:color="auto" w:fill="E9EFEE"/>
          </w:tcPr>
          <w:p>
            <w:pPr>
              <w:ind w:left="480"/>
              <w:spacing w:after="0"/>
              <w:rPr>
                <w:sz w:val="20"/>
                <w:szCs w:val="20"/>
                <w:color w:val="auto"/>
              </w:rPr>
            </w:pPr>
            <w:r>
              <w:rPr>
                <w:rFonts w:ascii="Arial" w:cs="Arial" w:eastAsia="Arial" w:hAnsi="Arial"/>
                <w:sz w:val="14"/>
                <w:szCs w:val="14"/>
                <w:color w:val="auto"/>
              </w:rPr>
              <w:t>—</w:t>
            </w:r>
          </w:p>
        </w:tc>
        <w:tc>
          <w:tcPr>
            <w:tcW w:w="820" w:type="dxa"/>
            <w:vAlign w:val="bottom"/>
            <w:shd w:val="clear" w:color="auto" w:fill="E9EFEE"/>
          </w:tcPr>
          <w:p>
            <w:pPr>
              <w:jc w:val="right"/>
              <w:ind w:right="91"/>
              <w:spacing w:after="0"/>
              <w:rPr>
                <w:sz w:val="20"/>
                <w:szCs w:val="20"/>
                <w:color w:val="auto"/>
              </w:rPr>
            </w:pPr>
            <w:r>
              <w:rPr>
                <w:rFonts w:ascii="Arial" w:cs="Arial" w:eastAsia="Arial" w:hAnsi="Arial"/>
                <w:sz w:val="14"/>
                <w:szCs w:val="14"/>
                <w:color w:val="auto"/>
              </w:rPr>
              <w:t>12,915</w:t>
            </w:r>
          </w:p>
        </w:tc>
        <w:tc>
          <w:tcPr>
            <w:tcW w:w="700" w:type="dxa"/>
            <w:vAlign w:val="bottom"/>
            <w:shd w:val="clear" w:color="auto" w:fill="E9EFEE"/>
          </w:tcPr>
          <w:p>
            <w:pPr>
              <w:jc w:val="right"/>
              <w:ind w:right="30"/>
              <w:spacing w:after="0"/>
              <w:rPr>
                <w:sz w:val="20"/>
                <w:szCs w:val="20"/>
                <w:color w:val="auto"/>
              </w:rPr>
            </w:pPr>
            <w:r>
              <w:rPr>
                <w:rFonts w:ascii="Arial" w:cs="Arial" w:eastAsia="Arial" w:hAnsi="Arial"/>
                <w:sz w:val="14"/>
                <w:szCs w:val="14"/>
                <w:color w:val="auto"/>
              </w:rPr>
              <w:t>25,830</w:t>
            </w:r>
          </w:p>
        </w:tc>
        <w:tc>
          <w:tcPr>
            <w:tcW w:w="780" w:type="dxa"/>
            <w:vAlign w:val="bottom"/>
            <w:shd w:val="clear" w:color="auto" w:fill="E9EFEE"/>
          </w:tcPr>
          <w:p>
            <w:pPr>
              <w:jc w:val="right"/>
              <w:ind w:right="73"/>
              <w:spacing w:after="0"/>
              <w:rPr>
                <w:sz w:val="20"/>
                <w:szCs w:val="20"/>
                <w:color w:val="auto"/>
              </w:rPr>
            </w:pPr>
            <w:r>
              <w:rPr>
                <w:rFonts w:ascii="Arial" w:cs="Arial" w:eastAsia="Arial" w:hAnsi="Arial"/>
                <w:sz w:val="14"/>
                <w:szCs w:val="14"/>
                <w:color w:val="auto"/>
              </w:rPr>
              <w:t>—</w:t>
            </w:r>
          </w:p>
        </w:tc>
        <w:tc>
          <w:tcPr>
            <w:tcW w:w="900" w:type="dxa"/>
            <w:vAlign w:val="bottom"/>
            <w:shd w:val="clear" w:color="auto" w:fill="E9EFEE"/>
          </w:tcPr>
          <w:p>
            <w:pPr>
              <w:jc w:val="right"/>
              <w:ind w:right="32"/>
              <w:spacing w:after="0"/>
              <w:rPr>
                <w:sz w:val="20"/>
                <w:szCs w:val="20"/>
                <w:color w:val="auto"/>
              </w:rPr>
            </w:pPr>
            <w:r>
              <w:rPr>
                <w:rFonts w:ascii="Arial" w:cs="Arial" w:eastAsia="Arial" w:hAnsi="Arial"/>
                <w:sz w:val="14"/>
                <w:szCs w:val="14"/>
                <w:color w:val="auto"/>
              </w:rPr>
              <w:t>419,524</w:t>
            </w: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20" w:type="dxa"/>
            <w:vAlign w:val="bottom"/>
            <w:shd w:val="clear" w:color="auto" w:fill="E9EFEE"/>
          </w:tcPr>
          <w:p>
            <w:pPr>
              <w:ind w:left="20"/>
              <w:spacing w:after="0"/>
              <w:rPr>
                <w:sz w:val="20"/>
                <w:szCs w:val="20"/>
                <w:color w:val="auto"/>
              </w:rPr>
            </w:pPr>
            <w:r>
              <w:rPr>
                <w:rFonts w:ascii="Arial" w:cs="Arial" w:eastAsia="Arial" w:hAnsi="Arial"/>
                <w:sz w:val="14"/>
                <w:szCs w:val="14"/>
                <w:color w:val="auto"/>
              </w:rPr>
              <w:t>Joshua A.</w:t>
            </w:r>
          </w:p>
        </w:tc>
        <w:tc>
          <w:tcPr>
            <w:tcW w:w="1620" w:type="dxa"/>
            <w:vAlign w:val="bottom"/>
            <w:shd w:val="clear" w:color="auto" w:fill="E9EFEE"/>
          </w:tcPr>
          <w:p>
            <w:pPr>
              <w:spacing w:after="0" w:line="181" w:lineRule="exact"/>
              <w:rPr>
                <w:sz w:val="20"/>
                <w:szCs w:val="20"/>
                <w:color w:val="auto"/>
              </w:rPr>
            </w:pPr>
            <w:r>
              <w:rPr>
                <w:rFonts w:ascii="Arial" w:cs="Arial" w:eastAsia="Arial" w:hAnsi="Arial"/>
                <w:sz w:val="12"/>
                <w:szCs w:val="12"/>
                <w:color w:val="auto"/>
              </w:rPr>
              <w:t>STI</w:t>
            </w:r>
            <w:r>
              <w:rPr>
                <w:rFonts w:ascii="Arial" w:cs="Arial" w:eastAsia="Arial" w:hAnsi="Arial"/>
                <w:sz w:val="20"/>
                <w:szCs w:val="20"/>
                <w:color w:val="auto"/>
                <w:vertAlign w:val="superscript"/>
              </w:rPr>
              <w:t>(1)</w:t>
            </w:r>
          </w:p>
        </w:tc>
        <w:tc>
          <w:tcPr>
            <w:tcW w:w="740" w:type="dxa"/>
            <w:vAlign w:val="bottom"/>
            <w:shd w:val="clear" w:color="auto" w:fill="E9EFEE"/>
          </w:tcPr>
          <w:p>
            <w:pPr>
              <w:spacing w:after="0"/>
              <w:rPr>
                <w:sz w:val="15"/>
                <w:szCs w:val="15"/>
                <w:color w:val="auto"/>
              </w:rPr>
            </w:pPr>
          </w:p>
        </w:tc>
        <w:tc>
          <w:tcPr>
            <w:tcW w:w="700" w:type="dxa"/>
            <w:vAlign w:val="bottom"/>
            <w:gridSpan w:val="2"/>
            <w:shd w:val="clear" w:color="auto" w:fill="E9EFEE"/>
          </w:tcPr>
          <w:p>
            <w:pPr>
              <w:jc w:val="right"/>
              <w:spacing w:after="0"/>
              <w:rPr>
                <w:sz w:val="20"/>
                <w:szCs w:val="20"/>
                <w:color w:val="auto"/>
              </w:rPr>
            </w:pPr>
            <w:r>
              <w:rPr>
                <w:rFonts w:ascii="Arial" w:cs="Arial" w:eastAsia="Arial" w:hAnsi="Arial"/>
                <w:sz w:val="14"/>
                <w:szCs w:val="14"/>
                <w:color w:val="auto"/>
              </w:rPr>
              <w:t>50,450</w:t>
            </w:r>
          </w:p>
        </w:tc>
        <w:tc>
          <w:tcPr>
            <w:tcW w:w="900" w:type="dxa"/>
            <w:vAlign w:val="bottom"/>
            <w:shd w:val="clear" w:color="auto" w:fill="E9EFEE"/>
          </w:tcPr>
          <w:p>
            <w:pPr>
              <w:jc w:val="right"/>
              <w:ind w:right="51"/>
              <w:spacing w:after="0"/>
              <w:rPr>
                <w:sz w:val="20"/>
                <w:szCs w:val="20"/>
                <w:color w:val="auto"/>
              </w:rPr>
            </w:pPr>
            <w:r>
              <w:rPr>
                <w:rFonts w:ascii="Arial" w:cs="Arial" w:eastAsia="Arial" w:hAnsi="Arial"/>
                <w:sz w:val="14"/>
                <w:szCs w:val="14"/>
                <w:color w:val="auto"/>
              </w:rPr>
              <w:t>240,240</w:t>
            </w:r>
          </w:p>
        </w:tc>
        <w:tc>
          <w:tcPr>
            <w:tcW w:w="800" w:type="dxa"/>
            <w:vAlign w:val="bottom"/>
            <w:shd w:val="clear" w:color="auto" w:fill="E9EFEE"/>
          </w:tcPr>
          <w:p>
            <w:pPr>
              <w:jc w:val="right"/>
              <w:spacing w:after="0"/>
              <w:rPr>
                <w:sz w:val="20"/>
                <w:szCs w:val="20"/>
                <w:color w:val="auto"/>
              </w:rPr>
            </w:pPr>
            <w:r>
              <w:rPr>
                <w:rFonts w:ascii="Arial" w:cs="Arial" w:eastAsia="Arial" w:hAnsi="Arial"/>
                <w:sz w:val="14"/>
                <w:szCs w:val="14"/>
                <w:color w:val="auto"/>
              </w:rPr>
              <w:t>480,480</w:t>
            </w:r>
          </w:p>
        </w:tc>
        <w:tc>
          <w:tcPr>
            <w:tcW w:w="100" w:type="dxa"/>
            <w:vAlign w:val="bottom"/>
            <w:shd w:val="clear" w:color="auto" w:fill="E9EFEE"/>
          </w:tcPr>
          <w:p>
            <w:pPr>
              <w:spacing w:after="0"/>
              <w:rPr>
                <w:sz w:val="15"/>
                <w:szCs w:val="15"/>
                <w:color w:val="auto"/>
              </w:rPr>
            </w:pPr>
          </w:p>
        </w:tc>
        <w:tc>
          <w:tcPr>
            <w:tcW w:w="680" w:type="dxa"/>
            <w:vAlign w:val="bottom"/>
            <w:shd w:val="clear" w:color="auto" w:fill="E9EFEE"/>
          </w:tcPr>
          <w:p>
            <w:pPr>
              <w:ind w:left="480"/>
              <w:spacing w:after="0"/>
              <w:rPr>
                <w:sz w:val="20"/>
                <w:szCs w:val="20"/>
                <w:color w:val="auto"/>
              </w:rPr>
            </w:pPr>
            <w:r>
              <w:rPr>
                <w:rFonts w:ascii="Arial" w:cs="Arial" w:eastAsia="Arial" w:hAnsi="Arial"/>
                <w:sz w:val="14"/>
                <w:szCs w:val="14"/>
                <w:color w:val="auto"/>
              </w:rPr>
              <w:t>—</w:t>
            </w:r>
          </w:p>
        </w:tc>
        <w:tc>
          <w:tcPr>
            <w:tcW w:w="820" w:type="dxa"/>
            <w:vAlign w:val="bottom"/>
            <w:shd w:val="clear" w:color="auto" w:fill="E9EFEE"/>
          </w:tcPr>
          <w:p>
            <w:pPr>
              <w:jc w:val="right"/>
              <w:ind w:right="91"/>
              <w:spacing w:after="0"/>
              <w:rPr>
                <w:sz w:val="20"/>
                <w:szCs w:val="20"/>
                <w:color w:val="auto"/>
              </w:rPr>
            </w:pPr>
            <w:r>
              <w:rPr>
                <w:rFonts w:ascii="Arial" w:cs="Arial" w:eastAsia="Arial" w:hAnsi="Arial"/>
                <w:sz w:val="14"/>
                <w:szCs w:val="14"/>
                <w:color w:val="auto"/>
              </w:rPr>
              <w:t>—</w:t>
            </w:r>
          </w:p>
        </w:tc>
        <w:tc>
          <w:tcPr>
            <w:tcW w:w="700" w:type="dxa"/>
            <w:vAlign w:val="bottom"/>
            <w:shd w:val="clear" w:color="auto" w:fill="E9EFEE"/>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shd w:val="clear" w:color="auto" w:fill="E9EFEE"/>
          </w:tcPr>
          <w:p>
            <w:pPr>
              <w:jc w:val="right"/>
              <w:ind w:right="73"/>
              <w:spacing w:after="0"/>
              <w:rPr>
                <w:sz w:val="20"/>
                <w:szCs w:val="20"/>
                <w:color w:val="auto"/>
              </w:rPr>
            </w:pPr>
            <w:r>
              <w:rPr>
                <w:rFonts w:ascii="Arial" w:cs="Arial" w:eastAsia="Arial" w:hAnsi="Arial"/>
                <w:sz w:val="14"/>
                <w:szCs w:val="14"/>
                <w:color w:val="auto"/>
              </w:rPr>
              <w:t>—</w:t>
            </w:r>
          </w:p>
        </w:tc>
        <w:tc>
          <w:tcPr>
            <w:tcW w:w="900" w:type="dxa"/>
            <w:vAlign w:val="bottom"/>
            <w:shd w:val="clear" w:color="auto" w:fill="E9EFEE"/>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20" w:type="dxa"/>
            <w:vAlign w:val="bottom"/>
            <w:shd w:val="clear" w:color="auto" w:fill="E9EFEE"/>
          </w:tcPr>
          <w:p>
            <w:pPr>
              <w:ind w:left="160"/>
              <w:spacing w:after="0"/>
              <w:rPr>
                <w:sz w:val="20"/>
                <w:szCs w:val="20"/>
                <w:color w:val="auto"/>
              </w:rPr>
            </w:pPr>
            <w:r>
              <w:rPr>
                <w:rFonts w:ascii="Arial" w:cs="Arial" w:eastAsia="Arial" w:hAnsi="Arial"/>
                <w:sz w:val="14"/>
                <w:szCs w:val="14"/>
                <w:color w:val="auto"/>
              </w:rPr>
              <w:t>Sherbin</w:t>
            </w:r>
          </w:p>
        </w:tc>
        <w:tc>
          <w:tcPr>
            <w:tcW w:w="1620" w:type="dxa"/>
            <w:vAlign w:val="bottom"/>
            <w:shd w:val="clear" w:color="auto" w:fill="E9EFEE"/>
          </w:tcPr>
          <w:p>
            <w:pPr>
              <w:spacing w:after="0" w:line="198" w:lineRule="exact"/>
              <w:rPr>
                <w:sz w:val="20"/>
                <w:szCs w:val="20"/>
                <w:color w:val="auto"/>
              </w:rPr>
            </w:pPr>
            <w:r>
              <w:rPr>
                <w:rFonts w:ascii="Arial" w:cs="Arial" w:eastAsia="Arial" w:hAnsi="Arial"/>
                <w:sz w:val="13"/>
                <w:szCs w:val="13"/>
                <w:color w:val="auto"/>
              </w:rPr>
              <w:t>Restricted Stock Unit</w:t>
            </w:r>
            <w:r>
              <w:rPr>
                <w:rFonts w:ascii="Arial" w:cs="Arial" w:eastAsia="Arial" w:hAnsi="Arial"/>
                <w:sz w:val="22"/>
                <w:szCs w:val="22"/>
                <w:color w:val="auto"/>
                <w:vertAlign w:val="superscript"/>
              </w:rPr>
              <w:t>(2)</w:t>
            </w:r>
          </w:p>
        </w:tc>
        <w:tc>
          <w:tcPr>
            <w:tcW w:w="740" w:type="dxa"/>
            <w:vAlign w:val="bottom"/>
            <w:shd w:val="clear" w:color="auto" w:fill="E9EFEE"/>
          </w:tcPr>
          <w:p>
            <w:pPr>
              <w:jc w:val="center"/>
              <w:spacing w:after="0"/>
              <w:rPr>
                <w:sz w:val="20"/>
                <w:szCs w:val="20"/>
                <w:color w:val="auto"/>
              </w:rPr>
            </w:pPr>
            <w:r>
              <w:rPr>
                <w:rFonts w:ascii="Arial" w:cs="Arial" w:eastAsia="Arial" w:hAnsi="Arial"/>
                <w:sz w:val="14"/>
                <w:szCs w:val="14"/>
                <w:color w:val="auto"/>
              </w:rPr>
              <w:t>5/1/2018</w:t>
            </w:r>
          </w:p>
        </w:tc>
        <w:tc>
          <w:tcPr>
            <w:tcW w:w="80" w:type="dxa"/>
            <w:vAlign w:val="bottom"/>
            <w:shd w:val="clear" w:color="auto" w:fill="E9EFEE"/>
          </w:tcPr>
          <w:p>
            <w:pPr>
              <w:spacing w:after="0"/>
              <w:rPr>
                <w:sz w:val="17"/>
                <w:szCs w:val="17"/>
                <w:color w:val="auto"/>
              </w:rPr>
            </w:pPr>
          </w:p>
        </w:tc>
        <w:tc>
          <w:tcPr>
            <w:tcW w:w="620" w:type="dxa"/>
            <w:vAlign w:val="bottom"/>
            <w:shd w:val="clear" w:color="auto" w:fill="E9EFEE"/>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9EFEE"/>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shd w:val="clear" w:color="auto" w:fill="E9EFEE"/>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9EFEE"/>
          </w:tcPr>
          <w:p>
            <w:pPr>
              <w:spacing w:after="0"/>
              <w:rPr>
                <w:sz w:val="17"/>
                <w:szCs w:val="17"/>
                <w:color w:val="auto"/>
              </w:rPr>
            </w:pPr>
          </w:p>
        </w:tc>
        <w:tc>
          <w:tcPr>
            <w:tcW w:w="680" w:type="dxa"/>
            <w:vAlign w:val="bottom"/>
            <w:shd w:val="clear" w:color="auto" w:fill="E9EFEE"/>
          </w:tcPr>
          <w:p>
            <w:pPr>
              <w:ind w:left="480"/>
              <w:spacing w:after="0"/>
              <w:rPr>
                <w:sz w:val="20"/>
                <w:szCs w:val="20"/>
                <w:color w:val="auto"/>
              </w:rPr>
            </w:pPr>
            <w:r>
              <w:rPr>
                <w:rFonts w:ascii="Arial" w:cs="Arial" w:eastAsia="Arial" w:hAnsi="Arial"/>
                <w:sz w:val="14"/>
                <w:szCs w:val="14"/>
                <w:color w:val="auto"/>
              </w:rPr>
              <w:t>—</w:t>
            </w:r>
          </w:p>
        </w:tc>
        <w:tc>
          <w:tcPr>
            <w:tcW w:w="820" w:type="dxa"/>
            <w:vAlign w:val="bottom"/>
            <w:shd w:val="clear" w:color="auto" w:fill="E9EFEE"/>
          </w:tcPr>
          <w:p>
            <w:pPr>
              <w:jc w:val="right"/>
              <w:ind w:right="91"/>
              <w:spacing w:after="0"/>
              <w:rPr>
                <w:sz w:val="20"/>
                <w:szCs w:val="20"/>
                <w:color w:val="auto"/>
              </w:rPr>
            </w:pPr>
            <w:r>
              <w:rPr>
                <w:rFonts w:ascii="Arial" w:cs="Arial" w:eastAsia="Arial" w:hAnsi="Arial"/>
                <w:sz w:val="14"/>
                <w:szCs w:val="14"/>
                <w:color w:val="auto"/>
              </w:rPr>
              <w:t>—</w:t>
            </w:r>
          </w:p>
        </w:tc>
        <w:tc>
          <w:tcPr>
            <w:tcW w:w="700" w:type="dxa"/>
            <w:vAlign w:val="bottom"/>
            <w:shd w:val="clear" w:color="auto" w:fill="E9EFEE"/>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shd w:val="clear" w:color="auto" w:fill="E9EFEE"/>
          </w:tcPr>
          <w:p>
            <w:pPr>
              <w:jc w:val="right"/>
              <w:ind w:right="73"/>
              <w:spacing w:after="0"/>
              <w:rPr>
                <w:sz w:val="20"/>
                <w:szCs w:val="20"/>
                <w:color w:val="auto"/>
              </w:rPr>
            </w:pPr>
            <w:r>
              <w:rPr>
                <w:rFonts w:ascii="Arial" w:cs="Arial" w:eastAsia="Arial" w:hAnsi="Arial"/>
                <w:sz w:val="14"/>
                <w:szCs w:val="14"/>
                <w:color w:val="auto"/>
              </w:rPr>
              <w:t>9,225</w:t>
            </w:r>
          </w:p>
        </w:tc>
        <w:tc>
          <w:tcPr>
            <w:tcW w:w="900" w:type="dxa"/>
            <w:vAlign w:val="bottom"/>
            <w:shd w:val="clear" w:color="auto" w:fill="E9EFEE"/>
          </w:tcPr>
          <w:p>
            <w:pPr>
              <w:jc w:val="right"/>
              <w:ind w:right="32"/>
              <w:spacing w:after="0"/>
              <w:rPr>
                <w:sz w:val="20"/>
                <w:szCs w:val="20"/>
                <w:color w:val="auto"/>
              </w:rPr>
            </w:pPr>
            <w:r>
              <w:rPr>
                <w:rFonts w:ascii="Arial" w:cs="Arial" w:eastAsia="Arial" w:hAnsi="Arial"/>
                <w:sz w:val="14"/>
                <w:szCs w:val="14"/>
                <w:color w:val="auto"/>
              </w:rPr>
              <w:t>249,998</w:t>
            </w:r>
          </w:p>
        </w:tc>
        <w:tc>
          <w:tcPr>
            <w:tcW w:w="0" w:type="dxa"/>
            <w:vAlign w:val="bottom"/>
          </w:tcPr>
          <w:p>
            <w:pPr>
              <w:spacing w:after="0"/>
              <w:rPr>
                <w:sz w:val="1"/>
                <w:szCs w:val="1"/>
                <w:color w:val="auto"/>
              </w:rPr>
            </w:pPr>
          </w:p>
        </w:tc>
      </w:tr>
      <w:tr>
        <w:trPr>
          <w:trHeight w:val="161"/>
        </w:trPr>
        <w:tc>
          <w:tcPr>
            <w:tcW w:w="820" w:type="dxa"/>
            <w:vAlign w:val="bottom"/>
            <w:shd w:val="clear" w:color="auto" w:fill="E9EFEE"/>
          </w:tcPr>
          <w:p>
            <w:pPr>
              <w:spacing w:after="0"/>
              <w:rPr>
                <w:sz w:val="14"/>
                <w:szCs w:val="14"/>
                <w:color w:val="auto"/>
              </w:rPr>
            </w:pPr>
          </w:p>
        </w:tc>
        <w:tc>
          <w:tcPr>
            <w:tcW w:w="1620" w:type="dxa"/>
            <w:vAlign w:val="bottom"/>
            <w:shd w:val="clear" w:color="auto" w:fill="E9EFEE"/>
          </w:tcPr>
          <w:p>
            <w:pPr>
              <w:spacing w:after="0"/>
              <w:rPr>
                <w:sz w:val="20"/>
                <w:szCs w:val="20"/>
                <w:color w:val="auto"/>
              </w:rPr>
            </w:pPr>
            <w:r>
              <w:rPr>
                <w:rFonts w:ascii="Arial" w:cs="Arial" w:eastAsia="Arial" w:hAnsi="Arial"/>
                <w:sz w:val="14"/>
                <w:szCs w:val="14"/>
                <w:color w:val="auto"/>
              </w:rPr>
              <w:t>Performance Stock</w:t>
            </w:r>
          </w:p>
        </w:tc>
        <w:tc>
          <w:tcPr>
            <w:tcW w:w="740" w:type="dxa"/>
            <w:vAlign w:val="bottom"/>
            <w:shd w:val="clear" w:color="auto" w:fill="E9EFEE"/>
          </w:tcPr>
          <w:p>
            <w:pPr>
              <w:spacing w:after="0"/>
              <w:rPr>
                <w:sz w:val="14"/>
                <w:szCs w:val="14"/>
                <w:color w:val="auto"/>
              </w:rPr>
            </w:pPr>
          </w:p>
        </w:tc>
        <w:tc>
          <w:tcPr>
            <w:tcW w:w="80" w:type="dxa"/>
            <w:vAlign w:val="bottom"/>
            <w:shd w:val="clear" w:color="auto" w:fill="E9EFEE"/>
          </w:tcPr>
          <w:p>
            <w:pPr>
              <w:spacing w:after="0"/>
              <w:rPr>
                <w:sz w:val="14"/>
                <w:szCs w:val="14"/>
                <w:color w:val="auto"/>
              </w:rPr>
            </w:pPr>
          </w:p>
        </w:tc>
        <w:tc>
          <w:tcPr>
            <w:tcW w:w="620" w:type="dxa"/>
            <w:vAlign w:val="bottom"/>
            <w:shd w:val="clear" w:color="auto" w:fill="E9EFEE"/>
          </w:tcPr>
          <w:p>
            <w:pPr>
              <w:spacing w:after="0"/>
              <w:rPr>
                <w:sz w:val="14"/>
                <w:szCs w:val="14"/>
                <w:color w:val="auto"/>
              </w:rPr>
            </w:pPr>
          </w:p>
        </w:tc>
        <w:tc>
          <w:tcPr>
            <w:tcW w:w="900" w:type="dxa"/>
            <w:vAlign w:val="bottom"/>
            <w:shd w:val="clear" w:color="auto" w:fill="E9EFEE"/>
          </w:tcPr>
          <w:p>
            <w:pPr>
              <w:spacing w:after="0"/>
              <w:rPr>
                <w:sz w:val="14"/>
                <w:szCs w:val="14"/>
                <w:color w:val="auto"/>
              </w:rPr>
            </w:pPr>
          </w:p>
        </w:tc>
        <w:tc>
          <w:tcPr>
            <w:tcW w:w="800" w:type="dxa"/>
            <w:vAlign w:val="bottom"/>
            <w:shd w:val="clear" w:color="auto" w:fill="E9EFEE"/>
          </w:tcPr>
          <w:p>
            <w:pPr>
              <w:spacing w:after="0"/>
              <w:rPr>
                <w:sz w:val="14"/>
                <w:szCs w:val="14"/>
                <w:color w:val="auto"/>
              </w:rPr>
            </w:pPr>
          </w:p>
        </w:tc>
        <w:tc>
          <w:tcPr>
            <w:tcW w:w="100" w:type="dxa"/>
            <w:vAlign w:val="bottom"/>
            <w:shd w:val="clear" w:color="auto" w:fill="E9EFEE"/>
          </w:tcPr>
          <w:p>
            <w:pPr>
              <w:spacing w:after="0"/>
              <w:rPr>
                <w:sz w:val="14"/>
                <w:szCs w:val="14"/>
                <w:color w:val="auto"/>
              </w:rPr>
            </w:pPr>
          </w:p>
        </w:tc>
        <w:tc>
          <w:tcPr>
            <w:tcW w:w="680" w:type="dxa"/>
            <w:vAlign w:val="bottom"/>
            <w:shd w:val="clear" w:color="auto" w:fill="E9EFEE"/>
          </w:tcPr>
          <w:p>
            <w:pPr>
              <w:spacing w:after="0"/>
              <w:rPr>
                <w:sz w:val="14"/>
                <w:szCs w:val="14"/>
                <w:color w:val="auto"/>
              </w:rPr>
            </w:pPr>
          </w:p>
        </w:tc>
        <w:tc>
          <w:tcPr>
            <w:tcW w:w="820" w:type="dxa"/>
            <w:vAlign w:val="bottom"/>
            <w:shd w:val="clear" w:color="auto" w:fill="E9EFEE"/>
          </w:tcPr>
          <w:p>
            <w:pPr>
              <w:spacing w:after="0"/>
              <w:rPr>
                <w:sz w:val="14"/>
                <w:szCs w:val="14"/>
                <w:color w:val="auto"/>
              </w:rPr>
            </w:pPr>
          </w:p>
        </w:tc>
        <w:tc>
          <w:tcPr>
            <w:tcW w:w="700" w:type="dxa"/>
            <w:vAlign w:val="bottom"/>
            <w:shd w:val="clear" w:color="auto" w:fill="E9EFEE"/>
          </w:tcPr>
          <w:p>
            <w:pPr>
              <w:spacing w:after="0"/>
              <w:rPr>
                <w:sz w:val="14"/>
                <w:szCs w:val="14"/>
                <w:color w:val="auto"/>
              </w:rPr>
            </w:pPr>
          </w:p>
        </w:tc>
        <w:tc>
          <w:tcPr>
            <w:tcW w:w="780" w:type="dxa"/>
            <w:vAlign w:val="bottom"/>
            <w:shd w:val="clear" w:color="auto" w:fill="E9EFEE"/>
          </w:tcPr>
          <w:p>
            <w:pPr>
              <w:spacing w:after="0"/>
              <w:rPr>
                <w:sz w:val="14"/>
                <w:szCs w:val="14"/>
                <w:color w:val="auto"/>
              </w:rPr>
            </w:pPr>
          </w:p>
        </w:tc>
        <w:tc>
          <w:tcPr>
            <w:tcW w:w="900" w:type="dxa"/>
            <w:vAlign w:val="bottom"/>
            <w:shd w:val="clear" w:color="auto" w:fill="E9EFE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20" w:type="dxa"/>
            <w:vAlign w:val="bottom"/>
            <w:shd w:val="clear" w:color="auto" w:fill="E9EFEE"/>
          </w:tcPr>
          <w:p>
            <w:pPr>
              <w:spacing w:after="0"/>
              <w:rPr>
                <w:sz w:val="16"/>
                <w:szCs w:val="16"/>
                <w:color w:val="auto"/>
              </w:rPr>
            </w:pPr>
          </w:p>
        </w:tc>
        <w:tc>
          <w:tcPr>
            <w:tcW w:w="1620" w:type="dxa"/>
            <w:vAlign w:val="bottom"/>
            <w:shd w:val="clear" w:color="auto" w:fill="E9EFEE"/>
          </w:tcPr>
          <w:p>
            <w:pPr>
              <w:spacing w:after="0" w:line="190" w:lineRule="exact"/>
              <w:rPr>
                <w:sz w:val="20"/>
                <w:szCs w:val="20"/>
                <w:color w:val="auto"/>
              </w:rPr>
            </w:pPr>
            <w:r>
              <w:rPr>
                <w:rFonts w:ascii="Arial" w:cs="Arial" w:eastAsia="Arial" w:hAnsi="Arial"/>
                <w:sz w:val="13"/>
                <w:szCs w:val="13"/>
                <w:color w:val="auto"/>
              </w:rPr>
              <w:t>Unit</w:t>
            </w:r>
            <w:r>
              <w:rPr>
                <w:rFonts w:ascii="Arial" w:cs="Arial" w:eastAsia="Arial" w:hAnsi="Arial"/>
                <w:sz w:val="21"/>
                <w:szCs w:val="21"/>
                <w:color w:val="auto"/>
                <w:vertAlign w:val="superscript"/>
              </w:rPr>
              <w:t>(3)</w:t>
            </w:r>
          </w:p>
        </w:tc>
        <w:tc>
          <w:tcPr>
            <w:tcW w:w="740" w:type="dxa"/>
            <w:vAlign w:val="bottom"/>
            <w:shd w:val="clear" w:color="auto" w:fill="E9EFEE"/>
          </w:tcPr>
          <w:p>
            <w:pPr>
              <w:jc w:val="center"/>
              <w:spacing w:after="0"/>
              <w:rPr>
                <w:sz w:val="20"/>
                <w:szCs w:val="20"/>
                <w:color w:val="auto"/>
              </w:rPr>
            </w:pPr>
            <w:r>
              <w:rPr>
                <w:rFonts w:ascii="Arial" w:cs="Arial" w:eastAsia="Arial" w:hAnsi="Arial"/>
                <w:sz w:val="14"/>
                <w:szCs w:val="14"/>
                <w:color w:val="auto"/>
              </w:rPr>
              <w:t>5/1/2018</w:t>
            </w:r>
          </w:p>
        </w:tc>
        <w:tc>
          <w:tcPr>
            <w:tcW w:w="80" w:type="dxa"/>
            <w:vAlign w:val="bottom"/>
            <w:shd w:val="clear" w:color="auto" w:fill="E9EFEE"/>
          </w:tcPr>
          <w:p>
            <w:pPr>
              <w:spacing w:after="0"/>
              <w:rPr>
                <w:sz w:val="16"/>
                <w:szCs w:val="16"/>
                <w:color w:val="auto"/>
              </w:rPr>
            </w:pPr>
          </w:p>
        </w:tc>
        <w:tc>
          <w:tcPr>
            <w:tcW w:w="620" w:type="dxa"/>
            <w:vAlign w:val="bottom"/>
            <w:shd w:val="clear" w:color="auto" w:fill="E9EFEE"/>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9EFEE"/>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shd w:val="clear" w:color="auto" w:fill="E9EFEE"/>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9EFEE"/>
          </w:tcPr>
          <w:p>
            <w:pPr>
              <w:spacing w:after="0"/>
              <w:rPr>
                <w:sz w:val="16"/>
                <w:szCs w:val="16"/>
                <w:color w:val="auto"/>
              </w:rPr>
            </w:pPr>
          </w:p>
        </w:tc>
        <w:tc>
          <w:tcPr>
            <w:tcW w:w="680" w:type="dxa"/>
            <w:vAlign w:val="bottom"/>
            <w:shd w:val="clear" w:color="auto" w:fill="E9EFEE"/>
          </w:tcPr>
          <w:p>
            <w:pPr>
              <w:ind w:left="480"/>
              <w:spacing w:after="0"/>
              <w:rPr>
                <w:sz w:val="20"/>
                <w:szCs w:val="20"/>
                <w:color w:val="auto"/>
              </w:rPr>
            </w:pPr>
            <w:r>
              <w:rPr>
                <w:rFonts w:ascii="Arial" w:cs="Arial" w:eastAsia="Arial" w:hAnsi="Arial"/>
                <w:sz w:val="14"/>
                <w:szCs w:val="14"/>
                <w:color w:val="auto"/>
              </w:rPr>
              <w:t>—</w:t>
            </w:r>
          </w:p>
        </w:tc>
        <w:tc>
          <w:tcPr>
            <w:tcW w:w="820" w:type="dxa"/>
            <w:vAlign w:val="bottom"/>
            <w:shd w:val="clear" w:color="auto" w:fill="E9EFEE"/>
          </w:tcPr>
          <w:p>
            <w:pPr>
              <w:jc w:val="right"/>
              <w:ind w:right="91"/>
              <w:spacing w:after="0"/>
              <w:rPr>
                <w:sz w:val="20"/>
                <w:szCs w:val="20"/>
                <w:color w:val="auto"/>
              </w:rPr>
            </w:pPr>
            <w:r>
              <w:rPr>
                <w:rFonts w:ascii="Arial" w:cs="Arial" w:eastAsia="Arial" w:hAnsi="Arial"/>
                <w:sz w:val="14"/>
                <w:szCs w:val="14"/>
                <w:color w:val="auto"/>
              </w:rPr>
              <w:t>9,225</w:t>
            </w:r>
          </w:p>
        </w:tc>
        <w:tc>
          <w:tcPr>
            <w:tcW w:w="700" w:type="dxa"/>
            <w:vAlign w:val="bottom"/>
            <w:shd w:val="clear" w:color="auto" w:fill="E9EFEE"/>
          </w:tcPr>
          <w:p>
            <w:pPr>
              <w:jc w:val="right"/>
              <w:ind w:right="30"/>
              <w:spacing w:after="0"/>
              <w:rPr>
                <w:sz w:val="20"/>
                <w:szCs w:val="20"/>
                <w:color w:val="auto"/>
              </w:rPr>
            </w:pPr>
            <w:r>
              <w:rPr>
                <w:rFonts w:ascii="Arial" w:cs="Arial" w:eastAsia="Arial" w:hAnsi="Arial"/>
                <w:sz w:val="14"/>
                <w:szCs w:val="14"/>
                <w:color w:val="auto"/>
              </w:rPr>
              <w:t>18,450</w:t>
            </w:r>
          </w:p>
        </w:tc>
        <w:tc>
          <w:tcPr>
            <w:tcW w:w="780" w:type="dxa"/>
            <w:vAlign w:val="bottom"/>
            <w:shd w:val="clear" w:color="auto" w:fill="E9EFEE"/>
          </w:tcPr>
          <w:p>
            <w:pPr>
              <w:jc w:val="right"/>
              <w:ind w:right="73"/>
              <w:spacing w:after="0"/>
              <w:rPr>
                <w:sz w:val="20"/>
                <w:szCs w:val="20"/>
                <w:color w:val="auto"/>
              </w:rPr>
            </w:pPr>
            <w:r>
              <w:rPr>
                <w:rFonts w:ascii="Arial" w:cs="Arial" w:eastAsia="Arial" w:hAnsi="Arial"/>
                <w:sz w:val="14"/>
                <w:szCs w:val="14"/>
                <w:color w:val="auto"/>
              </w:rPr>
              <w:t>—</w:t>
            </w:r>
          </w:p>
        </w:tc>
        <w:tc>
          <w:tcPr>
            <w:tcW w:w="900" w:type="dxa"/>
            <w:vAlign w:val="bottom"/>
            <w:shd w:val="clear" w:color="auto" w:fill="E9EFEE"/>
          </w:tcPr>
          <w:p>
            <w:pPr>
              <w:jc w:val="right"/>
              <w:ind w:right="32"/>
              <w:spacing w:after="0"/>
              <w:rPr>
                <w:sz w:val="20"/>
                <w:szCs w:val="20"/>
                <w:color w:val="auto"/>
              </w:rPr>
            </w:pPr>
            <w:r>
              <w:rPr>
                <w:rFonts w:ascii="Arial" w:cs="Arial" w:eastAsia="Arial" w:hAnsi="Arial"/>
                <w:sz w:val="14"/>
                <w:szCs w:val="14"/>
                <w:color w:val="auto"/>
              </w:rPr>
              <w:t>299,660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0718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95" w:lineRule="exact"/>
        <w:rPr>
          <w:sz w:val="20"/>
          <w:szCs w:val="20"/>
          <w:color w:val="auto"/>
        </w:rPr>
      </w:pPr>
    </w:p>
    <w:p>
      <w:pPr>
        <w:jc w:val="both"/>
        <w:ind w:left="400" w:hanging="353"/>
        <w:spacing w:after="0" w:line="245" w:lineRule="auto"/>
        <w:tabs>
          <w:tab w:leader="none" w:pos="4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amounts above in the Estimated Possible Payouts Under Non-Equity Incentive Plan Awards column are based on awards pursuant to the STI for each NEO with respect to 2018. The threshold payout is based on the smallest percentage payout of the smallest metric in the NEO’s composite target incentive and the target award is a specified dollar figure for each NEO. The maximum estimated possible payout for each participant is based on maximum attainment for each metric. The actual cash payout for 2018 of the participating NEOs’ STI awards is disclosed in the 2018 Summary Compensation Table under the Non-Equity Incentive Plan Compensation column.</w:t>
      </w:r>
    </w:p>
    <w:p>
      <w:pPr>
        <w:spacing w:after="0" w:line="96" w:lineRule="exact"/>
        <w:rPr>
          <w:rFonts w:ascii="Arial" w:cs="Arial" w:eastAsia="Arial" w:hAnsi="Arial"/>
          <w:sz w:val="14"/>
          <w:szCs w:val="14"/>
          <w:color w:val="auto"/>
        </w:rPr>
      </w:pPr>
    </w:p>
    <w:p>
      <w:pPr>
        <w:ind w:left="400" w:hanging="353"/>
        <w:spacing w:after="0" w:line="258" w:lineRule="auto"/>
        <w:tabs>
          <w:tab w:leader="none" w:pos="4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On May 1, 2018, each NEO received time-based restricted stock units under the 2017 Equity and Incentive Compensation Plan, which awards generally vest ratably over a three-year period.</w:t>
      </w:r>
    </w:p>
    <w:p>
      <w:pPr>
        <w:spacing w:after="0" w:line="86" w:lineRule="exact"/>
        <w:rPr>
          <w:rFonts w:ascii="Arial" w:cs="Arial" w:eastAsia="Arial" w:hAnsi="Arial"/>
          <w:sz w:val="14"/>
          <w:szCs w:val="14"/>
          <w:color w:val="auto"/>
        </w:rPr>
      </w:pPr>
    </w:p>
    <w:p>
      <w:pPr>
        <w:jc w:val="both"/>
        <w:ind w:left="400" w:hanging="353"/>
        <w:spacing w:after="0" w:line="248" w:lineRule="auto"/>
        <w:tabs>
          <w:tab w:leader="none" w:pos="4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On May 1, 2018, each NEO received performance-based awards under the 2017 Equity and Incentive Compensation Plan, which awards generally cliff vest after a three-year performance period (2018-2020 Cycle) and are subject to RTSR and EPS CAGR performance objectives over the performance period. Attainment of these awards can vary from 0% if the lowest milestone is not attained to a maximum of 200% of the target award.</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a detailed description of the programs underlying the awards detailed in the Grants of Plan-Based Awards in 2018 table, please refer to the “Analysis of Key 2018 Compensation Components and Decisions” section of the CD&amp;A. For more information about the NEOs’ relative mix of salary and other compensation elements in proportion to total compensation, please refer to the “Pay for Performance” section of the CD&amp;A.</w:t>
      </w:r>
    </w:p>
    <w:p>
      <w:pPr>
        <w:spacing w:after="0" w:line="186" w:lineRule="exact"/>
        <w:rPr>
          <w:sz w:val="20"/>
          <w:szCs w:val="20"/>
          <w:color w:val="auto"/>
        </w:rPr>
      </w:pPr>
    </w:p>
    <w:p>
      <w:pPr>
        <w:ind w:left="360" w:hanging="349"/>
        <w:spacing w:after="0"/>
        <w:tabs>
          <w:tab w:leader="none" w:pos="360" w:val="left"/>
        </w:tabs>
        <w:numPr>
          <w:ilvl w:val="0"/>
          <w:numId w:val="51"/>
        </w:numPr>
        <w:rPr>
          <w:rFonts w:ascii="Arial" w:cs="Arial" w:eastAsia="Arial" w:hAnsi="Arial"/>
          <w:sz w:val="18"/>
          <w:szCs w:val="18"/>
          <w:b w:val="1"/>
          <w:bCs w:val="1"/>
          <w:color w:val="auto"/>
        </w:rPr>
      </w:pPr>
      <w:r>
        <w:rPr>
          <w:rFonts w:ascii="Arial" w:cs="Arial" w:eastAsia="Arial" w:hAnsi="Arial"/>
          <w:sz w:val="22"/>
          <w:szCs w:val="22"/>
          <w:b w:val="1"/>
          <w:bCs w:val="1"/>
          <w:color w:val="000562"/>
        </w:rPr>
        <w:t xml:space="preserve">I </w:t>
      </w:r>
      <w:r>
        <w:rPr>
          <w:rFonts w:ascii="Arial" w:cs="Arial" w:eastAsia="Arial" w:hAnsi="Arial"/>
          <w:sz w:val="18"/>
          <w:szCs w:val="18"/>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071870" cy="431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Outstanding Equity Awards at 2018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0718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equity awards held by the NEOs as of December 31, 2018:</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210" w:type="dxa"/>
            <w:vAlign w:val="bottom"/>
          </w:tcPr>
          <w:p>
            <w:pPr>
              <w:spacing w:after="0"/>
              <w:rPr>
                <w:sz w:val="12"/>
                <w:szCs w:val="12"/>
                <w:color w:val="auto"/>
              </w:rPr>
            </w:pPr>
          </w:p>
        </w:tc>
        <w:tc>
          <w:tcPr>
            <w:tcW w:w="830" w:type="dxa"/>
            <w:vAlign w:val="bottom"/>
          </w:tcPr>
          <w:p>
            <w:pPr>
              <w:spacing w:after="0"/>
              <w:rPr>
                <w:sz w:val="12"/>
                <w:szCs w:val="12"/>
                <w:color w:val="auto"/>
              </w:rPr>
            </w:pPr>
          </w:p>
        </w:tc>
        <w:tc>
          <w:tcPr>
            <w:tcW w:w="840" w:type="dxa"/>
            <w:vAlign w:val="bottom"/>
            <w:tcBorders>
              <w:bottom w:val="single" w:sz="8" w:color="000562"/>
            </w:tcBorders>
          </w:tcPr>
          <w:p>
            <w:pPr>
              <w:spacing w:after="0"/>
              <w:rPr>
                <w:sz w:val="12"/>
                <w:szCs w:val="12"/>
                <w:color w:val="auto"/>
              </w:rPr>
            </w:pPr>
          </w:p>
        </w:tc>
        <w:tc>
          <w:tcPr>
            <w:tcW w:w="1820" w:type="dxa"/>
            <w:vAlign w:val="bottom"/>
            <w:tcBorders>
              <w:bottom w:val="single" w:sz="8" w:color="000562"/>
            </w:tcBorders>
            <w:gridSpan w:val="2"/>
          </w:tcPr>
          <w:p>
            <w:pPr>
              <w:jc w:val="right"/>
              <w:ind w:right="498"/>
              <w:spacing w:after="0"/>
              <w:rPr>
                <w:sz w:val="20"/>
                <w:szCs w:val="20"/>
                <w:color w:val="auto"/>
              </w:rPr>
            </w:pPr>
            <w:r>
              <w:rPr>
                <w:rFonts w:ascii="Arial" w:cs="Arial" w:eastAsia="Arial" w:hAnsi="Arial"/>
                <w:sz w:val="12"/>
                <w:szCs w:val="12"/>
                <w:b w:val="1"/>
                <w:bCs w:val="1"/>
                <w:color w:val="000562"/>
              </w:rPr>
              <w:t>Option Awards</w:t>
            </w:r>
          </w:p>
        </w:tc>
        <w:tc>
          <w:tcPr>
            <w:tcW w:w="720" w:type="dxa"/>
            <w:vAlign w:val="bottom"/>
            <w:tcBorders>
              <w:bottom w:val="single" w:sz="8" w:color="000562"/>
            </w:tcBorders>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bottom w:val="single" w:sz="8" w:color="000562"/>
            </w:tcBorders>
          </w:tcPr>
          <w:p>
            <w:pPr>
              <w:spacing w:after="0"/>
              <w:rPr>
                <w:sz w:val="12"/>
                <w:szCs w:val="12"/>
                <w:color w:val="auto"/>
              </w:rPr>
            </w:pPr>
          </w:p>
        </w:tc>
        <w:tc>
          <w:tcPr>
            <w:tcW w:w="2120" w:type="dxa"/>
            <w:vAlign w:val="bottom"/>
            <w:tcBorders>
              <w:bottom w:val="single" w:sz="8" w:color="000562"/>
            </w:tcBorders>
            <w:gridSpan w:val="2"/>
          </w:tcPr>
          <w:p>
            <w:pPr>
              <w:jc w:val="right"/>
              <w:ind w:right="580"/>
              <w:spacing w:after="0"/>
              <w:rPr>
                <w:sz w:val="20"/>
                <w:szCs w:val="20"/>
                <w:color w:val="auto"/>
              </w:rPr>
            </w:pPr>
            <w:r>
              <w:rPr>
                <w:rFonts w:ascii="Arial" w:cs="Arial" w:eastAsia="Arial" w:hAnsi="Arial"/>
                <w:sz w:val="12"/>
                <w:szCs w:val="12"/>
                <w:b w:val="1"/>
                <w:bCs w:val="1"/>
                <w:color w:val="000562"/>
              </w:rPr>
              <w:t>Stock Awards</w:t>
            </w:r>
          </w:p>
        </w:tc>
        <w:tc>
          <w:tcPr>
            <w:tcW w:w="880" w:type="dxa"/>
            <w:vAlign w:val="bottom"/>
            <w:tcBorders>
              <w:bottom w:val="single" w:sz="8" w:color="000562"/>
            </w:tcBorders>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10" w:type="dxa"/>
            <w:vAlign w:val="bottom"/>
          </w:tcPr>
          <w:p>
            <w:pPr>
              <w:spacing w:after="0"/>
              <w:rPr>
                <w:sz w:val="12"/>
                <w:szCs w:val="12"/>
                <w:color w:val="auto"/>
              </w:rPr>
            </w:pPr>
          </w:p>
        </w:tc>
        <w:tc>
          <w:tcPr>
            <w:tcW w:w="83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2"/>
                <w:szCs w:val="12"/>
                <w:b w:val="1"/>
                <w:bCs w:val="1"/>
                <w:color w:val="000562"/>
                <w:w w:val="97"/>
              </w:rPr>
              <w:t>Equity Incentive</w:t>
            </w:r>
          </w:p>
        </w:tc>
        <w:tc>
          <w:tcPr>
            <w:tcW w:w="980" w:type="dxa"/>
            <w:vAlign w:val="bottom"/>
            <w:gridSpan w:val="2"/>
          </w:tcPr>
          <w:p>
            <w:pPr>
              <w:jc w:val="center"/>
              <w:spacing w:after="0"/>
              <w:rPr>
                <w:sz w:val="20"/>
                <w:szCs w:val="20"/>
                <w:color w:val="auto"/>
              </w:rPr>
            </w:pPr>
            <w:r>
              <w:rPr>
                <w:rFonts w:ascii="Arial" w:cs="Arial" w:eastAsia="Arial" w:hAnsi="Arial"/>
                <w:sz w:val="12"/>
                <w:szCs w:val="12"/>
                <w:b w:val="1"/>
                <w:bCs w:val="1"/>
                <w:color w:val="000562"/>
                <w:w w:val="98"/>
              </w:rPr>
              <w:t>Equity</w:t>
            </w:r>
          </w:p>
        </w:tc>
      </w:tr>
      <w:tr>
        <w:trPr>
          <w:trHeight w:val="135"/>
        </w:trPr>
        <w:tc>
          <w:tcPr>
            <w:tcW w:w="1210" w:type="dxa"/>
            <w:vAlign w:val="bottom"/>
          </w:tcPr>
          <w:p>
            <w:pPr>
              <w:spacing w:after="0"/>
              <w:rPr>
                <w:sz w:val="11"/>
                <w:szCs w:val="11"/>
                <w:color w:val="auto"/>
              </w:rPr>
            </w:pPr>
          </w:p>
        </w:tc>
        <w:tc>
          <w:tcPr>
            <w:tcW w:w="83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2"/>
                <w:szCs w:val="12"/>
                <w:b w:val="1"/>
                <w:bCs w:val="1"/>
                <w:color w:val="000562"/>
                <w:w w:val="97"/>
              </w:rPr>
              <w:t>Plan Awards:</w:t>
            </w:r>
          </w:p>
        </w:tc>
        <w:tc>
          <w:tcPr>
            <w:tcW w:w="9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000562"/>
                <w:w w:val="99"/>
              </w:rPr>
              <w:t>Incentive</w:t>
            </w:r>
          </w:p>
        </w:tc>
      </w:tr>
      <w:tr>
        <w:trPr>
          <w:trHeight w:val="135"/>
        </w:trPr>
        <w:tc>
          <w:tcPr>
            <w:tcW w:w="1210" w:type="dxa"/>
            <w:vAlign w:val="bottom"/>
          </w:tcPr>
          <w:p>
            <w:pPr>
              <w:spacing w:after="0"/>
              <w:rPr>
                <w:sz w:val="11"/>
                <w:szCs w:val="11"/>
                <w:color w:val="auto"/>
              </w:rPr>
            </w:pPr>
          </w:p>
        </w:tc>
        <w:tc>
          <w:tcPr>
            <w:tcW w:w="83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2"/>
                <w:szCs w:val="12"/>
                <w:b w:val="1"/>
                <w:bCs w:val="1"/>
                <w:color w:val="000562"/>
                <w:w w:val="96"/>
              </w:rPr>
              <w:t>Number of</w:t>
            </w:r>
          </w:p>
        </w:tc>
        <w:tc>
          <w:tcPr>
            <w:tcW w:w="9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000562"/>
                <w:w w:val="97"/>
              </w:rPr>
              <w:t>Plan Awards:</w:t>
            </w:r>
          </w:p>
        </w:tc>
      </w:tr>
      <w:tr>
        <w:trPr>
          <w:trHeight w:val="135"/>
        </w:trPr>
        <w:tc>
          <w:tcPr>
            <w:tcW w:w="1210" w:type="dxa"/>
            <w:vAlign w:val="bottom"/>
          </w:tcPr>
          <w:p>
            <w:pPr>
              <w:spacing w:after="0"/>
              <w:rPr>
                <w:sz w:val="11"/>
                <w:szCs w:val="11"/>
                <w:color w:val="auto"/>
              </w:rPr>
            </w:pPr>
          </w:p>
        </w:tc>
        <w:tc>
          <w:tcPr>
            <w:tcW w:w="83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2"/>
                <w:szCs w:val="12"/>
                <w:b w:val="1"/>
                <w:bCs w:val="1"/>
                <w:color w:val="000562"/>
                <w:w w:val="97"/>
              </w:rPr>
              <w:t>Unearned</w:t>
            </w:r>
          </w:p>
        </w:tc>
        <w:tc>
          <w:tcPr>
            <w:tcW w:w="9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000562"/>
                <w:w w:val="96"/>
              </w:rPr>
              <w:t>Market or</w:t>
            </w:r>
          </w:p>
        </w:tc>
      </w:tr>
      <w:tr>
        <w:trPr>
          <w:trHeight w:val="135"/>
        </w:trPr>
        <w:tc>
          <w:tcPr>
            <w:tcW w:w="1210" w:type="dxa"/>
            <w:vAlign w:val="bottom"/>
          </w:tcPr>
          <w:p>
            <w:pPr>
              <w:spacing w:after="0"/>
              <w:rPr>
                <w:sz w:val="11"/>
                <w:szCs w:val="11"/>
                <w:color w:val="auto"/>
              </w:rPr>
            </w:pPr>
          </w:p>
        </w:tc>
        <w:tc>
          <w:tcPr>
            <w:tcW w:w="83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2"/>
                <w:szCs w:val="12"/>
                <w:b w:val="1"/>
                <w:bCs w:val="1"/>
                <w:color w:val="000562"/>
                <w:w w:val="96"/>
              </w:rPr>
              <w:t>Shares, Units</w:t>
            </w:r>
          </w:p>
        </w:tc>
        <w:tc>
          <w:tcPr>
            <w:tcW w:w="9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000562"/>
                <w:w w:val="95"/>
              </w:rPr>
              <w:t>Payout Value</w:t>
            </w:r>
          </w:p>
        </w:tc>
      </w:tr>
      <w:tr>
        <w:trPr>
          <w:trHeight w:val="135"/>
        </w:trPr>
        <w:tc>
          <w:tcPr>
            <w:tcW w:w="1210" w:type="dxa"/>
            <w:vAlign w:val="bottom"/>
          </w:tcPr>
          <w:p>
            <w:pPr>
              <w:spacing w:after="0"/>
              <w:rPr>
                <w:sz w:val="11"/>
                <w:szCs w:val="11"/>
                <w:color w:val="auto"/>
              </w:rPr>
            </w:pPr>
          </w:p>
        </w:tc>
        <w:tc>
          <w:tcPr>
            <w:tcW w:w="830" w:type="dxa"/>
            <w:vAlign w:val="bottom"/>
          </w:tcPr>
          <w:p>
            <w:pPr>
              <w:spacing w:after="0"/>
              <w:rPr>
                <w:sz w:val="11"/>
                <w:szCs w:val="11"/>
                <w:color w:val="auto"/>
              </w:rPr>
            </w:pPr>
          </w:p>
        </w:tc>
        <w:tc>
          <w:tcPr>
            <w:tcW w:w="840" w:type="dxa"/>
            <w:vAlign w:val="bottom"/>
          </w:tcPr>
          <w:p>
            <w:pPr>
              <w:jc w:val="center"/>
              <w:ind w:right="39"/>
              <w:spacing w:after="0" w:line="135" w:lineRule="exact"/>
              <w:rPr>
                <w:sz w:val="20"/>
                <w:szCs w:val="20"/>
                <w:color w:val="auto"/>
              </w:rPr>
            </w:pPr>
            <w:r>
              <w:rPr>
                <w:rFonts w:ascii="Arial" w:cs="Arial" w:eastAsia="Arial" w:hAnsi="Arial"/>
                <w:sz w:val="12"/>
                <w:szCs w:val="12"/>
                <w:b w:val="1"/>
                <w:bCs w:val="1"/>
                <w:color w:val="000562"/>
                <w:w w:val="96"/>
              </w:rPr>
              <w:t>Number of</w:t>
            </w:r>
          </w:p>
        </w:tc>
        <w:tc>
          <w:tcPr>
            <w:tcW w:w="1120" w:type="dxa"/>
            <w:vAlign w:val="bottom"/>
          </w:tcPr>
          <w:p>
            <w:pPr>
              <w:jc w:val="center"/>
              <w:spacing w:after="0" w:line="135" w:lineRule="exact"/>
              <w:rPr>
                <w:sz w:val="20"/>
                <w:szCs w:val="20"/>
                <w:color w:val="auto"/>
              </w:rPr>
            </w:pPr>
            <w:r>
              <w:rPr>
                <w:rFonts w:ascii="Arial" w:cs="Arial" w:eastAsia="Arial" w:hAnsi="Arial"/>
                <w:sz w:val="12"/>
                <w:szCs w:val="12"/>
                <w:b w:val="1"/>
                <w:bCs w:val="1"/>
                <w:color w:val="000562"/>
                <w:w w:val="96"/>
              </w:rPr>
              <w:t>Number of</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ind w:right="21"/>
              <w:spacing w:after="0" w:line="135" w:lineRule="exact"/>
              <w:rPr>
                <w:sz w:val="20"/>
                <w:szCs w:val="20"/>
                <w:color w:val="auto"/>
              </w:rPr>
            </w:pPr>
            <w:r>
              <w:rPr>
                <w:rFonts w:ascii="Arial" w:cs="Arial" w:eastAsia="Arial" w:hAnsi="Arial"/>
                <w:sz w:val="12"/>
                <w:szCs w:val="12"/>
                <w:b w:val="1"/>
                <w:bCs w:val="1"/>
                <w:color w:val="000562"/>
                <w:w w:val="96"/>
              </w:rPr>
              <w:t>Number of</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000562"/>
                <w:w w:val="97"/>
              </w:rPr>
              <w:t>Market Value</w:t>
            </w:r>
          </w:p>
        </w:tc>
        <w:tc>
          <w:tcPr>
            <w:tcW w:w="1100" w:type="dxa"/>
            <w:vAlign w:val="bottom"/>
          </w:tcPr>
          <w:p>
            <w:pPr>
              <w:jc w:val="center"/>
              <w:spacing w:after="0" w:line="135" w:lineRule="exact"/>
              <w:rPr>
                <w:sz w:val="20"/>
                <w:szCs w:val="20"/>
                <w:color w:val="auto"/>
              </w:rPr>
            </w:pPr>
            <w:r>
              <w:rPr>
                <w:rFonts w:ascii="Arial" w:cs="Arial" w:eastAsia="Arial" w:hAnsi="Arial"/>
                <w:sz w:val="12"/>
                <w:szCs w:val="12"/>
                <w:b w:val="1"/>
                <w:bCs w:val="1"/>
                <w:color w:val="000562"/>
                <w:w w:val="97"/>
              </w:rPr>
              <w:t>or Other</w:t>
            </w:r>
          </w:p>
        </w:tc>
        <w:tc>
          <w:tcPr>
            <w:tcW w:w="9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000562"/>
                <w:w w:val="96"/>
              </w:rPr>
              <w:t>of Shares,</w:t>
            </w:r>
          </w:p>
        </w:tc>
      </w:tr>
      <w:tr>
        <w:trPr>
          <w:trHeight w:val="135"/>
        </w:trPr>
        <w:tc>
          <w:tcPr>
            <w:tcW w:w="1210" w:type="dxa"/>
            <w:vAlign w:val="bottom"/>
          </w:tcPr>
          <w:p>
            <w:pPr>
              <w:spacing w:after="0"/>
              <w:rPr>
                <w:sz w:val="11"/>
                <w:szCs w:val="11"/>
                <w:color w:val="auto"/>
              </w:rPr>
            </w:pPr>
          </w:p>
        </w:tc>
        <w:tc>
          <w:tcPr>
            <w:tcW w:w="830" w:type="dxa"/>
            <w:vAlign w:val="bottom"/>
          </w:tcPr>
          <w:p>
            <w:pPr>
              <w:spacing w:after="0"/>
              <w:rPr>
                <w:sz w:val="11"/>
                <w:szCs w:val="11"/>
                <w:color w:val="auto"/>
              </w:rPr>
            </w:pPr>
          </w:p>
        </w:tc>
        <w:tc>
          <w:tcPr>
            <w:tcW w:w="840" w:type="dxa"/>
            <w:vAlign w:val="bottom"/>
          </w:tcPr>
          <w:p>
            <w:pPr>
              <w:jc w:val="center"/>
              <w:ind w:right="19"/>
              <w:spacing w:after="0" w:line="135" w:lineRule="exact"/>
              <w:rPr>
                <w:sz w:val="20"/>
                <w:szCs w:val="20"/>
                <w:color w:val="auto"/>
              </w:rPr>
            </w:pPr>
            <w:r>
              <w:rPr>
                <w:rFonts w:ascii="Arial" w:cs="Arial" w:eastAsia="Arial" w:hAnsi="Arial"/>
                <w:sz w:val="12"/>
                <w:szCs w:val="12"/>
                <w:b w:val="1"/>
                <w:bCs w:val="1"/>
                <w:color w:val="000562"/>
                <w:w w:val="97"/>
              </w:rPr>
              <w:t>Securities</w:t>
            </w:r>
          </w:p>
        </w:tc>
        <w:tc>
          <w:tcPr>
            <w:tcW w:w="1120" w:type="dxa"/>
            <w:vAlign w:val="bottom"/>
          </w:tcPr>
          <w:p>
            <w:pPr>
              <w:jc w:val="center"/>
              <w:spacing w:after="0" w:line="135" w:lineRule="exact"/>
              <w:rPr>
                <w:sz w:val="20"/>
                <w:szCs w:val="20"/>
                <w:color w:val="auto"/>
              </w:rPr>
            </w:pPr>
            <w:r>
              <w:rPr>
                <w:rFonts w:ascii="Arial" w:cs="Arial" w:eastAsia="Arial" w:hAnsi="Arial"/>
                <w:sz w:val="12"/>
                <w:szCs w:val="12"/>
                <w:b w:val="1"/>
                <w:bCs w:val="1"/>
                <w:color w:val="000562"/>
                <w:w w:val="97"/>
              </w:rPr>
              <w:t>Securities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ind w:right="41"/>
              <w:spacing w:after="0" w:line="135" w:lineRule="exact"/>
              <w:rPr>
                <w:sz w:val="20"/>
                <w:szCs w:val="20"/>
                <w:color w:val="auto"/>
              </w:rPr>
            </w:pPr>
            <w:r>
              <w:rPr>
                <w:rFonts w:ascii="Arial" w:cs="Arial" w:eastAsia="Arial" w:hAnsi="Arial"/>
                <w:sz w:val="12"/>
                <w:szCs w:val="12"/>
                <w:b w:val="1"/>
                <w:bCs w:val="1"/>
                <w:color w:val="000562"/>
                <w:w w:val="99"/>
              </w:rPr>
              <w:t>Shares</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000562"/>
                <w:w w:val="97"/>
              </w:rPr>
              <w:t>of Shares or</w:t>
            </w:r>
          </w:p>
        </w:tc>
        <w:tc>
          <w:tcPr>
            <w:tcW w:w="1100" w:type="dxa"/>
            <w:vAlign w:val="bottom"/>
          </w:tcPr>
          <w:p>
            <w:pPr>
              <w:jc w:val="center"/>
              <w:spacing w:after="0" w:line="135" w:lineRule="exact"/>
              <w:rPr>
                <w:sz w:val="20"/>
                <w:szCs w:val="20"/>
                <w:color w:val="auto"/>
              </w:rPr>
            </w:pPr>
            <w:r>
              <w:rPr>
                <w:rFonts w:ascii="Arial" w:cs="Arial" w:eastAsia="Arial" w:hAnsi="Arial"/>
                <w:sz w:val="12"/>
                <w:szCs w:val="12"/>
                <w:b w:val="1"/>
                <w:bCs w:val="1"/>
                <w:color w:val="000562"/>
              </w:rPr>
              <w:t>Rights</w:t>
            </w:r>
          </w:p>
        </w:tc>
        <w:tc>
          <w:tcPr>
            <w:tcW w:w="9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000562"/>
                <w:w w:val="93"/>
              </w:rPr>
              <w:t>Units</w:t>
            </w:r>
          </w:p>
        </w:tc>
      </w:tr>
      <w:tr>
        <w:trPr>
          <w:trHeight w:val="135"/>
        </w:trPr>
        <w:tc>
          <w:tcPr>
            <w:tcW w:w="1210" w:type="dxa"/>
            <w:vAlign w:val="bottom"/>
          </w:tcPr>
          <w:p>
            <w:pPr>
              <w:spacing w:after="0"/>
              <w:rPr>
                <w:sz w:val="11"/>
                <w:szCs w:val="11"/>
                <w:color w:val="auto"/>
              </w:rPr>
            </w:pPr>
          </w:p>
        </w:tc>
        <w:tc>
          <w:tcPr>
            <w:tcW w:w="830" w:type="dxa"/>
            <w:vAlign w:val="bottom"/>
          </w:tcPr>
          <w:p>
            <w:pPr>
              <w:spacing w:after="0"/>
              <w:rPr>
                <w:sz w:val="11"/>
                <w:szCs w:val="11"/>
                <w:color w:val="auto"/>
              </w:rPr>
            </w:pPr>
          </w:p>
        </w:tc>
        <w:tc>
          <w:tcPr>
            <w:tcW w:w="840" w:type="dxa"/>
            <w:vAlign w:val="bottom"/>
          </w:tcPr>
          <w:p>
            <w:pPr>
              <w:jc w:val="center"/>
              <w:ind w:right="19"/>
              <w:spacing w:after="0" w:line="135" w:lineRule="exact"/>
              <w:rPr>
                <w:sz w:val="20"/>
                <w:szCs w:val="20"/>
                <w:color w:val="auto"/>
              </w:rPr>
            </w:pPr>
            <w:r>
              <w:rPr>
                <w:rFonts w:ascii="Arial" w:cs="Arial" w:eastAsia="Arial" w:hAnsi="Arial"/>
                <w:sz w:val="12"/>
                <w:szCs w:val="12"/>
                <w:b w:val="1"/>
                <w:bCs w:val="1"/>
                <w:color w:val="000562"/>
                <w:w w:val="95"/>
              </w:rPr>
              <w:t>Underlying</w:t>
            </w:r>
          </w:p>
        </w:tc>
        <w:tc>
          <w:tcPr>
            <w:tcW w:w="1120" w:type="dxa"/>
            <w:vAlign w:val="bottom"/>
          </w:tcPr>
          <w:p>
            <w:pPr>
              <w:jc w:val="center"/>
              <w:spacing w:after="0" w:line="135" w:lineRule="exact"/>
              <w:rPr>
                <w:sz w:val="20"/>
                <w:szCs w:val="20"/>
                <w:color w:val="auto"/>
              </w:rPr>
            </w:pPr>
            <w:r>
              <w:rPr>
                <w:rFonts w:ascii="Arial" w:cs="Arial" w:eastAsia="Arial" w:hAnsi="Arial"/>
                <w:sz w:val="12"/>
                <w:szCs w:val="12"/>
                <w:b w:val="1"/>
                <w:bCs w:val="1"/>
                <w:color w:val="000562"/>
                <w:w w:val="95"/>
              </w:rPr>
              <w:t>Underlying</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000562"/>
                <w:w w:val="98"/>
              </w:rPr>
              <w:t>Option</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ind w:right="41"/>
              <w:spacing w:after="0" w:line="135" w:lineRule="exact"/>
              <w:rPr>
                <w:sz w:val="20"/>
                <w:szCs w:val="20"/>
                <w:color w:val="auto"/>
              </w:rPr>
            </w:pPr>
            <w:r>
              <w:rPr>
                <w:rFonts w:ascii="Arial" w:cs="Arial" w:eastAsia="Arial" w:hAnsi="Arial"/>
                <w:sz w:val="12"/>
                <w:szCs w:val="12"/>
                <w:b w:val="1"/>
                <w:bCs w:val="1"/>
                <w:color w:val="000562"/>
                <w:w w:val="96"/>
              </w:rPr>
              <w:t>or Units</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000562"/>
                <w:w w:val="99"/>
              </w:rPr>
              <w:t>Units of Stock</w:t>
            </w:r>
          </w:p>
        </w:tc>
        <w:tc>
          <w:tcPr>
            <w:tcW w:w="1100" w:type="dxa"/>
            <w:vAlign w:val="bottom"/>
          </w:tcPr>
          <w:p>
            <w:pPr>
              <w:jc w:val="center"/>
              <w:spacing w:after="0" w:line="135" w:lineRule="exact"/>
              <w:rPr>
                <w:sz w:val="20"/>
                <w:szCs w:val="20"/>
                <w:color w:val="auto"/>
              </w:rPr>
            </w:pPr>
            <w:r>
              <w:rPr>
                <w:rFonts w:ascii="Arial" w:cs="Arial" w:eastAsia="Arial" w:hAnsi="Arial"/>
                <w:sz w:val="12"/>
                <w:szCs w:val="12"/>
                <w:b w:val="1"/>
                <w:bCs w:val="1"/>
                <w:color w:val="000562"/>
                <w:w w:val="97"/>
              </w:rPr>
              <w:t>That Have</w:t>
            </w:r>
          </w:p>
        </w:tc>
        <w:tc>
          <w:tcPr>
            <w:tcW w:w="9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000562"/>
                <w:w w:val="97"/>
              </w:rPr>
              <w:t>or Other</w:t>
            </w:r>
          </w:p>
        </w:tc>
      </w:tr>
      <w:tr>
        <w:trPr>
          <w:trHeight w:val="135"/>
        </w:trPr>
        <w:tc>
          <w:tcPr>
            <w:tcW w:w="1210" w:type="dxa"/>
            <w:vAlign w:val="bottom"/>
          </w:tcPr>
          <w:p>
            <w:pPr>
              <w:spacing w:after="0"/>
              <w:rPr>
                <w:sz w:val="11"/>
                <w:szCs w:val="11"/>
                <w:color w:val="auto"/>
              </w:rPr>
            </w:pPr>
          </w:p>
        </w:tc>
        <w:tc>
          <w:tcPr>
            <w:tcW w:w="830" w:type="dxa"/>
            <w:vAlign w:val="bottom"/>
          </w:tcPr>
          <w:p>
            <w:pPr>
              <w:spacing w:after="0"/>
              <w:rPr>
                <w:sz w:val="11"/>
                <w:szCs w:val="11"/>
                <w:color w:val="auto"/>
              </w:rPr>
            </w:pPr>
          </w:p>
        </w:tc>
        <w:tc>
          <w:tcPr>
            <w:tcW w:w="840" w:type="dxa"/>
            <w:vAlign w:val="bottom"/>
          </w:tcPr>
          <w:p>
            <w:pPr>
              <w:jc w:val="center"/>
              <w:ind w:right="39"/>
              <w:spacing w:after="0" w:line="135" w:lineRule="exact"/>
              <w:rPr>
                <w:sz w:val="20"/>
                <w:szCs w:val="20"/>
                <w:color w:val="auto"/>
              </w:rPr>
            </w:pPr>
            <w:r>
              <w:rPr>
                <w:rFonts w:ascii="Arial" w:cs="Arial" w:eastAsia="Arial" w:hAnsi="Arial"/>
                <w:sz w:val="12"/>
                <w:szCs w:val="12"/>
                <w:b w:val="1"/>
                <w:bCs w:val="1"/>
                <w:color w:val="000562"/>
                <w:w w:val="98"/>
              </w:rPr>
              <w:t>Unexercised</w:t>
            </w:r>
          </w:p>
        </w:tc>
        <w:tc>
          <w:tcPr>
            <w:tcW w:w="1120" w:type="dxa"/>
            <w:vAlign w:val="bottom"/>
          </w:tcPr>
          <w:p>
            <w:pPr>
              <w:jc w:val="center"/>
              <w:spacing w:after="0" w:line="135" w:lineRule="exact"/>
              <w:rPr>
                <w:sz w:val="20"/>
                <w:szCs w:val="20"/>
                <w:color w:val="auto"/>
              </w:rPr>
            </w:pPr>
            <w:r>
              <w:rPr>
                <w:rFonts w:ascii="Arial" w:cs="Arial" w:eastAsia="Arial" w:hAnsi="Arial"/>
                <w:sz w:val="12"/>
                <w:szCs w:val="12"/>
                <w:b w:val="1"/>
                <w:bCs w:val="1"/>
                <w:color w:val="000562"/>
                <w:w w:val="98"/>
              </w:rPr>
              <w:t>Unexercised</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000562"/>
                <w:w w:val="97"/>
              </w:rPr>
              <w:t>Exercise</w:t>
            </w: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000562"/>
                <w:w w:val="98"/>
              </w:rPr>
              <w:t>Option</w:t>
            </w:r>
          </w:p>
        </w:tc>
        <w:tc>
          <w:tcPr>
            <w:tcW w:w="180" w:type="dxa"/>
            <w:vAlign w:val="bottom"/>
          </w:tcPr>
          <w:p>
            <w:pPr>
              <w:spacing w:after="0"/>
              <w:rPr>
                <w:sz w:val="11"/>
                <w:szCs w:val="11"/>
                <w:color w:val="auto"/>
              </w:rPr>
            </w:pPr>
          </w:p>
        </w:tc>
        <w:tc>
          <w:tcPr>
            <w:tcW w:w="860" w:type="dxa"/>
            <w:vAlign w:val="bottom"/>
          </w:tcPr>
          <w:p>
            <w:pPr>
              <w:jc w:val="center"/>
              <w:ind w:right="21"/>
              <w:spacing w:after="0" w:line="135" w:lineRule="exact"/>
              <w:rPr>
                <w:sz w:val="20"/>
                <w:szCs w:val="20"/>
                <w:color w:val="auto"/>
              </w:rPr>
            </w:pPr>
            <w:r>
              <w:rPr>
                <w:rFonts w:ascii="Arial" w:cs="Arial" w:eastAsia="Arial" w:hAnsi="Arial"/>
                <w:sz w:val="12"/>
                <w:szCs w:val="12"/>
                <w:b w:val="1"/>
                <w:bCs w:val="1"/>
                <w:color w:val="000562"/>
                <w:w w:val="97"/>
              </w:rPr>
              <w:t>of Stock That</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000562"/>
                <w:w w:val="99"/>
              </w:rPr>
              <w:t>That Have Not</w:t>
            </w:r>
          </w:p>
        </w:tc>
        <w:tc>
          <w:tcPr>
            <w:tcW w:w="1100" w:type="dxa"/>
            <w:vAlign w:val="bottom"/>
          </w:tcPr>
          <w:p>
            <w:pPr>
              <w:jc w:val="center"/>
              <w:spacing w:after="0" w:line="135" w:lineRule="exact"/>
              <w:rPr>
                <w:sz w:val="20"/>
                <w:szCs w:val="20"/>
                <w:color w:val="auto"/>
              </w:rPr>
            </w:pPr>
            <w:r>
              <w:rPr>
                <w:rFonts w:ascii="Arial" w:cs="Arial" w:eastAsia="Arial" w:hAnsi="Arial"/>
                <w:sz w:val="12"/>
                <w:szCs w:val="12"/>
                <w:b w:val="1"/>
                <w:bCs w:val="1"/>
                <w:color w:val="000562"/>
                <w:w w:val="89"/>
              </w:rPr>
              <w:t>Not</w:t>
            </w:r>
          </w:p>
        </w:tc>
        <w:tc>
          <w:tcPr>
            <w:tcW w:w="9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000562"/>
                <w:w w:val="96"/>
              </w:rPr>
              <w:t>Rights</w:t>
            </w:r>
          </w:p>
        </w:tc>
      </w:tr>
      <w:tr>
        <w:trPr>
          <w:trHeight w:val="128"/>
        </w:trPr>
        <w:tc>
          <w:tcPr>
            <w:tcW w:w="1210" w:type="dxa"/>
            <w:vAlign w:val="bottom"/>
          </w:tcPr>
          <w:p>
            <w:pPr>
              <w:spacing w:after="0"/>
              <w:rPr>
                <w:sz w:val="11"/>
                <w:szCs w:val="11"/>
                <w:color w:val="auto"/>
              </w:rPr>
            </w:pPr>
          </w:p>
        </w:tc>
        <w:tc>
          <w:tcPr>
            <w:tcW w:w="830" w:type="dxa"/>
            <w:vAlign w:val="bottom"/>
          </w:tcPr>
          <w:p>
            <w:pPr>
              <w:jc w:val="right"/>
              <w:ind w:right="302"/>
              <w:spacing w:after="0" w:line="128" w:lineRule="exact"/>
              <w:rPr>
                <w:sz w:val="20"/>
                <w:szCs w:val="20"/>
                <w:color w:val="auto"/>
              </w:rPr>
            </w:pPr>
            <w:r>
              <w:rPr>
                <w:rFonts w:ascii="Arial" w:cs="Arial" w:eastAsia="Arial" w:hAnsi="Arial"/>
                <w:sz w:val="12"/>
                <w:szCs w:val="12"/>
                <w:b w:val="1"/>
                <w:bCs w:val="1"/>
                <w:color w:val="000562"/>
              </w:rPr>
              <w:t>Grant</w:t>
            </w:r>
          </w:p>
        </w:tc>
        <w:tc>
          <w:tcPr>
            <w:tcW w:w="840" w:type="dxa"/>
            <w:vAlign w:val="bottom"/>
          </w:tcPr>
          <w:p>
            <w:pPr>
              <w:jc w:val="center"/>
              <w:ind w:right="39"/>
              <w:spacing w:after="0" w:line="128" w:lineRule="exact"/>
              <w:rPr>
                <w:sz w:val="20"/>
                <w:szCs w:val="20"/>
                <w:color w:val="auto"/>
              </w:rPr>
            </w:pPr>
            <w:r>
              <w:rPr>
                <w:rFonts w:ascii="Arial" w:cs="Arial" w:eastAsia="Arial" w:hAnsi="Arial"/>
                <w:sz w:val="12"/>
                <w:szCs w:val="12"/>
                <w:b w:val="1"/>
                <w:bCs w:val="1"/>
                <w:color w:val="000562"/>
                <w:w w:val="97"/>
              </w:rPr>
              <w:t>Options (#)</w:t>
            </w:r>
          </w:p>
        </w:tc>
        <w:tc>
          <w:tcPr>
            <w:tcW w:w="1120" w:type="dxa"/>
            <w:vAlign w:val="bottom"/>
          </w:tcPr>
          <w:p>
            <w:pPr>
              <w:jc w:val="center"/>
              <w:spacing w:after="0" w:line="128" w:lineRule="exact"/>
              <w:rPr>
                <w:sz w:val="20"/>
                <w:szCs w:val="20"/>
                <w:color w:val="auto"/>
              </w:rPr>
            </w:pPr>
            <w:r>
              <w:rPr>
                <w:rFonts w:ascii="Arial" w:cs="Arial" w:eastAsia="Arial" w:hAnsi="Arial"/>
                <w:sz w:val="12"/>
                <w:szCs w:val="12"/>
                <w:b w:val="1"/>
                <w:bCs w:val="1"/>
                <w:color w:val="000562"/>
                <w:w w:val="97"/>
              </w:rPr>
              <w:t>Options (#)</w:t>
            </w:r>
          </w:p>
        </w:tc>
        <w:tc>
          <w:tcPr>
            <w:tcW w:w="700" w:type="dxa"/>
            <w:vAlign w:val="bottom"/>
          </w:tcPr>
          <w:p>
            <w:pPr>
              <w:jc w:val="center"/>
              <w:spacing w:after="0" w:line="128" w:lineRule="exact"/>
              <w:rPr>
                <w:sz w:val="20"/>
                <w:szCs w:val="20"/>
                <w:color w:val="auto"/>
              </w:rPr>
            </w:pPr>
            <w:r>
              <w:rPr>
                <w:rFonts w:ascii="Arial" w:cs="Arial" w:eastAsia="Arial" w:hAnsi="Arial"/>
                <w:sz w:val="12"/>
                <w:szCs w:val="12"/>
                <w:b w:val="1"/>
                <w:bCs w:val="1"/>
                <w:color w:val="000562"/>
                <w:w w:val="95"/>
              </w:rPr>
              <w:t>Price</w:t>
            </w:r>
          </w:p>
        </w:tc>
        <w:tc>
          <w:tcPr>
            <w:tcW w:w="720" w:type="dxa"/>
            <w:vAlign w:val="bottom"/>
          </w:tcPr>
          <w:p>
            <w:pPr>
              <w:jc w:val="center"/>
              <w:spacing w:after="0" w:line="128" w:lineRule="exact"/>
              <w:rPr>
                <w:sz w:val="20"/>
                <w:szCs w:val="20"/>
                <w:color w:val="auto"/>
              </w:rPr>
            </w:pPr>
            <w:r>
              <w:rPr>
                <w:rFonts w:ascii="Arial" w:cs="Arial" w:eastAsia="Arial" w:hAnsi="Arial"/>
                <w:sz w:val="12"/>
                <w:szCs w:val="12"/>
                <w:b w:val="1"/>
                <w:bCs w:val="1"/>
                <w:color w:val="000562"/>
                <w:w w:val="98"/>
              </w:rPr>
              <w:t>Expiration</w:t>
            </w:r>
          </w:p>
        </w:tc>
        <w:tc>
          <w:tcPr>
            <w:tcW w:w="180" w:type="dxa"/>
            <w:vAlign w:val="bottom"/>
          </w:tcPr>
          <w:p>
            <w:pPr>
              <w:spacing w:after="0"/>
              <w:rPr>
                <w:sz w:val="11"/>
                <w:szCs w:val="11"/>
                <w:color w:val="auto"/>
              </w:rPr>
            </w:pPr>
          </w:p>
        </w:tc>
        <w:tc>
          <w:tcPr>
            <w:tcW w:w="860" w:type="dxa"/>
            <w:vAlign w:val="bottom"/>
          </w:tcPr>
          <w:p>
            <w:pPr>
              <w:jc w:val="center"/>
              <w:ind w:right="41"/>
              <w:spacing w:after="0" w:line="128" w:lineRule="exact"/>
              <w:rPr>
                <w:sz w:val="20"/>
                <w:szCs w:val="20"/>
                <w:color w:val="auto"/>
              </w:rPr>
            </w:pPr>
            <w:r>
              <w:rPr>
                <w:rFonts w:ascii="Arial" w:cs="Arial" w:eastAsia="Arial" w:hAnsi="Arial"/>
                <w:sz w:val="12"/>
                <w:szCs w:val="12"/>
                <w:b w:val="1"/>
                <w:bCs w:val="1"/>
                <w:color w:val="000562"/>
                <w:w w:val="99"/>
              </w:rPr>
              <w:t>Have Not</w:t>
            </w:r>
          </w:p>
        </w:tc>
        <w:tc>
          <w:tcPr>
            <w:tcW w:w="1020" w:type="dxa"/>
            <w:vAlign w:val="bottom"/>
          </w:tcPr>
          <w:p>
            <w:pPr>
              <w:jc w:val="center"/>
              <w:spacing w:after="0" w:line="128" w:lineRule="exact"/>
              <w:rPr>
                <w:sz w:val="20"/>
                <w:szCs w:val="20"/>
                <w:color w:val="auto"/>
              </w:rPr>
            </w:pPr>
            <w:r>
              <w:rPr>
                <w:rFonts w:ascii="Arial" w:cs="Arial" w:eastAsia="Arial" w:hAnsi="Arial"/>
                <w:sz w:val="12"/>
                <w:szCs w:val="12"/>
                <w:b w:val="1"/>
                <w:bCs w:val="1"/>
                <w:color w:val="000562"/>
                <w:w w:val="96"/>
              </w:rPr>
              <w:t>Vested</w:t>
            </w:r>
          </w:p>
        </w:tc>
        <w:tc>
          <w:tcPr>
            <w:tcW w:w="1100" w:type="dxa"/>
            <w:vAlign w:val="bottom"/>
          </w:tcPr>
          <w:p>
            <w:pPr>
              <w:jc w:val="center"/>
              <w:spacing w:after="0" w:line="128" w:lineRule="exact"/>
              <w:rPr>
                <w:sz w:val="20"/>
                <w:szCs w:val="20"/>
                <w:color w:val="auto"/>
              </w:rPr>
            </w:pPr>
            <w:r>
              <w:rPr>
                <w:rFonts w:ascii="Arial" w:cs="Arial" w:eastAsia="Arial" w:hAnsi="Arial"/>
                <w:sz w:val="12"/>
                <w:szCs w:val="12"/>
                <w:b w:val="1"/>
                <w:bCs w:val="1"/>
                <w:color w:val="000562"/>
                <w:w w:val="96"/>
              </w:rPr>
              <w:t>Vested</w:t>
            </w:r>
          </w:p>
        </w:tc>
        <w:tc>
          <w:tcPr>
            <w:tcW w:w="980" w:type="dxa"/>
            <w:vAlign w:val="bottom"/>
            <w:gridSpan w:val="2"/>
          </w:tcPr>
          <w:p>
            <w:pPr>
              <w:jc w:val="center"/>
              <w:spacing w:after="0" w:line="128" w:lineRule="exact"/>
              <w:rPr>
                <w:sz w:val="20"/>
                <w:szCs w:val="20"/>
                <w:color w:val="auto"/>
              </w:rPr>
            </w:pPr>
            <w:r>
              <w:rPr>
                <w:rFonts w:ascii="Arial" w:cs="Arial" w:eastAsia="Arial" w:hAnsi="Arial"/>
                <w:sz w:val="12"/>
                <w:szCs w:val="12"/>
                <w:b w:val="1"/>
                <w:bCs w:val="1"/>
                <w:color w:val="000562"/>
                <w:w w:val="99"/>
              </w:rPr>
              <w:t>That Have Not</w:t>
            </w:r>
          </w:p>
        </w:tc>
      </w:tr>
      <w:tr>
        <w:trPr>
          <w:trHeight w:val="168"/>
        </w:trPr>
        <w:tc>
          <w:tcPr>
            <w:tcW w:w="1210" w:type="dxa"/>
            <w:vAlign w:val="bottom"/>
            <w:tcBorders>
              <w:bottom w:val="single" w:sz="8" w:color="000562"/>
            </w:tcBorders>
          </w:tcPr>
          <w:p>
            <w:pPr>
              <w:ind w:left="20"/>
              <w:spacing w:after="0"/>
              <w:rPr>
                <w:sz w:val="20"/>
                <w:szCs w:val="20"/>
                <w:color w:val="auto"/>
              </w:rPr>
            </w:pPr>
            <w:r>
              <w:rPr>
                <w:rFonts w:ascii="Arial" w:cs="Arial" w:eastAsia="Arial" w:hAnsi="Arial"/>
                <w:sz w:val="12"/>
                <w:szCs w:val="12"/>
                <w:b w:val="1"/>
                <w:bCs w:val="1"/>
                <w:color w:val="000562"/>
              </w:rPr>
              <w:t>Name</w:t>
            </w:r>
          </w:p>
        </w:tc>
        <w:tc>
          <w:tcPr>
            <w:tcW w:w="830" w:type="dxa"/>
            <w:vAlign w:val="bottom"/>
            <w:tcBorders>
              <w:bottom w:val="single" w:sz="8" w:color="000562"/>
            </w:tcBorders>
          </w:tcPr>
          <w:p>
            <w:pPr>
              <w:jc w:val="right"/>
              <w:ind w:right="322"/>
              <w:spacing w:after="0"/>
              <w:rPr>
                <w:sz w:val="20"/>
                <w:szCs w:val="20"/>
                <w:color w:val="auto"/>
              </w:rPr>
            </w:pPr>
            <w:r>
              <w:rPr>
                <w:rFonts w:ascii="Arial" w:cs="Arial" w:eastAsia="Arial" w:hAnsi="Arial"/>
                <w:sz w:val="12"/>
                <w:szCs w:val="12"/>
                <w:b w:val="1"/>
                <w:bCs w:val="1"/>
                <w:color w:val="000562"/>
              </w:rPr>
              <w:t>Date</w:t>
            </w:r>
          </w:p>
        </w:tc>
        <w:tc>
          <w:tcPr>
            <w:tcW w:w="840" w:type="dxa"/>
            <w:vAlign w:val="bottom"/>
            <w:tcBorders>
              <w:bottom w:val="single" w:sz="8" w:color="000562"/>
            </w:tcBorders>
          </w:tcPr>
          <w:p>
            <w:pPr>
              <w:jc w:val="center"/>
              <w:ind w:right="19"/>
              <w:spacing w:after="0"/>
              <w:rPr>
                <w:sz w:val="20"/>
                <w:szCs w:val="20"/>
                <w:color w:val="auto"/>
              </w:rPr>
            </w:pPr>
            <w:r>
              <w:rPr>
                <w:rFonts w:ascii="Arial" w:cs="Arial" w:eastAsia="Arial" w:hAnsi="Arial"/>
                <w:sz w:val="12"/>
                <w:szCs w:val="12"/>
                <w:b w:val="1"/>
                <w:bCs w:val="1"/>
                <w:color w:val="000562"/>
                <w:w w:val="95"/>
              </w:rPr>
              <w:t>Exercisable</w:t>
            </w:r>
          </w:p>
        </w:tc>
        <w:tc>
          <w:tcPr>
            <w:tcW w:w="1120" w:type="dxa"/>
            <w:vAlign w:val="bottom"/>
            <w:tcBorders>
              <w:bottom w:val="single" w:sz="8" w:color="000562"/>
            </w:tcBorders>
          </w:tcPr>
          <w:p>
            <w:pPr>
              <w:jc w:val="center"/>
              <w:spacing w:after="0" w:line="168" w:lineRule="exact"/>
              <w:rPr>
                <w:sz w:val="20"/>
                <w:szCs w:val="20"/>
                <w:color w:val="auto"/>
              </w:rPr>
            </w:pPr>
            <w:r>
              <w:rPr>
                <w:rFonts w:ascii="Arial" w:cs="Arial" w:eastAsia="Arial" w:hAnsi="Arial"/>
                <w:sz w:val="12"/>
                <w:szCs w:val="12"/>
                <w:b w:val="1"/>
                <w:bCs w:val="1"/>
                <w:color w:val="000562"/>
                <w:w w:val="94"/>
              </w:rPr>
              <w:t>Unexercisable</w:t>
            </w:r>
            <w:r>
              <w:rPr>
                <w:rFonts w:ascii="Arial" w:cs="Arial" w:eastAsia="Arial" w:hAnsi="Arial"/>
                <w:sz w:val="19"/>
                <w:szCs w:val="19"/>
                <w:b w:val="1"/>
                <w:bCs w:val="1"/>
                <w:color w:val="000562"/>
                <w:w w:val="94"/>
                <w:vertAlign w:val="superscript"/>
              </w:rPr>
              <w:t>(1)</w:t>
            </w:r>
          </w:p>
        </w:tc>
        <w:tc>
          <w:tcPr>
            <w:tcW w:w="700" w:type="dxa"/>
            <w:vAlign w:val="bottom"/>
            <w:tcBorders>
              <w:bottom w:val="single" w:sz="8" w:color="000562"/>
            </w:tcBorders>
          </w:tcPr>
          <w:p>
            <w:pPr>
              <w:jc w:val="center"/>
              <w:spacing w:after="0"/>
              <w:rPr>
                <w:sz w:val="20"/>
                <w:szCs w:val="20"/>
                <w:color w:val="auto"/>
              </w:rPr>
            </w:pPr>
            <w:r>
              <w:rPr>
                <w:rFonts w:ascii="Arial" w:cs="Arial" w:eastAsia="Arial" w:hAnsi="Arial"/>
                <w:sz w:val="12"/>
                <w:szCs w:val="12"/>
                <w:b w:val="1"/>
                <w:bCs w:val="1"/>
                <w:color w:val="000562"/>
                <w:w w:val="95"/>
              </w:rPr>
              <w:t>($)</w:t>
            </w:r>
          </w:p>
        </w:tc>
        <w:tc>
          <w:tcPr>
            <w:tcW w:w="720" w:type="dxa"/>
            <w:vAlign w:val="bottom"/>
            <w:tcBorders>
              <w:bottom w:val="single" w:sz="8" w:color="000562"/>
            </w:tcBorders>
          </w:tcPr>
          <w:p>
            <w:pPr>
              <w:jc w:val="center"/>
              <w:spacing w:after="0"/>
              <w:rPr>
                <w:sz w:val="20"/>
                <w:szCs w:val="20"/>
                <w:color w:val="auto"/>
              </w:rPr>
            </w:pPr>
            <w:r>
              <w:rPr>
                <w:rFonts w:ascii="Arial" w:cs="Arial" w:eastAsia="Arial" w:hAnsi="Arial"/>
                <w:sz w:val="12"/>
                <w:szCs w:val="12"/>
                <w:b w:val="1"/>
                <w:bCs w:val="1"/>
                <w:color w:val="000562"/>
                <w:w w:val="99"/>
              </w:rPr>
              <w:t>Date</w:t>
            </w:r>
          </w:p>
        </w:tc>
        <w:tc>
          <w:tcPr>
            <w:tcW w:w="180" w:type="dxa"/>
            <w:vAlign w:val="bottom"/>
            <w:tcBorders>
              <w:bottom w:val="single" w:sz="8" w:color="000562"/>
            </w:tcBorders>
          </w:tcPr>
          <w:p>
            <w:pPr>
              <w:spacing w:after="0"/>
              <w:rPr>
                <w:sz w:val="14"/>
                <w:szCs w:val="14"/>
                <w:color w:val="auto"/>
              </w:rPr>
            </w:pPr>
          </w:p>
        </w:tc>
        <w:tc>
          <w:tcPr>
            <w:tcW w:w="860" w:type="dxa"/>
            <w:vAlign w:val="bottom"/>
            <w:tcBorders>
              <w:bottom w:val="single" w:sz="8" w:color="000562"/>
            </w:tcBorders>
          </w:tcPr>
          <w:p>
            <w:pPr>
              <w:jc w:val="center"/>
              <w:ind w:right="41"/>
              <w:spacing w:after="0" w:line="168" w:lineRule="exact"/>
              <w:rPr>
                <w:sz w:val="20"/>
                <w:szCs w:val="20"/>
                <w:color w:val="auto"/>
              </w:rPr>
            </w:pPr>
            <w:r>
              <w:rPr>
                <w:rFonts w:ascii="Arial" w:cs="Arial" w:eastAsia="Arial" w:hAnsi="Arial"/>
                <w:sz w:val="12"/>
                <w:szCs w:val="12"/>
                <w:b w:val="1"/>
                <w:bCs w:val="1"/>
                <w:color w:val="000562"/>
                <w:w w:val="93"/>
              </w:rPr>
              <w:t>Vested (#)</w:t>
            </w:r>
            <w:r>
              <w:rPr>
                <w:rFonts w:ascii="Arial" w:cs="Arial" w:eastAsia="Arial" w:hAnsi="Arial"/>
                <w:sz w:val="19"/>
                <w:szCs w:val="19"/>
                <w:b w:val="1"/>
                <w:bCs w:val="1"/>
                <w:color w:val="000562"/>
                <w:w w:val="93"/>
                <w:vertAlign w:val="superscript"/>
              </w:rPr>
              <w:t>(2)</w:t>
            </w:r>
          </w:p>
        </w:tc>
        <w:tc>
          <w:tcPr>
            <w:tcW w:w="1020" w:type="dxa"/>
            <w:vAlign w:val="bottom"/>
            <w:tcBorders>
              <w:bottom w:val="single" w:sz="8" w:color="000562"/>
            </w:tcBorders>
          </w:tcPr>
          <w:p>
            <w:pPr>
              <w:jc w:val="center"/>
              <w:spacing w:after="0" w:line="168" w:lineRule="exact"/>
              <w:rPr>
                <w:sz w:val="20"/>
                <w:szCs w:val="20"/>
                <w:color w:val="auto"/>
              </w:rPr>
            </w:pPr>
            <w:r>
              <w:rPr>
                <w:rFonts w:ascii="Arial" w:cs="Arial" w:eastAsia="Arial" w:hAnsi="Arial"/>
                <w:sz w:val="19"/>
                <w:szCs w:val="19"/>
                <w:b w:val="1"/>
                <w:bCs w:val="1"/>
                <w:color w:val="000562"/>
                <w:vertAlign w:val="subscript"/>
              </w:rPr>
              <w:t>$</w:t>
            </w:r>
            <w:r>
              <w:rPr>
                <w:rFonts w:ascii="Arial" w:cs="Arial" w:eastAsia="Arial" w:hAnsi="Arial"/>
                <w:sz w:val="9"/>
                <w:szCs w:val="9"/>
                <w:b w:val="1"/>
                <w:bCs w:val="1"/>
                <w:color w:val="000562"/>
              </w:rPr>
              <w:t>(3)</w:t>
            </w:r>
          </w:p>
        </w:tc>
        <w:tc>
          <w:tcPr>
            <w:tcW w:w="1100" w:type="dxa"/>
            <w:vAlign w:val="bottom"/>
            <w:tcBorders>
              <w:bottom w:val="single" w:sz="8" w:color="000562"/>
            </w:tcBorders>
          </w:tcPr>
          <w:p>
            <w:pPr>
              <w:jc w:val="center"/>
              <w:spacing w:after="0" w:line="168" w:lineRule="exact"/>
              <w:rPr>
                <w:sz w:val="20"/>
                <w:szCs w:val="20"/>
                <w:color w:val="auto"/>
              </w:rPr>
            </w:pPr>
            <w:r>
              <w:rPr>
                <w:rFonts w:ascii="Arial" w:cs="Arial" w:eastAsia="Arial" w:hAnsi="Arial"/>
                <w:sz w:val="19"/>
                <w:szCs w:val="19"/>
                <w:b w:val="1"/>
                <w:bCs w:val="1"/>
                <w:color w:val="000562"/>
                <w:w w:val="98"/>
                <w:vertAlign w:val="subscript"/>
              </w:rPr>
              <w:t>(#)</w:t>
            </w:r>
            <w:r>
              <w:rPr>
                <w:rFonts w:ascii="Arial" w:cs="Arial" w:eastAsia="Arial" w:hAnsi="Arial"/>
                <w:sz w:val="9"/>
                <w:szCs w:val="9"/>
                <w:b w:val="1"/>
                <w:bCs w:val="1"/>
                <w:color w:val="000562"/>
                <w:w w:val="98"/>
              </w:rPr>
              <w:t>(2)</w:t>
            </w:r>
          </w:p>
        </w:tc>
        <w:tc>
          <w:tcPr>
            <w:tcW w:w="980" w:type="dxa"/>
            <w:vAlign w:val="bottom"/>
            <w:tcBorders>
              <w:bottom w:val="single" w:sz="8" w:color="000562"/>
            </w:tcBorders>
            <w:gridSpan w:val="2"/>
          </w:tcPr>
          <w:p>
            <w:pPr>
              <w:jc w:val="center"/>
              <w:spacing w:after="0" w:line="168" w:lineRule="exact"/>
              <w:rPr>
                <w:sz w:val="20"/>
                <w:szCs w:val="20"/>
                <w:color w:val="auto"/>
              </w:rPr>
            </w:pPr>
            <w:r>
              <w:rPr>
                <w:rFonts w:ascii="Arial" w:cs="Arial" w:eastAsia="Arial" w:hAnsi="Arial"/>
                <w:sz w:val="12"/>
                <w:szCs w:val="12"/>
                <w:b w:val="1"/>
                <w:bCs w:val="1"/>
                <w:color w:val="000562"/>
                <w:w w:val="90"/>
              </w:rPr>
              <w:t>Vested$</w:t>
            </w:r>
            <w:r>
              <w:rPr>
                <w:rFonts w:ascii="Arial" w:cs="Arial" w:eastAsia="Arial" w:hAnsi="Arial"/>
                <w:sz w:val="19"/>
                <w:szCs w:val="19"/>
                <w:b w:val="1"/>
                <w:bCs w:val="1"/>
                <w:color w:val="000562"/>
                <w:w w:val="90"/>
                <w:vertAlign w:val="superscript"/>
              </w:rPr>
              <w:t>(3)</w:t>
            </w:r>
          </w:p>
        </w:tc>
      </w:tr>
      <w:tr>
        <w:trPr>
          <w:trHeight w:val="155"/>
        </w:trPr>
        <w:tc>
          <w:tcPr>
            <w:tcW w:w="1210" w:type="dxa"/>
            <w:vAlign w:val="bottom"/>
            <w:shd w:val="clear" w:color="auto" w:fill="E9EFEE"/>
          </w:tcPr>
          <w:p>
            <w:pPr>
              <w:ind w:left="20"/>
              <w:spacing w:after="0"/>
              <w:rPr>
                <w:sz w:val="20"/>
                <w:szCs w:val="20"/>
                <w:color w:val="auto"/>
              </w:rPr>
            </w:pPr>
            <w:r>
              <w:rPr>
                <w:rFonts w:ascii="Arial" w:cs="Arial" w:eastAsia="Arial" w:hAnsi="Arial"/>
                <w:sz w:val="13"/>
                <w:szCs w:val="13"/>
                <w:color w:val="auto"/>
              </w:rPr>
              <w:t>Thomas A. Amato</w:t>
            </w:r>
          </w:p>
        </w:tc>
        <w:tc>
          <w:tcPr>
            <w:tcW w:w="830" w:type="dxa"/>
            <w:vAlign w:val="bottom"/>
            <w:shd w:val="clear" w:color="auto" w:fill="E9EFEE"/>
          </w:tcPr>
          <w:p>
            <w:pPr>
              <w:jc w:val="right"/>
              <w:ind w:right="122"/>
              <w:spacing w:after="0" w:line="155" w:lineRule="exact"/>
              <w:rPr>
                <w:sz w:val="20"/>
                <w:szCs w:val="20"/>
                <w:color w:val="auto"/>
              </w:rPr>
            </w:pPr>
            <w:r>
              <w:rPr>
                <w:rFonts w:ascii="Arial" w:cs="Arial" w:eastAsia="Arial" w:hAnsi="Arial"/>
                <w:sz w:val="11"/>
                <w:szCs w:val="11"/>
                <w:color w:val="auto"/>
              </w:rPr>
              <w:t>7/29/16</w:t>
            </w:r>
            <w:r>
              <w:rPr>
                <w:rFonts w:ascii="Arial" w:cs="Arial" w:eastAsia="Arial" w:hAnsi="Arial"/>
                <w:sz w:val="17"/>
                <w:szCs w:val="17"/>
                <w:color w:val="auto"/>
                <w:vertAlign w:val="superscript"/>
              </w:rPr>
              <w:t>(1)</w:t>
            </w:r>
          </w:p>
        </w:tc>
        <w:tc>
          <w:tcPr>
            <w:tcW w:w="840" w:type="dxa"/>
            <w:vAlign w:val="bottom"/>
            <w:shd w:val="clear" w:color="auto" w:fill="E9EFEE"/>
          </w:tcPr>
          <w:p>
            <w:pPr>
              <w:jc w:val="right"/>
              <w:ind w:right="39"/>
              <w:spacing w:after="0"/>
              <w:rPr>
                <w:sz w:val="20"/>
                <w:szCs w:val="20"/>
                <w:color w:val="auto"/>
              </w:rPr>
            </w:pPr>
            <w:r>
              <w:rPr>
                <w:rFonts w:ascii="Arial" w:cs="Arial" w:eastAsia="Arial" w:hAnsi="Arial"/>
                <w:sz w:val="13"/>
                <w:szCs w:val="13"/>
                <w:color w:val="auto"/>
              </w:rPr>
              <w:t>100,000</w:t>
            </w:r>
          </w:p>
        </w:tc>
        <w:tc>
          <w:tcPr>
            <w:tcW w:w="1120" w:type="dxa"/>
            <w:vAlign w:val="bottom"/>
            <w:shd w:val="clear" w:color="auto" w:fill="E9EFEE"/>
          </w:tcPr>
          <w:p>
            <w:pPr>
              <w:jc w:val="right"/>
              <w:ind w:right="39"/>
              <w:spacing w:after="0"/>
              <w:rPr>
                <w:sz w:val="20"/>
                <w:szCs w:val="20"/>
                <w:color w:val="auto"/>
              </w:rPr>
            </w:pPr>
            <w:r>
              <w:rPr>
                <w:rFonts w:ascii="Arial" w:cs="Arial" w:eastAsia="Arial" w:hAnsi="Arial"/>
                <w:sz w:val="13"/>
                <w:szCs w:val="13"/>
                <w:color w:val="auto"/>
              </w:rPr>
              <w:t>50,000</w:t>
            </w:r>
          </w:p>
        </w:tc>
        <w:tc>
          <w:tcPr>
            <w:tcW w:w="700" w:type="dxa"/>
            <w:vAlign w:val="bottom"/>
            <w:shd w:val="clear" w:color="auto" w:fill="E9EFEE"/>
          </w:tcPr>
          <w:p>
            <w:pPr>
              <w:jc w:val="right"/>
              <w:ind w:right="58"/>
              <w:spacing w:after="0"/>
              <w:rPr>
                <w:sz w:val="20"/>
                <w:szCs w:val="20"/>
                <w:color w:val="auto"/>
              </w:rPr>
            </w:pPr>
            <w:r>
              <w:rPr>
                <w:rFonts w:ascii="Arial" w:cs="Arial" w:eastAsia="Arial" w:hAnsi="Arial"/>
                <w:sz w:val="13"/>
                <w:szCs w:val="13"/>
                <w:color w:val="auto"/>
              </w:rPr>
              <w:t>17.87</w:t>
            </w:r>
          </w:p>
        </w:tc>
        <w:tc>
          <w:tcPr>
            <w:tcW w:w="720" w:type="dxa"/>
            <w:vAlign w:val="bottom"/>
            <w:shd w:val="clear" w:color="auto" w:fill="E9EFEE"/>
          </w:tcPr>
          <w:p>
            <w:pPr>
              <w:jc w:val="right"/>
              <w:spacing w:after="0"/>
              <w:rPr>
                <w:sz w:val="20"/>
                <w:szCs w:val="20"/>
                <w:color w:val="auto"/>
              </w:rPr>
            </w:pPr>
            <w:r>
              <w:rPr>
                <w:rFonts w:ascii="Arial" w:cs="Arial" w:eastAsia="Arial" w:hAnsi="Arial"/>
                <w:sz w:val="13"/>
                <w:szCs w:val="13"/>
                <w:color w:val="auto"/>
              </w:rPr>
              <w:t>7/28/2026</w:t>
            </w:r>
          </w:p>
        </w:tc>
        <w:tc>
          <w:tcPr>
            <w:tcW w:w="180" w:type="dxa"/>
            <w:vAlign w:val="bottom"/>
            <w:shd w:val="clear" w:color="auto" w:fill="E9EFEE"/>
          </w:tcPr>
          <w:p>
            <w:pPr>
              <w:spacing w:after="0"/>
              <w:rPr>
                <w:sz w:val="13"/>
                <w:szCs w:val="13"/>
                <w:color w:val="auto"/>
              </w:rPr>
            </w:pPr>
          </w:p>
        </w:tc>
        <w:tc>
          <w:tcPr>
            <w:tcW w:w="860" w:type="dxa"/>
            <w:vAlign w:val="bottom"/>
            <w:shd w:val="clear" w:color="auto" w:fill="E9EFEE"/>
          </w:tcPr>
          <w:p>
            <w:pPr>
              <w:jc w:val="right"/>
              <w:ind w:right="41"/>
              <w:spacing w:after="0"/>
              <w:rPr>
                <w:sz w:val="20"/>
                <w:szCs w:val="20"/>
                <w:color w:val="auto"/>
              </w:rPr>
            </w:pPr>
            <w:r>
              <w:rPr>
                <w:rFonts w:ascii="Arial" w:cs="Arial" w:eastAsia="Arial" w:hAnsi="Arial"/>
                <w:sz w:val="13"/>
                <w:szCs w:val="13"/>
                <w:color w:val="auto"/>
              </w:rPr>
              <w:t>—</w:t>
            </w:r>
          </w:p>
        </w:tc>
        <w:tc>
          <w:tcPr>
            <w:tcW w:w="1020" w:type="dxa"/>
            <w:vAlign w:val="bottom"/>
            <w:shd w:val="clear" w:color="auto" w:fill="E9EFEE"/>
          </w:tcPr>
          <w:p>
            <w:pPr>
              <w:jc w:val="right"/>
              <w:ind w:right="40"/>
              <w:spacing w:after="0"/>
              <w:rPr>
                <w:sz w:val="20"/>
                <w:szCs w:val="20"/>
                <w:color w:val="auto"/>
              </w:rPr>
            </w:pPr>
            <w:r>
              <w:rPr>
                <w:rFonts w:ascii="Arial" w:cs="Arial" w:eastAsia="Arial" w:hAnsi="Arial"/>
                <w:sz w:val="13"/>
                <w:szCs w:val="13"/>
                <w:color w:val="auto"/>
              </w:rPr>
              <w:t>—</w:t>
            </w:r>
          </w:p>
        </w:tc>
        <w:tc>
          <w:tcPr>
            <w:tcW w:w="1100" w:type="dxa"/>
            <w:vAlign w:val="bottom"/>
            <w:shd w:val="clear" w:color="auto" w:fill="E9EFEE"/>
          </w:tcPr>
          <w:p>
            <w:pPr>
              <w:jc w:val="right"/>
              <w:ind w:right="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E9EFEE"/>
          </w:tcPr>
          <w:p>
            <w:pPr>
              <w:jc w:val="right"/>
              <w:ind w:right="40"/>
              <w:spacing w:after="0"/>
              <w:rPr>
                <w:sz w:val="20"/>
                <w:szCs w:val="20"/>
                <w:color w:val="auto"/>
              </w:rPr>
            </w:pPr>
            <w:r>
              <w:rPr>
                <w:rFonts w:ascii="Arial" w:cs="Arial" w:eastAsia="Arial" w:hAnsi="Arial"/>
                <w:sz w:val="13"/>
                <w:szCs w:val="13"/>
                <w:color w:val="auto"/>
              </w:rPr>
              <w:t>—</w:t>
            </w:r>
          </w:p>
        </w:tc>
      </w:tr>
      <w:tr>
        <w:trPr>
          <w:trHeight w:val="162"/>
        </w:trPr>
        <w:tc>
          <w:tcPr>
            <w:tcW w:w="1210" w:type="dxa"/>
            <w:vAlign w:val="bottom"/>
            <w:shd w:val="clear" w:color="auto" w:fill="E9EFEE"/>
          </w:tcPr>
          <w:p>
            <w:pPr>
              <w:spacing w:after="0"/>
              <w:rPr>
                <w:sz w:val="14"/>
                <w:szCs w:val="14"/>
                <w:color w:val="auto"/>
              </w:rPr>
            </w:pPr>
          </w:p>
        </w:tc>
        <w:tc>
          <w:tcPr>
            <w:tcW w:w="830" w:type="dxa"/>
            <w:vAlign w:val="bottom"/>
            <w:shd w:val="clear" w:color="auto" w:fill="E9EFEE"/>
          </w:tcPr>
          <w:p>
            <w:pPr>
              <w:jc w:val="right"/>
              <w:ind w:right="122"/>
              <w:spacing w:after="0" w:line="162" w:lineRule="exact"/>
              <w:rPr>
                <w:sz w:val="20"/>
                <w:szCs w:val="20"/>
                <w:color w:val="auto"/>
              </w:rPr>
            </w:pPr>
            <w:r>
              <w:rPr>
                <w:rFonts w:ascii="Arial" w:cs="Arial" w:eastAsia="Arial" w:hAnsi="Arial"/>
                <w:sz w:val="12"/>
                <w:szCs w:val="12"/>
                <w:color w:val="auto"/>
              </w:rPr>
              <w:t>3/1/17</w:t>
            </w:r>
            <w:r>
              <w:rPr>
                <w:rFonts w:ascii="Arial" w:cs="Arial" w:eastAsia="Arial" w:hAnsi="Arial"/>
                <w:sz w:val="18"/>
                <w:szCs w:val="18"/>
                <w:color w:val="auto"/>
                <w:vertAlign w:val="superscript"/>
              </w:rPr>
              <w:t>(5)</w:t>
            </w:r>
          </w:p>
        </w:tc>
        <w:tc>
          <w:tcPr>
            <w:tcW w:w="840" w:type="dxa"/>
            <w:vAlign w:val="bottom"/>
            <w:shd w:val="clear" w:color="auto" w:fill="E9EFEE"/>
          </w:tcPr>
          <w:p>
            <w:pPr>
              <w:jc w:val="right"/>
              <w:ind w:right="39"/>
              <w:spacing w:after="0"/>
              <w:rPr>
                <w:sz w:val="20"/>
                <w:szCs w:val="20"/>
                <w:color w:val="auto"/>
              </w:rPr>
            </w:pPr>
            <w:r>
              <w:rPr>
                <w:rFonts w:ascii="Arial" w:cs="Arial" w:eastAsia="Arial" w:hAnsi="Arial"/>
                <w:sz w:val="13"/>
                <w:szCs w:val="13"/>
                <w:color w:val="auto"/>
              </w:rPr>
              <w:t>—</w:t>
            </w:r>
          </w:p>
        </w:tc>
        <w:tc>
          <w:tcPr>
            <w:tcW w:w="1120" w:type="dxa"/>
            <w:vAlign w:val="bottom"/>
            <w:shd w:val="clear" w:color="auto" w:fill="E9EFEE"/>
          </w:tcPr>
          <w:p>
            <w:pPr>
              <w:jc w:val="right"/>
              <w:ind w:right="39"/>
              <w:spacing w:after="0"/>
              <w:rPr>
                <w:sz w:val="20"/>
                <w:szCs w:val="20"/>
                <w:color w:val="auto"/>
              </w:rPr>
            </w:pPr>
            <w:r>
              <w:rPr>
                <w:rFonts w:ascii="Arial" w:cs="Arial" w:eastAsia="Arial" w:hAnsi="Arial"/>
                <w:sz w:val="13"/>
                <w:szCs w:val="13"/>
                <w:color w:val="auto"/>
              </w:rPr>
              <w:t>—</w:t>
            </w:r>
          </w:p>
        </w:tc>
        <w:tc>
          <w:tcPr>
            <w:tcW w:w="700" w:type="dxa"/>
            <w:vAlign w:val="bottom"/>
            <w:shd w:val="clear" w:color="auto" w:fill="E9EFEE"/>
          </w:tcPr>
          <w:p>
            <w:pPr>
              <w:jc w:val="right"/>
              <w:ind w:right="58"/>
              <w:spacing w:after="0"/>
              <w:rPr>
                <w:sz w:val="20"/>
                <w:szCs w:val="20"/>
                <w:color w:val="auto"/>
              </w:rPr>
            </w:pPr>
            <w:r>
              <w:rPr>
                <w:rFonts w:ascii="Arial" w:cs="Arial" w:eastAsia="Arial" w:hAnsi="Arial"/>
                <w:sz w:val="13"/>
                <w:szCs w:val="13"/>
                <w:color w:val="auto"/>
              </w:rPr>
              <w:t>—</w:t>
            </w:r>
          </w:p>
        </w:tc>
        <w:tc>
          <w:tcPr>
            <w:tcW w:w="720" w:type="dxa"/>
            <w:vAlign w:val="bottom"/>
            <w:shd w:val="clear" w:color="auto" w:fill="E9EFEE"/>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E9EFEE"/>
          </w:tcPr>
          <w:p>
            <w:pPr>
              <w:jc w:val="right"/>
              <w:ind w:right="41"/>
              <w:spacing w:after="0"/>
              <w:rPr>
                <w:sz w:val="20"/>
                <w:szCs w:val="20"/>
                <w:color w:val="auto"/>
              </w:rPr>
            </w:pPr>
            <w:r>
              <w:rPr>
                <w:rFonts w:ascii="Arial" w:cs="Arial" w:eastAsia="Arial" w:hAnsi="Arial"/>
                <w:sz w:val="13"/>
                <w:szCs w:val="13"/>
                <w:color w:val="auto"/>
              </w:rPr>
              <w:t>28,986</w:t>
            </w:r>
          </w:p>
        </w:tc>
        <w:tc>
          <w:tcPr>
            <w:tcW w:w="1020" w:type="dxa"/>
            <w:vAlign w:val="bottom"/>
            <w:shd w:val="clear" w:color="auto" w:fill="E9EFEE"/>
          </w:tcPr>
          <w:p>
            <w:pPr>
              <w:jc w:val="right"/>
              <w:ind w:right="40"/>
              <w:spacing w:after="0"/>
              <w:rPr>
                <w:sz w:val="20"/>
                <w:szCs w:val="20"/>
                <w:color w:val="auto"/>
              </w:rPr>
            </w:pPr>
            <w:r>
              <w:rPr>
                <w:rFonts w:ascii="Arial" w:cs="Arial" w:eastAsia="Arial" w:hAnsi="Arial"/>
                <w:sz w:val="13"/>
                <w:szCs w:val="13"/>
                <w:color w:val="auto"/>
              </w:rPr>
              <w:t>791,028</w:t>
            </w:r>
          </w:p>
        </w:tc>
        <w:tc>
          <w:tcPr>
            <w:tcW w:w="1100" w:type="dxa"/>
            <w:vAlign w:val="bottom"/>
            <w:shd w:val="clear" w:color="auto" w:fill="E9EFEE"/>
          </w:tcPr>
          <w:p>
            <w:pPr>
              <w:jc w:val="right"/>
              <w:ind w:right="40"/>
              <w:spacing w:after="0"/>
              <w:rPr>
                <w:sz w:val="20"/>
                <w:szCs w:val="20"/>
                <w:color w:val="auto"/>
              </w:rPr>
            </w:pPr>
            <w:r>
              <w:rPr>
                <w:rFonts w:ascii="Arial" w:cs="Arial" w:eastAsia="Arial" w:hAnsi="Arial"/>
                <w:sz w:val="13"/>
                <w:szCs w:val="13"/>
                <w:color w:val="auto"/>
              </w:rPr>
              <w:t>86,958</w:t>
            </w:r>
          </w:p>
        </w:tc>
        <w:tc>
          <w:tcPr>
            <w:tcW w:w="980" w:type="dxa"/>
            <w:vAlign w:val="bottom"/>
            <w:gridSpan w:val="2"/>
            <w:shd w:val="clear" w:color="auto" w:fill="E9EFEE"/>
          </w:tcPr>
          <w:p>
            <w:pPr>
              <w:jc w:val="right"/>
              <w:ind w:right="40"/>
              <w:spacing w:after="0"/>
              <w:rPr>
                <w:sz w:val="20"/>
                <w:szCs w:val="20"/>
                <w:color w:val="auto"/>
              </w:rPr>
            </w:pPr>
            <w:r>
              <w:rPr>
                <w:rFonts w:ascii="Arial" w:cs="Arial" w:eastAsia="Arial" w:hAnsi="Arial"/>
                <w:sz w:val="13"/>
                <w:szCs w:val="13"/>
                <w:color w:val="auto"/>
              </w:rPr>
              <w:t>2,373,084</w:t>
            </w:r>
          </w:p>
        </w:tc>
      </w:tr>
      <w:tr>
        <w:trPr>
          <w:trHeight w:val="162"/>
        </w:trPr>
        <w:tc>
          <w:tcPr>
            <w:tcW w:w="1210" w:type="dxa"/>
            <w:vAlign w:val="bottom"/>
            <w:shd w:val="clear" w:color="auto" w:fill="E9EFEE"/>
          </w:tcPr>
          <w:p>
            <w:pPr>
              <w:spacing w:after="0"/>
              <w:rPr>
                <w:sz w:val="14"/>
                <w:szCs w:val="14"/>
                <w:color w:val="auto"/>
              </w:rPr>
            </w:pPr>
          </w:p>
        </w:tc>
        <w:tc>
          <w:tcPr>
            <w:tcW w:w="830" w:type="dxa"/>
            <w:vAlign w:val="bottom"/>
            <w:shd w:val="clear" w:color="auto" w:fill="E9EFEE"/>
          </w:tcPr>
          <w:p>
            <w:pPr>
              <w:jc w:val="right"/>
              <w:ind w:right="122"/>
              <w:spacing w:after="0" w:line="163" w:lineRule="exact"/>
              <w:rPr>
                <w:sz w:val="20"/>
                <w:szCs w:val="20"/>
                <w:color w:val="auto"/>
              </w:rPr>
            </w:pPr>
            <w:r>
              <w:rPr>
                <w:rFonts w:ascii="Arial" w:cs="Arial" w:eastAsia="Arial" w:hAnsi="Arial"/>
                <w:sz w:val="12"/>
                <w:szCs w:val="12"/>
                <w:color w:val="auto"/>
              </w:rPr>
              <w:t>5/1/18</w:t>
            </w:r>
            <w:r>
              <w:rPr>
                <w:rFonts w:ascii="Arial" w:cs="Arial" w:eastAsia="Arial" w:hAnsi="Arial"/>
                <w:sz w:val="18"/>
                <w:szCs w:val="18"/>
                <w:color w:val="auto"/>
                <w:vertAlign w:val="superscript"/>
              </w:rPr>
              <w:t>(6)</w:t>
            </w:r>
          </w:p>
        </w:tc>
        <w:tc>
          <w:tcPr>
            <w:tcW w:w="840" w:type="dxa"/>
            <w:vAlign w:val="bottom"/>
            <w:shd w:val="clear" w:color="auto" w:fill="E9EFEE"/>
          </w:tcPr>
          <w:p>
            <w:pPr>
              <w:jc w:val="right"/>
              <w:ind w:right="39"/>
              <w:spacing w:after="0"/>
              <w:rPr>
                <w:sz w:val="20"/>
                <w:szCs w:val="20"/>
                <w:color w:val="auto"/>
              </w:rPr>
            </w:pPr>
            <w:r>
              <w:rPr>
                <w:rFonts w:ascii="Arial" w:cs="Arial" w:eastAsia="Arial" w:hAnsi="Arial"/>
                <w:sz w:val="13"/>
                <w:szCs w:val="13"/>
                <w:color w:val="auto"/>
              </w:rPr>
              <w:t>—</w:t>
            </w:r>
          </w:p>
        </w:tc>
        <w:tc>
          <w:tcPr>
            <w:tcW w:w="1120" w:type="dxa"/>
            <w:vAlign w:val="bottom"/>
            <w:shd w:val="clear" w:color="auto" w:fill="E9EFEE"/>
          </w:tcPr>
          <w:p>
            <w:pPr>
              <w:jc w:val="right"/>
              <w:ind w:right="39"/>
              <w:spacing w:after="0"/>
              <w:rPr>
                <w:sz w:val="20"/>
                <w:szCs w:val="20"/>
                <w:color w:val="auto"/>
              </w:rPr>
            </w:pPr>
            <w:r>
              <w:rPr>
                <w:rFonts w:ascii="Arial" w:cs="Arial" w:eastAsia="Arial" w:hAnsi="Arial"/>
                <w:sz w:val="13"/>
                <w:szCs w:val="13"/>
                <w:color w:val="auto"/>
              </w:rPr>
              <w:t>—</w:t>
            </w:r>
          </w:p>
        </w:tc>
        <w:tc>
          <w:tcPr>
            <w:tcW w:w="700" w:type="dxa"/>
            <w:vAlign w:val="bottom"/>
            <w:shd w:val="clear" w:color="auto" w:fill="E9EFEE"/>
          </w:tcPr>
          <w:p>
            <w:pPr>
              <w:jc w:val="right"/>
              <w:ind w:right="58"/>
              <w:spacing w:after="0"/>
              <w:rPr>
                <w:sz w:val="20"/>
                <w:szCs w:val="20"/>
                <w:color w:val="auto"/>
              </w:rPr>
            </w:pPr>
            <w:r>
              <w:rPr>
                <w:rFonts w:ascii="Arial" w:cs="Arial" w:eastAsia="Arial" w:hAnsi="Arial"/>
                <w:sz w:val="13"/>
                <w:szCs w:val="13"/>
                <w:color w:val="auto"/>
              </w:rPr>
              <w:t>—</w:t>
            </w:r>
          </w:p>
        </w:tc>
        <w:tc>
          <w:tcPr>
            <w:tcW w:w="720" w:type="dxa"/>
            <w:vAlign w:val="bottom"/>
            <w:shd w:val="clear" w:color="auto" w:fill="E9EFEE"/>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E9EFEE"/>
          </w:tcPr>
          <w:p>
            <w:pPr>
              <w:jc w:val="right"/>
              <w:ind w:right="41"/>
              <w:spacing w:after="0"/>
              <w:rPr>
                <w:sz w:val="20"/>
                <w:szCs w:val="20"/>
                <w:color w:val="auto"/>
              </w:rPr>
            </w:pPr>
            <w:r>
              <w:rPr>
                <w:rFonts w:ascii="Arial" w:cs="Arial" w:eastAsia="Arial" w:hAnsi="Arial"/>
                <w:sz w:val="13"/>
                <w:szCs w:val="13"/>
                <w:color w:val="auto"/>
              </w:rPr>
              <w:t>44,280</w:t>
            </w:r>
          </w:p>
        </w:tc>
        <w:tc>
          <w:tcPr>
            <w:tcW w:w="1020" w:type="dxa"/>
            <w:vAlign w:val="bottom"/>
            <w:shd w:val="clear" w:color="auto" w:fill="E9EFEE"/>
          </w:tcPr>
          <w:p>
            <w:pPr>
              <w:jc w:val="right"/>
              <w:ind w:right="40"/>
              <w:spacing w:after="0"/>
              <w:rPr>
                <w:sz w:val="20"/>
                <w:szCs w:val="20"/>
                <w:color w:val="auto"/>
              </w:rPr>
            </w:pPr>
            <w:r>
              <w:rPr>
                <w:rFonts w:ascii="Arial" w:cs="Arial" w:eastAsia="Arial" w:hAnsi="Arial"/>
                <w:sz w:val="13"/>
                <w:szCs w:val="13"/>
                <w:color w:val="auto"/>
              </w:rPr>
              <w:t>1,208,401</w:t>
            </w:r>
          </w:p>
        </w:tc>
        <w:tc>
          <w:tcPr>
            <w:tcW w:w="1100" w:type="dxa"/>
            <w:vAlign w:val="bottom"/>
            <w:shd w:val="clear" w:color="auto" w:fill="E9EFEE"/>
          </w:tcPr>
          <w:p>
            <w:pPr>
              <w:jc w:val="right"/>
              <w:ind w:right="40"/>
              <w:spacing w:after="0"/>
              <w:rPr>
                <w:sz w:val="20"/>
                <w:szCs w:val="20"/>
                <w:color w:val="auto"/>
              </w:rPr>
            </w:pPr>
            <w:r>
              <w:rPr>
                <w:rFonts w:ascii="Arial" w:cs="Arial" w:eastAsia="Arial" w:hAnsi="Arial"/>
                <w:sz w:val="13"/>
                <w:szCs w:val="13"/>
                <w:color w:val="auto"/>
              </w:rPr>
              <w:t>88,560</w:t>
            </w:r>
          </w:p>
        </w:tc>
        <w:tc>
          <w:tcPr>
            <w:tcW w:w="980" w:type="dxa"/>
            <w:vAlign w:val="bottom"/>
            <w:gridSpan w:val="2"/>
            <w:shd w:val="clear" w:color="auto" w:fill="E9EFEE"/>
          </w:tcPr>
          <w:p>
            <w:pPr>
              <w:jc w:val="right"/>
              <w:ind w:right="40"/>
              <w:spacing w:after="0"/>
              <w:rPr>
                <w:sz w:val="20"/>
                <w:szCs w:val="20"/>
                <w:color w:val="auto"/>
              </w:rPr>
            </w:pPr>
            <w:r>
              <w:rPr>
                <w:rFonts w:ascii="Arial" w:cs="Arial" w:eastAsia="Arial" w:hAnsi="Arial"/>
                <w:sz w:val="13"/>
                <w:szCs w:val="13"/>
                <w:color w:val="auto"/>
              </w:rPr>
              <w:t>2,416,802</w:t>
            </w:r>
          </w:p>
        </w:tc>
      </w:tr>
      <w:tr>
        <w:trPr>
          <w:trHeight w:val="162"/>
        </w:trPr>
        <w:tc>
          <w:tcPr>
            <w:tcW w:w="1210" w:type="dxa"/>
            <w:vAlign w:val="bottom"/>
          </w:tcPr>
          <w:p>
            <w:pPr>
              <w:spacing w:after="0"/>
              <w:rPr>
                <w:sz w:val="14"/>
                <w:szCs w:val="14"/>
                <w:color w:val="auto"/>
              </w:rPr>
            </w:pPr>
          </w:p>
        </w:tc>
        <w:tc>
          <w:tcPr>
            <w:tcW w:w="83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210" w:type="dxa"/>
            <w:vAlign w:val="bottom"/>
            <w:shd w:val="clear" w:color="auto" w:fill="E9EFEE"/>
          </w:tcPr>
          <w:p>
            <w:pPr>
              <w:ind w:left="20"/>
              <w:spacing w:after="0"/>
              <w:rPr>
                <w:sz w:val="20"/>
                <w:szCs w:val="20"/>
                <w:color w:val="auto"/>
              </w:rPr>
            </w:pPr>
            <w:r>
              <w:rPr>
                <w:rFonts w:ascii="Arial" w:cs="Arial" w:eastAsia="Arial" w:hAnsi="Arial"/>
                <w:sz w:val="13"/>
                <w:szCs w:val="13"/>
                <w:color w:val="auto"/>
              </w:rPr>
              <w:t>Robert J. Zalupski</w:t>
            </w:r>
          </w:p>
        </w:tc>
        <w:tc>
          <w:tcPr>
            <w:tcW w:w="830" w:type="dxa"/>
            <w:vAlign w:val="bottom"/>
            <w:shd w:val="clear" w:color="auto" w:fill="E9EFEE"/>
          </w:tcPr>
          <w:p>
            <w:pPr>
              <w:jc w:val="right"/>
              <w:ind w:right="122"/>
              <w:spacing w:after="0" w:line="162" w:lineRule="exact"/>
              <w:rPr>
                <w:sz w:val="20"/>
                <w:szCs w:val="20"/>
                <w:color w:val="auto"/>
              </w:rPr>
            </w:pPr>
            <w:r>
              <w:rPr>
                <w:rFonts w:ascii="Arial" w:cs="Arial" w:eastAsia="Arial" w:hAnsi="Arial"/>
                <w:sz w:val="12"/>
                <w:szCs w:val="12"/>
                <w:color w:val="auto"/>
              </w:rPr>
              <w:t>3/1/16</w:t>
            </w:r>
            <w:r>
              <w:rPr>
                <w:rFonts w:ascii="Arial" w:cs="Arial" w:eastAsia="Arial" w:hAnsi="Arial"/>
                <w:sz w:val="18"/>
                <w:szCs w:val="18"/>
                <w:color w:val="auto"/>
                <w:vertAlign w:val="superscript"/>
              </w:rPr>
              <w:t>(4)</w:t>
            </w:r>
          </w:p>
        </w:tc>
        <w:tc>
          <w:tcPr>
            <w:tcW w:w="840" w:type="dxa"/>
            <w:vAlign w:val="bottom"/>
            <w:shd w:val="clear" w:color="auto" w:fill="E9EFEE"/>
          </w:tcPr>
          <w:p>
            <w:pPr>
              <w:jc w:val="right"/>
              <w:ind w:right="39"/>
              <w:spacing w:after="0"/>
              <w:rPr>
                <w:sz w:val="20"/>
                <w:szCs w:val="20"/>
                <w:color w:val="auto"/>
              </w:rPr>
            </w:pPr>
            <w:r>
              <w:rPr>
                <w:rFonts w:ascii="Arial" w:cs="Arial" w:eastAsia="Arial" w:hAnsi="Arial"/>
                <w:sz w:val="13"/>
                <w:szCs w:val="13"/>
                <w:color w:val="auto"/>
              </w:rPr>
              <w:t>—</w:t>
            </w:r>
          </w:p>
        </w:tc>
        <w:tc>
          <w:tcPr>
            <w:tcW w:w="1120" w:type="dxa"/>
            <w:vAlign w:val="bottom"/>
            <w:shd w:val="clear" w:color="auto" w:fill="E9EFEE"/>
          </w:tcPr>
          <w:p>
            <w:pPr>
              <w:jc w:val="right"/>
              <w:ind w:right="39"/>
              <w:spacing w:after="0"/>
              <w:rPr>
                <w:sz w:val="20"/>
                <w:szCs w:val="20"/>
                <w:color w:val="auto"/>
              </w:rPr>
            </w:pPr>
            <w:r>
              <w:rPr>
                <w:rFonts w:ascii="Arial" w:cs="Arial" w:eastAsia="Arial" w:hAnsi="Arial"/>
                <w:sz w:val="13"/>
                <w:szCs w:val="13"/>
                <w:color w:val="auto"/>
              </w:rPr>
              <w:t>—</w:t>
            </w:r>
          </w:p>
        </w:tc>
        <w:tc>
          <w:tcPr>
            <w:tcW w:w="700" w:type="dxa"/>
            <w:vAlign w:val="bottom"/>
            <w:shd w:val="clear" w:color="auto" w:fill="E9EFEE"/>
          </w:tcPr>
          <w:p>
            <w:pPr>
              <w:jc w:val="right"/>
              <w:ind w:right="58"/>
              <w:spacing w:after="0"/>
              <w:rPr>
                <w:sz w:val="20"/>
                <w:szCs w:val="20"/>
                <w:color w:val="auto"/>
              </w:rPr>
            </w:pPr>
            <w:r>
              <w:rPr>
                <w:rFonts w:ascii="Arial" w:cs="Arial" w:eastAsia="Arial" w:hAnsi="Arial"/>
                <w:sz w:val="13"/>
                <w:szCs w:val="13"/>
                <w:color w:val="auto"/>
              </w:rPr>
              <w:t>—</w:t>
            </w:r>
          </w:p>
        </w:tc>
        <w:tc>
          <w:tcPr>
            <w:tcW w:w="720" w:type="dxa"/>
            <w:vAlign w:val="bottom"/>
            <w:shd w:val="clear" w:color="auto" w:fill="E9EFEE"/>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E9EFEE"/>
          </w:tcPr>
          <w:p>
            <w:pPr>
              <w:jc w:val="right"/>
              <w:ind w:right="41"/>
              <w:spacing w:after="0"/>
              <w:rPr>
                <w:sz w:val="20"/>
                <w:szCs w:val="20"/>
                <w:color w:val="auto"/>
              </w:rPr>
            </w:pPr>
            <w:r>
              <w:rPr>
                <w:rFonts w:ascii="Arial" w:cs="Arial" w:eastAsia="Arial" w:hAnsi="Arial"/>
                <w:sz w:val="13"/>
                <w:szCs w:val="13"/>
                <w:color w:val="auto"/>
              </w:rPr>
              <w:t>6,885</w:t>
            </w:r>
          </w:p>
        </w:tc>
        <w:tc>
          <w:tcPr>
            <w:tcW w:w="1020" w:type="dxa"/>
            <w:vAlign w:val="bottom"/>
            <w:shd w:val="clear" w:color="auto" w:fill="E9EFEE"/>
          </w:tcPr>
          <w:p>
            <w:pPr>
              <w:jc w:val="right"/>
              <w:ind w:right="40"/>
              <w:spacing w:after="0"/>
              <w:rPr>
                <w:sz w:val="20"/>
                <w:szCs w:val="20"/>
                <w:color w:val="auto"/>
              </w:rPr>
            </w:pPr>
            <w:r>
              <w:rPr>
                <w:rFonts w:ascii="Arial" w:cs="Arial" w:eastAsia="Arial" w:hAnsi="Arial"/>
                <w:sz w:val="13"/>
                <w:szCs w:val="13"/>
                <w:color w:val="auto"/>
              </w:rPr>
              <w:t>187,892</w:t>
            </w:r>
          </w:p>
        </w:tc>
        <w:tc>
          <w:tcPr>
            <w:tcW w:w="1100" w:type="dxa"/>
            <w:vAlign w:val="bottom"/>
            <w:shd w:val="clear" w:color="auto" w:fill="E9EFEE"/>
          </w:tcPr>
          <w:p>
            <w:pPr>
              <w:jc w:val="right"/>
              <w:ind w:right="40"/>
              <w:spacing w:after="0"/>
              <w:rPr>
                <w:sz w:val="20"/>
                <w:szCs w:val="20"/>
                <w:color w:val="auto"/>
              </w:rPr>
            </w:pPr>
            <w:r>
              <w:rPr>
                <w:rFonts w:ascii="Arial" w:cs="Arial" w:eastAsia="Arial" w:hAnsi="Arial"/>
                <w:sz w:val="13"/>
                <w:szCs w:val="13"/>
                <w:color w:val="auto"/>
              </w:rPr>
              <w:t>28,707</w:t>
            </w:r>
          </w:p>
        </w:tc>
        <w:tc>
          <w:tcPr>
            <w:tcW w:w="980" w:type="dxa"/>
            <w:vAlign w:val="bottom"/>
            <w:gridSpan w:val="2"/>
            <w:shd w:val="clear" w:color="auto" w:fill="E9EFEE"/>
          </w:tcPr>
          <w:p>
            <w:pPr>
              <w:jc w:val="right"/>
              <w:ind w:right="40"/>
              <w:spacing w:after="0"/>
              <w:rPr>
                <w:sz w:val="20"/>
                <w:szCs w:val="20"/>
                <w:color w:val="auto"/>
              </w:rPr>
            </w:pPr>
            <w:r>
              <w:rPr>
                <w:rFonts w:ascii="Arial" w:cs="Arial" w:eastAsia="Arial" w:hAnsi="Arial"/>
                <w:sz w:val="13"/>
                <w:szCs w:val="13"/>
                <w:color w:val="auto"/>
              </w:rPr>
              <w:t>783,414</w:t>
            </w:r>
          </w:p>
        </w:tc>
      </w:tr>
      <w:tr>
        <w:trPr>
          <w:trHeight w:val="162"/>
        </w:trPr>
        <w:tc>
          <w:tcPr>
            <w:tcW w:w="1210" w:type="dxa"/>
            <w:vAlign w:val="bottom"/>
            <w:shd w:val="clear" w:color="auto" w:fill="E9EFEE"/>
          </w:tcPr>
          <w:p>
            <w:pPr>
              <w:spacing w:after="0"/>
              <w:rPr>
                <w:sz w:val="14"/>
                <w:szCs w:val="14"/>
                <w:color w:val="auto"/>
              </w:rPr>
            </w:pPr>
          </w:p>
        </w:tc>
        <w:tc>
          <w:tcPr>
            <w:tcW w:w="830" w:type="dxa"/>
            <w:vAlign w:val="bottom"/>
            <w:shd w:val="clear" w:color="auto" w:fill="E9EFEE"/>
          </w:tcPr>
          <w:p>
            <w:pPr>
              <w:jc w:val="right"/>
              <w:ind w:right="122"/>
              <w:spacing w:after="0" w:line="162" w:lineRule="exact"/>
              <w:rPr>
                <w:sz w:val="20"/>
                <w:szCs w:val="20"/>
                <w:color w:val="auto"/>
              </w:rPr>
            </w:pPr>
            <w:r>
              <w:rPr>
                <w:rFonts w:ascii="Arial" w:cs="Arial" w:eastAsia="Arial" w:hAnsi="Arial"/>
                <w:sz w:val="12"/>
                <w:szCs w:val="12"/>
                <w:color w:val="auto"/>
              </w:rPr>
              <w:t>3/1/17</w:t>
            </w:r>
            <w:r>
              <w:rPr>
                <w:rFonts w:ascii="Arial" w:cs="Arial" w:eastAsia="Arial" w:hAnsi="Arial"/>
                <w:sz w:val="18"/>
                <w:szCs w:val="18"/>
                <w:color w:val="auto"/>
                <w:vertAlign w:val="superscript"/>
              </w:rPr>
              <w:t>(5)</w:t>
            </w:r>
          </w:p>
        </w:tc>
        <w:tc>
          <w:tcPr>
            <w:tcW w:w="840" w:type="dxa"/>
            <w:vAlign w:val="bottom"/>
            <w:shd w:val="clear" w:color="auto" w:fill="E9EFEE"/>
          </w:tcPr>
          <w:p>
            <w:pPr>
              <w:jc w:val="right"/>
              <w:ind w:right="39"/>
              <w:spacing w:after="0"/>
              <w:rPr>
                <w:sz w:val="20"/>
                <w:szCs w:val="20"/>
                <w:color w:val="auto"/>
              </w:rPr>
            </w:pPr>
            <w:r>
              <w:rPr>
                <w:rFonts w:ascii="Arial" w:cs="Arial" w:eastAsia="Arial" w:hAnsi="Arial"/>
                <w:sz w:val="13"/>
                <w:szCs w:val="13"/>
                <w:color w:val="auto"/>
              </w:rPr>
              <w:t>—</w:t>
            </w:r>
          </w:p>
        </w:tc>
        <w:tc>
          <w:tcPr>
            <w:tcW w:w="1120" w:type="dxa"/>
            <w:vAlign w:val="bottom"/>
            <w:shd w:val="clear" w:color="auto" w:fill="E9EFEE"/>
          </w:tcPr>
          <w:p>
            <w:pPr>
              <w:jc w:val="right"/>
              <w:ind w:right="39"/>
              <w:spacing w:after="0"/>
              <w:rPr>
                <w:sz w:val="20"/>
                <w:szCs w:val="20"/>
                <w:color w:val="auto"/>
              </w:rPr>
            </w:pPr>
            <w:r>
              <w:rPr>
                <w:rFonts w:ascii="Arial" w:cs="Arial" w:eastAsia="Arial" w:hAnsi="Arial"/>
                <w:sz w:val="13"/>
                <w:szCs w:val="13"/>
                <w:color w:val="auto"/>
              </w:rPr>
              <w:t>—</w:t>
            </w:r>
          </w:p>
        </w:tc>
        <w:tc>
          <w:tcPr>
            <w:tcW w:w="700" w:type="dxa"/>
            <w:vAlign w:val="bottom"/>
            <w:shd w:val="clear" w:color="auto" w:fill="E9EFEE"/>
          </w:tcPr>
          <w:p>
            <w:pPr>
              <w:jc w:val="right"/>
              <w:ind w:right="58"/>
              <w:spacing w:after="0"/>
              <w:rPr>
                <w:sz w:val="20"/>
                <w:szCs w:val="20"/>
                <w:color w:val="auto"/>
              </w:rPr>
            </w:pPr>
            <w:r>
              <w:rPr>
                <w:rFonts w:ascii="Arial" w:cs="Arial" w:eastAsia="Arial" w:hAnsi="Arial"/>
                <w:sz w:val="13"/>
                <w:szCs w:val="13"/>
                <w:color w:val="auto"/>
              </w:rPr>
              <w:t>—</w:t>
            </w:r>
          </w:p>
        </w:tc>
        <w:tc>
          <w:tcPr>
            <w:tcW w:w="720" w:type="dxa"/>
            <w:vAlign w:val="bottom"/>
            <w:shd w:val="clear" w:color="auto" w:fill="E9EFEE"/>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E9EFEE"/>
          </w:tcPr>
          <w:p>
            <w:pPr>
              <w:jc w:val="right"/>
              <w:ind w:right="41"/>
              <w:spacing w:after="0"/>
              <w:rPr>
                <w:sz w:val="20"/>
                <w:szCs w:val="20"/>
                <w:color w:val="auto"/>
              </w:rPr>
            </w:pPr>
            <w:r>
              <w:rPr>
                <w:rFonts w:ascii="Arial" w:cs="Arial" w:eastAsia="Arial" w:hAnsi="Arial"/>
                <w:sz w:val="13"/>
                <w:szCs w:val="13"/>
                <w:color w:val="auto"/>
              </w:rPr>
              <w:t>10,146</w:t>
            </w:r>
          </w:p>
        </w:tc>
        <w:tc>
          <w:tcPr>
            <w:tcW w:w="1020" w:type="dxa"/>
            <w:vAlign w:val="bottom"/>
            <w:shd w:val="clear" w:color="auto" w:fill="E9EFEE"/>
          </w:tcPr>
          <w:p>
            <w:pPr>
              <w:jc w:val="right"/>
              <w:ind w:right="40"/>
              <w:spacing w:after="0"/>
              <w:rPr>
                <w:sz w:val="20"/>
                <w:szCs w:val="20"/>
                <w:color w:val="auto"/>
              </w:rPr>
            </w:pPr>
            <w:r>
              <w:rPr>
                <w:rFonts w:ascii="Arial" w:cs="Arial" w:eastAsia="Arial" w:hAnsi="Arial"/>
                <w:sz w:val="13"/>
                <w:szCs w:val="13"/>
                <w:color w:val="auto"/>
              </w:rPr>
              <w:t>276,884</w:t>
            </w:r>
          </w:p>
        </w:tc>
        <w:tc>
          <w:tcPr>
            <w:tcW w:w="1100" w:type="dxa"/>
            <w:vAlign w:val="bottom"/>
            <w:shd w:val="clear" w:color="auto" w:fill="E9EFEE"/>
          </w:tcPr>
          <w:p>
            <w:pPr>
              <w:jc w:val="right"/>
              <w:ind w:right="40"/>
              <w:spacing w:after="0"/>
              <w:rPr>
                <w:sz w:val="20"/>
                <w:szCs w:val="20"/>
                <w:color w:val="auto"/>
              </w:rPr>
            </w:pPr>
            <w:r>
              <w:rPr>
                <w:rFonts w:ascii="Arial" w:cs="Arial" w:eastAsia="Arial" w:hAnsi="Arial"/>
                <w:sz w:val="13"/>
                <w:szCs w:val="13"/>
                <w:color w:val="auto"/>
              </w:rPr>
              <w:t>30,436</w:t>
            </w:r>
          </w:p>
        </w:tc>
        <w:tc>
          <w:tcPr>
            <w:tcW w:w="980" w:type="dxa"/>
            <w:vAlign w:val="bottom"/>
            <w:gridSpan w:val="2"/>
            <w:shd w:val="clear" w:color="auto" w:fill="E9EFEE"/>
          </w:tcPr>
          <w:p>
            <w:pPr>
              <w:jc w:val="right"/>
              <w:ind w:right="40"/>
              <w:spacing w:after="0"/>
              <w:rPr>
                <w:sz w:val="20"/>
                <w:szCs w:val="20"/>
                <w:color w:val="auto"/>
              </w:rPr>
            </w:pPr>
            <w:r>
              <w:rPr>
                <w:rFonts w:ascii="Arial" w:cs="Arial" w:eastAsia="Arial" w:hAnsi="Arial"/>
                <w:sz w:val="13"/>
                <w:szCs w:val="13"/>
                <w:color w:val="auto"/>
              </w:rPr>
              <w:t>830,598</w:t>
            </w:r>
          </w:p>
        </w:tc>
      </w:tr>
      <w:tr>
        <w:trPr>
          <w:trHeight w:val="162"/>
        </w:trPr>
        <w:tc>
          <w:tcPr>
            <w:tcW w:w="1210" w:type="dxa"/>
            <w:vAlign w:val="bottom"/>
            <w:shd w:val="clear" w:color="auto" w:fill="E9EFEE"/>
          </w:tcPr>
          <w:p>
            <w:pPr>
              <w:spacing w:after="0"/>
              <w:rPr>
                <w:sz w:val="14"/>
                <w:szCs w:val="14"/>
                <w:color w:val="auto"/>
              </w:rPr>
            </w:pPr>
          </w:p>
        </w:tc>
        <w:tc>
          <w:tcPr>
            <w:tcW w:w="830" w:type="dxa"/>
            <w:vAlign w:val="bottom"/>
            <w:shd w:val="clear" w:color="auto" w:fill="E9EFEE"/>
          </w:tcPr>
          <w:p>
            <w:pPr>
              <w:jc w:val="right"/>
              <w:ind w:right="122"/>
              <w:spacing w:after="0" w:line="163" w:lineRule="exact"/>
              <w:rPr>
                <w:sz w:val="20"/>
                <w:szCs w:val="20"/>
                <w:color w:val="auto"/>
              </w:rPr>
            </w:pPr>
            <w:r>
              <w:rPr>
                <w:rFonts w:ascii="Arial" w:cs="Arial" w:eastAsia="Arial" w:hAnsi="Arial"/>
                <w:sz w:val="12"/>
                <w:szCs w:val="12"/>
                <w:color w:val="auto"/>
              </w:rPr>
              <w:t>5/1/18</w:t>
            </w:r>
            <w:r>
              <w:rPr>
                <w:rFonts w:ascii="Arial" w:cs="Arial" w:eastAsia="Arial" w:hAnsi="Arial"/>
                <w:sz w:val="18"/>
                <w:szCs w:val="18"/>
                <w:color w:val="auto"/>
                <w:vertAlign w:val="superscript"/>
              </w:rPr>
              <w:t>(6)</w:t>
            </w:r>
          </w:p>
        </w:tc>
        <w:tc>
          <w:tcPr>
            <w:tcW w:w="840" w:type="dxa"/>
            <w:vAlign w:val="bottom"/>
            <w:shd w:val="clear" w:color="auto" w:fill="E9EFEE"/>
          </w:tcPr>
          <w:p>
            <w:pPr>
              <w:jc w:val="right"/>
              <w:ind w:right="39"/>
              <w:spacing w:after="0"/>
              <w:rPr>
                <w:sz w:val="20"/>
                <w:szCs w:val="20"/>
                <w:color w:val="auto"/>
              </w:rPr>
            </w:pPr>
            <w:r>
              <w:rPr>
                <w:rFonts w:ascii="Arial" w:cs="Arial" w:eastAsia="Arial" w:hAnsi="Arial"/>
                <w:sz w:val="13"/>
                <w:szCs w:val="13"/>
                <w:color w:val="auto"/>
              </w:rPr>
              <w:t>—</w:t>
            </w:r>
          </w:p>
        </w:tc>
        <w:tc>
          <w:tcPr>
            <w:tcW w:w="1120" w:type="dxa"/>
            <w:vAlign w:val="bottom"/>
            <w:shd w:val="clear" w:color="auto" w:fill="E9EFEE"/>
          </w:tcPr>
          <w:p>
            <w:pPr>
              <w:jc w:val="right"/>
              <w:ind w:right="39"/>
              <w:spacing w:after="0"/>
              <w:rPr>
                <w:sz w:val="20"/>
                <w:szCs w:val="20"/>
                <w:color w:val="auto"/>
              </w:rPr>
            </w:pPr>
            <w:r>
              <w:rPr>
                <w:rFonts w:ascii="Arial" w:cs="Arial" w:eastAsia="Arial" w:hAnsi="Arial"/>
                <w:sz w:val="13"/>
                <w:szCs w:val="13"/>
                <w:color w:val="auto"/>
              </w:rPr>
              <w:t>—</w:t>
            </w:r>
          </w:p>
        </w:tc>
        <w:tc>
          <w:tcPr>
            <w:tcW w:w="700" w:type="dxa"/>
            <w:vAlign w:val="bottom"/>
            <w:shd w:val="clear" w:color="auto" w:fill="E9EFEE"/>
          </w:tcPr>
          <w:p>
            <w:pPr>
              <w:jc w:val="right"/>
              <w:ind w:right="58"/>
              <w:spacing w:after="0"/>
              <w:rPr>
                <w:sz w:val="20"/>
                <w:szCs w:val="20"/>
                <w:color w:val="auto"/>
              </w:rPr>
            </w:pPr>
            <w:r>
              <w:rPr>
                <w:rFonts w:ascii="Arial" w:cs="Arial" w:eastAsia="Arial" w:hAnsi="Arial"/>
                <w:sz w:val="13"/>
                <w:szCs w:val="13"/>
                <w:color w:val="auto"/>
              </w:rPr>
              <w:t>—</w:t>
            </w:r>
          </w:p>
        </w:tc>
        <w:tc>
          <w:tcPr>
            <w:tcW w:w="720" w:type="dxa"/>
            <w:vAlign w:val="bottom"/>
            <w:shd w:val="clear" w:color="auto" w:fill="E9EFEE"/>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E9EFEE"/>
          </w:tcPr>
          <w:p>
            <w:pPr>
              <w:jc w:val="right"/>
              <w:ind w:right="41"/>
              <w:spacing w:after="0"/>
              <w:rPr>
                <w:sz w:val="20"/>
                <w:szCs w:val="20"/>
                <w:color w:val="auto"/>
              </w:rPr>
            </w:pPr>
            <w:r>
              <w:rPr>
                <w:rFonts w:ascii="Arial" w:cs="Arial" w:eastAsia="Arial" w:hAnsi="Arial"/>
                <w:sz w:val="13"/>
                <w:szCs w:val="13"/>
                <w:color w:val="auto"/>
              </w:rPr>
              <w:t>12,915</w:t>
            </w:r>
          </w:p>
        </w:tc>
        <w:tc>
          <w:tcPr>
            <w:tcW w:w="1020" w:type="dxa"/>
            <w:vAlign w:val="bottom"/>
            <w:shd w:val="clear" w:color="auto" w:fill="E9EFEE"/>
          </w:tcPr>
          <w:p>
            <w:pPr>
              <w:jc w:val="right"/>
              <w:ind w:right="40"/>
              <w:spacing w:after="0"/>
              <w:rPr>
                <w:sz w:val="20"/>
                <w:szCs w:val="20"/>
                <w:color w:val="auto"/>
              </w:rPr>
            </w:pPr>
            <w:r>
              <w:rPr>
                <w:rFonts w:ascii="Arial" w:cs="Arial" w:eastAsia="Arial" w:hAnsi="Arial"/>
                <w:sz w:val="13"/>
                <w:szCs w:val="13"/>
                <w:color w:val="auto"/>
              </w:rPr>
              <w:t>352,450</w:t>
            </w:r>
          </w:p>
        </w:tc>
        <w:tc>
          <w:tcPr>
            <w:tcW w:w="1100" w:type="dxa"/>
            <w:vAlign w:val="bottom"/>
            <w:shd w:val="clear" w:color="auto" w:fill="E9EFEE"/>
          </w:tcPr>
          <w:p>
            <w:pPr>
              <w:jc w:val="right"/>
              <w:ind w:right="40"/>
              <w:spacing w:after="0"/>
              <w:rPr>
                <w:sz w:val="20"/>
                <w:szCs w:val="20"/>
                <w:color w:val="auto"/>
              </w:rPr>
            </w:pPr>
            <w:r>
              <w:rPr>
                <w:rFonts w:ascii="Arial" w:cs="Arial" w:eastAsia="Arial" w:hAnsi="Arial"/>
                <w:sz w:val="13"/>
                <w:szCs w:val="13"/>
                <w:color w:val="auto"/>
              </w:rPr>
              <w:t>25,830</w:t>
            </w:r>
          </w:p>
        </w:tc>
        <w:tc>
          <w:tcPr>
            <w:tcW w:w="980" w:type="dxa"/>
            <w:vAlign w:val="bottom"/>
            <w:gridSpan w:val="2"/>
            <w:shd w:val="clear" w:color="auto" w:fill="E9EFEE"/>
          </w:tcPr>
          <w:p>
            <w:pPr>
              <w:jc w:val="right"/>
              <w:ind w:right="40"/>
              <w:spacing w:after="0"/>
              <w:rPr>
                <w:sz w:val="20"/>
                <w:szCs w:val="20"/>
                <w:color w:val="auto"/>
              </w:rPr>
            </w:pPr>
            <w:r>
              <w:rPr>
                <w:rFonts w:ascii="Arial" w:cs="Arial" w:eastAsia="Arial" w:hAnsi="Arial"/>
                <w:sz w:val="13"/>
                <w:szCs w:val="13"/>
                <w:color w:val="auto"/>
              </w:rPr>
              <w:t>704,901</w:t>
            </w:r>
          </w:p>
        </w:tc>
      </w:tr>
      <w:tr>
        <w:trPr>
          <w:trHeight w:val="162"/>
        </w:trPr>
        <w:tc>
          <w:tcPr>
            <w:tcW w:w="1210" w:type="dxa"/>
            <w:vAlign w:val="bottom"/>
          </w:tcPr>
          <w:p>
            <w:pPr>
              <w:spacing w:after="0"/>
              <w:rPr>
                <w:sz w:val="14"/>
                <w:szCs w:val="14"/>
                <w:color w:val="auto"/>
              </w:rPr>
            </w:pPr>
          </w:p>
        </w:tc>
        <w:tc>
          <w:tcPr>
            <w:tcW w:w="83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210" w:type="dxa"/>
            <w:vAlign w:val="bottom"/>
            <w:shd w:val="clear" w:color="auto" w:fill="E9EFEE"/>
          </w:tcPr>
          <w:p>
            <w:pPr>
              <w:ind w:left="20"/>
              <w:spacing w:after="0"/>
              <w:rPr>
                <w:sz w:val="20"/>
                <w:szCs w:val="20"/>
                <w:color w:val="auto"/>
              </w:rPr>
            </w:pPr>
            <w:r>
              <w:rPr>
                <w:rFonts w:ascii="Arial" w:cs="Arial" w:eastAsia="Arial" w:hAnsi="Arial"/>
                <w:sz w:val="13"/>
                <w:szCs w:val="13"/>
                <w:color w:val="auto"/>
              </w:rPr>
              <w:t>Joshua A. Sherbin</w:t>
            </w:r>
          </w:p>
        </w:tc>
        <w:tc>
          <w:tcPr>
            <w:tcW w:w="830" w:type="dxa"/>
            <w:vAlign w:val="bottom"/>
            <w:shd w:val="clear" w:color="auto" w:fill="E9EFEE"/>
          </w:tcPr>
          <w:p>
            <w:pPr>
              <w:jc w:val="right"/>
              <w:ind w:right="122"/>
              <w:spacing w:after="0" w:line="162" w:lineRule="exact"/>
              <w:rPr>
                <w:sz w:val="20"/>
                <w:szCs w:val="20"/>
                <w:color w:val="auto"/>
              </w:rPr>
            </w:pPr>
            <w:r>
              <w:rPr>
                <w:rFonts w:ascii="Arial" w:cs="Arial" w:eastAsia="Arial" w:hAnsi="Arial"/>
                <w:sz w:val="12"/>
                <w:szCs w:val="12"/>
                <w:color w:val="auto"/>
              </w:rPr>
              <w:t>3/1/16</w:t>
            </w:r>
            <w:r>
              <w:rPr>
                <w:rFonts w:ascii="Arial" w:cs="Arial" w:eastAsia="Arial" w:hAnsi="Arial"/>
                <w:sz w:val="18"/>
                <w:szCs w:val="18"/>
                <w:color w:val="auto"/>
                <w:vertAlign w:val="superscript"/>
              </w:rPr>
              <w:t>(4)</w:t>
            </w:r>
          </w:p>
        </w:tc>
        <w:tc>
          <w:tcPr>
            <w:tcW w:w="840" w:type="dxa"/>
            <w:vAlign w:val="bottom"/>
            <w:shd w:val="clear" w:color="auto" w:fill="E9EFEE"/>
          </w:tcPr>
          <w:p>
            <w:pPr>
              <w:jc w:val="right"/>
              <w:ind w:right="39"/>
              <w:spacing w:after="0"/>
              <w:rPr>
                <w:sz w:val="20"/>
                <w:szCs w:val="20"/>
                <w:color w:val="auto"/>
              </w:rPr>
            </w:pPr>
            <w:r>
              <w:rPr>
                <w:rFonts w:ascii="Arial" w:cs="Arial" w:eastAsia="Arial" w:hAnsi="Arial"/>
                <w:sz w:val="13"/>
                <w:szCs w:val="13"/>
                <w:color w:val="auto"/>
              </w:rPr>
              <w:t>—</w:t>
            </w:r>
          </w:p>
        </w:tc>
        <w:tc>
          <w:tcPr>
            <w:tcW w:w="1120" w:type="dxa"/>
            <w:vAlign w:val="bottom"/>
            <w:shd w:val="clear" w:color="auto" w:fill="E9EFEE"/>
          </w:tcPr>
          <w:p>
            <w:pPr>
              <w:jc w:val="right"/>
              <w:ind w:right="39"/>
              <w:spacing w:after="0"/>
              <w:rPr>
                <w:sz w:val="20"/>
                <w:szCs w:val="20"/>
                <w:color w:val="auto"/>
              </w:rPr>
            </w:pPr>
            <w:r>
              <w:rPr>
                <w:rFonts w:ascii="Arial" w:cs="Arial" w:eastAsia="Arial" w:hAnsi="Arial"/>
                <w:sz w:val="13"/>
                <w:szCs w:val="13"/>
                <w:color w:val="auto"/>
              </w:rPr>
              <w:t>—</w:t>
            </w:r>
          </w:p>
        </w:tc>
        <w:tc>
          <w:tcPr>
            <w:tcW w:w="700" w:type="dxa"/>
            <w:vAlign w:val="bottom"/>
            <w:shd w:val="clear" w:color="auto" w:fill="E9EFEE"/>
          </w:tcPr>
          <w:p>
            <w:pPr>
              <w:jc w:val="right"/>
              <w:ind w:right="58"/>
              <w:spacing w:after="0"/>
              <w:rPr>
                <w:sz w:val="20"/>
                <w:szCs w:val="20"/>
                <w:color w:val="auto"/>
              </w:rPr>
            </w:pPr>
            <w:r>
              <w:rPr>
                <w:rFonts w:ascii="Arial" w:cs="Arial" w:eastAsia="Arial" w:hAnsi="Arial"/>
                <w:sz w:val="13"/>
                <w:szCs w:val="13"/>
                <w:color w:val="auto"/>
              </w:rPr>
              <w:t>—</w:t>
            </w:r>
          </w:p>
        </w:tc>
        <w:tc>
          <w:tcPr>
            <w:tcW w:w="720" w:type="dxa"/>
            <w:vAlign w:val="bottom"/>
            <w:shd w:val="clear" w:color="auto" w:fill="E9EFEE"/>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E9EFEE"/>
          </w:tcPr>
          <w:p>
            <w:pPr>
              <w:jc w:val="right"/>
              <w:ind w:right="41"/>
              <w:spacing w:after="0"/>
              <w:rPr>
                <w:sz w:val="20"/>
                <w:szCs w:val="20"/>
                <w:color w:val="auto"/>
              </w:rPr>
            </w:pPr>
            <w:r>
              <w:rPr>
                <w:rFonts w:ascii="Arial" w:cs="Arial" w:eastAsia="Arial" w:hAnsi="Arial"/>
                <w:sz w:val="13"/>
                <w:szCs w:val="13"/>
                <w:color w:val="auto"/>
              </w:rPr>
              <w:t>5,889</w:t>
            </w:r>
          </w:p>
        </w:tc>
        <w:tc>
          <w:tcPr>
            <w:tcW w:w="1020" w:type="dxa"/>
            <w:vAlign w:val="bottom"/>
            <w:shd w:val="clear" w:color="auto" w:fill="E9EFEE"/>
          </w:tcPr>
          <w:p>
            <w:pPr>
              <w:jc w:val="right"/>
              <w:ind w:right="40"/>
              <w:spacing w:after="0"/>
              <w:rPr>
                <w:sz w:val="20"/>
                <w:szCs w:val="20"/>
                <w:color w:val="auto"/>
              </w:rPr>
            </w:pPr>
            <w:r>
              <w:rPr>
                <w:rFonts w:ascii="Arial" w:cs="Arial" w:eastAsia="Arial" w:hAnsi="Arial"/>
                <w:sz w:val="13"/>
                <w:szCs w:val="13"/>
                <w:color w:val="auto"/>
              </w:rPr>
              <w:t>160,711</w:t>
            </w:r>
          </w:p>
        </w:tc>
        <w:tc>
          <w:tcPr>
            <w:tcW w:w="1100" w:type="dxa"/>
            <w:vAlign w:val="bottom"/>
            <w:shd w:val="clear" w:color="auto" w:fill="E9EFEE"/>
          </w:tcPr>
          <w:p>
            <w:pPr>
              <w:jc w:val="right"/>
              <w:ind w:right="40"/>
              <w:spacing w:after="0"/>
              <w:rPr>
                <w:sz w:val="20"/>
                <w:szCs w:val="20"/>
                <w:color w:val="auto"/>
              </w:rPr>
            </w:pPr>
            <w:r>
              <w:rPr>
                <w:rFonts w:ascii="Arial" w:cs="Arial" w:eastAsia="Arial" w:hAnsi="Arial"/>
                <w:sz w:val="13"/>
                <w:szCs w:val="13"/>
                <w:color w:val="auto"/>
              </w:rPr>
              <w:t>24,554</w:t>
            </w:r>
          </w:p>
        </w:tc>
        <w:tc>
          <w:tcPr>
            <w:tcW w:w="980" w:type="dxa"/>
            <w:vAlign w:val="bottom"/>
            <w:gridSpan w:val="2"/>
            <w:shd w:val="clear" w:color="auto" w:fill="E9EFEE"/>
          </w:tcPr>
          <w:p>
            <w:pPr>
              <w:jc w:val="right"/>
              <w:ind w:right="40"/>
              <w:spacing w:after="0"/>
              <w:rPr>
                <w:sz w:val="20"/>
                <w:szCs w:val="20"/>
                <w:color w:val="auto"/>
              </w:rPr>
            </w:pPr>
            <w:r>
              <w:rPr>
                <w:rFonts w:ascii="Arial" w:cs="Arial" w:eastAsia="Arial" w:hAnsi="Arial"/>
                <w:sz w:val="13"/>
                <w:szCs w:val="13"/>
                <w:color w:val="auto"/>
              </w:rPr>
              <w:t>670,079</w:t>
            </w:r>
          </w:p>
        </w:tc>
      </w:tr>
      <w:tr>
        <w:trPr>
          <w:trHeight w:val="162"/>
        </w:trPr>
        <w:tc>
          <w:tcPr>
            <w:tcW w:w="1210" w:type="dxa"/>
            <w:vAlign w:val="bottom"/>
            <w:shd w:val="clear" w:color="auto" w:fill="E9EFEE"/>
          </w:tcPr>
          <w:p>
            <w:pPr>
              <w:spacing w:after="0"/>
              <w:rPr>
                <w:sz w:val="14"/>
                <w:szCs w:val="14"/>
                <w:color w:val="auto"/>
              </w:rPr>
            </w:pPr>
          </w:p>
        </w:tc>
        <w:tc>
          <w:tcPr>
            <w:tcW w:w="830" w:type="dxa"/>
            <w:vAlign w:val="bottom"/>
            <w:shd w:val="clear" w:color="auto" w:fill="E9EFEE"/>
          </w:tcPr>
          <w:p>
            <w:pPr>
              <w:jc w:val="right"/>
              <w:ind w:right="122"/>
              <w:spacing w:after="0" w:line="162" w:lineRule="exact"/>
              <w:rPr>
                <w:sz w:val="20"/>
                <w:szCs w:val="20"/>
                <w:color w:val="auto"/>
              </w:rPr>
            </w:pPr>
            <w:r>
              <w:rPr>
                <w:rFonts w:ascii="Arial" w:cs="Arial" w:eastAsia="Arial" w:hAnsi="Arial"/>
                <w:sz w:val="12"/>
                <w:szCs w:val="12"/>
                <w:color w:val="auto"/>
              </w:rPr>
              <w:t>3/1/17</w:t>
            </w:r>
            <w:r>
              <w:rPr>
                <w:rFonts w:ascii="Arial" w:cs="Arial" w:eastAsia="Arial" w:hAnsi="Arial"/>
                <w:sz w:val="18"/>
                <w:szCs w:val="18"/>
                <w:color w:val="auto"/>
                <w:vertAlign w:val="superscript"/>
              </w:rPr>
              <w:t>(5)</w:t>
            </w:r>
          </w:p>
        </w:tc>
        <w:tc>
          <w:tcPr>
            <w:tcW w:w="840" w:type="dxa"/>
            <w:vAlign w:val="bottom"/>
            <w:shd w:val="clear" w:color="auto" w:fill="E9EFEE"/>
          </w:tcPr>
          <w:p>
            <w:pPr>
              <w:jc w:val="right"/>
              <w:ind w:right="39"/>
              <w:spacing w:after="0"/>
              <w:rPr>
                <w:sz w:val="20"/>
                <w:szCs w:val="20"/>
                <w:color w:val="auto"/>
              </w:rPr>
            </w:pPr>
            <w:r>
              <w:rPr>
                <w:rFonts w:ascii="Arial" w:cs="Arial" w:eastAsia="Arial" w:hAnsi="Arial"/>
                <w:sz w:val="13"/>
                <w:szCs w:val="13"/>
                <w:color w:val="auto"/>
              </w:rPr>
              <w:t>—</w:t>
            </w:r>
          </w:p>
        </w:tc>
        <w:tc>
          <w:tcPr>
            <w:tcW w:w="1120" w:type="dxa"/>
            <w:vAlign w:val="bottom"/>
            <w:shd w:val="clear" w:color="auto" w:fill="E9EFEE"/>
          </w:tcPr>
          <w:p>
            <w:pPr>
              <w:jc w:val="right"/>
              <w:ind w:right="39"/>
              <w:spacing w:after="0"/>
              <w:rPr>
                <w:sz w:val="20"/>
                <w:szCs w:val="20"/>
                <w:color w:val="auto"/>
              </w:rPr>
            </w:pPr>
            <w:r>
              <w:rPr>
                <w:rFonts w:ascii="Arial" w:cs="Arial" w:eastAsia="Arial" w:hAnsi="Arial"/>
                <w:sz w:val="13"/>
                <w:szCs w:val="13"/>
                <w:color w:val="auto"/>
              </w:rPr>
              <w:t>—</w:t>
            </w:r>
          </w:p>
        </w:tc>
        <w:tc>
          <w:tcPr>
            <w:tcW w:w="700" w:type="dxa"/>
            <w:vAlign w:val="bottom"/>
            <w:shd w:val="clear" w:color="auto" w:fill="E9EFEE"/>
          </w:tcPr>
          <w:p>
            <w:pPr>
              <w:jc w:val="right"/>
              <w:ind w:right="58"/>
              <w:spacing w:after="0"/>
              <w:rPr>
                <w:sz w:val="20"/>
                <w:szCs w:val="20"/>
                <w:color w:val="auto"/>
              </w:rPr>
            </w:pPr>
            <w:r>
              <w:rPr>
                <w:rFonts w:ascii="Arial" w:cs="Arial" w:eastAsia="Arial" w:hAnsi="Arial"/>
                <w:sz w:val="13"/>
                <w:szCs w:val="13"/>
                <w:color w:val="auto"/>
              </w:rPr>
              <w:t>—</w:t>
            </w:r>
          </w:p>
        </w:tc>
        <w:tc>
          <w:tcPr>
            <w:tcW w:w="720" w:type="dxa"/>
            <w:vAlign w:val="bottom"/>
            <w:shd w:val="clear" w:color="auto" w:fill="E9EFEE"/>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E9EFEE"/>
          </w:tcPr>
          <w:p>
            <w:pPr>
              <w:jc w:val="right"/>
              <w:ind w:right="41"/>
              <w:spacing w:after="0"/>
              <w:rPr>
                <w:sz w:val="20"/>
                <w:szCs w:val="20"/>
                <w:color w:val="auto"/>
              </w:rPr>
            </w:pPr>
            <w:r>
              <w:rPr>
                <w:rFonts w:ascii="Arial" w:cs="Arial" w:eastAsia="Arial" w:hAnsi="Arial"/>
                <w:sz w:val="13"/>
                <w:szCs w:val="13"/>
                <w:color w:val="auto"/>
              </w:rPr>
              <w:t>8,696</w:t>
            </w:r>
          </w:p>
        </w:tc>
        <w:tc>
          <w:tcPr>
            <w:tcW w:w="1020" w:type="dxa"/>
            <w:vAlign w:val="bottom"/>
            <w:shd w:val="clear" w:color="auto" w:fill="E9EFEE"/>
          </w:tcPr>
          <w:p>
            <w:pPr>
              <w:jc w:val="right"/>
              <w:ind w:right="40"/>
              <w:spacing w:after="0"/>
              <w:rPr>
                <w:sz w:val="20"/>
                <w:szCs w:val="20"/>
                <w:color w:val="auto"/>
              </w:rPr>
            </w:pPr>
            <w:r>
              <w:rPr>
                <w:rFonts w:ascii="Arial" w:cs="Arial" w:eastAsia="Arial" w:hAnsi="Arial"/>
                <w:sz w:val="13"/>
                <w:szCs w:val="13"/>
                <w:color w:val="auto"/>
              </w:rPr>
              <w:t>237,314</w:t>
            </w:r>
          </w:p>
        </w:tc>
        <w:tc>
          <w:tcPr>
            <w:tcW w:w="1100" w:type="dxa"/>
            <w:vAlign w:val="bottom"/>
            <w:shd w:val="clear" w:color="auto" w:fill="E9EFEE"/>
          </w:tcPr>
          <w:p>
            <w:pPr>
              <w:jc w:val="right"/>
              <w:ind w:right="40"/>
              <w:spacing w:after="0"/>
              <w:rPr>
                <w:sz w:val="20"/>
                <w:szCs w:val="20"/>
                <w:color w:val="auto"/>
              </w:rPr>
            </w:pPr>
            <w:r>
              <w:rPr>
                <w:rFonts w:ascii="Arial" w:cs="Arial" w:eastAsia="Arial" w:hAnsi="Arial"/>
                <w:sz w:val="13"/>
                <w:szCs w:val="13"/>
                <w:color w:val="auto"/>
              </w:rPr>
              <w:t>26,088</w:t>
            </w:r>
          </w:p>
        </w:tc>
        <w:tc>
          <w:tcPr>
            <w:tcW w:w="980" w:type="dxa"/>
            <w:vAlign w:val="bottom"/>
            <w:gridSpan w:val="2"/>
            <w:shd w:val="clear" w:color="auto" w:fill="E9EFEE"/>
          </w:tcPr>
          <w:p>
            <w:pPr>
              <w:jc w:val="right"/>
              <w:ind w:right="40"/>
              <w:spacing w:after="0"/>
              <w:rPr>
                <w:sz w:val="20"/>
                <w:szCs w:val="20"/>
                <w:color w:val="auto"/>
              </w:rPr>
            </w:pPr>
            <w:r>
              <w:rPr>
                <w:rFonts w:ascii="Arial" w:cs="Arial" w:eastAsia="Arial" w:hAnsi="Arial"/>
                <w:sz w:val="13"/>
                <w:szCs w:val="13"/>
                <w:color w:val="auto"/>
              </w:rPr>
              <w:t>711,942</w:t>
            </w:r>
          </w:p>
        </w:tc>
      </w:tr>
      <w:tr>
        <w:trPr>
          <w:trHeight w:val="162"/>
        </w:trPr>
        <w:tc>
          <w:tcPr>
            <w:tcW w:w="1210" w:type="dxa"/>
            <w:vAlign w:val="bottom"/>
            <w:shd w:val="clear" w:color="auto" w:fill="E9EFEE"/>
          </w:tcPr>
          <w:p>
            <w:pPr>
              <w:spacing w:after="0"/>
              <w:rPr>
                <w:sz w:val="14"/>
                <w:szCs w:val="14"/>
                <w:color w:val="auto"/>
              </w:rPr>
            </w:pPr>
          </w:p>
        </w:tc>
        <w:tc>
          <w:tcPr>
            <w:tcW w:w="830" w:type="dxa"/>
            <w:vAlign w:val="bottom"/>
            <w:shd w:val="clear" w:color="auto" w:fill="E9EFEE"/>
          </w:tcPr>
          <w:p>
            <w:pPr>
              <w:jc w:val="right"/>
              <w:ind w:right="122"/>
              <w:spacing w:after="0" w:line="163" w:lineRule="exact"/>
              <w:rPr>
                <w:sz w:val="20"/>
                <w:szCs w:val="20"/>
                <w:color w:val="auto"/>
              </w:rPr>
            </w:pPr>
            <w:r>
              <w:rPr>
                <w:rFonts w:ascii="Arial" w:cs="Arial" w:eastAsia="Arial" w:hAnsi="Arial"/>
                <w:sz w:val="12"/>
                <w:szCs w:val="12"/>
                <w:color w:val="auto"/>
              </w:rPr>
              <w:t>5/1/18</w:t>
            </w:r>
            <w:r>
              <w:rPr>
                <w:rFonts w:ascii="Arial" w:cs="Arial" w:eastAsia="Arial" w:hAnsi="Arial"/>
                <w:sz w:val="18"/>
                <w:szCs w:val="18"/>
                <w:color w:val="auto"/>
                <w:vertAlign w:val="superscript"/>
              </w:rPr>
              <w:t>(6)</w:t>
            </w:r>
          </w:p>
        </w:tc>
        <w:tc>
          <w:tcPr>
            <w:tcW w:w="840" w:type="dxa"/>
            <w:vAlign w:val="bottom"/>
            <w:shd w:val="clear" w:color="auto" w:fill="E9EFEE"/>
          </w:tcPr>
          <w:p>
            <w:pPr>
              <w:jc w:val="right"/>
              <w:ind w:right="39"/>
              <w:spacing w:after="0"/>
              <w:rPr>
                <w:sz w:val="20"/>
                <w:szCs w:val="20"/>
                <w:color w:val="auto"/>
              </w:rPr>
            </w:pPr>
            <w:r>
              <w:rPr>
                <w:rFonts w:ascii="Arial" w:cs="Arial" w:eastAsia="Arial" w:hAnsi="Arial"/>
                <w:sz w:val="13"/>
                <w:szCs w:val="13"/>
                <w:color w:val="auto"/>
              </w:rPr>
              <w:t>—</w:t>
            </w:r>
          </w:p>
        </w:tc>
        <w:tc>
          <w:tcPr>
            <w:tcW w:w="1120" w:type="dxa"/>
            <w:vAlign w:val="bottom"/>
            <w:shd w:val="clear" w:color="auto" w:fill="E9EFEE"/>
          </w:tcPr>
          <w:p>
            <w:pPr>
              <w:jc w:val="right"/>
              <w:ind w:right="39"/>
              <w:spacing w:after="0"/>
              <w:rPr>
                <w:sz w:val="20"/>
                <w:szCs w:val="20"/>
                <w:color w:val="auto"/>
              </w:rPr>
            </w:pPr>
            <w:r>
              <w:rPr>
                <w:rFonts w:ascii="Arial" w:cs="Arial" w:eastAsia="Arial" w:hAnsi="Arial"/>
                <w:sz w:val="13"/>
                <w:szCs w:val="13"/>
                <w:color w:val="auto"/>
              </w:rPr>
              <w:t>—</w:t>
            </w:r>
          </w:p>
        </w:tc>
        <w:tc>
          <w:tcPr>
            <w:tcW w:w="700" w:type="dxa"/>
            <w:vAlign w:val="bottom"/>
            <w:shd w:val="clear" w:color="auto" w:fill="E9EFEE"/>
          </w:tcPr>
          <w:p>
            <w:pPr>
              <w:jc w:val="right"/>
              <w:ind w:right="58"/>
              <w:spacing w:after="0"/>
              <w:rPr>
                <w:sz w:val="20"/>
                <w:szCs w:val="20"/>
                <w:color w:val="auto"/>
              </w:rPr>
            </w:pPr>
            <w:r>
              <w:rPr>
                <w:rFonts w:ascii="Arial" w:cs="Arial" w:eastAsia="Arial" w:hAnsi="Arial"/>
                <w:sz w:val="13"/>
                <w:szCs w:val="13"/>
                <w:color w:val="auto"/>
              </w:rPr>
              <w:t>—</w:t>
            </w:r>
          </w:p>
        </w:tc>
        <w:tc>
          <w:tcPr>
            <w:tcW w:w="720" w:type="dxa"/>
            <w:vAlign w:val="bottom"/>
            <w:shd w:val="clear" w:color="auto" w:fill="E9EFEE"/>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E9EFEE"/>
          </w:tcPr>
          <w:p>
            <w:pPr>
              <w:jc w:val="right"/>
              <w:ind w:right="41"/>
              <w:spacing w:after="0"/>
              <w:rPr>
                <w:sz w:val="20"/>
                <w:szCs w:val="20"/>
                <w:color w:val="auto"/>
              </w:rPr>
            </w:pPr>
            <w:r>
              <w:rPr>
                <w:rFonts w:ascii="Arial" w:cs="Arial" w:eastAsia="Arial" w:hAnsi="Arial"/>
                <w:sz w:val="13"/>
                <w:szCs w:val="13"/>
                <w:color w:val="auto"/>
              </w:rPr>
              <w:t>9,225</w:t>
            </w:r>
          </w:p>
        </w:tc>
        <w:tc>
          <w:tcPr>
            <w:tcW w:w="1020" w:type="dxa"/>
            <w:vAlign w:val="bottom"/>
            <w:shd w:val="clear" w:color="auto" w:fill="E9EFEE"/>
          </w:tcPr>
          <w:p>
            <w:pPr>
              <w:jc w:val="right"/>
              <w:ind w:right="40"/>
              <w:spacing w:after="0"/>
              <w:rPr>
                <w:sz w:val="20"/>
                <w:szCs w:val="20"/>
                <w:color w:val="auto"/>
              </w:rPr>
            </w:pPr>
            <w:r>
              <w:rPr>
                <w:rFonts w:ascii="Arial" w:cs="Arial" w:eastAsia="Arial" w:hAnsi="Arial"/>
                <w:sz w:val="13"/>
                <w:szCs w:val="13"/>
                <w:color w:val="auto"/>
              </w:rPr>
              <w:t>251,750</w:t>
            </w:r>
          </w:p>
        </w:tc>
        <w:tc>
          <w:tcPr>
            <w:tcW w:w="1100" w:type="dxa"/>
            <w:vAlign w:val="bottom"/>
            <w:shd w:val="clear" w:color="auto" w:fill="E9EFEE"/>
          </w:tcPr>
          <w:p>
            <w:pPr>
              <w:jc w:val="right"/>
              <w:ind w:right="40"/>
              <w:spacing w:after="0"/>
              <w:rPr>
                <w:sz w:val="20"/>
                <w:szCs w:val="20"/>
                <w:color w:val="auto"/>
              </w:rPr>
            </w:pPr>
            <w:r>
              <w:rPr>
                <w:rFonts w:ascii="Arial" w:cs="Arial" w:eastAsia="Arial" w:hAnsi="Arial"/>
                <w:sz w:val="13"/>
                <w:szCs w:val="13"/>
                <w:color w:val="auto"/>
              </w:rPr>
              <w:t>18,450</w:t>
            </w:r>
          </w:p>
        </w:tc>
        <w:tc>
          <w:tcPr>
            <w:tcW w:w="980" w:type="dxa"/>
            <w:vAlign w:val="bottom"/>
            <w:gridSpan w:val="2"/>
            <w:shd w:val="clear" w:color="auto" w:fill="E9EFEE"/>
          </w:tcPr>
          <w:p>
            <w:pPr>
              <w:jc w:val="right"/>
              <w:ind w:right="40"/>
              <w:spacing w:after="0"/>
              <w:rPr>
                <w:sz w:val="20"/>
                <w:szCs w:val="20"/>
                <w:color w:val="auto"/>
              </w:rPr>
            </w:pPr>
            <w:r>
              <w:rPr>
                <w:rFonts w:ascii="Arial" w:cs="Arial" w:eastAsia="Arial" w:hAnsi="Arial"/>
                <w:sz w:val="13"/>
                <w:szCs w:val="13"/>
                <w:color w:val="auto"/>
              </w:rPr>
              <w:t>503,501</w:t>
            </w:r>
          </w:p>
        </w:tc>
      </w:tr>
      <w:tr>
        <w:trPr>
          <w:trHeight w:val="162"/>
        </w:trPr>
        <w:tc>
          <w:tcPr>
            <w:tcW w:w="1210" w:type="dxa"/>
            <w:vAlign w:val="bottom"/>
            <w:tcBorders>
              <w:bottom w:val="single" w:sz="8" w:color="000562"/>
            </w:tcBorders>
          </w:tcPr>
          <w:p>
            <w:pPr>
              <w:spacing w:after="0"/>
              <w:rPr>
                <w:sz w:val="14"/>
                <w:szCs w:val="14"/>
                <w:color w:val="auto"/>
              </w:rPr>
            </w:pPr>
          </w:p>
        </w:tc>
        <w:tc>
          <w:tcPr>
            <w:tcW w:w="830" w:type="dxa"/>
            <w:vAlign w:val="bottom"/>
            <w:tcBorders>
              <w:bottom w:val="single" w:sz="8" w:color="000562"/>
            </w:tcBorders>
          </w:tcPr>
          <w:p>
            <w:pPr>
              <w:spacing w:after="0"/>
              <w:rPr>
                <w:sz w:val="14"/>
                <w:szCs w:val="14"/>
                <w:color w:val="auto"/>
              </w:rPr>
            </w:pPr>
          </w:p>
        </w:tc>
        <w:tc>
          <w:tcPr>
            <w:tcW w:w="840" w:type="dxa"/>
            <w:vAlign w:val="bottom"/>
            <w:tcBorders>
              <w:bottom w:val="single" w:sz="8" w:color="000562"/>
            </w:tcBorders>
          </w:tcPr>
          <w:p>
            <w:pPr>
              <w:spacing w:after="0"/>
              <w:rPr>
                <w:sz w:val="14"/>
                <w:szCs w:val="14"/>
                <w:color w:val="auto"/>
              </w:rPr>
            </w:pPr>
          </w:p>
        </w:tc>
        <w:tc>
          <w:tcPr>
            <w:tcW w:w="1120" w:type="dxa"/>
            <w:vAlign w:val="bottom"/>
            <w:tcBorders>
              <w:bottom w:val="single" w:sz="8" w:color="000562"/>
            </w:tcBorders>
          </w:tcPr>
          <w:p>
            <w:pPr>
              <w:spacing w:after="0"/>
              <w:rPr>
                <w:sz w:val="14"/>
                <w:szCs w:val="14"/>
                <w:color w:val="auto"/>
              </w:rPr>
            </w:pPr>
          </w:p>
        </w:tc>
        <w:tc>
          <w:tcPr>
            <w:tcW w:w="700" w:type="dxa"/>
            <w:vAlign w:val="bottom"/>
            <w:tcBorders>
              <w:bottom w:val="single" w:sz="8" w:color="000562"/>
            </w:tcBorders>
          </w:tcPr>
          <w:p>
            <w:pPr>
              <w:spacing w:after="0"/>
              <w:rPr>
                <w:sz w:val="14"/>
                <w:szCs w:val="14"/>
                <w:color w:val="auto"/>
              </w:rPr>
            </w:pPr>
          </w:p>
        </w:tc>
        <w:tc>
          <w:tcPr>
            <w:tcW w:w="720" w:type="dxa"/>
            <w:vAlign w:val="bottom"/>
            <w:tcBorders>
              <w:bottom w:val="single" w:sz="8" w:color="000562"/>
            </w:tcBorders>
          </w:tcPr>
          <w:p>
            <w:pPr>
              <w:spacing w:after="0"/>
              <w:rPr>
                <w:sz w:val="14"/>
                <w:szCs w:val="14"/>
                <w:color w:val="auto"/>
              </w:rPr>
            </w:pPr>
          </w:p>
        </w:tc>
        <w:tc>
          <w:tcPr>
            <w:tcW w:w="180" w:type="dxa"/>
            <w:vAlign w:val="bottom"/>
            <w:tcBorders>
              <w:bottom w:val="single" w:sz="8" w:color="000562"/>
            </w:tcBorders>
          </w:tcPr>
          <w:p>
            <w:pPr>
              <w:spacing w:after="0"/>
              <w:rPr>
                <w:sz w:val="14"/>
                <w:szCs w:val="14"/>
                <w:color w:val="auto"/>
              </w:rPr>
            </w:pPr>
          </w:p>
        </w:tc>
        <w:tc>
          <w:tcPr>
            <w:tcW w:w="860" w:type="dxa"/>
            <w:vAlign w:val="bottom"/>
            <w:tcBorders>
              <w:bottom w:val="single" w:sz="8" w:color="000562"/>
            </w:tcBorders>
          </w:tcPr>
          <w:p>
            <w:pPr>
              <w:spacing w:after="0"/>
              <w:rPr>
                <w:sz w:val="14"/>
                <w:szCs w:val="14"/>
                <w:color w:val="auto"/>
              </w:rPr>
            </w:pPr>
          </w:p>
        </w:tc>
        <w:tc>
          <w:tcPr>
            <w:tcW w:w="1020" w:type="dxa"/>
            <w:vAlign w:val="bottom"/>
            <w:tcBorders>
              <w:bottom w:val="single" w:sz="8" w:color="000562"/>
            </w:tcBorders>
          </w:tcPr>
          <w:p>
            <w:pPr>
              <w:spacing w:after="0"/>
              <w:rPr>
                <w:sz w:val="14"/>
                <w:szCs w:val="14"/>
                <w:color w:val="auto"/>
              </w:rPr>
            </w:pPr>
          </w:p>
        </w:tc>
        <w:tc>
          <w:tcPr>
            <w:tcW w:w="1100" w:type="dxa"/>
            <w:vAlign w:val="bottom"/>
            <w:tcBorders>
              <w:bottom w:val="single" w:sz="8" w:color="000562"/>
            </w:tcBorders>
          </w:tcPr>
          <w:p>
            <w:pPr>
              <w:spacing w:after="0"/>
              <w:rPr>
                <w:sz w:val="14"/>
                <w:szCs w:val="14"/>
                <w:color w:val="auto"/>
              </w:rPr>
            </w:pPr>
          </w:p>
        </w:tc>
        <w:tc>
          <w:tcPr>
            <w:tcW w:w="880" w:type="dxa"/>
            <w:vAlign w:val="bottom"/>
            <w:tcBorders>
              <w:bottom w:val="single" w:sz="8" w:color="000562"/>
            </w:tcBorders>
          </w:tcPr>
          <w:p>
            <w:pPr>
              <w:spacing w:after="0"/>
              <w:rPr>
                <w:sz w:val="14"/>
                <w:szCs w:val="14"/>
                <w:color w:val="auto"/>
              </w:rPr>
            </w:pPr>
          </w:p>
        </w:tc>
        <w:tc>
          <w:tcPr>
            <w:tcW w:w="100" w:type="dxa"/>
            <w:vAlign w:val="bottom"/>
            <w:tcBorders>
              <w:bottom w:val="single" w:sz="8" w:color="000562"/>
            </w:tcBorders>
          </w:tcPr>
          <w:p>
            <w:pPr>
              <w:spacing w:after="0"/>
              <w:rPr>
                <w:sz w:val="14"/>
                <w:szCs w:val="14"/>
                <w:color w:val="auto"/>
              </w:rPr>
            </w:pPr>
          </w:p>
        </w:tc>
      </w:tr>
    </w:tbl>
    <w:p>
      <w:pPr>
        <w:spacing w:after="0" w:line="113" w:lineRule="exact"/>
        <w:rPr>
          <w:sz w:val="20"/>
          <w:szCs w:val="20"/>
          <w:color w:val="auto"/>
        </w:rPr>
      </w:pPr>
    </w:p>
    <w:p>
      <w:pPr>
        <w:ind w:left="400" w:hanging="353"/>
        <w:spacing w:after="0"/>
        <w:tabs>
          <w:tab w:leader="none" w:pos="4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Stock options were granted under the Amended 2011 Plan and generally vest ratably over a three-year period.</w:t>
      </w:r>
    </w:p>
    <w:p>
      <w:pPr>
        <w:spacing w:after="0" w:line="109" w:lineRule="exact"/>
        <w:rPr>
          <w:rFonts w:ascii="Arial" w:cs="Arial" w:eastAsia="Arial" w:hAnsi="Arial"/>
          <w:sz w:val="14"/>
          <w:szCs w:val="14"/>
          <w:color w:val="auto"/>
        </w:rPr>
      </w:pPr>
    </w:p>
    <w:p>
      <w:pPr>
        <w:ind w:left="400" w:right="20" w:hanging="353"/>
        <w:spacing w:after="0" w:line="258" w:lineRule="auto"/>
        <w:tabs>
          <w:tab w:leader="none" w:pos="4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All awards in these columns relate to restricted stock units and performance stock unit grants awarded under the Amended 2011 Plan and 2017 Equity and Incentive Compensation Plan.</w:t>
      </w:r>
    </w:p>
    <w:p>
      <w:pPr>
        <w:spacing w:after="0" w:line="86" w:lineRule="exact"/>
        <w:rPr>
          <w:rFonts w:ascii="Arial" w:cs="Arial" w:eastAsia="Arial" w:hAnsi="Arial"/>
          <w:sz w:val="14"/>
          <w:szCs w:val="14"/>
          <w:color w:val="auto"/>
        </w:rPr>
      </w:pPr>
    </w:p>
    <w:p>
      <w:pPr>
        <w:ind w:left="400" w:hanging="353"/>
        <w:spacing w:after="0"/>
        <w:tabs>
          <w:tab w:leader="none" w:pos="4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market value is based on the stock price as of December 31, 2018 ($27.29) multiplied by the applicable number of units outstanding.</w:t>
      </w:r>
    </w:p>
    <w:p>
      <w:pPr>
        <w:spacing w:after="0" w:line="109" w:lineRule="exact"/>
        <w:rPr>
          <w:rFonts w:ascii="Arial" w:cs="Arial" w:eastAsia="Arial" w:hAnsi="Arial"/>
          <w:sz w:val="14"/>
          <w:szCs w:val="14"/>
          <w:color w:val="auto"/>
        </w:rPr>
      </w:pPr>
    </w:p>
    <w:p>
      <w:pPr>
        <w:jc w:val="both"/>
        <w:ind w:left="400" w:hanging="353"/>
        <w:spacing w:after="0" w:line="245" w:lineRule="auto"/>
        <w:tabs>
          <w:tab w:leader="none" w:pos="4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Each participating NEO received a restricted stock unit and performance stock unit (2016-2018 Cycle) award as part of the Company’s 2016 LTI awards. The performance stock units generally cliff vest after a 36-month performance period (2016-2018 Cycle) and are subject to RTSR performance objectives over the performance period. The Committee approved the performance attainment of 139% in February 2019, which is reflected in the number of shares and market value above. The restricted stock units generally vest ratably on each of the first three anniversaries of the grant date.</w:t>
      </w:r>
    </w:p>
    <w:p>
      <w:pPr>
        <w:spacing w:after="0" w:line="96" w:lineRule="exact"/>
        <w:rPr>
          <w:rFonts w:ascii="Arial" w:cs="Arial" w:eastAsia="Arial" w:hAnsi="Arial"/>
          <w:sz w:val="14"/>
          <w:szCs w:val="14"/>
          <w:color w:val="auto"/>
        </w:rPr>
      </w:pPr>
    </w:p>
    <w:p>
      <w:pPr>
        <w:jc w:val="both"/>
        <w:ind w:left="400" w:right="20" w:hanging="353"/>
        <w:spacing w:after="0" w:line="247" w:lineRule="auto"/>
        <w:tabs>
          <w:tab w:leader="none" w:pos="4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Each NEO received a restricted stock unit and performance stock unit (2017-2019 Cycle) award as part of the Company’s 2017 LTI awards. The performance stock units generally cliff vest after a 36-month performance period (2017-2019 Cycle) and are subject to RTSR and EPS CAGR performance objectives over the performance period. For purposes of this disclosure, performance is reflected at maximum levels for these performance stock units. The restricted stock units generally vest ratably on each of the first three anniversaries of the grant date.</w:t>
      </w:r>
    </w:p>
    <w:p>
      <w:pPr>
        <w:spacing w:after="0" w:line="93" w:lineRule="exact"/>
        <w:rPr>
          <w:rFonts w:ascii="Arial" w:cs="Arial" w:eastAsia="Arial" w:hAnsi="Arial"/>
          <w:sz w:val="14"/>
          <w:szCs w:val="14"/>
          <w:color w:val="auto"/>
        </w:rPr>
      </w:pPr>
    </w:p>
    <w:p>
      <w:pPr>
        <w:jc w:val="both"/>
        <w:ind w:left="400" w:right="20" w:hanging="353"/>
        <w:spacing w:after="0" w:line="250" w:lineRule="auto"/>
        <w:tabs>
          <w:tab w:leader="none" w:pos="4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On May 1, 2018, each NEO received a restricted stock unit and performance stock unit (2018-2020 Cycle) award as part of the Company’s 2018 LTI awards. For purposes of this disclosure, performance is reflected at maximum levels for these performance stock units. See the “Grants of Plan-Based Awards in 2018” table for details on the grants, including vesting terms.</w:t>
      </w:r>
    </w:p>
    <w:p>
      <w:pPr>
        <w:spacing w:after="0" w:line="176" w:lineRule="exact"/>
        <w:rPr>
          <w:sz w:val="20"/>
          <w:szCs w:val="20"/>
          <w:color w:val="auto"/>
        </w:rPr>
      </w:pPr>
    </w:p>
    <w:p>
      <w:pPr>
        <w:ind w:left="7140"/>
        <w:spacing w:after="0"/>
        <w:tabs>
          <w:tab w:leader="none" w:pos="9040" w:val="left"/>
          <w:tab w:leader="none" w:pos="9340" w:val="left"/>
        </w:tabs>
        <w:rPr>
          <w:sz w:val="20"/>
          <w:szCs w:val="20"/>
          <w:color w:val="auto"/>
        </w:rPr>
      </w:pPr>
      <w:r>
        <w:rPr>
          <w:rFonts w:ascii="Arial" w:cs="Arial" w:eastAsia="Arial" w:hAnsi="Arial"/>
          <w:sz w:val="18"/>
          <w:szCs w:val="18"/>
          <w:i w:val="1"/>
          <w:iCs w:val="1"/>
          <w:color w:val="auto"/>
        </w:rPr>
        <w:t>2019 Proxy Statement</w:t>
      </w:r>
      <w:r>
        <w:rPr>
          <w:sz w:val="20"/>
          <w:szCs w:val="20"/>
          <w:color w:val="auto"/>
        </w:rPr>
        <w:tab/>
      </w:r>
      <w:r>
        <w:rPr>
          <w:rFonts w:ascii="Arial" w:cs="Arial" w:eastAsia="Arial" w:hAnsi="Arial"/>
          <w:sz w:val="22"/>
          <w:szCs w:val="22"/>
          <w:b w:val="1"/>
          <w:bCs w:val="1"/>
          <w:color w:val="000562"/>
        </w:rPr>
        <w:t>I</w:t>
      </w:r>
      <w:r>
        <w:rPr>
          <w:sz w:val="20"/>
          <w:szCs w:val="20"/>
          <w:color w:val="auto"/>
        </w:rPr>
        <w:tab/>
      </w:r>
      <w:r>
        <w:rPr>
          <w:rFonts w:ascii="Arial" w:cs="Arial" w:eastAsia="Arial" w:hAnsi="Arial"/>
          <w:sz w:val="17"/>
          <w:szCs w:val="17"/>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071870" cy="431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000562"/>
        </w:rPr>
        <w:t>TriMas Corporation</w:t>
      </w:r>
    </w:p>
    <w:p>
      <w:pPr>
        <w:spacing w:after="0" w:line="1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Option Exercises and Stock Vested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0718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following table provides information on stock options and restricted stock units that vested or were exercised, as applicable, in 2018 for our NEOs: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00" w:type="dxa"/>
            <w:vAlign w:val="bottom"/>
          </w:tcPr>
          <w:p>
            <w:pPr>
              <w:spacing w:after="0"/>
              <w:rPr>
                <w:sz w:val="15"/>
                <w:szCs w:val="15"/>
                <w:color w:val="auto"/>
              </w:rPr>
            </w:pPr>
          </w:p>
        </w:tc>
        <w:tc>
          <w:tcPr>
            <w:tcW w:w="2400" w:type="dxa"/>
            <w:vAlign w:val="bottom"/>
          </w:tcPr>
          <w:p>
            <w:pPr>
              <w:ind w:left="1340"/>
              <w:spacing w:after="0"/>
              <w:rPr>
                <w:sz w:val="20"/>
                <w:szCs w:val="20"/>
                <w:color w:val="auto"/>
              </w:rPr>
            </w:pPr>
            <w:r>
              <w:rPr>
                <w:rFonts w:ascii="Arial" w:cs="Arial" w:eastAsia="Arial" w:hAnsi="Arial"/>
                <w:sz w:val="14"/>
                <w:szCs w:val="14"/>
                <w:b w:val="1"/>
                <w:bCs w:val="1"/>
                <w:color w:val="000562"/>
              </w:rPr>
              <w:t>Option Awards</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60" w:type="dxa"/>
            <w:vAlign w:val="bottom"/>
            <w:gridSpan w:val="2"/>
          </w:tcPr>
          <w:p>
            <w:pPr>
              <w:ind w:left="40"/>
              <w:spacing w:after="0"/>
              <w:rPr>
                <w:sz w:val="20"/>
                <w:szCs w:val="20"/>
                <w:color w:val="auto"/>
              </w:rPr>
            </w:pPr>
            <w:r>
              <w:rPr>
                <w:rFonts w:ascii="Arial" w:cs="Arial" w:eastAsia="Arial" w:hAnsi="Arial"/>
                <w:sz w:val="14"/>
                <w:szCs w:val="14"/>
                <w:b w:val="1"/>
                <w:bCs w:val="1"/>
                <w:color w:val="000562"/>
              </w:rPr>
              <w:t>Stock Awards</w:t>
            </w:r>
          </w:p>
        </w:tc>
      </w:tr>
      <w:tr>
        <w:trPr>
          <w:trHeight w:val="169"/>
        </w:trPr>
        <w:tc>
          <w:tcPr>
            <w:tcW w:w="1900" w:type="dxa"/>
            <w:vAlign w:val="bottom"/>
          </w:tcPr>
          <w:p>
            <w:pPr>
              <w:spacing w:after="0"/>
              <w:rPr>
                <w:sz w:val="14"/>
                <w:szCs w:val="14"/>
                <w:color w:val="auto"/>
              </w:rPr>
            </w:pPr>
          </w:p>
        </w:tc>
        <w:tc>
          <w:tcPr>
            <w:tcW w:w="2400" w:type="dxa"/>
            <w:vAlign w:val="bottom"/>
            <w:tcBorders>
              <w:top w:val="single" w:sz="8" w:color="000562"/>
            </w:tcBorders>
          </w:tcPr>
          <w:p>
            <w:pPr>
              <w:jc w:val="center"/>
              <w:ind w:right="562"/>
              <w:spacing w:after="0"/>
              <w:rPr>
                <w:sz w:val="20"/>
                <w:szCs w:val="20"/>
                <w:color w:val="auto"/>
              </w:rPr>
            </w:pPr>
            <w:r>
              <w:rPr>
                <w:rFonts w:ascii="Arial" w:cs="Arial" w:eastAsia="Arial" w:hAnsi="Arial"/>
                <w:sz w:val="14"/>
                <w:szCs w:val="14"/>
                <w:b w:val="1"/>
                <w:bCs w:val="1"/>
                <w:color w:val="000562"/>
              </w:rPr>
              <w:t>Number of</w:t>
            </w:r>
          </w:p>
        </w:tc>
        <w:tc>
          <w:tcPr>
            <w:tcW w:w="1300" w:type="dxa"/>
            <w:vAlign w:val="bottom"/>
            <w:tcBorders>
              <w:top w:val="single" w:sz="8" w:color="000562"/>
            </w:tcBorders>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Borders>
              <w:top w:val="single" w:sz="8" w:color="000562"/>
            </w:tcBorders>
          </w:tcPr>
          <w:p>
            <w:pPr>
              <w:jc w:val="center"/>
              <w:ind w:left="348"/>
              <w:spacing w:after="0"/>
              <w:rPr>
                <w:sz w:val="20"/>
                <w:szCs w:val="20"/>
                <w:color w:val="auto"/>
              </w:rPr>
            </w:pPr>
            <w:r>
              <w:rPr>
                <w:rFonts w:ascii="Arial" w:cs="Arial" w:eastAsia="Arial" w:hAnsi="Arial"/>
                <w:sz w:val="14"/>
                <w:szCs w:val="14"/>
                <w:b w:val="1"/>
                <w:bCs w:val="1"/>
                <w:color w:val="000562"/>
              </w:rPr>
              <w:t>Number of</w:t>
            </w:r>
          </w:p>
        </w:tc>
        <w:tc>
          <w:tcPr>
            <w:tcW w:w="2360" w:type="dxa"/>
            <w:vAlign w:val="bottom"/>
            <w:tcBorders>
              <w:top w:val="single" w:sz="8" w:color="000562"/>
            </w:tcBorders>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900" w:type="dxa"/>
            <w:vAlign w:val="bottom"/>
          </w:tcPr>
          <w:p>
            <w:pPr>
              <w:spacing w:after="0"/>
              <w:rPr>
                <w:sz w:val="14"/>
                <w:szCs w:val="14"/>
                <w:color w:val="auto"/>
              </w:rPr>
            </w:pPr>
          </w:p>
        </w:tc>
        <w:tc>
          <w:tcPr>
            <w:tcW w:w="2400" w:type="dxa"/>
            <w:vAlign w:val="bottom"/>
          </w:tcPr>
          <w:p>
            <w:pPr>
              <w:jc w:val="center"/>
              <w:ind w:right="562"/>
              <w:spacing w:after="0"/>
              <w:rPr>
                <w:sz w:val="20"/>
                <w:szCs w:val="20"/>
                <w:color w:val="auto"/>
              </w:rPr>
            </w:pPr>
            <w:r>
              <w:rPr>
                <w:rFonts w:ascii="Arial" w:cs="Arial" w:eastAsia="Arial" w:hAnsi="Arial"/>
                <w:sz w:val="14"/>
                <w:szCs w:val="14"/>
                <w:b w:val="1"/>
                <w:bCs w:val="1"/>
                <w:color w:val="000562"/>
              </w:rPr>
              <w:t>Shares</w:t>
            </w:r>
          </w:p>
        </w:tc>
        <w:tc>
          <w:tcPr>
            <w:tcW w:w="1300" w:type="dxa"/>
            <w:vAlign w:val="bottom"/>
          </w:tcPr>
          <w:p>
            <w:pPr>
              <w:jc w:val="center"/>
              <w:ind w:right="400"/>
              <w:spacing w:after="0"/>
              <w:rPr>
                <w:sz w:val="20"/>
                <w:szCs w:val="20"/>
                <w:color w:val="auto"/>
              </w:rPr>
            </w:pPr>
            <w:r>
              <w:rPr>
                <w:rFonts w:ascii="Arial" w:cs="Arial" w:eastAsia="Arial" w:hAnsi="Arial"/>
                <w:sz w:val="14"/>
                <w:szCs w:val="14"/>
                <w:b w:val="1"/>
                <w:bCs w:val="1"/>
                <w:color w:val="000562"/>
              </w:rPr>
              <w:t>Value</w:t>
            </w:r>
          </w:p>
        </w:tc>
        <w:tc>
          <w:tcPr>
            <w:tcW w:w="160" w:type="dxa"/>
            <w:vAlign w:val="bottom"/>
          </w:tcPr>
          <w:p>
            <w:pPr>
              <w:spacing w:after="0"/>
              <w:rPr>
                <w:sz w:val="14"/>
                <w:szCs w:val="14"/>
                <w:color w:val="auto"/>
              </w:rPr>
            </w:pPr>
          </w:p>
        </w:tc>
        <w:tc>
          <w:tcPr>
            <w:tcW w:w="1340" w:type="dxa"/>
            <w:vAlign w:val="bottom"/>
          </w:tcPr>
          <w:p>
            <w:pPr>
              <w:jc w:val="center"/>
              <w:ind w:left="348"/>
              <w:spacing w:after="0"/>
              <w:rPr>
                <w:sz w:val="20"/>
                <w:szCs w:val="20"/>
                <w:color w:val="auto"/>
              </w:rPr>
            </w:pPr>
            <w:r>
              <w:rPr>
                <w:rFonts w:ascii="Arial" w:cs="Arial" w:eastAsia="Arial" w:hAnsi="Arial"/>
                <w:sz w:val="14"/>
                <w:szCs w:val="14"/>
                <w:b w:val="1"/>
                <w:bCs w:val="1"/>
                <w:color w:val="000562"/>
              </w:rPr>
              <w:t>Shares</w:t>
            </w:r>
          </w:p>
        </w:tc>
        <w:tc>
          <w:tcPr>
            <w:tcW w:w="2460" w:type="dxa"/>
            <w:vAlign w:val="bottom"/>
            <w:gridSpan w:val="2"/>
          </w:tcPr>
          <w:p>
            <w:pPr>
              <w:jc w:val="center"/>
              <w:ind w:left="444"/>
              <w:spacing w:after="0"/>
              <w:rPr>
                <w:sz w:val="20"/>
                <w:szCs w:val="20"/>
                <w:color w:val="auto"/>
              </w:rPr>
            </w:pPr>
            <w:r>
              <w:rPr>
                <w:rFonts w:ascii="Arial" w:cs="Arial" w:eastAsia="Arial" w:hAnsi="Arial"/>
                <w:sz w:val="14"/>
                <w:szCs w:val="14"/>
                <w:b w:val="1"/>
                <w:bCs w:val="1"/>
                <w:color w:val="000562"/>
              </w:rPr>
              <w:t>Value</w:t>
            </w:r>
          </w:p>
        </w:tc>
      </w:tr>
      <w:tr>
        <w:trPr>
          <w:trHeight w:val="162"/>
        </w:trPr>
        <w:tc>
          <w:tcPr>
            <w:tcW w:w="1900" w:type="dxa"/>
            <w:vAlign w:val="bottom"/>
          </w:tcPr>
          <w:p>
            <w:pPr>
              <w:spacing w:after="0"/>
              <w:rPr>
                <w:sz w:val="14"/>
                <w:szCs w:val="14"/>
                <w:color w:val="auto"/>
              </w:rPr>
            </w:pPr>
          </w:p>
        </w:tc>
        <w:tc>
          <w:tcPr>
            <w:tcW w:w="2400" w:type="dxa"/>
            <w:vAlign w:val="bottom"/>
          </w:tcPr>
          <w:p>
            <w:pPr>
              <w:jc w:val="center"/>
              <w:ind w:right="562"/>
              <w:spacing w:after="0"/>
              <w:rPr>
                <w:sz w:val="20"/>
                <w:szCs w:val="20"/>
                <w:color w:val="auto"/>
              </w:rPr>
            </w:pPr>
            <w:r>
              <w:rPr>
                <w:rFonts w:ascii="Arial" w:cs="Arial" w:eastAsia="Arial" w:hAnsi="Arial"/>
                <w:sz w:val="14"/>
                <w:szCs w:val="14"/>
                <w:b w:val="1"/>
                <w:bCs w:val="1"/>
                <w:color w:val="000562"/>
              </w:rPr>
              <w:t>Acquired on</w:t>
            </w:r>
          </w:p>
        </w:tc>
        <w:tc>
          <w:tcPr>
            <w:tcW w:w="1300" w:type="dxa"/>
            <w:vAlign w:val="bottom"/>
          </w:tcPr>
          <w:p>
            <w:pPr>
              <w:jc w:val="center"/>
              <w:ind w:right="380"/>
              <w:spacing w:after="0"/>
              <w:rPr>
                <w:sz w:val="20"/>
                <w:szCs w:val="20"/>
                <w:color w:val="auto"/>
              </w:rPr>
            </w:pPr>
            <w:r>
              <w:rPr>
                <w:rFonts w:ascii="Arial" w:cs="Arial" w:eastAsia="Arial" w:hAnsi="Arial"/>
                <w:sz w:val="14"/>
                <w:szCs w:val="14"/>
                <w:b w:val="1"/>
                <w:bCs w:val="1"/>
                <w:color w:val="000562"/>
              </w:rPr>
              <w:t>Realizedon</w:t>
            </w:r>
          </w:p>
        </w:tc>
        <w:tc>
          <w:tcPr>
            <w:tcW w:w="160" w:type="dxa"/>
            <w:vAlign w:val="bottom"/>
          </w:tcPr>
          <w:p>
            <w:pPr>
              <w:spacing w:after="0"/>
              <w:rPr>
                <w:sz w:val="14"/>
                <w:szCs w:val="14"/>
                <w:color w:val="auto"/>
              </w:rPr>
            </w:pPr>
          </w:p>
        </w:tc>
        <w:tc>
          <w:tcPr>
            <w:tcW w:w="1340" w:type="dxa"/>
            <w:vAlign w:val="bottom"/>
          </w:tcPr>
          <w:p>
            <w:pPr>
              <w:jc w:val="center"/>
              <w:ind w:left="348"/>
              <w:spacing w:after="0"/>
              <w:rPr>
                <w:sz w:val="20"/>
                <w:szCs w:val="20"/>
                <w:color w:val="auto"/>
              </w:rPr>
            </w:pPr>
            <w:r>
              <w:rPr>
                <w:rFonts w:ascii="Arial" w:cs="Arial" w:eastAsia="Arial" w:hAnsi="Arial"/>
                <w:sz w:val="14"/>
                <w:szCs w:val="14"/>
                <w:b w:val="1"/>
                <w:bCs w:val="1"/>
                <w:color w:val="000562"/>
              </w:rPr>
              <w:t>Acquired on</w:t>
            </w:r>
          </w:p>
        </w:tc>
        <w:tc>
          <w:tcPr>
            <w:tcW w:w="2460" w:type="dxa"/>
            <w:vAlign w:val="bottom"/>
            <w:gridSpan w:val="2"/>
          </w:tcPr>
          <w:p>
            <w:pPr>
              <w:jc w:val="center"/>
              <w:ind w:left="444"/>
              <w:spacing w:after="0"/>
              <w:rPr>
                <w:sz w:val="20"/>
                <w:szCs w:val="20"/>
                <w:color w:val="auto"/>
              </w:rPr>
            </w:pPr>
            <w:r>
              <w:rPr>
                <w:rFonts w:ascii="Arial" w:cs="Arial" w:eastAsia="Arial" w:hAnsi="Arial"/>
                <w:sz w:val="14"/>
                <w:szCs w:val="14"/>
                <w:b w:val="1"/>
                <w:bCs w:val="1"/>
                <w:color w:val="000562"/>
              </w:rPr>
              <w:t>Realized</w:t>
            </w:r>
          </w:p>
        </w:tc>
      </w:tr>
      <w:tr>
        <w:trPr>
          <w:trHeight w:val="148"/>
        </w:trPr>
        <w:tc>
          <w:tcPr>
            <w:tcW w:w="1900" w:type="dxa"/>
            <w:vAlign w:val="bottom"/>
          </w:tcPr>
          <w:p>
            <w:pPr>
              <w:spacing w:after="0"/>
              <w:rPr>
                <w:sz w:val="12"/>
                <w:szCs w:val="12"/>
                <w:color w:val="auto"/>
              </w:rPr>
            </w:pPr>
          </w:p>
        </w:tc>
        <w:tc>
          <w:tcPr>
            <w:tcW w:w="2400" w:type="dxa"/>
            <w:vAlign w:val="bottom"/>
          </w:tcPr>
          <w:p>
            <w:pPr>
              <w:jc w:val="center"/>
              <w:ind w:right="562"/>
              <w:spacing w:after="0" w:line="149" w:lineRule="exact"/>
              <w:rPr>
                <w:sz w:val="20"/>
                <w:szCs w:val="20"/>
                <w:color w:val="auto"/>
              </w:rPr>
            </w:pPr>
            <w:r>
              <w:rPr>
                <w:rFonts w:ascii="Arial" w:cs="Arial" w:eastAsia="Arial" w:hAnsi="Arial"/>
                <w:sz w:val="14"/>
                <w:szCs w:val="14"/>
                <w:b w:val="1"/>
                <w:bCs w:val="1"/>
                <w:color w:val="000562"/>
              </w:rPr>
              <w:t>Exercise</w:t>
            </w:r>
          </w:p>
        </w:tc>
        <w:tc>
          <w:tcPr>
            <w:tcW w:w="1300" w:type="dxa"/>
            <w:vAlign w:val="bottom"/>
          </w:tcPr>
          <w:p>
            <w:pPr>
              <w:jc w:val="center"/>
              <w:ind w:right="400"/>
              <w:spacing w:after="0" w:line="149" w:lineRule="exact"/>
              <w:rPr>
                <w:sz w:val="20"/>
                <w:szCs w:val="20"/>
                <w:color w:val="auto"/>
              </w:rPr>
            </w:pPr>
            <w:r>
              <w:rPr>
                <w:rFonts w:ascii="Arial" w:cs="Arial" w:eastAsia="Arial" w:hAnsi="Arial"/>
                <w:sz w:val="14"/>
                <w:szCs w:val="14"/>
                <w:b w:val="1"/>
                <w:bCs w:val="1"/>
                <w:color w:val="000562"/>
              </w:rPr>
              <w:t>Exercise</w:t>
            </w:r>
          </w:p>
        </w:tc>
        <w:tc>
          <w:tcPr>
            <w:tcW w:w="160" w:type="dxa"/>
            <w:vAlign w:val="bottom"/>
          </w:tcPr>
          <w:p>
            <w:pPr>
              <w:spacing w:after="0"/>
              <w:rPr>
                <w:sz w:val="12"/>
                <w:szCs w:val="12"/>
                <w:color w:val="auto"/>
              </w:rPr>
            </w:pPr>
          </w:p>
        </w:tc>
        <w:tc>
          <w:tcPr>
            <w:tcW w:w="134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000562"/>
              </w:rPr>
              <w:t>Vesting</w:t>
            </w:r>
          </w:p>
        </w:tc>
        <w:tc>
          <w:tcPr>
            <w:tcW w:w="2460" w:type="dxa"/>
            <w:vAlign w:val="bottom"/>
            <w:gridSpan w:val="2"/>
          </w:tcPr>
          <w:p>
            <w:pPr>
              <w:jc w:val="center"/>
              <w:ind w:left="444"/>
              <w:spacing w:after="0" w:line="149" w:lineRule="exact"/>
              <w:rPr>
                <w:sz w:val="20"/>
                <w:szCs w:val="20"/>
                <w:color w:val="auto"/>
              </w:rPr>
            </w:pPr>
            <w:r>
              <w:rPr>
                <w:rFonts w:ascii="Arial" w:cs="Arial" w:eastAsia="Arial" w:hAnsi="Arial"/>
                <w:sz w:val="14"/>
                <w:szCs w:val="14"/>
                <w:b w:val="1"/>
                <w:bCs w:val="1"/>
                <w:color w:val="000562"/>
              </w:rPr>
              <w:t>on Vesting</w:t>
            </w:r>
          </w:p>
        </w:tc>
      </w:tr>
      <w:tr>
        <w:trPr>
          <w:trHeight w:val="203"/>
        </w:trPr>
        <w:tc>
          <w:tcPr>
            <w:tcW w:w="1900" w:type="dxa"/>
            <w:vAlign w:val="bottom"/>
            <w:tcBorders>
              <w:bottom w:val="single" w:sz="8" w:color="000562"/>
            </w:tcBorders>
          </w:tcPr>
          <w:p>
            <w:pPr>
              <w:ind w:left="20"/>
              <w:spacing w:after="0"/>
              <w:rPr>
                <w:sz w:val="20"/>
                <w:szCs w:val="20"/>
                <w:color w:val="auto"/>
              </w:rPr>
            </w:pPr>
            <w:r>
              <w:rPr>
                <w:rFonts w:ascii="Arial" w:cs="Arial" w:eastAsia="Arial" w:hAnsi="Arial"/>
                <w:sz w:val="14"/>
                <w:szCs w:val="14"/>
                <w:b w:val="1"/>
                <w:bCs w:val="1"/>
                <w:color w:val="000562"/>
              </w:rPr>
              <w:t>Name</w:t>
            </w:r>
          </w:p>
        </w:tc>
        <w:tc>
          <w:tcPr>
            <w:tcW w:w="2400" w:type="dxa"/>
            <w:vAlign w:val="bottom"/>
            <w:tcBorders>
              <w:bottom w:val="single" w:sz="8" w:color="000562"/>
            </w:tcBorders>
          </w:tcPr>
          <w:p>
            <w:pPr>
              <w:jc w:val="center"/>
              <w:ind w:right="542"/>
              <w:spacing w:after="0"/>
              <w:rPr>
                <w:sz w:val="20"/>
                <w:szCs w:val="20"/>
                <w:color w:val="auto"/>
              </w:rPr>
            </w:pPr>
            <w:r>
              <w:rPr>
                <w:rFonts w:ascii="Arial" w:cs="Arial" w:eastAsia="Arial" w:hAnsi="Arial"/>
                <w:sz w:val="14"/>
                <w:szCs w:val="14"/>
                <w:b w:val="1"/>
                <w:bCs w:val="1"/>
                <w:color w:val="000562"/>
              </w:rPr>
              <w:t>(#)</w:t>
            </w:r>
          </w:p>
        </w:tc>
        <w:tc>
          <w:tcPr>
            <w:tcW w:w="1300" w:type="dxa"/>
            <w:vAlign w:val="bottom"/>
            <w:tcBorders>
              <w:bottom w:val="single" w:sz="8" w:color="000562"/>
            </w:tcBorders>
          </w:tcPr>
          <w:p>
            <w:pPr>
              <w:jc w:val="center"/>
              <w:ind w:right="400"/>
              <w:spacing w:after="0"/>
              <w:rPr>
                <w:sz w:val="20"/>
                <w:szCs w:val="20"/>
                <w:color w:val="auto"/>
              </w:rPr>
            </w:pPr>
            <w:r>
              <w:rPr>
                <w:rFonts w:ascii="Arial" w:cs="Arial" w:eastAsia="Arial" w:hAnsi="Arial"/>
                <w:sz w:val="14"/>
                <w:szCs w:val="14"/>
                <w:b w:val="1"/>
                <w:bCs w:val="1"/>
                <w:color w:val="000562"/>
              </w:rPr>
              <w:t>($)</w:t>
            </w:r>
          </w:p>
        </w:tc>
        <w:tc>
          <w:tcPr>
            <w:tcW w:w="1500" w:type="dxa"/>
            <w:vAlign w:val="bottom"/>
            <w:tcBorders>
              <w:bottom w:val="single" w:sz="8" w:color="000562"/>
            </w:tcBorders>
            <w:gridSpan w:val="2"/>
          </w:tcPr>
          <w:p>
            <w:pPr>
              <w:jc w:val="center"/>
              <w:ind w:left="514"/>
              <w:spacing w:after="0"/>
              <w:rPr>
                <w:sz w:val="20"/>
                <w:szCs w:val="20"/>
                <w:color w:val="auto"/>
              </w:rPr>
            </w:pPr>
            <w:r>
              <w:rPr>
                <w:rFonts w:ascii="Arial" w:cs="Arial" w:eastAsia="Arial" w:hAnsi="Arial"/>
                <w:sz w:val="14"/>
                <w:szCs w:val="14"/>
                <w:b w:val="1"/>
                <w:bCs w:val="1"/>
                <w:color w:val="000562"/>
              </w:rPr>
              <w:t>(#)</w:t>
            </w:r>
          </w:p>
        </w:tc>
        <w:tc>
          <w:tcPr>
            <w:tcW w:w="2360" w:type="dxa"/>
            <w:vAlign w:val="bottom"/>
            <w:tcBorders>
              <w:bottom w:val="single" w:sz="8" w:color="000562"/>
            </w:tcBorders>
          </w:tcPr>
          <w:p>
            <w:pPr>
              <w:jc w:val="center"/>
              <w:ind w:left="524"/>
              <w:spacing w:after="0" w:line="202" w:lineRule="exact"/>
              <w:rPr>
                <w:sz w:val="20"/>
                <w:szCs w:val="20"/>
                <w:color w:val="auto"/>
              </w:rPr>
            </w:pPr>
            <w:r>
              <w:rPr>
                <w:rFonts w:ascii="Arial" w:cs="Arial" w:eastAsia="Arial" w:hAnsi="Arial"/>
                <w:sz w:val="23"/>
                <w:szCs w:val="23"/>
                <w:b w:val="1"/>
                <w:bCs w:val="1"/>
                <w:color w:val="000562"/>
                <w:w w:val="99"/>
                <w:vertAlign w:val="subscript"/>
              </w:rPr>
              <w:t>($)</w:t>
            </w:r>
            <w:r>
              <w:rPr>
                <w:rFonts w:ascii="Arial" w:cs="Arial" w:eastAsia="Arial" w:hAnsi="Arial"/>
                <w:sz w:val="11"/>
                <w:szCs w:val="11"/>
                <w:b w:val="1"/>
                <w:bCs w:val="1"/>
                <w:color w:val="000562"/>
                <w:w w:val="99"/>
              </w:rPr>
              <w:t>(1)</w:t>
            </w:r>
          </w:p>
        </w:tc>
        <w:tc>
          <w:tcPr>
            <w:tcW w:w="100" w:type="dxa"/>
            <w:vAlign w:val="bottom"/>
            <w:tcBorders>
              <w:bottom w:val="single" w:sz="8" w:color="000562"/>
            </w:tcBorders>
          </w:tcPr>
          <w:p>
            <w:pPr>
              <w:spacing w:after="0"/>
              <w:rPr>
                <w:sz w:val="17"/>
                <w:szCs w:val="17"/>
                <w:color w:val="auto"/>
              </w:rPr>
            </w:pPr>
          </w:p>
        </w:tc>
      </w:tr>
      <w:tr>
        <w:trPr>
          <w:trHeight w:val="223"/>
        </w:trPr>
        <w:tc>
          <w:tcPr>
            <w:tcW w:w="1900" w:type="dxa"/>
            <w:vAlign w:val="bottom"/>
            <w:shd w:val="clear" w:color="auto" w:fill="E9EFEE"/>
          </w:tcPr>
          <w:p>
            <w:pPr>
              <w:ind w:left="20"/>
              <w:spacing w:after="0"/>
              <w:rPr>
                <w:sz w:val="20"/>
                <w:szCs w:val="20"/>
                <w:color w:val="auto"/>
              </w:rPr>
            </w:pPr>
            <w:r>
              <w:rPr>
                <w:rFonts w:ascii="Arial" w:cs="Arial" w:eastAsia="Arial" w:hAnsi="Arial"/>
                <w:sz w:val="18"/>
                <w:szCs w:val="18"/>
                <w:color w:val="auto"/>
              </w:rPr>
              <w:t>Thomas A. Amato</w:t>
            </w:r>
          </w:p>
        </w:tc>
        <w:tc>
          <w:tcPr>
            <w:tcW w:w="2400" w:type="dxa"/>
            <w:vAlign w:val="bottom"/>
            <w:shd w:val="clear" w:color="auto" w:fill="E9EFEE"/>
          </w:tcPr>
          <w:p>
            <w:pPr>
              <w:jc w:val="center"/>
              <w:ind w:right="54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E9EFEE"/>
          </w:tcPr>
          <w:p>
            <w:pPr>
              <w:jc w:val="center"/>
              <w:ind w:right="40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E9EFEE"/>
          </w:tcPr>
          <w:p>
            <w:pPr>
              <w:jc w:val="center"/>
              <w:ind w:left="494"/>
              <w:spacing w:after="0"/>
              <w:rPr>
                <w:sz w:val="20"/>
                <w:szCs w:val="20"/>
                <w:color w:val="auto"/>
              </w:rPr>
            </w:pPr>
            <w:r>
              <w:rPr>
                <w:rFonts w:ascii="Arial" w:cs="Arial" w:eastAsia="Arial" w:hAnsi="Arial"/>
                <w:sz w:val="18"/>
                <w:szCs w:val="18"/>
                <w:color w:val="auto"/>
              </w:rPr>
              <w:t>14,493</w:t>
            </w:r>
          </w:p>
        </w:tc>
        <w:tc>
          <w:tcPr>
            <w:tcW w:w="2360" w:type="dxa"/>
            <w:vAlign w:val="bottom"/>
            <w:shd w:val="clear" w:color="auto" w:fill="E9EFEE"/>
          </w:tcPr>
          <w:p>
            <w:pPr>
              <w:jc w:val="center"/>
              <w:ind w:left="544"/>
              <w:spacing w:after="0"/>
              <w:rPr>
                <w:sz w:val="20"/>
                <w:szCs w:val="20"/>
                <w:color w:val="auto"/>
              </w:rPr>
            </w:pPr>
            <w:r>
              <w:rPr>
                <w:rFonts w:ascii="Arial" w:cs="Arial" w:eastAsia="Arial" w:hAnsi="Arial"/>
                <w:sz w:val="18"/>
                <w:szCs w:val="18"/>
                <w:color w:val="auto"/>
              </w:rPr>
              <w:t>373,195</w:t>
            </w:r>
          </w:p>
        </w:tc>
        <w:tc>
          <w:tcPr>
            <w:tcW w:w="100" w:type="dxa"/>
            <w:vAlign w:val="bottom"/>
            <w:shd w:val="clear" w:color="auto" w:fill="E9EFEE"/>
          </w:tcPr>
          <w:p>
            <w:pPr>
              <w:spacing w:after="0"/>
              <w:rPr>
                <w:sz w:val="19"/>
                <w:szCs w:val="19"/>
                <w:color w:val="auto"/>
              </w:rPr>
            </w:pPr>
          </w:p>
        </w:tc>
      </w:tr>
      <w:tr>
        <w:trPr>
          <w:trHeight w:val="230"/>
        </w:trPr>
        <w:tc>
          <w:tcPr>
            <w:tcW w:w="1900" w:type="dxa"/>
            <w:vAlign w:val="bottom"/>
          </w:tcPr>
          <w:p>
            <w:pPr>
              <w:ind w:left="20"/>
              <w:spacing w:after="0"/>
              <w:rPr>
                <w:sz w:val="20"/>
                <w:szCs w:val="20"/>
                <w:color w:val="auto"/>
              </w:rPr>
            </w:pPr>
            <w:r>
              <w:rPr>
                <w:rFonts w:ascii="Arial" w:cs="Arial" w:eastAsia="Arial" w:hAnsi="Arial"/>
                <w:sz w:val="18"/>
                <w:szCs w:val="18"/>
                <w:color w:val="auto"/>
              </w:rPr>
              <w:t>Robert J. Zalupski</w:t>
            </w:r>
          </w:p>
        </w:tc>
        <w:tc>
          <w:tcPr>
            <w:tcW w:w="2400" w:type="dxa"/>
            <w:vAlign w:val="bottom"/>
          </w:tcPr>
          <w:p>
            <w:pPr>
              <w:jc w:val="center"/>
              <w:ind w:right="54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center"/>
              <w:ind w:right="40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left="494"/>
              <w:spacing w:after="0"/>
              <w:rPr>
                <w:sz w:val="20"/>
                <w:szCs w:val="20"/>
                <w:color w:val="auto"/>
              </w:rPr>
            </w:pPr>
            <w:r>
              <w:rPr>
                <w:rFonts w:ascii="Arial" w:cs="Arial" w:eastAsia="Arial" w:hAnsi="Arial"/>
                <w:sz w:val="18"/>
                <w:szCs w:val="18"/>
                <w:color w:val="auto"/>
              </w:rPr>
              <w:t>36,418</w:t>
            </w:r>
          </w:p>
        </w:tc>
        <w:tc>
          <w:tcPr>
            <w:tcW w:w="2360" w:type="dxa"/>
            <w:vAlign w:val="bottom"/>
          </w:tcPr>
          <w:p>
            <w:pPr>
              <w:jc w:val="center"/>
              <w:ind w:left="544"/>
              <w:spacing w:after="0"/>
              <w:rPr>
                <w:sz w:val="20"/>
                <w:szCs w:val="20"/>
                <w:color w:val="auto"/>
              </w:rPr>
            </w:pPr>
            <w:r>
              <w:rPr>
                <w:rFonts w:ascii="Arial" w:cs="Arial" w:eastAsia="Arial" w:hAnsi="Arial"/>
                <w:sz w:val="18"/>
                <w:szCs w:val="18"/>
                <w:color w:val="auto"/>
              </w:rPr>
              <w:t>937,764</w:t>
            </w:r>
          </w:p>
        </w:tc>
        <w:tc>
          <w:tcPr>
            <w:tcW w:w="100" w:type="dxa"/>
            <w:vAlign w:val="bottom"/>
          </w:tcPr>
          <w:p>
            <w:pPr>
              <w:spacing w:after="0"/>
              <w:rPr>
                <w:sz w:val="19"/>
                <w:szCs w:val="19"/>
                <w:color w:val="auto"/>
              </w:rPr>
            </w:pPr>
          </w:p>
        </w:tc>
      </w:tr>
      <w:tr>
        <w:trPr>
          <w:trHeight w:val="230"/>
        </w:trPr>
        <w:tc>
          <w:tcPr>
            <w:tcW w:w="1900" w:type="dxa"/>
            <w:vAlign w:val="bottom"/>
            <w:tcBorders>
              <w:bottom w:val="single" w:sz="8" w:color="000562"/>
            </w:tcBorders>
            <w:shd w:val="clear" w:color="auto" w:fill="E9EFEE"/>
          </w:tcPr>
          <w:p>
            <w:pPr>
              <w:ind w:left="20"/>
              <w:spacing w:after="0"/>
              <w:rPr>
                <w:sz w:val="20"/>
                <w:szCs w:val="20"/>
                <w:color w:val="auto"/>
              </w:rPr>
            </w:pPr>
            <w:r>
              <w:rPr>
                <w:rFonts w:ascii="Arial" w:cs="Arial" w:eastAsia="Arial" w:hAnsi="Arial"/>
                <w:sz w:val="18"/>
                <w:szCs w:val="18"/>
                <w:color w:val="auto"/>
              </w:rPr>
              <w:t>Joshua A. Sherbin</w:t>
            </w:r>
          </w:p>
        </w:tc>
        <w:tc>
          <w:tcPr>
            <w:tcW w:w="2400" w:type="dxa"/>
            <w:vAlign w:val="bottom"/>
            <w:tcBorders>
              <w:bottom w:val="single" w:sz="8" w:color="000562"/>
            </w:tcBorders>
            <w:shd w:val="clear" w:color="auto" w:fill="E9EFEE"/>
          </w:tcPr>
          <w:p>
            <w:pPr>
              <w:jc w:val="center"/>
              <w:ind w:right="54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000562"/>
            </w:tcBorders>
            <w:shd w:val="clear" w:color="auto" w:fill="E9EFEE"/>
          </w:tcPr>
          <w:p>
            <w:pPr>
              <w:jc w:val="center"/>
              <w:ind w:right="40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000562"/>
            </w:tcBorders>
            <w:gridSpan w:val="2"/>
            <w:shd w:val="clear" w:color="auto" w:fill="E9EFEE"/>
          </w:tcPr>
          <w:p>
            <w:pPr>
              <w:jc w:val="center"/>
              <w:ind w:left="494"/>
              <w:spacing w:after="0"/>
              <w:rPr>
                <w:sz w:val="20"/>
                <w:szCs w:val="20"/>
                <w:color w:val="auto"/>
              </w:rPr>
            </w:pPr>
            <w:r>
              <w:rPr>
                <w:rFonts w:ascii="Arial" w:cs="Arial" w:eastAsia="Arial" w:hAnsi="Arial"/>
                <w:sz w:val="18"/>
                <w:szCs w:val="18"/>
                <w:color w:val="auto"/>
              </w:rPr>
              <w:t>36,350</w:t>
            </w:r>
          </w:p>
        </w:tc>
        <w:tc>
          <w:tcPr>
            <w:tcW w:w="2360" w:type="dxa"/>
            <w:vAlign w:val="bottom"/>
            <w:tcBorders>
              <w:bottom w:val="single" w:sz="8" w:color="000562"/>
            </w:tcBorders>
            <w:shd w:val="clear" w:color="auto" w:fill="E9EFEE"/>
          </w:tcPr>
          <w:p>
            <w:pPr>
              <w:jc w:val="center"/>
              <w:ind w:left="544"/>
              <w:spacing w:after="0"/>
              <w:rPr>
                <w:sz w:val="20"/>
                <w:szCs w:val="20"/>
                <w:color w:val="auto"/>
              </w:rPr>
            </w:pPr>
            <w:r>
              <w:rPr>
                <w:rFonts w:ascii="Arial" w:cs="Arial" w:eastAsia="Arial" w:hAnsi="Arial"/>
                <w:sz w:val="18"/>
                <w:szCs w:val="18"/>
                <w:color w:val="auto"/>
              </w:rPr>
              <w:t>936,013</w:t>
            </w:r>
          </w:p>
        </w:tc>
        <w:tc>
          <w:tcPr>
            <w:tcW w:w="100" w:type="dxa"/>
            <w:vAlign w:val="bottom"/>
            <w:tcBorders>
              <w:bottom w:val="single" w:sz="8" w:color="000562"/>
            </w:tcBorders>
            <w:shd w:val="clear" w:color="auto" w:fill="E9EFEE"/>
          </w:tcPr>
          <w:p>
            <w:pPr>
              <w:spacing w:after="0"/>
              <w:rPr>
                <w:sz w:val="19"/>
                <w:szCs w:val="19"/>
                <w:color w:val="auto"/>
              </w:rPr>
            </w:pPr>
          </w:p>
        </w:tc>
      </w:tr>
    </w:tbl>
    <w:p>
      <w:pPr>
        <w:spacing w:after="0" w:line="113" w:lineRule="exact"/>
        <w:rPr>
          <w:sz w:val="20"/>
          <w:szCs w:val="20"/>
          <w:color w:val="auto"/>
        </w:rPr>
      </w:pPr>
    </w:p>
    <w:p>
      <w:pPr>
        <w:ind w:left="400" w:right="20" w:hanging="353"/>
        <w:spacing w:after="0" w:line="258" w:lineRule="auto"/>
        <w:tabs>
          <w:tab w:leader="none" w:pos="4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Calculated by multiplying the number of shares or units vesting times the closing price of our stock on the vesting date (or on the last trading day prior to the vesting date if the vesting date was not a trading day).</w:t>
      </w:r>
    </w:p>
    <w:p>
      <w:pPr>
        <w:spacing w:after="0" w:line="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2018 Nonqualified Deferred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0718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the nonqualified retirement plans for the NEOs in 2018:</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000562"/>
              </w:rPr>
              <w:t>Aggregate</w:t>
            </w:r>
          </w:p>
        </w:tc>
      </w:tr>
      <w:tr>
        <w:trPr>
          <w:trHeight w:val="162"/>
        </w:trPr>
        <w:tc>
          <w:tcPr>
            <w:tcW w:w="1840" w:type="dxa"/>
            <w:vAlign w:val="bottom"/>
          </w:tcPr>
          <w:p>
            <w:pPr>
              <w:spacing w:after="0"/>
              <w:rPr>
                <w:sz w:val="14"/>
                <w:szCs w:val="14"/>
                <w:color w:val="auto"/>
              </w:rPr>
            </w:pPr>
          </w:p>
        </w:tc>
        <w:tc>
          <w:tcPr>
            <w:tcW w:w="1600" w:type="dxa"/>
            <w:vAlign w:val="bottom"/>
          </w:tcPr>
          <w:p>
            <w:pPr>
              <w:jc w:val="center"/>
              <w:ind w:left="1"/>
              <w:spacing w:after="0"/>
              <w:rPr>
                <w:sz w:val="20"/>
                <w:szCs w:val="20"/>
                <w:color w:val="auto"/>
              </w:rPr>
            </w:pPr>
            <w:r>
              <w:rPr>
                <w:rFonts w:ascii="Arial" w:cs="Arial" w:eastAsia="Arial" w:hAnsi="Arial"/>
                <w:sz w:val="14"/>
                <w:szCs w:val="14"/>
                <w:b w:val="1"/>
                <w:bCs w:val="1"/>
                <w:color w:val="000562"/>
              </w:rPr>
              <w:t>Executive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000562"/>
              </w:rPr>
              <w:t>Registrant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000562"/>
              </w:rPr>
              <w:t>Aggregate</w:t>
            </w:r>
          </w:p>
        </w:tc>
        <w:tc>
          <w:tcPr>
            <w:tcW w:w="16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000562"/>
              </w:rPr>
              <w:t>Balance</w:t>
            </w:r>
          </w:p>
        </w:tc>
      </w:tr>
      <w:tr>
        <w:trPr>
          <w:trHeight w:val="162"/>
        </w:trPr>
        <w:tc>
          <w:tcPr>
            <w:tcW w:w="1840" w:type="dxa"/>
            <w:vAlign w:val="bottom"/>
          </w:tcPr>
          <w:p>
            <w:pPr>
              <w:spacing w:after="0"/>
              <w:rPr>
                <w:sz w:val="14"/>
                <w:szCs w:val="14"/>
                <w:color w:val="auto"/>
              </w:rPr>
            </w:pPr>
          </w:p>
        </w:tc>
        <w:tc>
          <w:tcPr>
            <w:tcW w:w="1600" w:type="dxa"/>
            <w:vAlign w:val="bottom"/>
          </w:tcPr>
          <w:p>
            <w:pPr>
              <w:jc w:val="center"/>
              <w:ind w:left="1"/>
              <w:spacing w:after="0"/>
              <w:rPr>
                <w:sz w:val="20"/>
                <w:szCs w:val="20"/>
                <w:color w:val="auto"/>
              </w:rPr>
            </w:pPr>
            <w:r>
              <w:rPr>
                <w:rFonts w:ascii="Arial" w:cs="Arial" w:eastAsia="Arial" w:hAnsi="Arial"/>
                <w:sz w:val="14"/>
                <w:szCs w:val="14"/>
                <w:b w:val="1"/>
                <w:bCs w:val="1"/>
                <w:color w:val="000562"/>
              </w:rPr>
              <w:t>Contributions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000562"/>
              </w:rPr>
              <w:t>Contributions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000562"/>
              </w:rPr>
              <w:t>Earnings</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000562"/>
              </w:rPr>
              <w:t>Aggregate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000562"/>
              </w:rPr>
              <w:t>at Last</w:t>
            </w:r>
          </w:p>
        </w:tc>
      </w:tr>
      <w:tr>
        <w:trPr>
          <w:trHeight w:val="162"/>
        </w:trPr>
        <w:tc>
          <w:tcPr>
            <w:tcW w:w="1840" w:type="dxa"/>
            <w:vAlign w:val="bottom"/>
          </w:tcPr>
          <w:p>
            <w:pPr>
              <w:spacing w:after="0"/>
              <w:rPr>
                <w:sz w:val="14"/>
                <w:szCs w:val="14"/>
                <w:color w:val="auto"/>
              </w:rPr>
            </w:pPr>
          </w:p>
        </w:tc>
        <w:tc>
          <w:tcPr>
            <w:tcW w:w="1600" w:type="dxa"/>
            <w:vAlign w:val="bottom"/>
          </w:tcPr>
          <w:p>
            <w:pPr>
              <w:jc w:val="center"/>
              <w:ind w:left="1"/>
              <w:spacing w:after="0"/>
              <w:rPr>
                <w:sz w:val="20"/>
                <w:szCs w:val="20"/>
                <w:color w:val="auto"/>
              </w:rPr>
            </w:pPr>
            <w:r>
              <w:rPr>
                <w:rFonts w:ascii="Arial" w:cs="Arial" w:eastAsia="Arial" w:hAnsi="Arial"/>
                <w:sz w:val="14"/>
                <w:szCs w:val="14"/>
                <w:b w:val="1"/>
                <w:bCs w:val="1"/>
                <w:color w:val="000562"/>
              </w:rPr>
              <w:t>in Last</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000562"/>
              </w:rPr>
              <w:t>in Last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000562"/>
              </w:rPr>
              <w:t>in Last</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000562"/>
              </w:rPr>
              <w:t>Withdrawals/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000562"/>
              </w:rPr>
              <w:t>Fiscal</w:t>
            </w:r>
          </w:p>
        </w:tc>
      </w:tr>
      <w:tr>
        <w:trPr>
          <w:trHeight w:val="148"/>
        </w:trPr>
        <w:tc>
          <w:tcPr>
            <w:tcW w:w="1840" w:type="dxa"/>
            <w:vAlign w:val="bottom"/>
          </w:tcPr>
          <w:p>
            <w:pPr>
              <w:spacing w:after="0"/>
              <w:rPr>
                <w:sz w:val="12"/>
                <w:szCs w:val="12"/>
                <w:color w:val="auto"/>
              </w:rPr>
            </w:pPr>
          </w:p>
        </w:tc>
        <w:tc>
          <w:tcPr>
            <w:tcW w:w="1600" w:type="dxa"/>
            <w:vAlign w:val="bottom"/>
          </w:tcPr>
          <w:p>
            <w:pPr>
              <w:jc w:val="center"/>
              <w:ind w:left="1"/>
              <w:spacing w:after="0" w:line="149" w:lineRule="exact"/>
              <w:rPr>
                <w:sz w:val="20"/>
                <w:szCs w:val="20"/>
                <w:color w:val="auto"/>
              </w:rPr>
            </w:pPr>
            <w:r>
              <w:rPr>
                <w:rFonts w:ascii="Arial" w:cs="Arial" w:eastAsia="Arial" w:hAnsi="Arial"/>
                <w:sz w:val="14"/>
                <w:szCs w:val="14"/>
                <w:b w:val="1"/>
                <w:bCs w:val="1"/>
                <w:color w:val="000562"/>
              </w:rPr>
              <w:t>Fiscal Year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000562"/>
              </w:rPr>
              <w:t>Fiscal Year</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000562"/>
              </w:rPr>
              <w:t>Fiscal Year</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000562"/>
              </w:rPr>
              <w:t>Distributions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000562"/>
              </w:rPr>
              <w:t>Year-End</w:t>
            </w:r>
          </w:p>
        </w:tc>
      </w:tr>
      <w:tr>
        <w:trPr>
          <w:trHeight w:val="203"/>
        </w:trPr>
        <w:tc>
          <w:tcPr>
            <w:tcW w:w="1840" w:type="dxa"/>
            <w:vAlign w:val="bottom"/>
            <w:tcBorders>
              <w:bottom w:val="single" w:sz="8" w:color="000562"/>
            </w:tcBorders>
          </w:tcPr>
          <w:p>
            <w:pPr>
              <w:ind w:left="20"/>
              <w:spacing w:after="0"/>
              <w:rPr>
                <w:sz w:val="20"/>
                <w:szCs w:val="20"/>
                <w:color w:val="auto"/>
              </w:rPr>
            </w:pPr>
            <w:r>
              <w:rPr>
                <w:rFonts w:ascii="Arial" w:cs="Arial" w:eastAsia="Arial" w:hAnsi="Arial"/>
                <w:sz w:val="14"/>
                <w:szCs w:val="14"/>
                <w:b w:val="1"/>
                <w:bCs w:val="1"/>
                <w:color w:val="000562"/>
              </w:rPr>
              <w:t>Name</w:t>
            </w:r>
          </w:p>
        </w:tc>
        <w:tc>
          <w:tcPr>
            <w:tcW w:w="1600" w:type="dxa"/>
            <w:vAlign w:val="bottom"/>
            <w:tcBorders>
              <w:bottom w:val="single" w:sz="8" w:color="000562"/>
            </w:tcBorders>
          </w:tcPr>
          <w:p>
            <w:pPr>
              <w:jc w:val="center"/>
              <w:ind w:left="1"/>
              <w:spacing w:after="0"/>
              <w:rPr>
                <w:sz w:val="20"/>
                <w:szCs w:val="20"/>
                <w:color w:val="auto"/>
              </w:rPr>
            </w:pPr>
            <w:r>
              <w:rPr>
                <w:rFonts w:ascii="Arial" w:cs="Arial" w:eastAsia="Arial" w:hAnsi="Arial"/>
                <w:sz w:val="14"/>
                <w:szCs w:val="14"/>
                <w:b w:val="1"/>
                <w:bCs w:val="1"/>
                <w:color w:val="000562"/>
                <w:w w:val="93"/>
              </w:rPr>
              <w:t>($)</w:t>
            </w:r>
          </w:p>
        </w:tc>
        <w:tc>
          <w:tcPr>
            <w:tcW w:w="1580" w:type="dxa"/>
            <w:vAlign w:val="bottom"/>
            <w:tcBorders>
              <w:bottom w:val="single" w:sz="8" w:color="000562"/>
            </w:tcBorders>
          </w:tcPr>
          <w:p>
            <w:pPr>
              <w:jc w:val="center"/>
              <w:spacing w:after="0" w:line="202" w:lineRule="exact"/>
              <w:rPr>
                <w:sz w:val="20"/>
                <w:szCs w:val="20"/>
                <w:color w:val="auto"/>
              </w:rPr>
            </w:pPr>
            <w:r>
              <w:rPr>
                <w:rFonts w:ascii="Arial" w:cs="Arial" w:eastAsia="Arial" w:hAnsi="Arial"/>
                <w:sz w:val="14"/>
                <w:szCs w:val="14"/>
                <w:b w:val="1"/>
                <w:bCs w:val="1"/>
                <w:color w:val="000562"/>
                <w:w w:val="89"/>
              </w:rPr>
              <w:t>($)</w:t>
            </w:r>
            <w:r>
              <w:rPr>
                <w:rFonts w:ascii="Arial" w:cs="Arial" w:eastAsia="Arial" w:hAnsi="Arial"/>
                <w:sz w:val="23"/>
                <w:szCs w:val="23"/>
                <w:b w:val="1"/>
                <w:bCs w:val="1"/>
                <w:color w:val="000562"/>
                <w:w w:val="89"/>
                <w:vertAlign w:val="superscript"/>
              </w:rPr>
              <w:t>(1)</w:t>
            </w:r>
          </w:p>
        </w:tc>
        <w:tc>
          <w:tcPr>
            <w:tcW w:w="1440" w:type="dxa"/>
            <w:vAlign w:val="bottom"/>
            <w:tcBorders>
              <w:bottom w:val="single" w:sz="8" w:color="000562"/>
            </w:tcBorders>
          </w:tcPr>
          <w:p>
            <w:pPr>
              <w:jc w:val="center"/>
              <w:spacing w:after="0" w:line="202" w:lineRule="exact"/>
              <w:rPr>
                <w:sz w:val="20"/>
                <w:szCs w:val="20"/>
                <w:color w:val="auto"/>
              </w:rPr>
            </w:pPr>
            <w:r>
              <w:rPr>
                <w:rFonts w:ascii="Arial" w:cs="Arial" w:eastAsia="Arial" w:hAnsi="Arial"/>
                <w:sz w:val="14"/>
                <w:szCs w:val="14"/>
                <w:b w:val="1"/>
                <w:bCs w:val="1"/>
                <w:color w:val="000562"/>
                <w:w w:val="89"/>
              </w:rPr>
              <w:t>($)</w:t>
            </w:r>
            <w:r>
              <w:rPr>
                <w:rFonts w:ascii="Arial" w:cs="Arial" w:eastAsia="Arial" w:hAnsi="Arial"/>
                <w:sz w:val="23"/>
                <w:szCs w:val="23"/>
                <w:b w:val="1"/>
                <w:bCs w:val="1"/>
                <w:color w:val="000562"/>
                <w:w w:val="89"/>
                <w:vertAlign w:val="superscript"/>
              </w:rPr>
              <w:t>(2)</w:t>
            </w:r>
          </w:p>
        </w:tc>
        <w:tc>
          <w:tcPr>
            <w:tcW w:w="1620" w:type="dxa"/>
            <w:vAlign w:val="bottom"/>
            <w:tcBorders>
              <w:bottom w:val="single" w:sz="8" w:color="000562"/>
            </w:tcBorders>
          </w:tcPr>
          <w:p>
            <w:pPr>
              <w:jc w:val="center"/>
              <w:spacing w:after="0"/>
              <w:rPr>
                <w:sz w:val="20"/>
                <w:szCs w:val="20"/>
                <w:color w:val="auto"/>
              </w:rPr>
            </w:pPr>
            <w:r>
              <w:rPr>
                <w:rFonts w:ascii="Arial" w:cs="Arial" w:eastAsia="Arial" w:hAnsi="Arial"/>
                <w:sz w:val="14"/>
                <w:szCs w:val="14"/>
                <w:b w:val="1"/>
                <w:bCs w:val="1"/>
                <w:color w:val="000562"/>
              </w:rPr>
              <w:t>($)</w:t>
            </w:r>
          </w:p>
        </w:tc>
        <w:tc>
          <w:tcPr>
            <w:tcW w:w="1480" w:type="dxa"/>
            <w:vAlign w:val="bottom"/>
            <w:tcBorders>
              <w:bottom w:val="single" w:sz="8" w:color="000562"/>
            </w:tcBorders>
          </w:tcPr>
          <w:p>
            <w:pPr>
              <w:jc w:val="center"/>
              <w:spacing w:after="0" w:line="202" w:lineRule="exact"/>
              <w:rPr>
                <w:sz w:val="20"/>
                <w:szCs w:val="20"/>
                <w:color w:val="auto"/>
              </w:rPr>
            </w:pPr>
            <w:r>
              <w:rPr>
                <w:rFonts w:ascii="Arial" w:cs="Arial" w:eastAsia="Arial" w:hAnsi="Arial"/>
                <w:sz w:val="14"/>
                <w:szCs w:val="14"/>
                <w:b w:val="1"/>
                <w:bCs w:val="1"/>
                <w:color w:val="000562"/>
                <w:w w:val="89"/>
              </w:rPr>
              <w:t>($)</w:t>
            </w:r>
            <w:r>
              <w:rPr>
                <w:rFonts w:ascii="Arial" w:cs="Arial" w:eastAsia="Arial" w:hAnsi="Arial"/>
                <w:sz w:val="23"/>
                <w:szCs w:val="23"/>
                <w:b w:val="1"/>
                <w:bCs w:val="1"/>
                <w:color w:val="000562"/>
                <w:w w:val="89"/>
                <w:vertAlign w:val="superscript"/>
              </w:rPr>
              <w:t>(3)</w:t>
            </w:r>
          </w:p>
        </w:tc>
      </w:tr>
      <w:tr>
        <w:trPr>
          <w:trHeight w:val="223"/>
        </w:trPr>
        <w:tc>
          <w:tcPr>
            <w:tcW w:w="1840" w:type="dxa"/>
            <w:vAlign w:val="bottom"/>
            <w:shd w:val="clear" w:color="auto" w:fill="E9EFEE"/>
          </w:tcPr>
          <w:p>
            <w:pPr>
              <w:ind w:left="20"/>
              <w:spacing w:after="0"/>
              <w:rPr>
                <w:sz w:val="20"/>
                <w:szCs w:val="20"/>
                <w:color w:val="auto"/>
              </w:rPr>
            </w:pPr>
            <w:r>
              <w:rPr>
                <w:rFonts w:ascii="Arial" w:cs="Arial" w:eastAsia="Arial" w:hAnsi="Arial"/>
                <w:sz w:val="18"/>
                <w:szCs w:val="18"/>
                <w:color w:val="auto"/>
              </w:rPr>
              <w:t>Thomas A. Amato</w:t>
            </w:r>
          </w:p>
        </w:tc>
        <w:tc>
          <w:tcPr>
            <w:tcW w:w="1600" w:type="dxa"/>
            <w:vAlign w:val="bottom"/>
            <w:shd w:val="clear" w:color="auto" w:fill="E9EFEE"/>
          </w:tcPr>
          <w:p>
            <w:pPr>
              <w:jc w:val="center"/>
              <w:ind w:left="21"/>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E9EFEE"/>
          </w:tcPr>
          <w:p>
            <w:pPr>
              <w:jc w:val="center"/>
              <w:spacing w:after="0"/>
              <w:rPr>
                <w:sz w:val="20"/>
                <w:szCs w:val="20"/>
                <w:color w:val="auto"/>
              </w:rPr>
            </w:pPr>
            <w:r>
              <w:rPr>
                <w:rFonts w:ascii="Arial" w:cs="Arial" w:eastAsia="Arial" w:hAnsi="Arial"/>
                <w:sz w:val="18"/>
                <w:szCs w:val="18"/>
                <w:color w:val="auto"/>
                <w:w w:val="98"/>
              </w:rPr>
              <w:t>13,594</w:t>
            </w:r>
          </w:p>
        </w:tc>
        <w:tc>
          <w:tcPr>
            <w:tcW w:w="1440" w:type="dxa"/>
            <w:vAlign w:val="bottom"/>
            <w:shd w:val="clear" w:color="auto" w:fill="E9EFEE"/>
          </w:tcPr>
          <w:p>
            <w:pPr>
              <w:jc w:val="right"/>
              <w:ind w:right="342"/>
              <w:spacing w:after="0"/>
              <w:rPr>
                <w:sz w:val="20"/>
                <w:szCs w:val="20"/>
                <w:color w:val="auto"/>
              </w:rPr>
            </w:pPr>
            <w:r>
              <w:rPr>
                <w:rFonts w:ascii="Arial" w:cs="Arial" w:eastAsia="Arial" w:hAnsi="Arial"/>
                <w:sz w:val="18"/>
                <w:szCs w:val="18"/>
                <w:color w:val="auto"/>
              </w:rPr>
              <w:t>(1,814)</w:t>
            </w:r>
          </w:p>
        </w:tc>
        <w:tc>
          <w:tcPr>
            <w:tcW w:w="1620" w:type="dxa"/>
            <w:vAlign w:val="bottom"/>
            <w:shd w:val="clear" w:color="auto" w:fill="E9EFEE"/>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E9EFEE"/>
          </w:tcPr>
          <w:p>
            <w:pPr>
              <w:jc w:val="right"/>
              <w:ind w:right="382"/>
              <w:spacing w:after="0"/>
              <w:rPr>
                <w:sz w:val="20"/>
                <w:szCs w:val="20"/>
                <w:color w:val="auto"/>
              </w:rPr>
            </w:pPr>
            <w:r>
              <w:rPr>
                <w:rFonts w:ascii="Arial" w:cs="Arial" w:eastAsia="Arial" w:hAnsi="Arial"/>
                <w:sz w:val="18"/>
                <w:szCs w:val="18"/>
                <w:color w:val="auto"/>
              </w:rPr>
              <w:t>25,735</w:t>
            </w:r>
          </w:p>
        </w:tc>
      </w:tr>
      <w:tr>
        <w:trPr>
          <w:trHeight w:val="230"/>
        </w:trPr>
        <w:tc>
          <w:tcPr>
            <w:tcW w:w="1840" w:type="dxa"/>
            <w:vAlign w:val="bottom"/>
          </w:tcPr>
          <w:p>
            <w:pPr>
              <w:ind w:left="20"/>
              <w:spacing w:after="0"/>
              <w:rPr>
                <w:sz w:val="20"/>
                <w:szCs w:val="20"/>
                <w:color w:val="auto"/>
              </w:rPr>
            </w:pPr>
            <w:r>
              <w:rPr>
                <w:rFonts w:ascii="Arial" w:cs="Arial" w:eastAsia="Arial" w:hAnsi="Arial"/>
                <w:sz w:val="18"/>
                <w:szCs w:val="18"/>
                <w:color w:val="auto"/>
              </w:rPr>
              <w:t>Robert J. Zalupski</w:t>
            </w:r>
          </w:p>
        </w:tc>
        <w:tc>
          <w:tcPr>
            <w:tcW w:w="1600" w:type="dxa"/>
            <w:vAlign w:val="bottom"/>
          </w:tcPr>
          <w:p>
            <w:pPr>
              <w:jc w:val="center"/>
              <w:ind w:left="21"/>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8"/>
              </w:rPr>
              <w:t>21,966</w:t>
            </w:r>
          </w:p>
        </w:tc>
        <w:tc>
          <w:tcPr>
            <w:tcW w:w="1440" w:type="dxa"/>
            <w:vAlign w:val="bottom"/>
          </w:tcPr>
          <w:p>
            <w:pPr>
              <w:jc w:val="center"/>
              <w:spacing w:after="0"/>
              <w:rPr>
                <w:sz w:val="20"/>
                <w:szCs w:val="20"/>
                <w:color w:val="auto"/>
              </w:rPr>
            </w:pPr>
            <w:r>
              <w:rPr>
                <w:rFonts w:ascii="Arial" w:cs="Arial" w:eastAsia="Arial" w:hAnsi="Arial"/>
                <w:sz w:val="18"/>
                <w:szCs w:val="18"/>
                <w:color w:val="auto"/>
              </w:rPr>
              <w:t>(15,883)</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317,105</w:t>
            </w:r>
          </w:p>
        </w:tc>
      </w:tr>
      <w:tr>
        <w:trPr>
          <w:trHeight w:val="230"/>
        </w:trPr>
        <w:tc>
          <w:tcPr>
            <w:tcW w:w="1840" w:type="dxa"/>
            <w:vAlign w:val="bottom"/>
            <w:tcBorders>
              <w:bottom w:val="single" w:sz="8" w:color="000562"/>
            </w:tcBorders>
            <w:shd w:val="clear" w:color="auto" w:fill="E9EFEE"/>
          </w:tcPr>
          <w:p>
            <w:pPr>
              <w:ind w:left="20"/>
              <w:spacing w:after="0"/>
              <w:rPr>
                <w:sz w:val="20"/>
                <w:szCs w:val="20"/>
                <w:color w:val="auto"/>
              </w:rPr>
            </w:pPr>
            <w:r>
              <w:rPr>
                <w:rFonts w:ascii="Arial" w:cs="Arial" w:eastAsia="Arial" w:hAnsi="Arial"/>
                <w:sz w:val="18"/>
                <w:szCs w:val="18"/>
                <w:color w:val="auto"/>
              </w:rPr>
              <w:t>Joshua A. Sherbin</w:t>
            </w:r>
          </w:p>
        </w:tc>
        <w:tc>
          <w:tcPr>
            <w:tcW w:w="1600" w:type="dxa"/>
            <w:vAlign w:val="bottom"/>
            <w:tcBorders>
              <w:bottom w:val="single" w:sz="8" w:color="000562"/>
            </w:tcBorders>
            <w:shd w:val="clear" w:color="auto" w:fill="E9EFEE"/>
          </w:tcPr>
          <w:p>
            <w:pPr>
              <w:jc w:val="center"/>
              <w:ind w:left="21"/>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000562"/>
            </w:tcBorders>
            <w:shd w:val="clear" w:color="auto" w:fill="E9EFEE"/>
          </w:tcPr>
          <w:p>
            <w:pPr>
              <w:jc w:val="center"/>
              <w:spacing w:after="0"/>
              <w:rPr>
                <w:sz w:val="20"/>
                <w:szCs w:val="20"/>
                <w:color w:val="auto"/>
              </w:rPr>
            </w:pPr>
            <w:r>
              <w:rPr>
                <w:rFonts w:ascii="Arial" w:cs="Arial" w:eastAsia="Arial" w:hAnsi="Arial"/>
                <w:sz w:val="18"/>
                <w:szCs w:val="18"/>
                <w:color w:val="auto"/>
                <w:w w:val="98"/>
              </w:rPr>
              <w:t>20,719</w:t>
            </w:r>
          </w:p>
        </w:tc>
        <w:tc>
          <w:tcPr>
            <w:tcW w:w="1440" w:type="dxa"/>
            <w:vAlign w:val="bottom"/>
            <w:tcBorders>
              <w:bottom w:val="single" w:sz="8" w:color="000562"/>
            </w:tcBorders>
            <w:shd w:val="clear" w:color="auto" w:fill="E9EFEE"/>
          </w:tcPr>
          <w:p>
            <w:pPr>
              <w:jc w:val="center"/>
              <w:spacing w:after="0"/>
              <w:rPr>
                <w:sz w:val="20"/>
                <w:szCs w:val="20"/>
                <w:color w:val="auto"/>
              </w:rPr>
            </w:pPr>
            <w:r>
              <w:rPr>
                <w:rFonts w:ascii="Arial" w:cs="Arial" w:eastAsia="Arial" w:hAnsi="Arial"/>
                <w:sz w:val="18"/>
                <w:szCs w:val="18"/>
                <w:color w:val="auto"/>
              </w:rPr>
              <w:t>(37,405)</w:t>
            </w:r>
          </w:p>
        </w:tc>
        <w:tc>
          <w:tcPr>
            <w:tcW w:w="1620" w:type="dxa"/>
            <w:vAlign w:val="bottom"/>
            <w:tcBorders>
              <w:bottom w:val="single" w:sz="8" w:color="000562"/>
            </w:tcBorders>
            <w:shd w:val="clear" w:color="auto" w:fill="E9EFEE"/>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000562"/>
            </w:tcBorders>
            <w:shd w:val="clear" w:color="auto" w:fill="E9EFEE"/>
          </w:tcPr>
          <w:p>
            <w:pPr>
              <w:jc w:val="center"/>
              <w:spacing w:after="0"/>
              <w:rPr>
                <w:sz w:val="20"/>
                <w:szCs w:val="20"/>
                <w:color w:val="auto"/>
              </w:rPr>
            </w:pPr>
            <w:r>
              <w:rPr>
                <w:rFonts w:ascii="Arial" w:cs="Arial" w:eastAsia="Arial" w:hAnsi="Arial"/>
                <w:sz w:val="18"/>
                <w:szCs w:val="18"/>
                <w:color w:val="auto"/>
                <w:w w:val="98"/>
              </w:rPr>
              <w:t>402,024</w:t>
            </w:r>
          </w:p>
        </w:tc>
      </w:tr>
    </w:tbl>
    <w:p>
      <w:pPr>
        <w:spacing w:after="0" w:line="113" w:lineRule="exact"/>
        <w:rPr>
          <w:sz w:val="20"/>
          <w:szCs w:val="20"/>
          <w:color w:val="auto"/>
        </w:rPr>
      </w:pPr>
    </w:p>
    <w:p>
      <w:pPr>
        <w:ind w:left="400" w:right="20" w:hanging="353"/>
        <w:spacing w:after="0" w:line="258" w:lineRule="auto"/>
        <w:tabs>
          <w:tab w:leader="none" w:pos="4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the Company’s contributions to the TriMas Executive Retirement Program. These contributions are included in the column titled “All Other Compensation” in the 2018 Summary Compensation Table.</w:t>
      </w:r>
    </w:p>
    <w:p>
      <w:pPr>
        <w:spacing w:after="0" w:line="86" w:lineRule="exact"/>
        <w:rPr>
          <w:rFonts w:ascii="Arial" w:cs="Arial" w:eastAsia="Arial" w:hAnsi="Arial"/>
          <w:sz w:val="14"/>
          <w:szCs w:val="14"/>
          <w:color w:val="auto"/>
        </w:rPr>
      </w:pPr>
    </w:p>
    <w:p>
      <w:pPr>
        <w:ind w:left="400" w:hanging="353"/>
        <w:spacing w:after="0"/>
        <w:tabs>
          <w:tab w:leader="none" w:pos="4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None of these amounts are reported in the 2018 Summary Compensation Table.</w:t>
      </w:r>
    </w:p>
    <w:p>
      <w:pPr>
        <w:spacing w:after="0" w:line="109" w:lineRule="exact"/>
        <w:rPr>
          <w:rFonts w:ascii="Arial" w:cs="Arial" w:eastAsia="Arial" w:hAnsi="Arial"/>
          <w:sz w:val="14"/>
          <w:szCs w:val="14"/>
          <w:color w:val="auto"/>
        </w:rPr>
      </w:pPr>
    </w:p>
    <w:p>
      <w:pPr>
        <w:jc w:val="both"/>
        <w:ind w:left="400" w:hanging="353"/>
        <w:spacing w:after="0" w:line="245" w:lineRule="auto"/>
        <w:tabs>
          <w:tab w:leader="none" w:pos="4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following amounts included in this column were reported in Summary Compensation Tables for prior fiscal years: Mr. Amato, $13,313; Mr. Zalupski, $85,428; and Mr. Sherbin, $230,233. Contributions to the Executive Retirement Program are invested in accordance with each NEO’s directive based on the investment options in the Company’s retirement program. Investment directives can be amended by the participant at any time. For further information regarding the Executive Retirement Program, see “Compensation Discussion and Analysis - Executive Retirement Program.”</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See the “Executive Retirement Program” section of the CD&amp;A for more information regarding this program.</w:t>
      </w:r>
    </w:p>
    <w:p>
      <w:pPr>
        <w:spacing w:after="0" w:line="194" w:lineRule="exact"/>
        <w:rPr>
          <w:sz w:val="20"/>
          <w:szCs w:val="20"/>
          <w:color w:val="auto"/>
        </w:rPr>
      </w:pPr>
    </w:p>
    <w:p>
      <w:pPr>
        <w:ind w:left="360" w:hanging="349"/>
        <w:spacing w:after="0"/>
        <w:tabs>
          <w:tab w:leader="none" w:pos="360" w:val="left"/>
        </w:tabs>
        <w:numPr>
          <w:ilvl w:val="0"/>
          <w:numId w:val="55"/>
        </w:numPr>
        <w:rPr>
          <w:rFonts w:ascii="Arial" w:cs="Arial" w:eastAsia="Arial" w:hAnsi="Arial"/>
          <w:sz w:val="18"/>
          <w:szCs w:val="18"/>
          <w:b w:val="1"/>
          <w:bCs w:val="1"/>
          <w:color w:val="auto"/>
        </w:rPr>
      </w:pPr>
      <w:r>
        <w:rPr>
          <w:rFonts w:ascii="Arial" w:cs="Arial" w:eastAsia="Arial" w:hAnsi="Arial"/>
          <w:sz w:val="22"/>
          <w:szCs w:val="22"/>
          <w:b w:val="1"/>
          <w:bCs w:val="1"/>
          <w:color w:val="000562"/>
        </w:rPr>
        <w:t xml:space="preserve">I </w:t>
      </w:r>
      <w:r>
        <w:rPr>
          <w:rFonts w:ascii="Arial" w:cs="Arial" w:eastAsia="Arial" w:hAnsi="Arial"/>
          <w:sz w:val="18"/>
          <w:szCs w:val="18"/>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071870" cy="43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Post-Employment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0718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maintains the revised Severance Policy, approved by the Committee in 2013. The Severance Policy was amended in March 2019 to modify the severance amounts payable to the NEOs in the event of a qualifying termination following a change-of-control, as noted below. The Severance Policy applies to the Company’s executives identified by the Committee, including the NEOs while employed by the Company. The Severance Policy provides that the Company will make severance payments to an executive if his or her employment is terminated under certain circumstances. The Severance Policy includes an excise tax “cap” provision, which reduces the total amount of payments due under the Severance Policy so as to avoid the imposition of excise taxes and the resulting loss of tax deductions to the Company under Section 280G of the Code. The Severance Policy provides for non-compete and non-solicit covenants for the duration of an executive’s employment and a period following termination, and includes a requirement that an executive sign a release of claims in favor of the Company in order to receive any benefits under the Severance Policy.</w:t>
      </w:r>
    </w:p>
    <w:p>
      <w:pPr>
        <w:spacing w:after="0" w:line="1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If the Company terminates the employment of each of Mr. Amato, Mr. Zalupski or Mr. Sherbin for any reason other than for cause, disability or death (cause and disability as defined in the Severance Policy), or if he terminates his employment for good reason (as defined in the Severance Policy), the Company will provide him with (1) one year’s annual base salary (generally paid in equal installments over a year), (2) STI payment equal to one year’s payout at his target level in effect on the date of termination (generally paid in equal installments over a year), (3) accrued but unpaid base salary and unused vacation, (4) any STI payment that has been declared for him but not paid, (5) his pro-rated STI for the year of termination through the date of termination based on his target level and actual full-year performance, (6) his pro rata portion of time-based vesting equity awards and certain performance equity awards based on actual performance under all equity plans through the termination date, (7) executive level outplacement services for up to 12 months and (8) continued medical benefits for up to 12 months following the termination date.</w:t>
      </w:r>
    </w:p>
    <w:p>
      <w:pPr>
        <w:spacing w:after="0" w:line="1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the case of any participating executives’ voluntary termination or termination for cause, the Company pays the executive the accrued base salary through termination plus earned but unused vacation compensation (and, in the case of voluntary termination, any STI payment that has been declared for the executive but not paid). All other benefits cease as of the termination date. If an executive’s employment is terminated due to death, the Company pays the accrued but unpaid base salary as of the date of death, and accrued but unpaid STI compensation and fully vests all of the executive’s outstanding equity awards including performance-based equity awards at the target performance level. Other than continued participation in the Company’s medical benefit plan for the executive’s dependents for up to 36 months, all other benefits cease as of the date of the executive’s death. If an executive is terminated due to becoming disabled, the Company pays the executive earned but unpaid base salary and STI payments and fully vests all of the executive’s outstanding time-based equity awards and performance-based equity awards at the end of the performance period based on actual performance. All other benefits cease as of the date of such termination in accordance with the terms of such benefit plans.</w:t>
      </w:r>
    </w:p>
    <w:p>
      <w:pPr>
        <w:spacing w:after="0" w:line="1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the case of a qualifying termination of Mr. Amato’s employment within two years of a change-of-control (as defined below), then, in place of any other severance payments or benefits, the Company will provide Mr. Amato with (1) a payment equal to 30 months (increased from 24 months as of the March 2019 amendment) of his base salary rate in effect at the date of termination, (2) an STI payment equal to 30 months (increased from 24 months as of the March 2019 amendment) payout at his target level in effect at the date of termination, (3) any STI payment that has been declared for the executive but not paid, (4) his pro-rated STI payout for the year of termination through the date of termination based on his target level and actual full-year performance, (5) immediate vesting upon the termination date of all unvested and outstanding time-based vesting equity awards, (6) immediate vesting upon the termination date of all unvested and outstanding performance-based equity awards based on target performance, (7) executive level outplacement services for up to 12 months and (8) continued medical benefits for up to 30 months (increased from 24 months as of the March 2019 amendment) following the termination date provided that the timing of the foregoing payments will be made in compliance with Code Section 409A.</w:t>
      </w:r>
    </w:p>
    <w:p>
      <w:pPr>
        <w:spacing w:after="0" w:line="193" w:lineRule="exact"/>
        <w:rPr>
          <w:sz w:val="20"/>
          <w:szCs w:val="20"/>
          <w:color w:val="auto"/>
        </w:rPr>
      </w:pPr>
    </w:p>
    <w:p>
      <w:pPr>
        <w:jc w:val="right"/>
        <w:spacing w:after="0"/>
        <w:tabs>
          <w:tab w:leader="none" w:pos="480" w:val="left"/>
          <w:tab w:leader="none" w:pos="180" w:val="left"/>
        </w:tabs>
        <w:rPr>
          <w:sz w:val="20"/>
          <w:szCs w:val="20"/>
          <w:color w:val="auto"/>
        </w:rPr>
      </w:pPr>
      <w:r>
        <w:rPr>
          <w:rFonts w:ascii="Arial" w:cs="Arial" w:eastAsia="Arial" w:hAnsi="Arial"/>
          <w:sz w:val="18"/>
          <w:szCs w:val="18"/>
          <w:i w:val="1"/>
          <w:iCs w:val="1"/>
          <w:color w:val="auto"/>
        </w:rPr>
        <w:t>2019 Proxy Statement</w:t>
      </w:r>
      <w:r>
        <w:rPr>
          <w:sz w:val="20"/>
          <w:szCs w:val="20"/>
          <w:color w:val="auto"/>
        </w:rPr>
        <w:tab/>
      </w:r>
      <w:r>
        <w:rPr>
          <w:rFonts w:ascii="Arial" w:cs="Arial" w:eastAsia="Arial" w:hAnsi="Arial"/>
          <w:sz w:val="22"/>
          <w:szCs w:val="22"/>
          <w:b w:val="1"/>
          <w:bCs w:val="1"/>
          <w:color w:val="000562"/>
        </w:rPr>
        <w:t>I</w:t>
      </w:r>
      <w:r>
        <w:rPr>
          <w:sz w:val="20"/>
          <w:szCs w:val="20"/>
          <w:color w:val="auto"/>
        </w:rPr>
        <w:tab/>
      </w:r>
      <w:r>
        <w:rPr>
          <w:rFonts w:ascii="Arial" w:cs="Arial" w:eastAsia="Arial" w:hAnsi="Arial"/>
          <w:sz w:val="17"/>
          <w:szCs w:val="17"/>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071870" cy="431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000562"/>
        </w:rPr>
        <w:t>TriMas Corporation</w:t>
      </w:r>
    </w:p>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the case of a qualifying termination of each of Mr. Zalupski or Mr. Sherbin’s employment within two years of a change-of-control (as defined below), then, in place of any other severance payments or benefits, the Company will provide the executive with (1) a payment equal to 30 months (decreased from 36 months as of the March 2019 amendment) of his base salary rate in effect at the date of termination, (2) an STI payment equal to 30 months (decreased from 36 months as of the March 2019 amendment) payout at his target level in effect at the date of termination, (3) any STI payment that has been declared for the executive but not paid, (4) his pro-rated STI payout for the year of termination through the date of termination based on his target level and actual full-year performance, (5) immediate vesting upon the termination date of all unvested and outstanding time-based vesting equity awards, (6) immediate vesting upon the termination date of all unvested and outstanding performance-based equity awards based on target performance, (7) executive level outplacement services for up to 12 months and (8) continued medical benefits for up to 30 months (decreased from 36 months as of the March 2019 amendment) following the termination date provided that the timing of the foregoing payments will be made in compliance with Code Section 409A.</w:t>
      </w:r>
    </w:p>
    <w:p>
      <w:pPr>
        <w:spacing w:after="0" w:line="10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For purposes of the Severance Policy, “Change-of-Control” shall be deemed to have occurred upon the first of the following events to occur (as further described in the Severance Policy):</w:t>
      </w:r>
    </w:p>
    <w:p>
      <w:pPr>
        <w:spacing w:after="0" w:line="88" w:lineRule="exact"/>
        <w:rPr>
          <w:sz w:val="20"/>
          <w:szCs w:val="20"/>
          <w:color w:val="auto"/>
        </w:rPr>
      </w:pPr>
    </w:p>
    <w:p>
      <w:pPr>
        <w:ind w:left="700" w:hanging="356"/>
        <w:spacing w:after="0" w:line="246"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person is or becomes the beneficial owner of securities of the Company representing 35% or more of the combined voting power of the Company’s then outstanding securities (subject to certain exceptions);</w:t>
      </w:r>
    </w:p>
    <w:p>
      <w:pPr>
        <w:spacing w:after="0" w:line="88" w:lineRule="exact"/>
        <w:rPr>
          <w:rFonts w:ascii="Arial" w:cs="Arial" w:eastAsia="Arial" w:hAnsi="Arial"/>
          <w:sz w:val="18"/>
          <w:szCs w:val="18"/>
          <w:color w:val="auto"/>
        </w:rPr>
      </w:pPr>
    </w:p>
    <w:p>
      <w:pPr>
        <w:jc w:val="both"/>
        <w:ind w:left="700" w:right="20" w:hanging="356"/>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Individuals who constitute the Board cease for any reason to constitute a majority of the number of directors then serving on the Board, unless their replacements are approved as described in the Severance Policy (subject to certain exceptions);</w:t>
      </w:r>
    </w:p>
    <w:p>
      <w:pPr>
        <w:spacing w:after="0" w:line="94" w:lineRule="exact"/>
        <w:rPr>
          <w:rFonts w:ascii="Arial" w:cs="Arial" w:eastAsia="Arial" w:hAnsi="Arial"/>
          <w:sz w:val="18"/>
          <w:szCs w:val="18"/>
          <w:color w:val="auto"/>
        </w:rPr>
      </w:pPr>
    </w:p>
    <w:p>
      <w:pPr>
        <w:jc w:val="both"/>
        <w:ind w:left="700" w:hanging="356"/>
        <w:spacing w:after="0" w:line="239"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closes a merger, consolidation, wind-up, reorganization, or restructuring of the Company with or into any other entity or a similar event or series of such events, resulting in a substantial change in the Company’s ownership or leadership, as further described in the Severance Policy, subject to certain exceptions; or</w:t>
      </w:r>
    </w:p>
    <w:p>
      <w:pPr>
        <w:spacing w:after="0" w:line="93" w:lineRule="exact"/>
        <w:rPr>
          <w:rFonts w:ascii="Arial" w:cs="Arial" w:eastAsia="Arial" w:hAnsi="Arial"/>
          <w:sz w:val="18"/>
          <w:szCs w:val="18"/>
          <w:color w:val="auto"/>
        </w:rPr>
      </w:pPr>
    </w:p>
    <w:p>
      <w:pPr>
        <w:jc w:val="both"/>
        <w:ind w:left="700" w:right="20" w:hanging="356"/>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shareholders of the Company approve a plan of complete liquidation or dissolution of the Company or there is consummated an agreement for the sale or disposition by the Company of all or substantially all of the Company’s assets, as further described in the Severance Policy, and subject to certain exceptions.</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Notwithstanding the foregoing, (1) a “Change-of-Control” shall not be deemed to have occurred by virtue of the consummation of any transaction or series of integrated transactions immediately following which the record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 and (2) if required to avoid accelerated taxation and/or tax penalties under Section 409A of the Code, a “Change-of-Control” shall be deemed to have occurred only if the transaction or event qualifies as a Section 409A Change-of-Control.</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the Severance Policy states that in return for these benefits, each executive covered under the Severance Policy must refrain from competing against the Company for a period following termination that corresponds to the duration of any severance payments the executive would be entitled to receive or 24 months if no severance payments are payable.</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Severance Policy may be modified by the Committee at any time, provided that the prior written consent of the executive is required if the modification adversely impacts the executive. Further, the Committee may amend or terminate the Severance Policy at any time upon 12 months’ written notice to any adversely affected executive.</w:t>
      </w:r>
    </w:p>
    <w:p>
      <w:pPr>
        <w:spacing w:after="0" w:line="184" w:lineRule="exact"/>
        <w:rPr>
          <w:sz w:val="20"/>
          <w:szCs w:val="20"/>
          <w:color w:val="auto"/>
        </w:rPr>
      </w:pPr>
    </w:p>
    <w:p>
      <w:pPr>
        <w:ind w:left="360" w:hanging="349"/>
        <w:spacing w:after="0"/>
        <w:tabs>
          <w:tab w:leader="none" w:pos="360" w:val="left"/>
        </w:tabs>
        <w:numPr>
          <w:ilvl w:val="0"/>
          <w:numId w:val="57"/>
        </w:numPr>
        <w:rPr>
          <w:rFonts w:ascii="Arial" w:cs="Arial" w:eastAsia="Arial" w:hAnsi="Arial"/>
          <w:sz w:val="18"/>
          <w:szCs w:val="18"/>
          <w:b w:val="1"/>
          <w:bCs w:val="1"/>
          <w:color w:val="auto"/>
        </w:rPr>
      </w:pPr>
      <w:r>
        <w:rPr>
          <w:rFonts w:ascii="Arial" w:cs="Arial" w:eastAsia="Arial" w:hAnsi="Arial"/>
          <w:sz w:val="22"/>
          <w:szCs w:val="22"/>
          <w:b w:val="1"/>
          <w:bCs w:val="1"/>
          <w:color w:val="000562"/>
        </w:rPr>
        <w:t xml:space="preserve">I </w:t>
      </w:r>
      <w:r>
        <w:rPr>
          <w:rFonts w:ascii="Arial" w:cs="Arial" w:eastAsia="Arial" w:hAnsi="Arial"/>
          <w:sz w:val="18"/>
          <w:szCs w:val="18"/>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071870" cy="431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82" w:lineRule="exact"/>
        <w:rPr>
          <w:sz w:val="20"/>
          <w:szCs w:val="20"/>
          <w:color w:val="auto"/>
        </w:rPr>
      </w:pPr>
    </w:p>
    <w:p>
      <w:pPr>
        <w:ind w:right="60"/>
        <w:spacing w:after="0" w:line="254" w:lineRule="auto"/>
        <w:rPr>
          <w:sz w:val="20"/>
          <w:szCs w:val="20"/>
          <w:color w:val="auto"/>
        </w:rPr>
      </w:pPr>
      <w:r>
        <w:rPr>
          <w:rFonts w:ascii="Arial" w:cs="Arial" w:eastAsia="Arial" w:hAnsi="Arial"/>
          <w:sz w:val="25"/>
          <w:szCs w:val="25"/>
          <w:b w:val="1"/>
          <w:bCs w:val="1"/>
          <w:color w:val="auto"/>
        </w:rPr>
        <w:t>Potential Payments Upon Termination or Change-of-Control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0718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estimates the potential executive benefits and payments due to the NEOs upon certain terminations of employment or a Change-of-Control, assuming such events occurred on December 31, 2018. These estimates reflect pre-amendment amounts that were in effect as of December 31, 2018. These estimates do not reflect the actual amounts that would be paid to such persons, which would only be known at the time that they become eligible for payment and would only be payable if the specified event occurs.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000562"/>
                <w:w w:val="95"/>
              </w:rPr>
              <w:t>Involuntary</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000562"/>
                <w:w w:val="95"/>
              </w:rPr>
              <w:t>termination by</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000562"/>
                <w:w w:val="97"/>
              </w:rPr>
              <w:t>Company</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000562"/>
                <w:w w:val="96"/>
              </w:rPr>
              <w:t>without</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000562"/>
                <w:w w:val="96"/>
              </w:rPr>
              <w:t>Qualifying</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000562"/>
                <w:w w:val="97"/>
              </w:rPr>
              <w:t>cause or</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000562"/>
                <w:w w:val="97"/>
              </w:rPr>
              <w:t>termination in</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000562"/>
                <w:w w:val="95"/>
              </w:rPr>
              <w:t>termination by</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000562"/>
                <w:w w:val="95"/>
              </w:rPr>
              <w:t>Involuntary</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000562"/>
                <w:w w:val="96"/>
              </w:rPr>
              <w:t>connection</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000562"/>
                <w:w w:val="97"/>
              </w:rPr>
              <w:t>Termination</w:t>
            </w:r>
          </w:p>
        </w:tc>
      </w:tr>
      <w:tr>
        <w:trPr>
          <w:trHeight w:val="149"/>
        </w:trPr>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000562"/>
                <w:w w:val="97"/>
              </w:rPr>
              <w:t>executive</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000562"/>
                <w:w w:val="97"/>
              </w:rPr>
              <w:t>termination by</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000562"/>
                <w:w w:val="95"/>
              </w:rPr>
              <w:t>with a</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000562"/>
                <w:w w:val="95"/>
              </w:rPr>
              <w:t>as a</w:t>
            </w:r>
          </w:p>
        </w:tc>
      </w:tr>
      <w:tr>
        <w:trPr>
          <w:trHeight w:val="149"/>
        </w:trPr>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000562"/>
                <w:w w:val="98"/>
              </w:rPr>
              <w:t>for good</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000562"/>
                <w:w w:val="97"/>
              </w:rPr>
              <w:t>Company for</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000562"/>
                <w:w w:val="96"/>
              </w:rPr>
              <w:t>change of</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000562"/>
                <w:w w:val="97"/>
              </w:rPr>
              <w:t>result of</w:t>
            </w:r>
          </w:p>
        </w:tc>
      </w:tr>
      <w:tr>
        <w:trPr>
          <w:trHeight w:val="144"/>
        </w:trPr>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4"/>
                <w:szCs w:val="14"/>
                <w:b w:val="1"/>
                <w:bCs w:val="1"/>
                <w:color w:val="000562"/>
                <w:w w:val="95"/>
              </w:rPr>
              <w:t>reason</w:t>
            </w:r>
          </w:p>
        </w:tc>
        <w:tc>
          <w:tcPr>
            <w:tcW w:w="16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4"/>
                <w:szCs w:val="14"/>
                <w:b w:val="1"/>
                <w:bCs w:val="1"/>
                <w:color w:val="000562"/>
                <w:w w:val="95"/>
              </w:rPr>
              <w:t>cause</w:t>
            </w:r>
          </w:p>
        </w:tc>
        <w:tc>
          <w:tcPr>
            <w:tcW w:w="16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4"/>
                <w:szCs w:val="14"/>
                <w:b w:val="1"/>
                <w:bCs w:val="1"/>
                <w:color w:val="000562"/>
                <w:w w:val="96"/>
              </w:rPr>
              <w:t>control</w:t>
            </w:r>
          </w:p>
        </w:tc>
        <w:tc>
          <w:tcPr>
            <w:tcW w:w="160" w:type="dxa"/>
            <w:vAlign w:val="bottom"/>
          </w:tcPr>
          <w:p>
            <w:pPr>
              <w:spacing w:after="0"/>
              <w:rPr>
                <w:sz w:val="12"/>
                <w:szCs w:val="12"/>
                <w:color w:val="auto"/>
              </w:rPr>
            </w:pPr>
          </w:p>
        </w:tc>
        <w:tc>
          <w:tcPr>
            <w:tcW w:w="820" w:type="dxa"/>
            <w:vAlign w:val="bottom"/>
          </w:tcPr>
          <w:p>
            <w:pPr>
              <w:jc w:val="right"/>
              <w:ind w:right="144"/>
              <w:spacing w:after="0" w:line="144" w:lineRule="exact"/>
              <w:rPr>
                <w:sz w:val="20"/>
                <w:szCs w:val="20"/>
                <w:color w:val="auto"/>
              </w:rPr>
            </w:pPr>
            <w:r>
              <w:rPr>
                <w:rFonts w:ascii="Arial" w:cs="Arial" w:eastAsia="Arial" w:hAnsi="Arial"/>
                <w:sz w:val="14"/>
                <w:szCs w:val="14"/>
                <w:b w:val="1"/>
                <w:bCs w:val="1"/>
                <w:color w:val="000562"/>
              </w:rPr>
              <w:t>Death</w:t>
            </w:r>
          </w:p>
        </w:tc>
        <w:tc>
          <w:tcPr>
            <w:tcW w:w="160" w:type="dxa"/>
            <w:vAlign w:val="bottom"/>
          </w:tcPr>
          <w:p>
            <w:pPr>
              <w:spacing w:after="0"/>
              <w:rPr>
                <w:sz w:val="12"/>
                <w:szCs w:val="12"/>
                <w:color w:val="auto"/>
              </w:rPr>
            </w:pPr>
          </w:p>
        </w:tc>
        <w:tc>
          <w:tcPr>
            <w:tcW w:w="1020" w:type="dxa"/>
            <w:vAlign w:val="bottom"/>
            <w:gridSpan w:val="2"/>
          </w:tcPr>
          <w:p>
            <w:pPr>
              <w:jc w:val="center"/>
              <w:ind w:right="40"/>
              <w:spacing w:after="0" w:line="144" w:lineRule="exact"/>
              <w:rPr>
                <w:sz w:val="20"/>
                <w:szCs w:val="20"/>
                <w:color w:val="auto"/>
              </w:rPr>
            </w:pPr>
            <w:r>
              <w:rPr>
                <w:rFonts w:ascii="Arial" w:cs="Arial" w:eastAsia="Arial" w:hAnsi="Arial"/>
                <w:sz w:val="14"/>
                <w:szCs w:val="14"/>
                <w:b w:val="1"/>
                <w:bCs w:val="1"/>
                <w:color w:val="000562"/>
                <w:w w:val="95"/>
              </w:rPr>
              <w:t>disability</w:t>
            </w:r>
          </w:p>
        </w:tc>
      </w:tr>
      <w:tr>
        <w:trPr>
          <w:trHeight w:val="183"/>
        </w:trPr>
        <w:tc>
          <w:tcPr>
            <w:tcW w:w="3760" w:type="dxa"/>
            <w:vAlign w:val="bottom"/>
            <w:tcBorders>
              <w:bottom w:val="single" w:sz="8" w:color="000562"/>
            </w:tcBorders>
          </w:tcPr>
          <w:p>
            <w:pPr>
              <w:spacing w:after="0"/>
              <w:rPr>
                <w:sz w:val="15"/>
                <w:szCs w:val="15"/>
                <w:color w:val="auto"/>
              </w:rPr>
            </w:pPr>
          </w:p>
        </w:tc>
        <w:tc>
          <w:tcPr>
            <w:tcW w:w="1160" w:type="dxa"/>
            <w:vAlign w:val="bottom"/>
            <w:tcBorders>
              <w:bottom w:val="single" w:sz="8" w:color="000562"/>
            </w:tcBorders>
            <w:gridSpan w:val="2"/>
          </w:tcPr>
          <w:p>
            <w:pPr>
              <w:jc w:val="center"/>
              <w:ind w:left="12"/>
              <w:spacing w:after="0"/>
              <w:rPr>
                <w:sz w:val="20"/>
                <w:szCs w:val="20"/>
                <w:color w:val="auto"/>
              </w:rPr>
            </w:pPr>
            <w:r>
              <w:rPr>
                <w:rFonts w:ascii="Arial" w:cs="Arial" w:eastAsia="Arial" w:hAnsi="Arial"/>
                <w:sz w:val="14"/>
                <w:szCs w:val="14"/>
                <w:b w:val="1"/>
                <w:bCs w:val="1"/>
                <w:color w:val="000562"/>
                <w:w w:val="93"/>
              </w:rPr>
              <w:t>($)</w:t>
            </w:r>
          </w:p>
        </w:tc>
        <w:tc>
          <w:tcPr>
            <w:tcW w:w="1240" w:type="dxa"/>
            <w:vAlign w:val="bottom"/>
            <w:tcBorders>
              <w:bottom w:val="single" w:sz="8" w:color="000562"/>
            </w:tcBorders>
            <w:gridSpan w:val="2"/>
          </w:tcPr>
          <w:p>
            <w:pPr>
              <w:jc w:val="center"/>
              <w:ind w:left="92"/>
              <w:spacing w:after="0"/>
              <w:rPr>
                <w:sz w:val="20"/>
                <w:szCs w:val="20"/>
                <w:color w:val="auto"/>
              </w:rPr>
            </w:pPr>
            <w:r>
              <w:rPr>
                <w:rFonts w:ascii="Arial" w:cs="Arial" w:eastAsia="Arial" w:hAnsi="Arial"/>
                <w:sz w:val="14"/>
                <w:szCs w:val="14"/>
                <w:b w:val="1"/>
                <w:bCs w:val="1"/>
                <w:color w:val="000562"/>
                <w:w w:val="93"/>
              </w:rPr>
              <w:t>($)</w:t>
            </w:r>
          </w:p>
        </w:tc>
        <w:tc>
          <w:tcPr>
            <w:tcW w:w="1240" w:type="dxa"/>
            <w:vAlign w:val="bottom"/>
            <w:tcBorders>
              <w:bottom w:val="single" w:sz="8" w:color="000562"/>
            </w:tcBorders>
            <w:gridSpan w:val="2"/>
          </w:tcPr>
          <w:p>
            <w:pPr>
              <w:jc w:val="center"/>
              <w:ind w:left="84"/>
              <w:spacing w:after="0"/>
              <w:rPr>
                <w:sz w:val="20"/>
                <w:szCs w:val="20"/>
                <w:color w:val="auto"/>
              </w:rPr>
            </w:pPr>
            <w:r>
              <w:rPr>
                <w:rFonts w:ascii="Arial" w:cs="Arial" w:eastAsia="Arial" w:hAnsi="Arial"/>
                <w:sz w:val="14"/>
                <w:szCs w:val="14"/>
                <w:b w:val="1"/>
                <w:bCs w:val="1"/>
                <w:color w:val="000562"/>
                <w:w w:val="93"/>
              </w:rPr>
              <w:t>($)</w:t>
            </w:r>
          </w:p>
        </w:tc>
        <w:tc>
          <w:tcPr>
            <w:tcW w:w="980" w:type="dxa"/>
            <w:vAlign w:val="bottom"/>
            <w:tcBorders>
              <w:bottom w:val="single" w:sz="8" w:color="000562"/>
            </w:tcBorders>
            <w:gridSpan w:val="2"/>
          </w:tcPr>
          <w:p>
            <w:pPr>
              <w:jc w:val="right"/>
              <w:ind w:right="164"/>
              <w:spacing w:after="0" w:line="184" w:lineRule="exact"/>
              <w:rPr>
                <w:sz w:val="20"/>
                <w:szCs w:val="20"/>
                <w:color w:val="auto"/>
              </w:rPr>
            </w:pPr>
            <w:r>
              <w:rPr>
                <w:rFonts w:ascii="Arial" w:cs="Arial" w:eastAsia="Arial" w:hAnsi="Arial"/>
                <w:sz w:val="13"/>
                <w:szCs w:val="13"/>
                <w:b w:val="1"/>
                <w:bCs w:val="1"/>
                <w:color w:val="000562"/>
              </w:rPr>
              <w:t>($)</w:t>
            </w:r>
            <w:r>
              <w:rPr>
                <w:rFonts w:ascii="Arial" w:cs="Arial" w:eastAsia="Arial" w:hAnsi="Arial"/>
                <w:sz w:val="21"/>
                <w:szCs w:val="21"/>
                <w:b w:val="1"/>
                <w:bCs w:val="1"/>
                <w:color w:val="000562"/>
                <w:vertAlign w:val="superscript"/>
              </w:rPr>
              <w:t>(4)</w:t>
            </w:r>
          </w:p>
        </w:tc>
        <w:tc>
          <w:tcPr>
            <w:tcW w:w="1080" w:type="dxa"/>
            <w:vAlign w:val="bottom"/>
            <w:tcBorders>
              <w:bottom w:val="single" w:sz="8" w:color="000562"/>
            </w:tcBorders>
            <w:gridSpan w:val="2"/>
          </w:tcPr>
          <w:p>
            <w:pPr>
              <w:jc w:val="center"/>
              <w:ind w:left="145"/>
              <w:spacing w:after="0" w:line="184" w:lineRule="exact"/>
              <w:rPr>
                <w:sz w:val="20"/>
                <w:szCs w:val="20"/>
                <w:color w:val="auto"/>
              </w:rPr>
            </w:pPr>
            <w:r>
              <w:rPr>
                <w:rFonts w:ascii="Arial" w:cs="Arial" w:eastAsia="Arial" w:hAnsi="Arial"/>
                <w:sz w:val="13"/>
                <w:szCs w:val="13"/>
                <w:b w:val="1"/>
                <w:bCs w:val="1"/>
                <w:color w:val="000562"/>
                <w:w w:val="90"/>
              </w:rPr>
              <w:t>($)</w:t>
            </w:r>
            <w:r>
              <w:rPr>
                <w:rFonts w:ascii="Arial" w:cs="Arial" w:eastAsia="Arial" w:hAnsi="Arial"/>
                <w:sz w:val="21"/>
                <w:szCs w:val="21"/>
                <w:b w:val="1"/>
                <w:bCs w:val="1"/>
                <w:color w:val="000562"/>
                <w:w w:val="90"/>
                <w:vertAlign w:val="superscript"/>
              </w:rPr>
              <w:t>(5)</w:t>
            </w:r>
          </w:p>
        </w:tc>
        <w:tc>
          <w:tcPr>
            <w:tcW w:w="100" w:type="dxa"/>
            <w:vAlign w:val="bottom"/>
            <w:tcBorders>
              <w:bottom w:val="single" w:sz="8" w:color="000562"/>
            </w:tcBorders>
          </w:tcPr>
          <w:p>
            <w:pPr>
              <w:spacing w:after="0"/>
              <w:rPr>
                <w:sz w:val="15"/>
                <w:szCs w:val="15"/>
                <w:color w:val="auto"/>
              </w:rPr>
            </w:pPr>
          </w:p>
        </w:tc>
      </w:tr>
      <w:tr>
        <w:trPr>
          <w:trHeight w:val="183"/>
        </w:trPr>
        <w:tc>
          <w:tcPr>
            <w:tcW w:w="3760" w:type="dxa"/>
            <w:vAlign w:val="bottom"/>
            <w:shd w:val="clear" w:color="auto" w:fill="E9EFEE"/>
          </w:tcPr>
          <w:p>
            <w:pPr>
              <w:ind w:left="20"/>
              <w:spacing w:after="0"/>
              <w:rPr>
                <w:sz w:val="20"/>
                <w:szCs w:val="20"/>
                <w:color w:val="auto"/>
              </w:rPr>
            </w:pPr>
            <w:r>
              <w:rPr>
                <w:rFonts w:ascii="Arial" w:cs="Arial" w:eastAsia="Arial" w:hAnsi="Arial"/>
                <w:sz w:val="15"/>
                <w:szCs w:val="15"/>
                <w:b w:val="1"/>
                <w:bCs w:val="1"/>
                <w:color w:val="auto"/>
              </w:rPr>
              <w:t>Thomas A. Amato</w:t>
            </w:r>
          </w:p>
        </w:tc>
        <w:tc>
          <w:tcPr>
            <w:tcW w:w="80" w:type="dxa"/>
            <w:vAlign w:val="bottom"/>
            <w:shd w:val="clear" w:color="auto" w:fill="E9EFEE"/>
          </w:tcPr>
          <w:p>
            <w:pPr>
              <w:spacing w:after="0"/>
              <w:rPr>
                <w:sz w:val="15"/>
                <w:szCs w:val="15"/>
                <w:color w:val="auto"/>
              </w:rPr>
            </w:pPr>
          </w:p>
        </w:tc>
        <w:tc>
          <w:tcPr>
            <w:tcW w:w="1080" w:type="dxa"/>
            <w:vAlign w:val="bottom"/>
            <w:shd w:val="clear" w:color="auto" w:fill="E9EFEE"/>
          </w:tcPr>
          <w:p>
            <w:pPr>
              <w:spacing w:after="0"/>
              <w:rPr>
                <w:sz w:val="15"/>
                <w:szCs w:val="15"/>
                <w:color w:val="auto"/>
              </w:rPr>
            </w:pPr>
          </w:p>
        </w:tc>
        <w:tc>
          <w:tcPr>
            <w:tcW w:w="160" w:type="dxa"/>
            <w:vAlign w:val="bottom"/>
            <w:shd w:val="clear" w:color="auto" w:fill="E9EFEE"/>
          </w:tcPr>
          <w:p>
            <w:pPr>
              <w:spacing w:after="0"/>
              <w:rPr>
                <w:sz w:val="15"/>
                <w:szCs w:val="15"/>
                <w:color w:val="auto"/>
              </w:rPr>
            </w:pPr>
          </w:p>
        </w:tc>
        <w:tc>
          <w:tcPr>
            <w:tcW w:w="1080" w:type="dxa"/>
            <w:vAlign w:val="bottom"/>
            <w:shd w:val="clear" w:color="auto" w:fill="E9EFEE"/>
          </w:tcPr>
          <w:p>
            <w:pPr>
              <w:spacing w:after="0"/>
              <w:rPr>
                <w:sz w:val="15"/>
                <w:szCs w:val="15"/>
                <w:color w:val="auto"/>
              </w:rPr>
            </w:pPr>
          </w:p>
        </w:tc>
        <w:tc>
          <w:tcPr>
            <w:tcW w:w="160" w:type="dxa"/>
            <w:vAlign w:val="bottom"/>
            <w:shd w:val="clear" w:color="auto" w:fill="E9EFEE"/>
          </w:tcPr>
          <w:p>
            <w:pPr>
              <w:spacing w:after="0"/>
              <w:rPr>
                <w:sz w:val="15"/>
                <w:szCs w:val="15"/>
                <w:color w:val="auto"/>
              </w:rPr>
            </w:pPr>
          </w:p>
        </w:tc>
        <w:tc>
          <w:tcPr>
            <w:tcW w:w="1080" w:type="dxa"/>
            <w:vAlign w:val="bottom"/>
            <w:shd w:val="clear" w:color="auto" w:fill="E9EFEE"/>
          </w:tcPr>
          <w:p>
            <w:pPr>
              <w:spacing w:after="0"/>
              <w:rPr>
                <w:sz w:val="15"/>
                <w:szCs w:val="15"/>
                <w:color w:val="auto"/>
              </w:rPr>
            </w:pPr>
          </w:p>
        </w:tc>
        <w:tc>
          <w:tcPr>
            <w:tcW w:w="160" w:type="dxa"/>
            <w:vAlign w:val="bottom"/>
            <w:shd w:val="clear" w:color="auto" w:fill="E9EFEE"/>
          </w:tcPr>
          <w:p>
            <w:pPr>
              <w:spacing w:after="0"/>
              <w:rPr>
                <w:sz w:val="15"/>
                <w:szCs w:val="15"/>
                <w:color w:val="auto"/>
              </w:rPr>
            </w:pPr>
          </w:p>
        </w:tc>
        <w:tc>
          <w:tcPr>
            <w:tcW w:w="820" w:type="dxa"/>
            <w:vAlign w:val="bottom"/>
            <w:shd w:val="clear" w:color="auto" w:fill="E9EFEE"/>
          </w:tcPr>
          <w:p>
            <w:pPr>
              <w:spacing w:after="0"/>
              <w:rPr>
                <w:sz w:val="15"/>
                <w:szCs w:val="15"/>
                <w:color w:val="auto"/>
              </w:rPr>
            </w:pPr>
          </w:p>
        </w:tc>
        <w:tc>
          <w:tcPr>
            <w:tcW w:w="160" w:type="dxa"/>
            <w:vAlign w:val="bottom"/>
            <w:shd w:val="clear" w:color="auto" w:fill="E9EFEE"/>
          </w:tcPr>
          <w:p>
            <w:pPr>
              <w:spacing w:after="0"/>
              <w:rPr>
                <w:sz w:val="15"/>
                <w:szCs w:val="15"/>
                <w:color w:val="auto"/>
              </w:rPr>
            </w:pPr>
          </w:p>
        </w:tc>
        <w:tc>
          <w:tcPr>
            <w:tcW w:w="920" w:type="dxa"/>
            <w:vAlign w:val="bottom"/>
            <w:shd w:val="clear" w:color="auto" w:fill="E9EFEE"/>
          </w:tcPr>
          <w:p>
            <w:pPr>
              <w:spacing w:after="0"/>
              <w:rPr>
                <w:sz w:val="15"/>
                <w:szCs w:val="15"/>
                <w:color w:val="auto"/>
              </w:rPr>
            </w:pPr>
          </w:p>
        </w:tc>
        <w:tc>
          <w:tcPr>
            <w:tcW w:w="100" w:type="dxa"/>
            <w:vAlign w:val="bottom"/>
            <w:shd w:val="clear" w:color="auto" w:fill="E9EFEE"/>
          </w:tcPr>
          <w:p>
            <w:pPr>
              <w:spacing w:after="0"/>
              <w:rPr>
                <w:sz w:val="15"/>
                <w:szCs w:val="15"/>
                <w:color w:val="auto"/>
              </w:rPr>
            </w:pPr>
          </w:p>
        </w:tc>
      </w:tr>
      <w:tr>
        <w:trPr>
          <w:trHeight w:val="189"/>
        </w:trPr>
        <w:tc>
          <w:tcPr>
            <w:tcW w:w="3760" w:type="dxa"/>
            <w:vAlign w:val="bottom"/>
            <w:shd w:val="clear" w:color="auto" w:fill="E9EFEE"/>
          </w:tcPr>
          <w:p>
            <w:pPr>
              <w:ind w:left="20"/>
              <w:spacing w:after="0" w:line="189" w:lineRule="exact"/>
              <w:rPr>
                <w:sz w:val="20"/>
                <w:szCs w:val="20"/>
                <w:color w:val="auto"/>
              </w:rPr>
            </w:pPr>
            <w:r>
              <w:rPr>
                <w:rFonts w:ascii="Arial" w:cs="Arial" w:eastAsia="Arial" w:hAnsi="Arial"/>
                <w:sz w:val="13"/>
                <w:szCs w:val="13"/>
                <w:color w:val="auto"/>
              </w:rPr>
              <w:t>Cash payments</w:t>
            </w:r>
            <w:r>
              <w:rPr>
                <w:rFonts w:ascii="Arial" w:cs="Arial" w:eastAsia="Arial" w:hAnsi="Arial"/>
                <w:sz w:val="21"/>
                <w:szCs w:val="21"/>
                <w:color w:val="auto"/>
                <w:vertAlign w:val="superscript"/>
              </w:rPr>
              <w:t>(1)</w:t>
            </w:r>
          </w:p>
        </w:tc>
        <w:tc>
          <w:tcPr>
            <w:tcW w:w="80" w:type="dxa"/>
            <w:vAlign w:val="bottom"/>
            <w:shd w:val="clear" w:color="auto" w:fill="E9EFEE"/>
          </w:tcPr>
          <w:p>
            <w:pPr>
              <w:spacing w:after="0"/>
              <w:rPr>
                <w:sz w:val="16"/>
                <w:szCs w:val="16"/>
                <w:color w:val="auto"/>
              </w:rPr>
            </w:pPr>
          </w:p>
        </w:tc>
        <w:tc>
          <w:tcPr>
            <w:tcW w:w="1080" w:type="dxa"/>
            <w:vAlign w:val="bottom"/>
            <w:shd w:val="clear" w:color="auto" w:fill="E9EFEE"/>
          </w:tcPr>
          <w:p>
            <w:pPr>
              <w:jc w:val="right"/>
              <w:spacing w:after="0"/>
              <w:rPr>
                <w:sz w:val="20"/>
                <w:szCs w:val="20"/>
                <w:color w:val="auto"/>
              </w:rPr>
            </w:pPr>
            <w:r>
              <w:rPr>
                <w:rFonts w:ascii="Arial" w:cs="Arial" w:eastAsia="Arial" w:hAnsi="Arial"/>
                <w:sz w:val="15"/>
                <w:szCs w:val="15"/>
                <w:color w:val="auto"/>
              </w:rPr>
              <w:t>1,300,000</w:t>
            </w:r>
          </w:p>
        </w:tc>
        <w:tc>
          <w:tcPr>
            <w:tcW w:w="160" w:type="dxa"/>
            <w:vAlign w:val="bottom"/>
            <w:shd w:val="clear" w:color="auto" w:fill="E9EFEE"/>
          </w:tcPr>
          <w:p>
            <w:pPr>
              <w:spacing w:after="0"/>
              <w:rPr>
                <w:sz w:val="16"/>
                <w:szCs w:val="16"/>
                <w:color w:val="auto"/>
              </w:rPr>
            </w:pPr>
          </w:p>
        </w:tc>
        <w:tc>
          <w:tcPr>
            <w:tcW w:w="1080" w:type="dxa"/>
            <w:vAlign w:val="bottom"/>
            <w:shd w:val="clear" w:color="auto" w:fill="E9EFEE"/>
          </w:tcPr>
          <w:p>
            <w:pPr>
              <w:ind w:left="920"/>
              <w:spacing w:after="0"/>
              <w:rPr>
                <w:sz w:val="20"/>
                <w:szCs w:val="20"/>
                <w:color w:val="auto"/>
              </w:rPr>
            </w:pPr>
            <w:r>
              <w:rPr>
                <w:rFonts w:ascii="Arial" w:cs="Arial" w:eastAsia="Arial" w:hAnsi="Arial"/>
                <w:sz w:val="15"/>
                <w:szCs w:val="15"/>
                <w:color w:val="auto"/>
                <w:w w:val="93"/>
              </w:rPr>
              <w:t>—</w:t>
            </w:r>
          </w:p>
        </w:tc>
        <w:tc>
          <w:tcPr>
            <w:tcW w:w="1240" w:type="dxa"/>
            <w:vAlign w:val="bottom"/>
            <w:gridSpan w:val="2"/>
            <w:shd w:val="clear" w:color="auto" w:fill="E9EFEE"/>
          </w:tcPr>
          <w:p>
            <w:pPr>
              <w:jc w:val="right"/>
              <w:spacing w:after="0"/>
              <w:rPr>
                <w:sz w:val="20"/>
                <w:szCs w:val="20"/>
                <w:color w:val="auto"/>
              </w:rPr>
            </w:pPr>
            <w:r>
              <w:rPr>
                <w:rFonts w:ascii="Arial" w:cs="Arial" w:eastAsia="Arial" w:hAnsi="Arial"/>
                <w:sz w:val="15"/>
                <w:szCs w:val="15"/>
                <w:color w:val="auto"/>
              </w:rPr>
              <w:t>2,600,000</w:t>
            </w:r>
          </w:p>
        </w:tc>
        <w:tc>
          <w:tcPr>
            <w:tcW w:w="160" w:type="dxa"/>
            <w:vAlign w:val="bottom"/>
            <w:shd w:val="clear" w:color="auto" w:fill="E9EFEE"/>
          </w:tcPr>
          <w:p>
            <w:pPr>
              <w:spacing w:after="0"/>
              <w:rPr>
                <w:sz w:val="16"/>
                <w:szCs w:val="16"/>
                <w:color w:val="auto"/>
              </w:rPr>
            </w:pPr>
          </w:p>
        </w:tc>
        <w:tc>
          <w:tcPr>
            <w:tcW w:w="820" w:type="dxa"/>
            <w:vAlign w:val="bottom"/>
            <w:shd w:val="clear" w:color="auto" w:fill="E9EFEE"/>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E9EFEE"/>
          </w:tcPr>
          <w:p>
            <w:pPr>
              <w:spacing w:after="0"/>
              <w:rPr>
                <w:sz w:val="16"/>
                <w:szCs w:val="16"/>
                <w:color w:val="auto"/>
              </w:rPr>
            </w:pPr>
          </w:p>
        </w:tc>
        <w:tc>
          <w:tcPr>
            <w:tcW w:w="1020" w:type="dxa"/>
            <w:vAlign w:val="bottom"/>
            <w:gridSpan w:val="2"/>
            <w:shd w:val="clear" w:color="auto" w:fill="E9EFEE"/>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3760" w:type="dxa"/>
            <w:vAlign w:val="bottom"/>
            <w:shd w:val="clear" w:color="auto" w:fill="E9EFEE"/>
          </w:tcPr>
          <w:p>
            <w:pPr>
              <w:ind w:left="20"/>
              <w:spacing w:after="0" w:line="189" w:lineRule="exact"/>
              <w:rPr>
                <w:sz w:val="20"/>
                <w:szCs w:val="20"/>
                <w:color w:val="auto"/>
              </w:rPr>
            </w:pPr>
            <w:r>
              <w:rPr>
                <w:rFonts w:ascii="Arial" w:cs="Arial" w:eastAsia="Arial" w:hAnsi="Arial"/>
                <w:sz w:val="13"/>
                <w:szCs w:val="13"/>
                <w:color w:val="auto"/>
              </w:rPr>
              <w:t>Value of restricted stock units</w:t>
            </w:r>
            <w:r>
              <w:rPr>
                <w:rFonts w:ascii="Arial" w:cs="Arial" w:eastAsia="Arial" w:hAnsi="Arial"/>
                <w:sz w:val="21"/>
                <w:szCs w:val="21"/>
                <w:color w:val="auto"/>
                <w:vertAlign w:val="superscript"/>
              </w:rPr>
              <w:t>(2)</w:t>
            </w:r>
          </w:p>
        </w:tc>
        <w:tc>
          <w:tcPr>
            <w:tcW w:w="80" w:type="dxa"/>
            <w:vAlign w:val="bottom"/>
            <w:shd w:val="clear" w:color="auto" w:fill="E9EFEE"/>
          </w:tcPr>
          <w:p>
            <w:pPr>
              <w:spacing w:after="0"/>
              <w:rPr>
                <w:sz w:val="16"/>
                <w:szCs w:val="16"/>
                <w:color w:val="auto"/>
              </w:rPr>
            </w:pPr>
          </w:p>
        </w:tc>
        <w:tc>
          <w:tcPr>
            <w:tcW w:w="1080" w:type="dxa"/>
            <w:vAlign w:val="bottom"/>
            <w:shd w:val="clear" w:color="auto" w:fill="E9EFEE"/>
          </w:tcPr>
          <w:p>
            <w:pPr>
              <w:jc w:val="right"/>
              <w:spacing w:after="0"/>
              <w:rPr>
                <w:sz w:val="20"/>
                <w:szCs w:val="20"/>
                <w:color w:val="auto"/>
              </w:rPr>
            </w:pPr>
            <w:r>
              <w:rPr>
                <w:rFonts w:ascii="Arial" w:cs="Arial" w:eastAsia="Arial" w:hAnsi="Arial"/>
                <w:sz w:val="15"/>
                <w:szCs w:val="15"/>
                <w:color w:val="auto"/>
              </w:rPr>
              <w:t>1,591,688</w:t>
            </w:r>
          </w:p>
        </w:tc>
        <w:tc>
          <w:tcPr>
            <w:tcW w:w="160" w:type="dxa"/>
            <w:vAlign w:val="bottom"/>
            <w:shd w:val="clear" w:color="auto" w:fill="E9EFEE"/>
          </w:tcPr>
          <w:p>
            <w:pPr>
              <w:spacing w:after="0"/>
              <w:rPr>
                <w:sz w:val="16"/>
                <w:szCs w:val="16"/>
                <w:color w:val="auto"/>
              </w:rPr>
            </w:pPr>
          </w:p>
        </w:tc>
        <w:tc>
          <w:tcPr>
            <w:tcW w:w="1080" w:type="dxa"/>
            <w:vAlign w:val="bottom"/>
            <w:shd w:val="clear" w:color="auto" w:fill="E9EFEE"/>
          </w:tcPr>
          <w:p>
            <w:pPr>
              <w:ind w:left="920"/>
              <w:spacing w:after="0"/>
              <w:rPr>
                <w:sz w:val="20"/>
                <w:szCs w:val="20"/>
                <w:color w:val="auto"/>
              </w:rPr>
            </w:pPr>
            <w:r>
              <w:rPr>
                <w:rFonts w:ascii="Arial" w:cs="Arial" w:eastAsia="Arial" w:hAnsi="Arial"/>
                <w:sz w:val="15"/>
                <w:szCs w:val="15"/>
                <w:color w:val="auto"/>
                <w:w w:val="93"/>
              </w:rPr>
              <w:t>—</w:t>
            </w:r>
          </w:p>
        </w:tc>
        <w:tc>
          <w:tcPr>
            <w:tcW w:w="1240" w:type="dxa"/>
            <w:vAlign w:val="bottom"/>
            <w:gridSpan w:val="2"/>
            <w:shd w:val="clear" w:color="auto" w:fill="E9EFEE"/>
          </w:tcPr>
          <w:p>
            <w:pPr>
              <w:jc w:val="right"/>
              <w:spacing w:after="0"/>
              <w:rPr>
                <w:sz w:val="20"/>
                <w:szCs w:val="20"/>
                <w:color w:val="auto"/>
              </w:rPr>
            </w:pPr>
            <w:r>
              <w:rPr>
                <w:rFonts w:ascii="Arial" w:cs="Arial" w:eastAsia="Arial" w:hAnsi="Arial"/>
                <w:sz w:val="15"/>
                <w:szCs w:val="15"/>
                <w:color w:val="auto"/>
              </w:rPr>
              <w:t>4,394,372</w:t>
            </w:r>
          </w:p>
        </w:tc>
        <w:tc>
          <w:tcPr>
            <w:tcW w:w="980" w:type="dxa"/>
            <w:vAlign w:val="bottom"/>
            <w:gridSpan w:val="2"/>
            <w:shd w:val="clear" w:color="auto" w:fill="E9EFEE"/>
          </w:tcPr>
          <w:p>
            <w:pPr>
              <w:jc w:val="right"/>
              <w:spacing w:after="0"/>
              <w:rPr>
                <w:sz w:val="20"/>
                <w:szCs w:val="20"/>
                <w:color w:val="auto"/>
              </w:rPr>
            </w:pPr>
            <w:r>
              <w:rPr>
                <w:rFonts w:ascii="Arial" w:cs="Arial" w:eastAsia="Arial" w:hAnsi="Arial"/>
                <w:sz w:val="15"/>
                <w:szCs w:val="15"/>
                <w:color w:val="auto"/>
              </w:rPr>
              <w:t>4,394,372</w:t>
            </w:r>
          </w:p>
        </w:tc>
        <w:tc>
          <w:tcPr>
            <w:tcW w:w="1080" w:type="dxa"/>
            <w:vAlign w:val="bottom"/>
            <w:gridSpan w:val="2"/>
            <w:shd w:val="clear" w:color="auto" w:fill="E9EFEE"/>
          </w:tcPr>
          <w:p>
            <w:pPr>
              <w:jc w:val="right"/>
              <w:spacing w:after="0"/>
              <w:rPr>
                <w:sz w:val="20"/>
                <w:szCs w:val="20"/>
                <w:color w:val="auto"/>
              </w:rPr>
            </w:pPr>
            <w:r>
              <w:rPr>
                <w:rFonts w:ascii="Arial" w:cs="Arial" w:eastAsia="Arial" w:hAnsi="Arial"/>
                <w:sz w:val="15"/>
                <w:szCs w:val="15"/>
                <w:color w:val="auto"/>
              </w:rPr>
              <w:t>4,394,372</w:t>
            </w:r>
          </w:p>
        </w:tc>
        <w:tc>
          <w:tcPr>
            <w:tcW w:w="100" w:type="dxa"/>
            <w:vAlign w:val="bottom"/>
            <w:shd w:val="clear" w:color="auto" w:fill="E9EFEE"/>
          </w:tcPr>
          <w:p>
            <w:pPr>
              <w:spacing w:after="0"/>
              <w:rPr>
                <w:sz w:val="16"/>
                <w:szCs w:val="16"/>
                <w:color w:val="auto"/>
              </w:rPr>
            </w:pPr>
          </w:p>
        </w:tc>
      </w:tr>
      <w:tr>
        <w:trPr>
          <w:trHeight w:val="189"/>
        </w:trPr>
        <w:tc>
          <w:tcPr>
            <w:tcW w:w="3760" w:type="dxa"/>
            <w:vAlign w:val="bottom"/>
            <w:shd w:val="clear" w:color="auto" w:fill="E9EFEE"/>
          </w:tcPr>
          <w:p>
            <w:pPr>
              <w:ind w:left="20"/>
              <w:spacing w:after="0" w:line="189" w:lineRule="exact"/>
              <w:rPr>
                <w:sz w:val="20"/>
                <w:szCs w:val="20"/>
                <w:color w:val="auto"/>
              </w:rPr>
            </w:pPr>
            <w:r>
              <w:rPr>
                <w:rFonts w:ascii="Arial" w:cs="Arial" w:eastAsia="Arial" w:hAnsi="Arial"/>
                <w:sz w:val="13"/>
                <w:szCs w:val="13"/>
                <w:color w:val="auto"/>
              </w:rPr>
              <w:t>Value of stock options</w:t>
            </w:r>
            <w:r>
              <w:rPr>
                <w:rFonts w:ascii="Arial" w:cs="Arial" w:eastAsia="Arial" w:hAnsi="Arial"/>
                <w:sz w:val="21"/>
                <w:szCs w:val="21"/>
                <w:color w:val="auto"/>
                <w:vertAlign w:val="superscript"/>
              </w:rPr>
              <w:t>(3)</w:t>
            </w:r>
          </w:p>
        </w:tc>
        <w:tc>
          <w:tcPr>
            <w:tcW w:w="80" w:type="dxa"/>
            <w:vAlign w:val="bottom"/>
            <w:shd w:val="clear" w:color="auto" w:fill="E9EFEE"/>
          </w:tcPr>
          <w:p>
            <w:pPr>
              <w:spacing w:after="0"/>
              <w:rPr>
                <w:sz w:val="16"/>
                <w:szCs w:val="16"/>
                <w:color w:val="auto"/>
              </w:rPr>
            </w:pPr>
          </w:p>
        </w:tc>
        <w:tc>
          <w:tcPr>
            <w:tcW w:w="1080" w:type="dxa"/>
            <w:vAlign w:val="bottom"/>
            <w:shd w:val="clear" w:color="auto" w:fill="E9EFEE"/>
          </w:tcPr>
          <w:p>
            <w:pPr>
              <w:jc w:val="right"/>
              <w:spacing w:after="0"/>
              <w:rPr>
                <w:sz w:val="20"/>
                <w:szCs w:val="20"/>
                <w:color w:val="auto"/>
              </w:rPr>
            </w:pPr>
            <w:r>
              <w:rPr>
                <w:rFonts w:ascii="Arial" w:cs="Arial" w:eastAsia="Arial" w:hAnsi="Arial"/>
                <w:sz w:val="15"/>
                <w:szCs w:val="15"/>
                <w:color w:val="auto"/>
              </w:rPr>
              <w:t>196,247</w:t>
            </w:r>
          </w:p>
        </w:tc>
        <w:tc>
          <w:tcPr>
            <w:tcW w:w="160" w:type="dxa"/>
            <w:vAlign w:val="bottom"/>
            <w:shd w:val="clear" w:color="auto" w:fill="E9EFEE"/>
          </w:tcPr>
          <w:p>
            <w:pPr>
              <w:spacing w:after="0"/>
              <w:rPr>
                <w:sz w:val="16"/>
                <w:szCs w:val="16"/>
                <w:color w:val="auto"/>
              </w:rPr>
            </w:pPr>
          </w:p>
        </w:tc>
        <w:tc>
          <w:tcPr>
            <w:tcW w:w="1080" w:type="dxa"/>
            <w:vAlign w:val="bottom"/>
            <w:shd w:val="clear" w:color="auto" w:fill="E9EFEE"/>
          </w:tcPr>
          <w:p>
            <w:pPr>
              <w:ind w:left="920"/>
              <w:spacing w:after="0"/>
              <w:rPr>
                <w:sz w:val="20"/>
                <w:szCs w:val="20"/>
                <w:color w:val="auto"/>
              </w:rPr>
            </w:pPr>
            <w:r>
              <w:rPr>
                <w:rFonts w:ascii="Arial" w:cs="Arial" w:eastAsia="Arial" w:hAnsi="Arial"/>
                <w:sz w:val="15"/>
                <w:szCs w:val="15"/>
                <w:color w:val="auto"/>
                <w:w w:val="93"/>
              </w:rPr>
              <w:t>—</w:t>
            </w:r>
          </w:p>
        </w:tc>
        <w:tc>
          <w:tcPr>
            <w:tcW w:w="1240" w:type="dxa"/>
            <w:vAlign w:val="bottom"/>
            <w:gridSpan w:val="2"/>
            <w:shd w:val="clear" w:color="auto" w:fill="E9EFEE"/>
          </w:tcPr>
          <w:p>
            <w:pPr>
              <w:jc w:val="right"/>
              <w:spacing w:after="0"/>
              <w:rPr>
                <w:sz w:val="20"/>
                <w:szCs w:val="20"/>
                <w:color w:val="auto"/>
              </w:rPr>
            </w:pPr>
            <w:r>
              <w:rPr>
                <w:rFonts w:ascii="Arial" w:cs="Arial" w:eastAsia="Arial" w:hAnsi="Arial"/>
                <w:sz w:val="15"/>
                <w:szCs w:val="15"/>
                <w:color w:val="auto"/>
              </w:rPr>
              <w:t>471,000</w:t>
            </w:r>
          </w:p>
        </w:tc>
        <w:tc>
          <w:tcPr>
            <w:tcW w:w="980" w:type="dxa"/>
            <w:vAlign w:val="bottom"/>
            <w:gridSpan w:val="2"/>
            <w:shd w:val="clear" w:color="auto" w:fill="E9EFEE"/>
          </w:tcPr>
          <w:p>
            <w:pPr>
              <w:jc w:val="right"/>
              <w:spacing w:after="0"/>
              <w:rPr>
                <w:sz w:val="20"/>
                <w:szCs w:val="20"/>
                <w:color w:val="auto"/>
              </w:rPr>
            </w:pPr>
            <w:r>
              <w:rPr>
                <w:rFonts w:ascii="Arial" w:cs="Arial" w:eastAsia="Arial" w:hAnsi="Arial"/>
                <w:sz w:val="15"/>
                <w:szCs w:val="15"/>
                <w:color w:val="auto"/>
              </w:rPr>
              <w:t>471,000</w:t>
            </w:r>
          </w:p>
        </w:tc>
        <w:tc>
          <w:tcPr>
            <w:tcW w:w="1080" w:type="dxa"/>
            <w:vAlign w:val="bottom"/>
            <w:gridSpan w:val="2"/>
            <w:shd w:val="clear" w:color="auto" w:fill="E9EFEE"/>
          </w:tcPr>
          <w:p>
            <w:pPr>
              <w:jc w:val="right"/>
              <w:spacing w:after="0"/>
              <w:rPr>
                <w:sz w:val="20"/>
                <w:szCs w:val="20"/>
                <w:color w:val="auto"/>
              </w:rPr>
            </w:pPr>
            <w:r>
              <w:rPr>
                <w:rFonts w:ascii="Arial" w:cs="Arial" w:eastAsia="Arial" w:hAnsi="Arial"/>
                <w:sz w:val="15"/>
                <w:szCs w:val="15"/>
                <w:color w:val="auto"/>
              </w:rPr>
              <w:t>471,000</w:t>
            </w:r>
          </w:p>
        </w:tc>
        <w:tc>
          <w:tcPr>
            <w:tcW w:w="100" w:type="dxa"/>
            <w:vAlign w:val="bottom"/>
            <w:shd w:val="clear" w:color="auto" w:fill="E9EFEE"/>
          </w:tcPr>
          <w:p>
            <w:pPr>
              <w:spacing w:after="0"/>
              <w:rPr>
                <w:sz w:val="16"/>
                <w:szCs w:val="16"/>
                <w:color w:val="auto"/>
              </w:rPr>
            </w:pPr>
          </w:p>
        </w:tc>
      </w:tr>
      <w:tr>
        <w:trPr>
          <w:trHeight w:val="189"/>
        </w:trPr>
        <w:tc>
          <w:tcPr>
            <w:tcW w:w="3760" w:type="dxa"/>
            <w:vAlign w:val="bottom"/>
            <w:shd w:val="clear" w:color="auto" w:fill="E9EFEE"/>
          </w:tcPr>
          <w:p>
            <w:pPr>
              <w:ind w:left="20"/>
              <w:spacing w:after="0"/>
              <w:rPr>
                <w:sz w:val="20"/>
                <w:szCs w:val="20"/>
                <w:color w:val="auto"/>
              </w:rPr>
            </w:pPr>
            <w:r>
              <w:rPr>
                <w:rFonts w:ascii="Arial" w:cs="Arial" w:eastAsia="Arial" w:hAnsi="Arial"/>
                <w:sz w:val="15"/>
                <w:szCs w:val="15"/>
                <w:color w:val="auto"/>
              </w:rPr>
              <w:t>Outplacement services</w:t>
            </w:r>
          </w:p>
        </w:tc>
        <w:tc>
          <w:tcPr>
            <w:tcW w:w="80" w:type="dxa"/>
            <w:vAlign w:val="bottom"/>
            <w:shd w:val="clear" w:color="auto" w:fill="E9EFEE"/>
          </w:tcPr>
          <w:p>
            <w:pPr>
              <w:spacing w:after="0"/>
              <w:rPr>
                <w:sz w:val="16"/>
                <w:szCs w:val="16"/>
                <w:color w:val="auto"/>
              </w:rPr>
            </w:pPr>
          </w:p>
        </w:tc>
        <w:tc>
          <w:tcPr>
            <w:tcW w:w="1080" w:type="dxa"/>
            <w:vAlign w:val="bottom"/>
            <w:shd w:val="clear" w:color="auto" w:fill="E9EFEE"/>
          </w:tcPr>
          <w:p>
            <w:pPr>
              <w:jc w:val="right"/>
              <w:spacing w:after="0"/>
              <w:rPr>
                <w:sz w:val="20"/>
                <w:szCs w:val="20"/>
                <w:color w:val="auto"/>
              </w:rPr>
            </w:pPr>
            <w:r>
              <w:rPr>
                <w:rFonts w:ascii="Arial" w:cs="Arial" w:eastAsia="Arial" w:hAnsi="Arial"/>
                <w:sz w:val="15"/>
                <w:szCs w:val="15"/>
                <w:color w:val="auto"/>
              </w:rPr>
              <w:t>25,000</w:t>
            </w:r>
          </w:p>
        </w:tc>
        <w:tc>
          <w:tcPr>
            <w:tcW w:w="160" w:type="dxa"/>
            <w:vAlign w:val="bottom"/>
            <w:shd w:val="clear" w:color="auto" w:fill="E9EFEE"/>
          </w:tcPr>
          <w:p>
            <w:pPr>
              <w:spacing w:after="0"/>
              <w:rPr>
                <w:sz w:val="16"/>
                <w:szCs w:val="16"/>
                <w:color w:val="auto"/>
              </w:rPr>
            </w:pPr>
          </w:p>
        </w:tc>
        <w:tc>
          <w:tcPr>
            <w:tcW w:w="1080" w:type="dxa"/>
            <w:vAlign w:val="bottom"/>
            <w:shd w:val="clear" w:color="auto" w:fill="E9EFEE"/>
          </w:tcPr>
          <w:p>
            <w:pPr>
              <w:ind w:left="920"/>
              <w:spacing w:after="0"/>
              <w:rPr>
                <w:sz w:val="20"/>
                <w:szCs w:val="20"/>
                <w:color w:val="auto"/>
              </w:rPr>
            </w:pPr>
            <w:r>
              <w:rPr>
                <w:rFonts w:ascii="Arial" w:cs="Arial" w:eastAsia="Arial" w:hAnsi="Arial"/>
                <w:sz w:val="15"/>
                <w:szCs w:val="15"/>
                <w:color w:val="auto"/>
                <w:w w:val="93"/>
              </w:rPr>
              <w:t>—</w:t>
            </w:r>
          </w:p>
        </w:tc>
        <w:tc>
          <w:tcPr>
            <w:tcW w:w="1240" w:type="dxa"/>
            <w:vAlign w:val="bottom"/>
            <w:gridSpan w:val="2"/>
            <w:shd w:val="clear" w:color="auto" w:fill="E9EFEE"/>
          </w:tcPr>
          <w:p>
            <w:pPr>
              <w:jc w:val="right"/>
              <w:spacing w:after="0"/>
              <w:rPr>
                <w:sz w:val="20"/>
                <w:szCs w:val="20"/>
                <w:color w:val="auto"/>
              </w:rPr>
            </w:pPr>
            <w:r>
              <w:rPr>
                <w:rFonts w:ascii="Arial" w:cs="Arial" w:eastAsia="Arial" w:hAnsi="Arial"/>
                <w:sz w:val="15"/>
                <w:szCs w:val="15"/>
                <w:color w:val="auto"/>
              </w:rPr>
              <w:t>25,000</w:t>
            </w:r>
          </w:p>
        </w:tc>
        <w:tc>
          <w:tcPr>
            <w:tcW w:w="160" w:type="dxa"/>
            <w:vAlign w:val="bottom"/>
            <w:shd w:val="clear" w:color="auto" w:fill="E9EFEE"/>
          </w:tcPr>
          <w:p>
            <w:pPr>
              <w:spacing w:after="0"/>
              <w:rPr>
                <w:sz w:val="16"/>
                <w:szCs w:val="16"/>
                <w:color w:val="auto"/>
              </w:rPr>
            </w:pPr>
          </w:p>
        </w:tc>
        <w:tc>
          <w:tcPr>
            <w:tcW w:w="820" w:type="dxa"/>
            <w:vAlign w:val="bottom"/>
            <w:shd w:val="clear" w:color="auto" w:fill="E9EFEE"/>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E9EFEE"/>
          </w:tcPr>
          <w:p>
            <w:pPr>
              <w:spacing w:after="0"/>
              <w:rPr>
                <w:sz w:val="16"/>
                <w:szCs w:val="16"/>
                <w:color w:val="auto"/>
              </w:rPr>
            </w:pPr>
          </w:p>
        </w:tc>
        <w:tc>
          <w:tcPr>
            <w:tcW w:w="1020" w:type="dxa"/>
            <w:vAlign w:val="bottom"/>
            <w:gridSpan w:val="2"/>
            <w:shd w:val="clear" w:color="auto" w:fill="E9EFEE"/>
          </w:tcPr>
          <w:p>
            <w:pPr>
              <w:jc w:val="right"/>
              <w:ind w:right="120"/>
              <w:spacing w:after="0"/>
              <w:rPr>
                <w:sz w:val="20"/>
                <w:szCs w:val="20"/>
                <w:color w:val="auto"/>
              </w:rPr>
            </w:pPr>
            <w:r>
              <w:rPr>
                <w:rFonts w:ascii="Arial" w:cs="Arial" w:eastAsia="Arial" w:hAnsi="Arial"/>
                <w:sz w:val="15"/>
                <w:szCs w:val="15"/>
                <w:color w:val="auto"/>
              </w:rPr>
              <w:t>—</w:t>
            </w:r>
          </w:p>
        </w:tc>
      </w:tr>
      <w:tr>
        <w:trPr>
          <w:trHeight w:val="176"/>
        </w:trPr>
        <w:tc>
          <w:tcPr>
            <w:tcW w:w="3760" w:type="dxa"/>
            <w:vAlign w:val="bottom"/>
            <w:tcBorders>
              <w:bottom w:val="single" w:sz="8" w:color="E9EFEE"/>
            </w:tcBorders>
            <w:shd w:val="clear" w:color="auto" w:fill="E9EFEE"/>
          </w:tcPr>
          <w:p>
            <w:pPr>
              <w:ind w:left="20"/>
              <w:spacing w:after="0"/>
              <w:rPr>
                <w:sz w:val="20"/>
                <w:szCs w:val="20"/>
                <w:color w:val="auto"/>
              </w:rPr>
            </w:pPr>
            <w:r>
              <w:rPr>
                <w:rFonts w:ascii="Arial" w:cs="Arial" w:eastAsia="Arial" w:hAnsi="Arial"/>
                <w:sz w:val="15"/>
                <w:szCs w:val="15"/>
                <w:color w:val="auto"/>
              </w:rPr>
              <w:t>Medical benefits</w:t>
            </w:r>
          </w:p>
        </w:tc>
        <w:tc>
          <w:tcPr>
            <w:tcW w:w="80" w:type="dxa"/>
            <w:vAlign w:val="bottom"/>
            <w:tcBorders>
              <w:bottom w:val="single" w:sz="8" w:color="E9EFEE"/>
            </w:tcBorders>
            <w:shd w:val="clear" w:color="auto" w:fill="E9EFEE"/>
          </w:tcPr>
          <w:p>
            <w:pPr>
              <w:spacing w:after="0"/>
              <w:rPr>
                <w:sz w:val="15"/>
                <w:szCs w:val="15"/>
                <w:color w:val="auto"/>
              </w:rPr>
            </w:pPr>
          </w:p>
        </w:tc>
        <w:tc>
          <w:tcPr>
            <w:tcW w:w="1080" w:type="dxa"/>
            <w:vAlign w:val="bottom"/>
            <w:tcBorders>
              <w:bottom w:val="single" w:sz="8" w:color="auto"/>
            </w:tcBorders>
            <w:shd w:val="clear" w:color="auto" w:fill="E9EFEE"/>
          </w:tcPr>
          <w:p>
            <w:pPr>
              <w:jc w:val="right"/>
              <w:spacing w:after="0"/>
              <w:rPr>
                <w:sz w:val="20"/>
                <w:szCs w:val="20"/>
                <w:color w:val="auto"/>
              </w:rPr>
            </w:pPr>
            <w:r>
              <w:rPr>
                <w:rFonts w:ascii="Arial" w:cs="Arial" w:eastAsia="Arial" w:hAnsi="Arial"/>
                <w:sz w:val="15"/>
                <w:szCs w:val="15"/>
                <w:color w:val="auto"/>
              </w:rPr>
              <w:t>16,700</w:t>
            </w:r>
          </w:p>
        </w:tc>
        <w:tc>
          <w:tcPr>
            <w:tcW w:w="160" w:type="dxa"/>
            <w:vAlign w:val="bottom"/>
            <w:tcBorders>
              <w:bottom w:val="single" w:sz="8" w:color="E9EFEE"/>
            </w:tcBorders>
            <w:shd w:val="clear" w:color="auto" w:fill="E9EFEE"/>
          </w:tcPr>
          <w:p>
            <w:pPr>
              <w:spacing w:after="0"/>
              <w:rPr>
                <w:sz w:val="15"/>
                <w:szCs w:val="15"/>
                <w:color w:val="auto"/>
              </w:rPr>
            </w:pPr>
          </w:p>
        </w:tc>
        <w:tc>
          <w:tcPr>
            <w:tcW w:w="1080" w:type="dxa"/>
            <w:vAlign w:val="bottom"/>
            <w:tcBorders>
              <w:bottom w:val="single" w:sz="8" w:color="auto"/>
            </w:tcBorders>
            <w:shd w:val="clear" w:color="auto" w:fill="E9EFEE"/>
          </w:tcPr>
          <w:p>
            <w:pPr>
              <w:ind w:left="920"/>
              <w:spacing w:after="0"/>
              <w:rPr>
                <w:sz w:val="20"/>
                <w:szCs w:val="20"/>
                <w:color w:val="auto"/>
              </w:rPr>
            </w:pPr>
            <w:r>
              <w:rPr>
                <w:rFonts w:ascii="Arial" w:cs="Arial" w:eastAsia="Arial" w:hAnsi="Arial"/>
                <w:sz w:val="15"/>
                <w:szCs w:val="15"/>
                <w:color w:val="auto"/>
                <w:w w:val="93"/>
              </w:rPr>
              <w:t>—</w:t>
            </w:r>
          </w:p>
        </w:tc>
        <w:tc>
          <w:tcPr>
            <w:tcW w:w="160" w:type="dxa"/>
            <w:vAlign w:val="bottom"/>
            <w:tcBorders>
              <w:bottom w:val="single" w:sz="8" w:color="E9EFEE"/>
            </w:tcBorders>
            <w:shd w:val="clear" w:color="auto" w:fill="E9EFEE"/>
          </w:tcPr>
          <w:p>
            <w:pPr>
              <w:spacing w:after="0"/>
              <w:rPr>
                <w:sz w:val="15"/>
                <w:szCs w:val="15"/>
                <w:color w:val="auto"/>
              </w:rPr>
            </w:pPr>
          </w:p>
        </w:tc>
        <w:tc>
          <w:tcPr>
            <w:tcW w:w="1080" w:type="dxa"/>
            <w:vAlign w:val="bottom"/>
            <w:tcBorders>
              <w:bottom w:val="single" w:sz="8" w:color="auto"/>
            </w:tcBorders>
            <w:shd w:val="clear" w:color="auto" w:fill="E9EFEE"/>
          </w:tcPr>
          <w:p>
            <w:pPr>
              <w:jc w:val="right"/>
              <w:spacing w:after="0"/>
              <w:rPr>
                <w:sz w:val="20"/>
                <w:szCs w:val="20"/>
                <w:color w:val="auto"/>
              </w:rPr>
            </w:pPr>
            <w:r>
              <w:rPr>
                <w:rFonts w:ascii="Arial" w:cs="Arial" w:eastAsia="Arial" w:hAnsi="Arial"/>
                <w:sz w:val="15"/>
                <w:szCs w:val="15"/>
                <w:color w:val="auto"/>
              </w:rPr>
              <w:t>33,400</w:t>
            </w:r>
          </w:p>
        </w:tc>
        <w:tc>
          <w:tcPr>
            <w:tcW w:w="160" w:type="dxa"/>
            <w:vAlign w:val="bottom"/>
            <w:tcBorders>
              <w:bottom w:val="single" w:sz="8" w:color="E9EFEE"/>
            </w:tcBorders>
            <w:shd w:val="clear" w:color="auto" w:fill="E9EFEE"/>
          </w:tcPr>
          <w:p>
            <w:pPr>
              <w:spacing w:after="0"/>
              <w:rPr>
                <w:sz w:val="15"/>
                <w:szCs w:val="15"/>
                <w:color w:val="auto"/>
              </w:rPr>
            </w:pPr>
          </w:p>
        </w:tc>
        <w:tc>
          <w:tcPr>
            <w:tcW w:w="820" w:type="dxa"/>
            <w:vAlign w:val="bottom"/>
            <w:tcBorders>
              <w:bottom w:val="single" w:sz="8" w:color="auto"/>
            </w:tcBorders>
            <w:shd w:val="clear" w:color="auto" w:fill="E9EFEE"/>
          </w:tcPr>
          <w:p>
            <w:pPr>
              <w:jc w:val="right"/>
              <w:spacing w:after="0"/>
              <w:rPr>
                <w:sz w:val="20"/>
                <w:szCs w:val="20"/>
                <w:color w:val="auto"/>
              </w:rPr>
            </w:pPr>
            <w:r>
              <w:rPr>
                <w:rFonts w:ascii="Arial" w:cs="Arial" w:eastAsia="Arial" w:hAnsi="Arial"/>
                <w:sz w:val="15"/>
                <w:szCs w:val="15"/>
                <w:color w:val="auto"/>
              </w:rPr>
              <w:t>50,000</w:t>
            </w:r>
          </w:p>
        </w:tc>
        <w:tc>
          <w:tcPr>
            <w:tcW w:w="160" w:type="dxa"/>
            <w:vAlign w:val="bottom"/>
            <w:tcBorders>
              <w:bottom w:val="single" w:sz="8" w:color="E9EFEE"/>
            </w:tcBorders>
            <w:shd w:val="clear" w:color="auto" w:fill="E9EFEE"/>
          </w:tcPr>
          <w:p>
            <w:pPr>
              <w:spacing w:after="0"/>
              <w:rPr>
                <w:sz w:val="15"/>
                <w:szCs w:val="15"/>
                <w:color w:val="auto"/>
              </w:rPr>
            </w:pPr>
          </w:p>
        </w:tc>
        <w:tc>
          <w:tcPr>
            <w:tcW w:w="920" w:type="dxa"/>
            <w:vAlign w:val="bottom"/>
            <w:tcBorders>
              <w:bottom w:val="single" w:sz="8" w:color="auto"/>
            </w:tcBorders>
            <w:shd w:val="clear" w:color="auto" w:fill="E9EFEE"/>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E9EFEE"/>
            </w:tcBorders>
            <w:shd w:val="clear" w:color="auto" w:fill="E9EFEE"/>
          </w:tcPr>
          <w:p>
            <w:pPr>
              <w:spacing w:after="0"/>
              <w:rPr>
                <w:sz w:val="15"/>
                <w:szCs w:val="15"/>
                <w:color w:val="auto"/>
              </w:rPr>
            </w:pPr>
          </w:p>
        </w:tc>
      </w:tr>
      <w:tr>
        <w:trPr>
          <w:trHeight w:val="230"/>
        </w:trPr>
        <w:tc>
          <w:tcPr>
            <w:tcW w:w="3760" w:type="dxa"/>
            <w:vAlign w:val="bottom"/>
            <w:shd w:val="clear" w:color="auto" w:fill="E9EFEE"/>
          </w:tcPr>
          <w:p>
            <w:pPr>
              <w:ind w:left="20"/>
              <w:spacing w:after="0"/>
              <w:rPr>
                <w:sz w:val="20"/>
                <w:szCs w:val="20"/>
                <w:color w:val="auto"/>
              </w:rPr>
            </w:pPr>
            <w:r>
              <w:rPr>
                <w:rFonts w:ascii="Arial" w:cs="Arial" w:eastAsia="Arial" w:hAnsi="Arial"/>
                <w:sz w:val="15"/>
                <w:szCs w:val="15"/>
                <w:i w:val="1"/>
                <w:iCs w:val="1"/>
                <w:color w:val="auto"/>
              </w:rPr>
              <w:t>Total</w:t>
            </w:r>
          </w:p>
        </w:tc>
        <w:tc>
          <w:tcPr>
            <w:tcW w:w="80" w:type="dxa"/>
            <w:vAlign w:val="bottom"/>
            <w:shd w:val="clear" w:color="auto" w:fill="E9EFEE"/>
          </w:tcPr>
          <w:p>
            <w:pPr>
              <w:spacing w:after="0"/>
              <w:rPr>
                <w:sz w:val="20"/>
                <w:szCs w:val="20"/>
                <w:color w:val="auto"/>
              </w:rPr>
            </w:pPr>
          </w:p>
        </w:tc>
        <w:tc>
          <w:tcPr>
            <w:tcW w:w="1080" w:type="dxa"/>
            <w:vAlign w:val="bottom"/>
            <w:shd w:val="clear" w:color="auto" w:fill="E9EFEE"/>
          </w:tcPr>
          <w:p>
            <w:pPr>
              <w:jc w:val="right"/>
              <w:spacing w:after="0"/>
              <w:rPr>
                <w:sz w:val="20"/>
                <w:szCs w:val="20"/>
                <w:color w:val="auto"/>
              </w:rPr>
            </w:pPr>
            <w:r>
              <w:rPr>
                <w:rFonts w:ascii="Arial" w:cs="Arial" w:eastAsia="Arial" w:hAnsi="Arial"/>
                <w:sz w:val="15"/>
                <w:szCs w:val="15"/>
                <w:color w:val="auto"/>
              </w:rPr>
              <w:t>3,129,635</w:t>
            </w:r>
          </w:p>
        </w:tc>
        <w:tc>
          <w:tcPr>
            <w:tcW w:w="160" w:type="dxa"/>
            <w:vAlign w:val="bottom"/>
            <w:shd w:val="clear" w:color="auto" w:fill="E9EFEE"/>
          </w:tcPr>
          <w:p>
            <w:pPr>
              <w:spacing w:after="0"/>
              <w:rPr>
                <w:sz w:val="20"/>
                <w:szCs w:val="20"/>
                <w:color w:val="auto"/>
              </w:rPr>
            </w:pPr>
          </w:p>
        </w:tc>
        <w:tc>
          <w:tcPr>
            <w:tcW w:w="1080" w:type="dxa"/>
            <w:vAlign w:val="bottom"/>
            <w:shd w:val="clear" w:color="auto" w:fill="E9EFEE"/>
          </w:tcPr>
          <w:p>
            <w:pPr>
              <w:ind w:left="920"/>
              <w:spacing w:after="0"/>
              <w:rPr>
                <w:sz w:val="20"/>
                <w:szCs w:val="20"/>
                <w:color w:val="auto"/>
              </w:rPr>
            </w:pPr>
            <w:r>
              <w:rPr>
                <w:rFonts w:ascii="Arial" w:cs="Arial" w:eastAsia="Arial" w:hAnsi="Arial"/>
                <w:sz w:val="15"/>
                <w:szCs w:val="15"/>
                <w:color w:val="auto"/>
                <w:w w:val="93"/>
              </w:rPr>
              <w:t>—</w:t>
            </w:r>
          </w:p>
        </w:tc>
        <w:tc>
          <w:tcPr>
            <w:tcW w:w="1240" w:type="dxa"/>
            <w:vAlign w:val="bottom"/>
            <w:gridSpan w:val="2"/>
            <w:shd w:val="clear" w:color="auto" w:fill="E9EFEE"/>
          </w:tcPr>
          <w:p>
            <w:pPr>
              <w:jc w:val="right"/>
              <w:spacing w:after="0"/>
              <w:rPr>
                <w:sz w:val="20"/>
                <w:szCs w:val="20"/>
                <w:color w:val="auto"/>
              </w:rPr>
            </w:pPr>
            <w:r>
              <w:rPr>
                <w:rFonts w:ascii="Arial" w:cs="Arial" w:eastAsia="Arial" w:hAnsi="Arial"/>
                <w:sz w:val="15"/>
                <w:szCs w:val="15"/>
                <w:color w:val="auto"/>
              </w:rPr>
              <w:t>7,523,772</w:t>
            </w:r>
          </w:p>
        </w:tc>
        <w:tc>
          <w:tcPr>
            <w:tcW w:w="980" w:type="dxa"/>
            <w:vAlign w:val="bottom"/>
            <w:gridSpan w:val="2"/>
            <w:shd w:val="clear" w:color="auto" w:fill="E9EFEE"/>
          </w:tcPr>
          <w:p>
            <w:pPr>
              <w:jc w:val="right"/>
              <w:spacing w:after="0"/>
              <w:rPr>
                <w:sz w:val="20"/>
                <w:szCs w:val="20"/>
                <w:color w:val="auto"/>
              </w:rPr>
            </w:pPr>
            <w:r>
              <w:rPr>
                <w:rFonts w:ascii="Arial" w:cs="Arial" w:eastAsia="Arial" w:hAnsi="Arial"/>
                <w:sz w:val="15"/>
                <w:szCs w:val="15"/>
                <w:color w:val="auto"/>
              </w:rPr>
              <w:t>4,915,372</w:t>
            </w:r>
          </w:p>
        </w:tc>
        <w:tc>
          <w:tcPr>
            <w:tcW w:w="1080" w:type="dxa"/>
            <w:vAlign w:val="bottom"/>
            <w:gridSpan w:val="2"/>
            <w:shd w:val="clear" w:color="auto" w:fill="E9EFEE"/>
          </w:tcPr>
          <w:p>
            <w:pPr>
              <w:jc w:val="right"/>
              <w:spacing w:after="0"/>
              <w:rPr>
                <w:sz w:val="20"/>
                <w:szCs w:val="20"/>
                <w:color w:val="auto"/>
              </w:rPr>
            </w:pPr>
            <w:r>
              <w:rPr>
                <w:rFonts w:ascii="Arial" w:cs="Arial" w:eastAsia="Arial" w:hAnsi="Arial"/>
                <w:sz w:val="15"/>
                <w:szCs w:val="15"/>
                <w:color w:val="auto"/>
              </w:rPr>
              <w:t>4,865,372</w:t>
            </w:r>
          </w:p>
        </w:tc>
        <w:tc>
          <w:tcPr>
            <w:tcW w:w="100" w:type="dxa"/>
            <w:vAlign w:val="bottom"/>
            <w:shd w:val="clear" w:color="auto" w:fill="E9EFEE"/>
          </w:tcPr>
          <w:p>
            <w:pPr>
              <w:spacing w:after="0"/>
              <w:rPr>
                <w:sz w:val="20"/>
                <w:szCs w:val="20"/>
                <w:color w:val="auto"/>
              </w:rPr>
            </w:pPr>
          </w:p>
        </w:tc>
      </w:tr>
      <w:tr>
        <w:trPr>
          <w:trHeight w:val="189"/>
        </w:trPr>
        <w:tc>
          <w:tcPr>
            <w:tcW w:w="3760" w:type="dxa"/>
            <w:vAlign w:val="bottom"/>
            <w:tcBorders>
              <w:top w:val="single" w:sz="8" w:color="E9EFEE"/>
            </w:tcBorders>
          </w:tcPr>
          <w:p>
            <w:pPr>
              <w:spacing w:after="0"/>
              <w:rPr>
                <w:sz w:val="16"/>
                <w:szCs w:val="16"/>
                <w:color w:val="auto"/>
              </w:rPr>
            </w:pPr>
          </w:p>
        </w:tc>
        <w:tc>
          <w:tcPr>
            <w:tcW w:w="80" w:type="dxa"/>
            <w:vAlign w:val="bottom"/>
            <w:tcBorders>
              <w:top w:val="single" w:sz="8" w:color="E9EFEE"/>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60" w:type="dxa"/>
            <w:vAlign w:val="bottom"/>
            <w:tcBorders>
              <w:top w:val="single" w:sz="8" w:color="E9EFEE"/>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60" w:type="dxa"/>
            <w:vAlign w:val="bottom"/>
            <w:tcBorders>
              <w:top w:val="single" w:sz="8" w:color="E9EFEE"/>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60" w:type="dxa"/>
            <w:vAlign w:val="bottom"/>
            <w:tcBorders>
              <w:top w:val="single" w:sz="8" w:color="E9EFEE"/>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Borders>
              <w:top w:val="single" w:sz="8" w:color="E9EFEE"/>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E9EFEE"/>
            </w:tcBorders>
          </w:tcPr>
          <w:p>
            <w:pPr>
              <w:spacing w:after="0"/>
              <w:rPr>
                <w:sz w:val="16"/>
                <w:szCs w:val="16"/>
                <w:color w:val="auto"/>
              </w:rPr>
            </w:pPr>
          </w:p>
        </w:tc>
      </w:tr>
      <w:tr>
        <w:trPr>
          <w:trHeight w:val="189"/>
        </w:trPr>
        <w:tc>
          <w:tcPr>
            <w:tcW w:w="3760" w:type="dxa"/>
            <w:vAlign w:val="bottom"/>
            <w:shd w:val="clear" w:color="auto" w:fill="E9EFEE"/>
          </w:tcPr>
          <w:p>
            <w:pPr>
              <w:ind w:left="20"/>
              <w:spacing w:after="0"/>
              <w:rPr>
                <w:sz w:val="20"/>
                <w:szCs w:val="20"/>
                <w:color w:val="auto"/>
              </w:rPr>
            </w:pPr>
            <w:r>
              <w:rPr>
                <w:rFonts w:ascii="Arial" w:cs="Arial" w:eastAsia="Arial" w:hAnsi="Arial"/>
                <w:sz w:val="15"/>
                <w:szCs w:val="15"/>
                <w:b w:val="1"/>
                <w:bCs w:val="1"/>
                <w:color w:val="auto"/>
              </w:rPr>
              <w:t>Robert J. Zalupski</w:t>
            </w:r>
          </w:p>
        </w:tc>
        <w:tc>
          <w:tcPr>
            <w:tcW w:w="80" w:type="dxa"/>
            <w:vAlign w:val="bottom"/>
            <w:shd w:val="clear" w:color="auto" w:fill="E9EFEE"/>
          </w:tcPr>
          <w:p>
            <w:pPr>
              <w:spacing w:after="0"/>
              <w:rPr>
                <w:sz w:val="16"/>
                <w:szCs w:val="16"/>
                <w:color w:val="auto"/>
              </w:rPr>
            </w:pPr>
          </w:p>
        </w:tc>
        <w:tc>
          <w:tcPr>
            <w:tcW w:w="1080" w:type="dxa"/>
            <w:vAlign w:val="bottom"/>
            <w:shd w:val="clear" w:color="auto" w:fill="E9EFEE"/>
          </w:tcPr>
          <w:p>
            <w:pPr>
              <w:spacing w:after="0"/>
              <w:rPr>
                <w:sz w:val="16"/>
                <w:szCs w:val="16"/>
                <w:color w:val="auto"/>
              </w:rPr>
            </w:pPr>
          </w:p>
        </w:tc>
        <w:tc>
          <w:tcPr>
            <w:tcW w:w="160" w:type="dxa"/>
            <w:vAlign w:val="bottom"/>
            <w:shd w:val="clear" w:color="auto" w:fill="E9EFEE"/>
          </w:tcPr>
          <w:p>
            <w:pPr>
              <w:spacing w:after="0"/>
              <w:rPr>
                <w:sz w:val="16"/>
                <w:szCs w:val="16"/>
                <w:color w:val="auto"/>
              </w:rPr>
            </w:pPr>
          </w:p>
        </w:tc>
        <w:tc>
          <w:tcPr>
            <w:tcW w:w="1080" w:type="dxa"/>
            <w:vAlign w:val="bottom"/>
            <w:shd w:val="clear" w:color="auto" w:fill="E9EFEE"/>
          </w:tcPr>
          <w:p>
            <w:pPr>
              <w:spacing w:after="0"/>
              <w:rPr>
                <w:sz w:val="16"/>
                <w:szCs w:val="16"/>
                <w:color w:val="auto"/>
              </w:rPr>
            </w:pPr>
          </w:p>
        </w:tc>
        <w:tc>
          <w:tcPr>
            <w:tcW w:w="160" w:type="dxa"/>
            <w:vAlign w:val="bottom"/>
            <w:shd w:val="clear" w:color="auto" w:fill="E9EFEE"/>
          </w:tcPr>
          <w:p>
            <w:pPr>
              <w:spacing w:after="0"/>
              <w:rPr>
                <w:sz w:val="16"/>
                <w:szCs w:val="16"/>
                <w:color w:val="auto"/>
              </w:rPr>
            </w:pPr>
          </w:p>
        </w:tc>
        <w:tc>
          <w:tcPr>
            <w:tcW w:w="1080" w:type="dxa"/>
            <w:vAlign w:val="bottom"/>
            <w:shd w:val="clear" w:color="auto" w:fill="E9EFEE"/>
          </w:tcPr>
          <w:p>
            <w:pPr>
              <w:spacing w:after="0"/>
              <w:rPr>
                <w:sz w:val="16"/>
                <w:szCs w:val="16"/>
                <w:color w:val="auto"/>
              </w:rPr>
            </w:pPr>
          </w:p>
        </w:tc>
        <w:tc>
          <w:tcPr>
            <w:tcW w:w="160" w:type="dxa"/>
            <w:vAlign w:val="bottom"/>
            <w:shd w:val="clear" w:color="auto" w:fill="E9EFEE"/>
          </w:tcPr>
          <w:p>
            <w:pPr>
              <w:spacing w:after="0"/>
              <w:rPr>
                <w:sz w:val="16"/>
                <w:szCs w:val="16"/>
                <w:color w:val="auto"/>
              </w:rPr>
            </w:pPr>
          </w:p>
        </w:tc>
        <w:tc>
          <w:tcPr>
            <w:tcW w:w="820" w:type="dxa"/>
            <w:vAlign w:val="bottom"/>
            <w:shd w:val="clear" w:color="auto" w:fill="E9EFEE"/>
          </w:tcPr>
          <w:p>
            <w:pPr>
              <w:spacing w:after="0"/>
              <w:rPr>
                <w:sz w:val="16"/>
                <w:szCs w:val="16"/>
                <w:color w:val="auto"/>
              </w:rPr>
            </w:pPr>
          </w:p>
        </w:tc>
        <w:tc>
          <w:tcPr>
            <w:tcW w:w="160" w:type="dxa"/>
            <w:vAlign w:val="bottom"/>
            <w:shd w:val="clear" w:color="auto" w:fill="E9EFEE"/>
          </w:tcPr>
          <w:p>
            <w:pPr>
              <w:spacing w:after="0"/>
              <w:rPr>
                <w:sz w:val="16"/>
                <w:szCs w:val="16"/>
                <w:color w:val="auto"/>
              </w:rPr>
            </w:pPr>
          </w:p>
        </w:tc>
        <w:tc>
          <w:tcPr>
            <w:tcW w:w="920" w:type="dxa"/>
            <w:vAlign w:val="bottom"/>
            <w:shd w:val="clear" w:color="auto" w:fill="E9EFEE"/>
          </w:tcPr>
          <w:p>
            <w:pPr>
              <w:spacing w:after="0"/>
              <w:rPr>
                <w:sz w:val="16"/>
                <w:szCs w:val="16"/>
                <w:color w:val="auto"/>
              </w:rPr>
            </w:pPr>
          </w:p>
        </w:tc>
        <w:tc>
          <w:tcPr>
            <w:tcW w:w="100" w:type="dxa"/>
            <w:vAlign w:val="bottom"/>
            <w:shd w:val="clear" w:color="auto" w:fill="E9EFEE"/>
          </w:tcPr>
          <w:p>
            <w:pPr>
              <w:spacing w:after="0"/>
              <w:rPr>
                <w:sz w:val="16"/>
                <w:szCs w:val="16"/>
                <w:color w:val="auto"/>
              </w:rPr>
            </w:pPr>
          </w:p>
        </w:tc>
      </w:tr>
      <w:tr>
        <w:trPr>
          <w:trHeight w:val="189"/>
        </w:trPr>
        <w:tc>
          <w:tcPr>
            <w:tcW w:w="3760" w:type="dxa"/>
            <w:vAlign w:val="bottom"/>
            <w:shd w:val="clear" w:color="auto" w:fill="E9EFEE"/>
          </w:tcPr>
          <w:p>
            <w:pPr>
              <w:ind w:left="20"/>
              <w:spacing w:after="0" w:line="189" w:lineRule="exact"/>
              <w:rPr>
                <w:sz w:val="20"/>
                <w:szCs w:val="20"/>
                <w:color w:val="auto"/>
              </w:rPr>
            </w:pPr>
            <w:r>
              <w:rPr>
                <w:rFonts w:ascii="Arial" w:cs="Arial" w:eastAsia="Arial" w:hAnsi="Arial"/>
                <w:sz w:val="13"/>
                <w:szCs w:val="13"/>
                <w:color w:val="auto"/>
              </w:rPr>
              <w:t>Cash payments</w:t>
            </w:r>
            <w:r>
              <w:rPr>
                <w:rFonts w:ascii="Arial" w:cs="Arial" w:eastAsia="Arial" w:hAnsi="Arial"/>
                <w:sz w:val="21"/>
                <w:szCs w:val="21"/>
                <w:color w:val="auto"/>
                <w:vertAlign w:val="superscript"/>
              </w:rPr>
              <w:t>(1)</w:t>
            </w:r>
          </w:p>
        </w:tc>
        <w:tc>
          <w:tcPr>
            <w:tcW w:w="80" w:type="dxa"/>
            <w:vAlign w:val="bottom"/>
            <w:shd w:val="clear" w:color="auto" w:fill="E9EFEE"/>
          </w:tcPr>
          <w:p>
            <w:pPr>
              <w:spacing w:after="0"/>
              <w:rPr>
                <w:sz w:val="16"/>
                <w:szCs w:val="16"/>
                <w:color w:val="auto"/>
              </w:rPr>
            </w:pPr>
          </w:p>
        </w:tc>
        <w:tc>
          <w:tcPr>
            <w:tcW w:w="1080" w:type="dxa"/>
            <w:vAlign w:val="bottom"/>
            <w:shd w:val="clear" w:color="auto" w:fill="E9EFEE"/>
          </w:tcPr>
          <w:p>
            <w:pPr>
              <w:jc w:val="right"/>
              <w:spacing w:after="0"/>
              <w:rPr>
                <w:sz w:val="20"/>
                <w:szCs w:val="20"/>
                <w:color w:val="auto"/>
              </w:rPr>
            </w:pPr>
            <w:r>
              <w:rPr>
                <w:rFonts w:ascii="Arial" w:cs="Arial" w:eastAsia="Arial" w:hAnsi="Arial"/>
                <w:sz w:val="15"/>
                <w:szCs w:val="15"/>
                <w:color w:val="auto"/>
              </w:rPr>
              <w:t>693,000</w:t>
            </w:r>
          </w:p>
        </w:tc>
        <w:tc>
          <w:tcPr>
            <w:tcW w:w="160" w:type="dxa"/>
            <w:vAlign w:val="bottom"/>
            <w:shd w:val="clear" w:color="auto" w:fill="E9EFEE"/>
          </w:tcPr>
          <w:p>
            <w:pPr>
              <w:spacing w:after="0"/>
              <w:rPr>
                <w:sz w:val="16"/>
                <w:szCs w:val="16"/>
                <w:color w:val="auto"/>
              </w:rPr>
            </w:pPr>
          </w:p>
        </w:tc>
        <w:tc>
          <w:tcPr>
            <w:tcW w:w="1080" w:type="dxa"/>
            <w:vAlign w:val="bottom"/>
            <w:shd w:val="clear" w:color="auto" w:fill="E9EFEE"/>
          </w:tcPr>
          <w:p>
            <w:pPr>
              <w:ind w:left="920"/>
              <w:spacing w:after="0"/>
              <w:rPr>
                <w:sz w:val="20"/>
                <w:szCs w:val="20"/>
                <w:color w:val="auto"/>
              </w:rPr>
            </w:pPr>
            <w:r>
              <w:rPr>
                <w:rFonts w:ascii="Arial" w:cs="Arial" w:eastAsia="Arial" w:hAnsi="Arial"/>
                <w:sz w:val="15"/>
                <w:szCs w:val="15"/>
                <w:color w:val="auto"/>
                <w:w w:val="93"/>
              </w:rPr>
              <w:t>—</w:t>
            </w:r>
          </w:p>
        </w:tc>
        <w:tc>
          <w:tcPr>
            <w:tcW w:w="1240" w:type="dxa"/>
            <w:vAlign w:val="bottom"/>
            <w:gridSpan w:val="2"/>
            <w:shd w:val="clear" w:color="auto" w:fill="E9EFEE"/>
          </w:tcPr>
          <w:p>
            <w:pPr>
              <w:jc w:val="right"/>
              <w:spacing w:after="0"/>
              <w:rPr>
                <w:sz w:val="20"/>
                <w:szCs w:val="20"/>
                <w:color w:val="auto"/>
              </w:rPr>
            </w:pPr>
            <w:r>
              <w:rPr>
                <w:rFonts w:ascii="Arial" w:cs="Arial" w:eastAsia="Arial" w:hAnsi="Arial"/>
                <w:sz w:val="15"/>
                <w:szCs w:val="15"/>
                <w:color w:val="auto"/>
              </w:rPr>
              <w:t>2,079,000</w:t>
            </w:r>
          </w:p>
        </w:tc>
        <w:tc>
          <w:tcPr>
            <w:tcW w:w="160" w:type="dxa"/>
            <w:vAlign w:val="bottom"/>
            <w:shd w:val="clear" w:color="auto" w:fill="E9EFEE"/>
          </w:tcPr>
          <w:p>
            <w:pPr>
              <w:spacing w:after="0"/>
              <w:rPr>
                <w:sz w:val="16"/>
                <w:szCs w:val="16"/>
                <w:color w:val="auto"/>
              </w:rPr>
            </w:pPr>
          </w:p>
        </w:tc>
        <w:tc>
          <w:tcPr>
            <w:tcW w:w="820" w:type="dxa"/>
            <w:vAlign w:val="bottom"/>
            <w:shd w:val="clear" w:color="auto" w:fill="E9EFEE"/>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E9EFEE"/>
          </w:tcPr>
          <w:p>
            <w:pPr>
              <w:spacing w:after="0"/>
              <w:rPr>
                <w:sz w:val="16"/>
                <w:szCs w:val="16"/>
                <w:color w:val="auto"/>
              </w:rPr>
            </w:pPr>
          </w:p>
        </w:tc>
        <w:tc>
          <w:tcPr>
            <w:tcW w:w="1020" w:type="dxa"/>
            <w:vAlign w:val="bottom"/>
            <w:gridSpan w:val="2"/>
            <w:shd w:val="clear" w:color="auto" w:fill="E9EFEE"/>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3760" w:type="dxa"/>
            <w:vAlign w:val="bottom"/>
            <w:shd w:val="clear" w:color="auto" w:fill="E9EFEE"/>
          </w:tcPr>
          <w:p>
            <w:pPr>
              <w:ind w:left="20"/>
              <w:spacing w:after="0" w:line="189" w:lineRule="exact"/>
              <w:rPr>
                <w:sz w:val="20"/>
                <w:szCs w:val="20"/>
                <w:color w:val="auto"/>
              </w:rPr>
            </w:pPr>
            <w:r>
              <w:rPr>
                <w:rFonts w:ascii="Arial" w:cs="Arial" w:eastAsia="Arial" w:hAnsi="Arial"/>
                <w:sz w:val="13"/>
                <w:szCs w:val="13"/>
                <w:color w:val="auto"/>
              </w:rPr>
              <w:t>Value of restricted stock units</w:t>
            </w:r>
            <w:r>
              <w:rPr>
                <w:rFonts w:ascii="Arial" w:cs="Arial" w:eastAsia="Arial" w:hAnsi="Arial"/>
                <w:sz w:val="21"/>
                <w:szCs w:val="21"/>
                <w:color w:val="auto"/>
                <w:vertAlign w:val="superscript"/>
              </w:rPr>
              <w:t>(2)</w:t>
            </w:r>
          </w:p>
        </w:tc>
        <w:tc>
          <w:tcPr>
            <w:tcW w:w="80" w:type="dxa"/>
            <w:vAlign w:val="bottom"/>
            <w:shd w:val="clear" w:color="auto" w:fill="E9EFEE"/>
          </w:tcPr>
          <w:p>
            <w:pPr>
              <w:spacing w:after="0"/>
              <w:rPr>
                <w:sz w:val="16"/>
                <w:szCs w:val="16"/>
                <w:color w:val="auto"/>
              </w:rPr>
            </w:pPr>
          </w:p>
        </w:tc>
        <w:tc>
          <w:tcPr>
            <w:tcW w:w="1080" w:type="dxa"/>
            <w:vAlign w:val="bottom"/>
            <w:shd w:val="clear" w:color="auto" w:fill="E9EFEE"/>
          </w:tcPr>
          <w:p>
            <w:pPr>
              <w:jc w:val="right"/>
              <w:spacing w:after="0"/>
              <w:rPr>
                <w:sz w:val="20"/>
                <w:szCs w:val="20"/>
                <w:color w:val="auto"/>
              </w:rPr>
            </w:pPr>
            <w:r>
              <w:rPr>
                <w:rFonts w:ascii="Arial" w:cs="Arial" w:eastAsia="Arial" w:hAnsi="Arial"/>
                <w:sz w:val="15"/>
                <w:szCs w:val="15"/>
                <w:color w:val="auto"/>
              </w:rPr>
              <w:t>1,422,164</w:t>
            </w:r>
          </w:p>
        </w:tc>
        <w:tc>
          <w:tcPr>
            <w:tcW w:w="160" w:type="dxa"/>
            <w:vAlign w:val="bottom"/>
            <w:shd w:val="clear" w:color="auto" w:fill="E9EFEE"/>
          </w:tcPr>
          <w:p>
            <w:pPr>
              <w:spacing w:after="0"/>
              <w:rPr>
                <w:sz w:val="16"/>
                <w:szCs w:val="16"/>
                <w:color w:val="auto"/>
              </w:rPr>
            </w:pPr>
          </w:p>
        </w:tc>
        <w:tc>
          <w:tcPr>
            <w:tcW w:w="1080" w:type="dxa"/>
            <w:vAlign w:val="bottom"/>
            <w:shd w:val="clear" w:color="auto" w:fill="E9EFEE"/>
          </w:tcPr>
          <w:p>
            <w:pPr>
              <w:ind w:left="920"/>
              <w:spacing w:after="0"/>
              <w:rPr>
                <w:sz w:val="20"/>
                <w:szCs w:val="20"/>
                <w:color w:val="auto"/>
              </w:rPr>
            </w:pPr>
            <w:r>
              <w:rPr>
                <w:rFonts w:ascii="Arial" w:cs="Arial" w:eastAsia="Arial" w:hAnsi="Arial"/>
                <w:sz w:val="15"/>
                <w:szCs w:val="15"/>
                <w:color w:val="auto"/>
                <w:w w:val="93"/>
              </w:rPr>
              <w:t>—</w:t>
            </w:r>
          </w:p>
        </w:tc>
        <w:tc>
          <w:tcPr>
            <w:tcW w:w="1240" w:type="dxa"/>
            <w:vAlign w:val="bottom"/>
            <w:gridSpan w:val="2"/>
            <w:shd w:val="clear" w:color="auto" w:fill="E9EFEE"/>
          </w:tcPr>
          <w:p>
            <w:pPr>
              <w:jc w:val="right"/>
              <w:spacing w:after="0"/>
              <w:rPr>
                <w:sz w:val="20"/>
                <w:szCs w:val="20"/>
                <w:color w:val="auto"/>
              </w:rPr>
            </w:pPr>
            <w:r>
              <w:rPr>
                <w:rFonts w:ascii="Arial" w:cs="Arial" w:eastAsia="Arial" w:hAnsi="Arial"/>
                <w:sz w:val="15"/>
                <w:szCs w:val="15"/>
                <w:color w:val="auto"/>
              </w:rPr>
              <w:t>2,368,390</w:t>
            </w:r>
          </w:p>
        </w:tc>
        <w:tc>
          <w:tcPr>
            <w:tcW w:w="980" w:type="dxa"/>
            <w:vAlign w:val="bottom"/>
            <w:gridSpan w:val="2"/>
            <w:shd w:val="clear" w:color="auto" w:fill="E9EFEE"/>
          </w:tcPr>
          <w:p>
            <w:pPr>
              <w:jc w:val="right"/>
              <w:spacing w:after="0"/>
              <w:rPr>
                <w:sz w:val="20"/>
                <w:szCs w:val="20"/>
                <w:color w:val="auto"/>
              </w:rPr>
            </w:pPr>
            <w:r>
              <w:rPr>
                <w:rFonts w:ascii="Arial" w:cs="Arial" w:eastAsia="Arial" w:hAnsi="Arial"/>
                <w:sz w:val="15"/>
                <w:szCs w:val="15"/>
                <w:color w:val="auto"/>
              </w:rPr>
              <w:t>2,368,390</w:t>
            </w:r>
          </w:p>
        </w:tc>
        <w:tc>
          <w:tcPr>
            <w:tcW w:w="1080" w:type="dxa"/>
            <w:vAlign w:val="bottom"/>
            <w:gridSpan w:val="2"/>
            <w:shd w:val="clear" w:color="auto" w:fill="E9EFEE"/>
          </w:tcPr>
          <w:p>
            <w:pPr>
              <w:jc w:val="right"/>
              <w:spacing w:after="0"/>
              <w:rPr>
                <w:sz w:val="20"/>
                <w:szCs w:val="20"/>
                <w:color w:val="auto"/>
              </w:rPr>
            </w:pPr>
            <w:r>
              <w:rPr>
                <w:rFonts w:ascii="Arial" w:cs="Arial" w:eastAsia="Arial" w:hAnsi="Arial"/>
                <w:sz w:val="15"/>
                <w:szCs w:val="15"/>
                <w:color w:val="auto"/>
              </w:rPr>
              <w:t>2,368,390</w:t>
            </w:r>
          </w:p>
        </w:tc>
        <w:tc>
          <w:tcPr>
            <w:tcW w:w="100" w:type="dxa"/>
            <w:vAlign w:val="bottom"/>
            <w:shd w:val="clear" w:color="auto" w:fill="E9EFEE"/>
          </w:tcPr>
          <w:p>
            <w:pPr>
              <w:spacing w:after="0"/>
              <w:rPr>
                <w:sz w:val="16"/>
                <w:szCs w:val="16"/>
                <w:color w:val="auto"/>
              </w:rPr>
            </w:pPr>
          </w:p>
        </w:tc>
      </w:tr>
      <w:tr>
        <w:trPr>
          <w:trHeight w:val="189"/>
        </w:trPr>
        <w:tc>
          <w:tcPr>
            <w:tcW w:w="3760" w:type="dxa"/>
            <w:vAlign w:val="bottom"/>
            <w:shd w:val="clear" w:color="auto" w:fill="E9EFEE"/>
          </w:tcPr>
          <w:p>
            <w:pPr>
              <w:ind w:left="20"/>
              <w:spacing w:after="0" w:line="189" w:lineRule="exact"/>
              <w:rPr>
                <w:sz w:val="20"/>
                <w:szCs w:val="20"/>
                <w:color w:val="auto"/>
              </w:rPr>
            </w:pPr>
            <w:r>
              <w:rPr>
                <w:rFonts w:ascii="Arial" w:cs="Arial" w:eastAsia="Arial" w:hAnsi="Arial"/>
                <w:sz w:val="13"/>
                <w:szCs w:val="13"/>
                <w:color w:val="auto"/>
              </w:rPr>
              <w:t>Value of stock options</w:t>
            </w:r>
            <w:r>
              <w:rPr>
                <w:rFonts w:ascii="Arial" w:cs="Arial" w:eastAsia="Arial" w:hAnsi="Arial"/>
                <w:sz w:val="21"/>
                <w:szCs w:val="21"/>
                <w:color w:val="auto"/>
                <w:vertAlign w:val="superscript"/>
              </w:rPr>
              <w:t>(3)</w:t>
            </w:r>
          </w:p>
        </w:tc>
        <w:tc>
          <w:tcPr>
            <w:tcW w:w="80" w:type="dxa"/>
            <w:vAlign w:val="bottom"/>
            <w:shd w:val="clear" w:color="auto" w:fill="E9EFEE"/>
          </w:tcPr>
          <w:p>
            <w:pPr>
              <w:spacing w:after="0"/>
              <w:rPr>
                <w:sz w:val="16"/>
                <w:szCs w:val="16"/>
                <w:color w:val="auto"/>
              </w:rPr>
            </w:pPr>
          </w:p>
        </w:tc>
        <w:tc>
          <w:tcPr>
            <w:tcW w:w="1080" w:type="dxa"/>
            <w:vAlign w:val="bottom"/>
            <w:shd w:val="clear" w:color="auto" w:fill="E9EFEE"/>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E9EFEE"/>
          </w:tcPr>
          <w:p>
            <w:pPr>
              <w:spacing w:after="0"/>
              <w:rPr>
                <w:sz w:val="16"/>
                <w:szCs w:val="16"/>
                <w:color w:val="auto"/>
              </w:rPr>
            </w:pPr>
          </w:p>
        </w:tc>
        <w:tc>
          <w:tcPr>
            <w:tcW w:w="1080" w:type="dxa"/>
            <w:vAlign w:val="bottom"/>
            <w:shd w:val="clear" w:color="auto" w:fill="E9EFEE"/>
          </w:tcPr>
          <w:p>
            <w:pPr>
              <w:ind w:left="920"/>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E9EFEE"/>
          </w:tcPr>
          <w:p>
            <w:pPr>
              <w:spacing w:after="0"/>
              <w:rPr>
                <w:sz w:val="16"/>
                <w:szCs w:val="16"/>
                <w:color w:val="auto"/>
              </w:rPr>
            </w:pPr>
          </w:p>
        </w:tc>
        <w:tc>
          <w:tcPr>
            <w:tcW w:w="1080" w:type="dxa"/>
            <w:vAlign w:val="bottom"/>
            <w:shd w:val="clear" w:color="auto" w:fill="E9EFEE"/>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E9EFEE"/>
          </w:tcPr>
          <w:p>
            <w:pPr>
              <w:spacing w:after="0"/>
              <w:rPr>
                <w:sz w:val="16"/>
                <w:szCs w:val="16"/>
                <w:color w:val="auto"/>
              </w:rPr>
            </w:pPr>
          </w:p>
        </w:tc>
        <w:tc>
          <w:tcPr>
            <w:tcW w:w="820" w:type="dxa"/>
            <w:vAlign w:val="bottom"/>
            <w:shd w:val="clear" w:color="auto" w:fill="E9EFEE"/>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E9EFEE"/>
          </w:tcPr>
          <w:p>
            <w:pPr>
              <w:spacing w:after="0"/>
              <w:rPr>
                <w:sz w:val="16"/>
                <w:szCs w:val="16"/>
                <w:color w:val="auto"/>
              </w:rPr>
            </w:pPr>
          </w:p>
        </w:tc>
        <w:tc>
          <w:tcPr>
            <w:tcW w:w="1020" w:type="dxa"/>
            <w:vAlign w:val="bottom"/>
            <w:gridSpan w:val="2"/>
            <w:shd w:val="clear" w:color="auto" w:fill="E9EFEE"/>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3760" w:type="dxa"/>
            <w:vAlign w:val="bottom"/>
            <w:shd w:val="clear" w:color="auto" w:fill="E9EFEE"/>
          </w:tcPr>
          <w:p>
            <w:pPr>
              <w:ind w:left="20"/>
              <w:spacing w:after="0"/>
              <w:rPr>
                <w:sz w:val="20"/>
                <w:szCs w:val="20"/>
                <w:color w:val="auto"/>
              </w:rPr>
            </w:pPr>
            <w:r>
              <w:rPr>
                <w:rFonts w:ascii="Arial" w:cs="Arial" w:eastAsia="Arial" w:hAnsi="Arial"/>
                <w:sz w:val="15"/>
                <w:szCs w:val="15"/>
                <w:color w:val="auto"/>
              </w:rPr>
              <w:t>Outplacement services</w:t>
            </w:r>
          </w:p>
        </w:tc>
        <w:tc>
          <w:tcPr>
            <w:tcW w:w="80" w:type="dxa"/>
            <w:vAlign w:val="bottom"/>
            <w:shd w:val="clear" w:color="auto" w:fill="E9EFEE"/>
          </w:tcPr>
          <w:p>
            <w:pPr>
              <w:spacing w:after="0"/>
              <w:rPr>
                <w:sz w:val="16"/>
                <w:szCs w:val="16"/>
                <w:color w:val="auto"/>
              </w:rPr>
            </w:pPr>
          </w:p>
        </w:tc>
        <w:tc>
          <w:tcPr>
            <w:tcW w:w="1080" w:type="dxa"/>
            <w:vAlign w:val="bottom"/>
            <w:shd w:val="clear" w:color="auto" w:fill="E9EFEE"/>
          </w:tcPr>
          <w:p>
            <w:pPr>
              <w:jc w:val="right"/>
              <w:spacing w:after="0"/>
              <w:rPr>
                <w:sz w:val="20"/>
                <w:szCs w:val="20"/>
                <w:color w:val="auto"/>
              </w:rPr>
            </w:pPr>
            <w:r>
              <w:rPr>
                <w:rFonts w:ascii="Arial" w:cs="Arial" w:eastAsia="Arial" w:hAnsi="Arial"/>
                <w:sz w:val="15"/>
                <w:szCs w:val="15"/>
                <w:color w:val="auto"/>
              </w:rPr>
              <w:t>25,000</w:t>
            </w:r>
          </w:p>
        </w:tc>
        <w:tc>
          <w:tcPr>
            <w:tcW w:w="160" w:type="dxa"/>
            <w:vAlign w:val="bottom"/>
            <w:shd w:val="clear" w:color="auto" w:fill="E9EFEE"/>
          </w:tcPr>
          <w:p>
            <w:pPr>
              <w:spacing w:after="0"/>
              <w:rPr>
                <w:sz w:val="16"/>
                <w:szCs w:val="16"/>
                <w:color w:val="auto"/>
              </w:rPr>
            </w:pPr>
          </w:p>
        </w:tc>
        <w:tc>
          <w:tcPr>
            <w:tcW w:w="1080" w:type="dxa"/>
            <w:vAlign w:val="bottom"/>
            <w:shd w:val="clear" w:color="auto" w:fill="E9EFEE"/>
          </w:tcPr>
          <w:p>
            <w:pPr>
              <w:ind w:left="920"/>
              <w:spacing w:after="0"/>
              <w:rPr>
                <w:sz w:val="20"/>
                <w:szCs w:val="20"/>
                <w:color w:val="auto"/>
              </w:rPr>
            </w:pPr>
            <w:r>
              <w:rPr>
                <w:rFonts w:ascii="Arial" w:cs="Arial" w:eastAsia="Arial" w:hAnsi="Arial"/>
                <w:sz w:val="15"/>
                <w:szCs w:val="15"/>
                <w:color w:val="auto"/>
                <w:w w:val="93"/>
              </w:rPr>
              <w:t>—</w:t>
            </w:r>
          </w:p>
        </w:tc>
        <w:tc>
          <w:tcPr>
            <w:tcW w:w="1240" w:type="dxa"/>
            <w:vAlign w:val="bottom"/>
            <w:gridSpan w:val="2"/>
            <w:shd w:val="clear" w:color="auto" w:fill="E9EFEE"/>
          </w:tcPr>
          <w:p>
            <w:pPr>
              <w:jc w:val="right"/>
              <w:spacing w:after="0"/>
              <w:rPr>
                <w:sz w:val="20"/>
                <w:szCs w:val="20"/>
                <w:color w:val="auto"/>
              </w:rPr>
            </w:pPr>
            <w:r>
              <w:rPr>
                <w:rFonts w:ascii="Arial" w:cs="Arial" w:eastAsia="Arial" w:hAnsi="Arial"/>
                <w:sz w:val="15"/>
                <w:szCs w:val="15"/>
                <w:color w:val="auto"/>
              </w:rPr>
              <w:t>25,000</w:t>
            </w:r>
          </w:p>
        </w:tc>
        <w:tc>
          <w:tcPr>
            <w:tcW w:w="160" w:type="dxa"/>
            <w:vAlign w:val="bottom"/>
            <w:shd w:val="clear" w:color="auto" w:fill="E9EFEE"/>
          </w:tcPr>
          <w:p>
            <w:pPr>
              <w:spacing w:after="0"/>
              <w:rPr>
                <w:sz w:val="16"/>
                <w:szCs w:val="16"/>
                <w:color w:val="auto"/>
              </w:rPr>
            </w:pPr>
          </w:p>
        </w:tc>
        <w:tc>
          <w:tcPr>
            <w:tcW w:w="820" w:type="dxa"/>
            <w:vAlign w:val="bottom"/>
            <w:shd w:val="clear" w:color="auto" w:fill="E9EFEE"/>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E9EFEE"/>
          </w:tcPr>
          <w:p>
            <w:pPr>
              <w:spacing w:after="0"/>
              <w:rPr>
                <w:sz w:val="16"/>
                <w:szCs w:val="16"/>
                <w:color w:val="auto"/>
              </w:rPr>
            </w:pPr>
          </w:p>
        </w:tc>
        <w:tc>
          <w:tcPr>
            <w:tcW w:w="1020" w:type="dxa"/>
            <w:vAlign w:val="bottom"/>
            <w:gridSpan w:val="2"/>
            <w:shd w:val="clear" w:color="auto" w:fill="E9EFEE"/>
          </w:tcPr>
          <w:p>
            <w:pPr>
              <w:jc w:val="right"/>
              <w:ind w:right="120"/>
              <w:spacing w:after="0"/>
              <w:rPr>
                <w:sz w:val="20"/>
                <w:szCs w:val="20"/>
                <w:color w:val="auto"/>
              </w:rPr>
            </w:pPr>
            <w:r>
              <w:rPr>
                <w:rFonts w:ascii="Arial" w:cs="Arial" w:eastAsia="Arial" w:hAnsi="Arial"/>
                <w:sz w:val="15"/>
                <w:szCs w:val="15"/>
                <w:color w:val="auto"/>
              </w:rPr>
              <w:t>—</w:t>
            </w:r>
          </w:p>
        </w:tc>
      </w:tr>
      <w:tr>
        <w:trPr>
          <w:trHeight w:val="176"/>
        </w:trPr>
        <w:tc>
          <w:tcPr>
            <w:tcW w:w="3760" w:type="dxa"/>
            <w:vAlign w:val="bottom"/>
            <w:tcBorders>
              <w:bottom w:val="single" w:sz="8" w:color="E9EFEE"/>
            </w:tcBorders>
            <w:shd w:val="clear" w:color="auto" w:fill="E9EFEE"/>
          </w:tcPr>
          <w:p>
            <w:pPr>
              <w:ind w:left="20"/>
              <w:spacing w:after="0"/>
              <w:rPr>
                <w:sz w:val="20"/>
                <w:szCs w:val="20"/>
                <w:color w:val="auto"/>
              </w:rPr>
            </w:pPr>
            <w:r>
              <w:rPr>
                <w:rFonts w:ascii="Arial" w:cs="Arial" w:eastAsia="Arial" w:hAnsi="Arial"/>
                <w:sz w:val="15"/>
                <w:szCs w:val="15"/>
                <w:color w:val="auto"/>
              </w:rPr>
              <w:t>Medical benefits</w:t>
            </w:r>
          </w:p>
        </w:tc>
        <w:tc>
          <w:tcPr>
            <w:tcW w:w="80" w:type="dxa"/>
            <w:vAlign w:val="bottom"/>
            <w:tcBorders>
              <w:bottom w:val="single" w:sz="8" w:color="E9EFEE"/>
            </w:tcBorders>
            <w:shd w:val="clear" w:color="auto" w:fill="E9EFEE"/>
          </w:tcPr>
          <w:p>
            <w:pPr>
              <w:spacing w:after="0"/>
              <w:rPr>
                <w:sz w:val="15"/>
                <w:szCs w:val="15"/>
                <w:color w:val="auto"/>
              </w:rPr>
            </w:pPr>
          </w:p>
        </w:tc>
        <w:tc>
          <w:tcPr>
            <w:tcW w:w="1080" w:type="dxa"/>
            <w:vAlign w:val="bottom"/>
            <w:tcBorders>
              <w:bottom w:val="single" w:sz="8" w:color="auto"/>
            </w:tcBorders>
            <w:shd w:val="clear" w:color="auto" w:fill="E9EFEE"/>
          </w:tcPr>
          <w:p>
            <w:pPr>
              <w:jc w:val="right"/>
              <w:spacing w:after="0"/>
              <w:rPr>
                <w:sz w:val="20"/>
                <w:szCs w:val="20"/>
                <w:color w:val="auto"/>
              </w:rPr>
            </w:pPr>
            <w:r>
              <w:rPr>
                <w:rFonts w:ascii="Arial" w:cs="Arial" w:eastAsia="Arial" w:hAnsi="Arial"/>
                <w:sz w:val="15"/>
                <w:szCs w:val="15"/>
                <w:color w:val="auto"/>
              </w:rPr>
              <w:t>16,700</w:t>
            </w:r>
          </w:p>
        </w:tc>
        <w:tc>
          <w:tcPr>
            <w:tcW w:w="160" w:type="dxa"/>
            <w:vAlign w:val="bottom"/>
            <w:tcBorders>
              <w:bottom w:val="single" w:sz="8" w:color="E9EFEE"/>
            </w:tcBorders>
            <w:shd w:val="clear" w:color="auto" w:fill="E9EFEE"/>
          </w:tcPr>
          <w:p>
            <w:pPr>
              <w:spacing w:after="0"/>
              <w:rPr>
                <w:sz w:val="15"/>
                <w:szCs w:val="15"/>
                <w:color w:val="auto"/>
              </w:rPr>
            </w:pPr>
          </w:p>
        </w:tc>
        <w:tc>
          <w:tcPr>
            <w:tcW w:w="1080" w:type="dxa"/>
            <w:vAlign w:val="bottom"/>
            <w:tcBorders>
              <w:bottom w:val="single" w:sz="8" w:color="auto"/>
            </w:tcBorders>
            <w:shd w:val="clear" w:color="auto" w:fill="E9EFEE"/>
          </w:tcPr>
          <w:p>
            <w:pPr>
              <w:ind w:left="920"/>
              <w:spacing w:after="0"/>
              <w:rPr>
                <w:sz w:val="20"/>
                <w:szCs w:val="20"/>
                <w:color w:val="auto"/>
              </w:rPr>
            </w:pPr>
            <w:r>
              <w:rPr>
                <w:rFonts w:ascii="Arial" w:cs="Arial" w:eastAsia="Arial" w:hAnsi="Arial"/>
                <w:sz w:val="15"/>
                <w:szCs w:val="15"/>
                <w:color w:val="auto"/>
                <w:w w:val="93"/>
              </w:rPr>
              <w:t>—</w:t>
            </w:r>
          </w:p>
        </w:tc>
        <w:tc>
          <w:tcPr>
            <w:tcW w:w="160" w:type="dxa"/>
            <w:vAlign w:val="bottom"/>
            <w:tcBorders>
              <w:bottom w:val="single" w:sz="8" w:color="E9EFEE"/>
            </w:tcBorders>
            <w:shd w:val="clear" w:color="auto" w:fill="E9EFEE"/>
          </w:tcPr>
          <w:p>
            <w:pPr>
              <w:spacing w:after="0"/>
              <w:rPr>
                <w:sz w:val="15"/>
                <w:szCs w:val="15"/>
                <w:color w:val="auto"/>
              </w:rPr>
            </w:pPr>
          </w:p>
        </w:tc>
        <w:tc>
          <w:tcPr>
            <w:tcW w:w="1080" w:type="dxa"/>
            <w:vAlign w:val="bottom"/>
            <w:tcBorders>
              <w:bottom w:val="single" w:sz="8" w:color="auto"/>
            </w:tcBorders>
            <w:shd w:val="clear" w:color="auto" w:fill="E9EFEE"/>
          </w:tcPr>
          <w:p>
            <w:pPr>
              <w:jc w:val="right"/>
              <w:spacing w:after="0"/>
              <w:rPr>
                <w:sz w:val="20"/>
                <w:szCs w:val="20"/>
                <w:color w:val="auto"/>
              </w:rPr>
            </w:pPr>
            <w:r>
              <w:rPr>
                <w:rFonts w:ascii="Arial" w:cs="Arial" w:eastAsia="Arial" w:hAnsi="Arial"/>
                <w:sz w:val="15"/>
                <w:szCs w:val="15"/>
                <w:color w:val="auto"/>
              </w:rPr>
              <w:t>50,000</w:t>
            </w:r>
          </w:p>
        </w:tc>
        <w:tc>
          <w:tcPr>
            <w:tcW w:w="160" w:type="dxa"/>
            <w:vAlign w:val="bottom"/>
            <w:tcBorders>
              <w:bottom w:val="single" w:sz="8" w:color="E9EFEE"/>
            </w:tcBorders>
            <w:shd w:val="clear" w:color="auto" w:fill="E9EFEE"/>
          </w:tcPr>
          <w:p>
            <w:pPr>
              <w:spacing w:after="0"/>
              <w:rPr>
                <w:sz w:val="15"/>
                <w:szCs w:val="15"/>
                <w:color w:val="auto"/>
              </w:rPr>
            </w:pPr>
          </w:p>
        </w:tc>
        <w:tc>
          <w:tcPr>
            <w:tcW w:w="820" w:type="dxa"/>
            <w:vAlign w:val="bottom"/>
            <w:tcBorders>
              <w:bottom w:val="single" w:sz="8" w:color="auto"/>
            </w:tcBorders>
            <w:shd w:val="clear" w:color="auto" w:fill="E9EFEE"/>
          </w:tcPr>
          <w:p>
            <w:pPr>
              <w:jc w:val="right"/>
              <w:spacing w:after="0"/>
              <w:rPr>
                <w:sz w:val="20"/>
                <w:szCs w:val="20"/>
                <w:color w:val="auto"/>
              </w:rPr>
            </w:pPr>
            <w:r>
              <w:rPr>
                <w:rFonts w:ascii="Arial" w:cs="Arial" w:eastAsia="Arial" w:hAnsi="Arial"/>
                <w:sz w:val="15"/>
                <w:szCs w:val="15"/>
                <w:color w:val="auto"/>
              </w:rPr>
              <w:t>50,000</w:t>
            </w:r>
          </w:p>
        </w:tc>
        <w:tc>
          <w:tcPr>
            <w:tcW w:w="160" w:type="dxa"/>
            <w:vAlign w:val="bottom"/>
            <w:tcBorders>
              <w:bottom w:val="single" w:sz="8" w:color="E9EFEE"/>
            </w:tcBorders>
            <w:shd w:val="clear" w:color="auto" w:fill="E9EFEE"/>
          </w:tcPr>
          <w:p>
            <w:pPr>
              <w:spacing w:after="0"/>
              <w:rPr>
                <w:sz w:val="15"/>
                <w:szCs w:val="15"/>
                <w:color w:val="auto"/>
              </w:rPr>
            </w:pPr>
          </w:p>
        </w:tc>
        <w:tc>
          <w:tcPr>
            <w:tcW w:w="920" w:type="dxa"/>
            <w:vAlign w:val="bottom"/>
            <w:tcBorders>
              <w:bottom w:val="single" w:sz="8" w:color="auto"/>
            </w:tcBorders>
            <w:shd w:val="clear" w:color="auto" w:fill="E9EFEE"/>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E9EFEE"/>
            </w:tcBorders>
            <w:shd w:val="clear" w:color="auto" w:fill="E9EFEE"/>
          </w:tcPr>
          <w:p>
            <w:pPr>
              <w:spacing w:after="0"/>
              <w:rPr>
                <w:sz w:val="15"/>
                <w:szCs w:val="15"/>
                <w:color w:val="auto"/>
              </w:rPr>
            </w:pPr>
          </w:p>
        </w:tc>
      </w:tr>
      <w:tr>
        <w:trPr>
          <w:trHeight w:val="230"/>
        </w:trPr>
        <w:tc>
          <w:tcPr>
            <w:tcW w:w="3760" w:type="dxa"/>
            <w:vAlign w:val="bottom"/>
            <w:shd w:val="clear" w:color="auto" w:fill="E9EFEE"/>
          </w:tcPr>
          <w:p>
            <w:pPr>
              <w:ind w:left="20"/>
              <w:spacing w:after="0"/>
              <w:rPr>
                <w:sz w:val="20"/>
                <w:szCs w:val="20"/>
                <w:color w:val="auto"/>
              </w:rPr>
            </w:pPr>
            <w:r>
              <w:rPr>
                <w:rFonts w:ascii="Arial" w:cs="Arial" w:eastAsia="Arial" w:hAnsi="Arial"/>
                <w:sz w:val="15"/>
                <w:szCs w:val="15"/>
                <w:i w:val="1"/>
                <w:iCs w:val="1"/>
                <w:color w:val="auto"/>
              </w:rPr>
              <w:t>Total</w:t>
            </w:r>
          </w:p>
        </w:tc>
        <w:tc>
          <w:tcPr>
            <w:tcW w:w="80" w:type="dxa"/>
            <w:vAlign w:val="bottom"/>
            <w:shd w:val="clear" w:color="auto" w:fill="E9EFEE"/>
          </w:tcPr>
          <w:p>
            <w:pPr>
              <w:spacing w:after="0"/>
              <w:rPr>
                <w:sz w:val="20"/>
                <w:szCs w:val="20"/>
                <w:color w:val="auto"/>
              </w:rPr>
            </w:pPr>
          </w:p>
        </w:tc>
        <w:tc>
          <w:tcPr>
            <w:tcW w:w="1080" w:type="dxa"/>
            <w:vAlign w:val="bottom"/>
            <w:shd w:val="clear" w:color="auto" w:fill="E9EFEE"/>
          </w:tcPr>
          <w:p>
            <w:pPr>
              <w:jc w:val="right"/>
              <w:spacing w:after="0"/>
              <w:rPr>
                <w:sz w:val="20"/>
                <w:szCs w:val="20"/>
                <w:color w:val="auto"/>
              </w:rPr>
            </w:pPr>
            <w:r>
              <w:rPr>
                <w:rFonts w:ascii="Arial" w:cs="Arial" w:eastAsia="Arial" w:hAnsi="Arial"/>
                <w:sz w:val="15"/>
                <w:szCs w:val="15"/>
                <w:color w:val="auto"/>
              </w:rPr>
              <w:t>2,156,864</w:t>
            </w:r>
          </w:p>
        </w:tc>
        <w:tc>
          <w:tcPr>
            <w:tcW w:w="160" w:type="dxa"/>
            <w:vAlign w:val="bottom"/>
            <w:shd w:val="clear" w:color="auto" w:fill="E9EFEE"/>
          </w:tcPr>
          <w:p>
            <w:pPr>
              <w:spacing w:after="0"/>
              <w:rPr>
                <w:sz w:val="20"/>
                <w:szCs w:val="20"/>
                <w:color w:val="auto"/>
              </w:rPr>
            </w:pPr>
          </w:p>
        </w:tc>
        <w:tc>
          <w:tcPr>
            <w:tcW w:w="1080" w:type="dxa"/>
            <w:vAlign w:val="bottom"/>
            <w:shd w:val="clear" w:color="auto" w:fill="E9EFEE"/>
          </w:tcPr>
          <w:p>
            <w:pPr>
              <w:ind w:left="920"/>
              <w:spacing w:after="0"/>
              <w:rPr>
                <w:sz w:val="20"/>
                <w:szCs w:val="20"/>
                <w:color w:val="auto"/>
              </w:rPr>
            </w:pPr>
            <w:r>
              <w:rPr>
                <w:rFonts w:ascii="Arial" w:cs="Arial" w:eastAsia="Arial" w:hAnsi="Arial"/>
                <w:sz w:val="15"/>
                <w:szCs w:val="15"/>
                <w:color w:val="auto"/>
                <w:w w:val="93"/>
              </w:rPr>
              <w:t>—</w:t>
            </w:r>
          </w:p>
        </w:tc>
        <w:tc>
          <w:tcPr>
            <w:tcW w:w="1240" w:type="dxa"/>
            <w:vAlign w:val="bottom"/>
            <w:gridSpan w:val="2"/>
            <w:shd w:val="clear" w:color="auto" w:fill="E9EFEE"/>
          </w:tcPr>
          <w:p>
            <w:pPr>
              <w:jc w:val="right"/>
              <w:spacing w:after="0"/>
              <w:rPr>
                <w:sz w:val="20"/>
                <w:szCs w:val="20"/>
                <w:color w:val="auto"/>
              </w:rPr>
            </w:pPr>
            <w:r>
              <w:rPr>
                <w:rFonts w:ascii="Arial" w:cs="Arial" w:eastAsia="Arial" w:hAnsi="Arial"/>
                <w:sz w:val="15"/>
                <w:szCs w:val="15"/>
                <w:color w:val="auto"/>
              </w:rPr>
              <w:t>4,522,390</w:t>
            </w:r>
          </w:p>
        </w:tc>
        <w:tc>
          <w:tcPr>
            <w:tcW w:w="980" w:type="dxa"/>
            <w:vAlign w:val="bottom"/>
            <w:gridSpan w:val="2"/>
            <w:shd w:val="clear" w:color="auto" w:fill="E9EFEE"/>
          </w:tcPr>
          <w:p>
            <w:pPr>
              <w:jc w:val="right"/>
              <w:spacing w:after="0"/>
              <w:rPr>
                <w:sz w:val="20"/>
                <w:szCs w:val="20"/>
                <w:color w:val="auto"/>
              </w:rPr>
            </w:pPr>
            <w:r>
              <w:rPr>
                <w:rFonts w:ascii="Arial" w:cs="Arial" w:eastAsia="Arial" w:hAnsi="Arial"/>
                <w:sz w:val="15"/>
                <w:szCs w:val="15"/>
                <w:color w:val="auto"/>
              </w:rPr>
              <w:t>2,418,390</w:t>
            </w:r>
          </w:p>
        </w:tc>
        <w:tc>
          <w:tcPr>
            <w:tcW w:w="1080" w:type="dxa"/>
            <w:vAlign w:val="bottom"/>
            <w:gridSpan w:val="2"/>
            <w:shd w:val="clear" w:color="auto" w:fill="E9EFEE"/>
          </w:tcPr>
          <w:p>
            <w:pPr>
              <w:jc w:val="right"/>
              <w:spacing w:after="0"/>
              <w:rPr>
                <w:sz w:val="20"/>
                <w:szCs w:val="20"/>
                <w:color w:val="auto"/>
              </w:rPr>
            </w:pPr>
            <w:r>
              <w:rPr>
                <w:rFonts w:ascii="Arial" w:cs="Arial" w:eastAsia="Arial" w:hAnsi="Arial"/>
                <w:sz w:val="15"/>
                <w:szCs w:val="15"/>
                <w:color w:val="auto"/>
              </w:rPr>
              <w:t>2,368,390</w:t>
            </w:r>
          </w:p>
        </w:tc>
        <w:tc>
          <w:tcPr>
            <w:tcW w:w="100" w:type="dxa"/>
            <w:vAlign w:val="bottom"/>
            <w:shd w:val="clear" w:color="auto" w:fill="E9EFEE"/>
          </w:tcPr>
          <w:p>
            <w:pPr>
              <w:spacing w:after="0"/>
              <w:rPr>
                <w:sz w:val="20"/>
                <w:szCs w:val="20"/>
                <w:color w:val="auto"/>
              </w:rPr>
            </w:pPr>
          </w:p>
        </w:tc>
      </w:tr>
      <w:tr>
        <w:trPr>
          <w:trHeight w:val="189"/>
        </w:trPr>
        <w:tc>
          <w:tcPr>
            <w:tcW w:w="3760" w:type="dxa"/>
            <w:vAlign w:val="bottom"/>
            <w:tcBorders>
              <w:top w:val="single" w:sz="8" w:color="E9EFEE"/>
            </w:tcBorders>
          </w:tcPr>
          <w:p>
            <w:pPr>
              <w:spacing w:after="0"/>
              <w:rPr>
                <w:sz w:val="16"/>
                <w:szCs w:val="16"/>
                <w:color w:val="auto"/>
              </w:rPr>
            </w:pPr>
          </w:p>
        </w:tc>
        <w:tc>
          <w:tcPr>
            <w:tcW w:w="80" w:type="dxa"/>
            <w:vAlign w:val="bottom"/>
            <w:tcBorders>
              <w:top w:val="single" w:sz="8" w:color="E9EFEE"/>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60" w:type="dxa"/>
            <w:vAlign w:val="bottom"/>
            <w:tcBorders>
              <w:top w:val="single" w:sz="8" w:color="E9EFEE"/>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60" w:type="dxa"/>
            <w:vAlign w:val="bottom"/>
            <w:tcBorders>
              <w:top w:val="single" w:sz="8" w:color="E9EFEE"/>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60" w:type="dxa"/>
            <w:vAlign w:val="bottom"/>
            <w:tcBorders>
              <w:top w:val="single" w:sz="8" w:color="E9EFEE"/>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Borders>
              <w:top w:val="single" w:sz="8" w:color="E9EFEE"/>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E9EFEE"/>
            </w:tcBorders>
          </w:tcPr>
          <w:p>
            <w:pPr>
              <w:spacing w:after="0"/>
              <w:rPr>
                <w:sz w:val="16"/>
                <w:szCs w:val="16"/>
                <w:color w:val="auto"/>
              </w:rPr>
            </w:pPr>
          </w:p>
        </w:tc>
      </w:tr>
      <w:tr>
        <w:trPr>
          <w:trHeight w:val="189"/>
        </w:trPr>
        <w:tc>
          <w:tcPr>
            <w:tcW w:w="3760" w:type="dxa"/>
            <w:vAlign w:val="bottom"/>
            <w:shd w:val="clear" w:color="auto" w:fill="E9EFEE"/>
          </w:tcPr>
          <w:p>
            <w:pPr>
              <w:ind w:left="20"/>
              <w:spacing w:after="0"/>
              <w:rPr>
                <w:sz w:val="20"/>
                <w:szCs w:val="20"/>
                <w:color w:val="auto"/>
              </w:rPr>
            </w:pPr>
            <w:r>
              <w:rPr>
                <w:rFonts w:ascii="Arial" w:cs="Arial" w:eastAsia="Arial" w:hAnsi="Arial"/>
                <w:sz w:val="15"/>
                <w:szCs w:val="15"/>
                <w:b w:val="1"/>
                <w:bCs w:val="1"/>
                <w:color w:val="auto"/>
              </w:rPr>
              <w:t>Joshua A. Sherbin</w:t>
            </w:r>
          </w:p>
        </w:tc>
        <w:tc>
          <w:tcPr>
            <w:tcW w:w="80" w:type="dxa"/>
            <w:vAlign w:val="bottom"/>
            <w:shd w:val="clear" w:color="auto" w:fill="E9EFEE"/>
          </w:tcPr>
          <w:p>
            <w:pPr>
              <w:spacing w:after="0"/>
              <w:rPr>
                <w:sz w:val="16"/>
                <w:szCs w:val="16"/>
                <w:color w:val="auto"/>
              </w:rPr>
            </w:pPr>
          </w:p>
        </w:tc>
        <w:tc>
          <w:tcPr>
            <w:tcW w:w="1080" w:type="dxa"/>
            <w:vAlign w:val="bottom"/>
            <w:shd w:val="clear" w:color="auto" w:fill="E9EFEE"/>
          </w:tcPr>
          <w:p>
            <w:pPr>
              <w:spacing w:after="0"/>
              <w:rPr>
                <w:sz w:val="16"/>
                <w:szCs w:val="16"/>
                <w:color w:val="auto"/>
              </w:rPr>
            </w:pPr>
          </w:p>
        </w:tc>
        <w:tc>
          <w:tcPr>
            <w:tcW w:w="160" w:type="dxa"/>
            <w:vAlign w:val="bottom"/>
            <w:shd w:val="clear" w:color="auto" w:fill="E9EFEE"/>
          </w:tcPr>
          <w:p>
            <w:pPr>
              <w:spacing w:after="0"/>
              <w:rPr>
                <w:sz w:val="16"/>
                <w:szCs w:val="16"/>
                <w:color w:val="auto"/>
              </w:rPr>
            </w:pPr>
          </w:p>
        </w:tc>
        <w:tc>
          <w:tcPr>
            <w:tcW w:w="1080" w:type="dxa"/>
            <w:vAlign w:val="bottom"/>
            <w:shd w:val="clear" w:color="auto" w:fill="E9EFEE"/>
          </w:tcPr>
          <w:p>
            <w:pPr>
              <w:spacing w:after="0"/>
              <w:rPr>
                <w:sz w:val="16"/>
                <w:szCs w:val="16"/>
                <w:color w:val="auto"/>
              </w:rPr>
            </w:pPr>
          </w:p>
        </w:tc>
        <w:tc>
          <w:tcPr>
            <w:tcW w:w="160" w:type="dxa"/>
            <w:vAlign w:val="bottom"/>
            <w:shd w:val="clear" w:color="auto" w:fill="E9EFEE"/>
          </w:tcPr>
          <w:p>
            <w:pPr>
              <w:spacing w:after="0"/>
              <w:rPr>
                <w:sz w:val="16"/>
                <w:szCs w:val="16"/>
                <w:color w:val="auto"/>
              </w:rPr>
            </w:pPr>
          </w:p>
        </w:tc>
        <w:tc>
          <w:tcPr>
            <w:tcW w:w="1080" w:type="dxa"/>
            <w:vAlign w:val="bottom"/>
            <w:shd w:val="clear" w:color="auto" w:fill="E9EFEE"/>
          </w:tcPr>
          <w:p>
            <w:pPr>
              <w:spacing w:after="0"/>
              <w:rPr>
                <w:sz w:val="16"/>
                <w:szCs w:val="16"/>
                <w:color w:val="auto"/>
              </w:rPr>
            </w:pPr>
          </w:p>
        </w:tc>
        <w:tc>
          <w:tcPr>
            <w:tcW w:w="160" w:type="dxa"/>
            <w:vAlign w:val="bottom"/>
            <w:shd w:val="clear" w:color="auto" w:fill="E9EFEE"/>
          </w:tcPr>
          <w:p>
            <w:pPr>
              <w:spacing w:after="0"/>
              <w:rPr>
                <w:sz w:val="16"/>
                <w:szCs w:val="16"/>
                <w:color w:val="auto"/>
              </w:rPr>
            </w:pPr>
          </w:p>
        </w:tc>
        <w:tc>
          <w:tcPr>
            <w:tcW w:w="820" w:type="dxa"/>
            <w:vAlign w:val="bottom"/>
            <w:shd w:val="clear" w:color="auto" w:fill="E9EFEE"/>
          </w:tcPr>
          <w:p>
            <w:pPr>
              <w:spacing w:after="0"/>
              <w:rPr>
                <w:sz w:val="16"/>
                <w:szCs w:val="16"/>
                <w:color w:val="auto"/>
              </w:rPr>
            </w:pPr>
          </w:p>
        </w:tc>
        <w:tc>
          <w:tcPr>
            <w:tcW w:w="160" w:type="dxa"/>
            <w:vAlign w:val="bottom"/>
            <w:shd w:val="clear" w:color="auto" w:fill="E9EFEE"/>
          </w:tcPr>
          <w:p>
            <w:pPr>
              <w:spacing w:after="0"/>
              <w:rPr>
                <w:sz w:val="16"/>
                <w:szCs w:val="16"/>
                <w:color w:val="auto"/>
              </w:rPr>
            </w:pPr>
          </w:p>
        </w:tc>
        <w:tc>
          <w:tcPr>
            <w:tcW w:w="920" w:type="dxa"/>
            <w:vAlign w:val="bottom"/>
            <w:shd w:val="clear" w:color="auto" w:fill="E9EFEE"/>
          </w:tcPr>
          <w:p>
            <w:pPr>
              <w:spacing w:after="0"/>
              <w:rPr>
                <w:sz w:val="16"/>
                <w:szCs w:val="16"/>
                <w:color w:val="auto"/>
              </w:rPr>
            </w:pPr>
          </w:p>
        </w:tc>
        <w:tc>
          <w:tcPr>
            <w:tcW w:w="100" w:type="dxa"/>
            <w:vAlign w:val="bottom"/>
            <w:shd w:val="clear" w:color="auto" w:fill="E9EFEE"/>
          </w:tcPr>
          <w:p>
            <w:pPr>
              <w:spacing w:after="0"/>
              <w:rPr>
                <w:sz w:val="16"/>
                <w:szCs w:val="16"/>
                <w:color w:val="auto"/>
              </w:rPr>
            </w:pPr>
          </w:p>
        </w:tc>
      </w:tr>
      <w:tr>
        <w:trPr>
          <w:trHeight w:val="189"/>
        </w:trPr>
        <w:tc>
          <w:tcPr>
            <w:tcW w:w="3760" w:type="dxa"/>
            <w:vAlign w:val="bottom"/>
            <w:shd w:val="clear" w:color="auto" w:fill="E9EFEE"/>
          </w:tcPr>
          <w:p>
            <w:pPr>
              <w:ind w:left="20"/>
              <w:spacing w:after="0" w:line="189" w:lineRule="exact"/>
              <w:rPr>
                <w:sz w:val="20"/>
                <w:szCs w:val="20"/>
                <w:color w:val="auto"/>
              </w:rPr>
            </w:pPr>
            <w:r>
              <w:rPr>
                <w:rFonts w:ascii="Arial" w:cs="Arial" w:eastAsia="Arial" w:hAnsi="Arial"/>
                <w:sz w:val="13"/>
                <w:szCs w:val="13"/>
                <w:color w:val="auto"/>
              </w:rPr>
              <w:t>Cash payments</w:t>
            </w:r>
            <w:r>
              <w:rPr>
                <w:rFonts w:ascii="Arial" w:cs="Arial" w:eastAsia="Arial" w:hAnsi="Arial"/>
                <w:sz w:val="21"/>
                <w:szCs w:val="21"/>
                <w:color w:val="auto"/>
                <w:vertAlign w:val="superscript"/>
              </w:rPr>
              <w:t>(1)</w:t>
            </w:r>
          </w:p>
        </w:tc>
        <w:tc>
          <w:tcPr>
            <w:tcW w:w="80" w:type="dxa"/>
            <w:vAlign w:val="bottom"/>
            <w:shd w:val="clear" w:color="auto" w:fill="E9EFEE"/>
          </w:tcPr>
          <w:p>
            <w:pPr>
              <w:spacing w:after="0"/>
              <w:rPr>
                <w:sz w:val="16"/>
                <w:szCs w:val="16"/>
                <w:color w:val="auto"/>
              </w:rPr>
            </w:pPr>
          </w:p>
        </w:tc>
        <w:tc>
          <w:tcPr>
            <w:tcW w:w="1080" w:type="dxa"/>
            <w:vAlign w:val="bottom"/>
            <w:shd w:val="clear" w:color="auto" w:fill="E9EFEE"/>
          </w:tcPr>
          <w:p>
            <w:pPr>
              <w:jc w:val="right"/>
              <w:spacing w:after="0"/>
              <w:rPr>
                <w:sz w:val="20"/>
                <w:szCs w:val="20"/>
                <w:color w:val="auto"/>
              </w:rPr>
            </w:pPr>
            <w:r>
              <w:rPr>
                <w:rFonts w:ascii="Arial" w:cs="Arial" w:eastAsia="Arial" w:hAnsi="Arial"/>
                <w:sz w:val="15"/>
                <w:szCs w:val="15"/>
                <w:color w:val="auto"/>
              </w:rPr>
              <w:t>640,640</w:t>
            </w:r>
          </w:p>
        </w:tc>
        <w:tc>
          <w:tcPr>
            <w:tcW w:w="160" w:type="dxa"/>
            <w:vAlign w:val="bottom"/>
            <w:shd w:val="clear" w:color="auto" w:fill="E9EFEE"/>
          </w:tcPr>
          <w:p>
            <w:pPr>
              <w:spacing w:after="0"/>
              <w:rPr>
                <w:sz w:val="16"/>
                <w:szCs w:val="16"/>
                <w:color w:val="auto"/>
              </w:rPr>
            </w:pPr>
          </w:p>
        </w:tc>
        <w:tc>
          <w:tcPr>
            <w:tcW w:w="1080" w:type="dxa"/>
            <w:vAlign w:val="bottom"/>
            <w:shd w:val="clear" w:color="auto" w:fill="E9EFEE"/>
          </w:tcPr>
          <w:p>
            <w:pPr>
              <w:ind w:left="920"/>
              <w:spacing w:after="0"/>
              <w:rPr>
                <w:sz w:val="20"/>
                <w:szCs w:val="20"/>
                <w:color w:val="auto"/>
              </w:rPr>
            </w:pPr>
            <w:r>
              <w:rPr>
                <w:rFonts w:ascii="Arial" w:cs="Arial" w:eastAsia="Arial" w:hAnsi="Arial"/>
                <w:sz w:val="15"/>
                <w:szCs w:val="15"/>
                <w:color w:val="auto"/>
                <w:w w:val="93"/>
              </w:rPr>
              <w:t>—</w:t>
            </w:r>
          </w:p>
        </w:tc>
        <w:tc>
          <w:tcPr>
            <w:tcW w:w="1240" w:type="dxa"/>
            <w:vAlign w:val="bottom"/>
            <w:gridSpan w:val="2"/>
            <w:shd w:val="clear" w:color="auto" w:fill="E9EFEE"/>
          </w:tcPr>
          <w:p>
            <w:pPr>
              <w:jc w:val="right"/>
              <w:spacing w:after="0"/>
              <w:rPr>
                <w:sz w:val="20"/>
                <w:szCs w:val="20"/>
                <w:color w:val="auto"/>
              </w:rPr>
            </w:pPr>
            <w:r>
              <w:rPr>
                <w:rFonts w:ascii="Arial" w:cs="Arial" w:eastAsia="Arial" w:hAnsi="Arial"/>
                <w:sz w:val="15"/>
                <w:szCs w:val="15"/>
                <w:color w:val="auto"/>
              </w:rPr>
              <w:t>1,921,920</w:t>
            </w:r>
          </w:p>
        </w:tc>
        <w:tc>
          <w:tcPr>
            <w:tcW w:w="160" w:type="dxa"/>
            <w:vAlign w:val="bottom"/>
            <w:shd w:val="clear" w:color="auto" w:fill="E9EFEE"/>
          </w:tcPr>
          <w:p>
            <w:pPr>
              <w:spacing w:after="0"/>
              <w:rPr>
                <w:sz w:val="16"/>
                <w:szCs w:val="16"/>
                <w:color w:val="auto"/>
              </w:rPr>
            </w:pPr>
          </w:p>
        </w:tc>
        <w:tc>
          <w:tcPr>
            <w:tcW w:w="820" w:type="dxa"/>
            <w:vAlign w:val="bottom"/>
            <w:shd w:val="clear" w:color="auto" w:fill="E9EFEE"/>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E9EFEE"/>
          </w:tcPr>
          <w:p>
            <w:pPr>
              <w:spacing w:after="0"/>
              <w:rPr>
                <w:sz w:val="16"/>
                <w:szCs w:val="16"/>
                <w:color w:val="auto"/>
              </w:rPr>
            </w:pPr>
          </w:p>
        </w:tc>
        <w:tc>
          <w:tcPr>
            <w:tcW w:w="1020" w:type="dxa"/>
            <w:vAlign w:val="bottom"/>
            <w:gridSpan w:val="2"/>
            <w:shd w:val="clear" w:color="auto" w:fill="E9EFEE"/>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3760" w:type="dxa"/>
            <w:vAlign w:val="bottom"/>
            <w:shd w:val="clear" w:color="auto" w:fill="E9EFEE"/>
          </w:tcPr>
          <w:p>
            <w:pPr>
              <w:ind w:left="20"/>
              <w:spacing w:after="0" w:line="189" w:lineRule="exact"/>
              <w:rPr>
                <w:sz w:val="20"/>
                <w:szCs w:val="20"/>
                <w:color w:val="auto"/>
              </w:rPr>
            </w:pPr>
            <w:r>
              <w:rPr>
                <w:rFonts w:ascii="Arial" w:cs="Arial" w:eastAsia="Arial" w:hAnsi="Arial"/>
                <w:sz w:val="13"/>
                <w:szCs w:val="13"/>
                <w:color w:val="auto"/>
              </w:rPr>
              <w:t>Value of restricted stock units</w:t>
            </w:r>
            <w:r>
              <w:rPr>
                <w:rFonts w:ascii="Arial" w:cs="Arial" w:eastAsia="Arial" w:hAnsi="Arial"/>
                <w:sz w:val="21"/>
                <w:szCs w:val="21"/>
                <w:color w:val="auto"/>
                <w:vertAlign w:val="superscript"/>
              </w:rPr>
              <w:t>(2)</w:t>
            </w:r>
          </w:p>
        </w:tc>
        <w:tc>
          <w:tcPr>
            <w:tcW w:w="80" w:type="dxa"/>
            <w:vAlign w:val="bottom"/>
            <w:shd w:val="clear" w:color="auto" w:fill="E9EFEE"/>
          </w:tcPr>
          <w:p>
            <w:pPr>
              <w:spacing w:after="0"/>
              <w:rPr>
                <w:sz w:val="16"/>
                <w:szCs w:val="16"/>
                <w:color w:val="auto"/>
              </w:rPr>
            </w:pPr>
          </w:p>
        </w:tc>
        <w:tc>
          <w:tcPr>
            <w:tcW w:w="1080" w:type="dxa"/>
            <w:vAlign w:val="bottom"/>
            <w:shd w:val="clear" w:color="auto" w:fill="E9EFEE"/>
          </w:tcPr>
          <w:p>
            <w:pPr>
              <w:jc w:val="right"/>
              <w:spacing w:after="0"/>
              <w:rPr>
                <w:sz w:val="20"/>
                <w:szCs w:val="20"/>
                <w:color w:val="auto"/>
              </w:rPr>
            </w:pPr>
            <w:r>
              <w:rPr>
                <w:rFonts w:ascii="Arial" w:cs="Arial" w:eastAsia="Arial" w:hAnsi="Arial"/>
                <w:sz w:val="15"/>
                <w:szCs w:val="15"/>
                <w:color w:val="auto"/>
              </w:rPr>
              <w:t>1,194,975</w:t>
            </w:r>
          </w:p>
        </w:tc>
        <w:tc>
          <w:tcPr>
            <w:tcW w:w="160" w:type="dxa"/>
            <w:vAlign w:val="bottom"/>
            <w:shd w:val="clear" w:color="auto" w:fill="E9EFEE"/>
          </w:tcPr>
          <w:p>
            <w:pPr>
              <w:spacing w:after="0"/>
              <w:rPr>
                <w:sz w:val="16"/>
                <w:szCs w:val="16"/>
                <w:color w:val="auto"/>
              </w:rPr>
            </w:pPr>
          </w:p>
        </w:tc>
        <w:tc>
          <w:tcPr>
            <w:tcW w:w="1080" w:type="dxa"/>
            <w:vAlign w:val="bottom"/>
            <w:shd w:val="clear" w:color="auto" w:fill="E9EFEE"/>
          </w:tcPr>
          <w:p>
            <w:pPr>
              <w:ind w:left="920"/>
              <w:spacing w:after="0"/>
              <w:rPr>
                <w:sz w:val="20"/>
                <w:szCs w:val="20"/>
                <w:color w:val="auto"/>
              </w:rPr>
            </w:pPr>
            <w:r>
              <w:rPr>
                <w:rFonts w:ascii="Arial" w:cs="Arial" w:eastAsia="Arial" w:hAnsi="Arial"/>
                <w:sz w:val="15"/>
                <w:szCs w:val="15"/>
                <w:color w:val="auto"/>
                <w:w w:val="93"/>
              </w:rPr>
              <w:t>—</w:t>
            </w:r>
          </w:p>
        </w:tc>
        <w:tc>
          <w:tcPr>
            <w:tcW w:w="1240" w:type="dxa"/>
            <w:vAlign w:val="bottom"/>
            <w:gridSpan w:val="2"/>
            <w:shd w:val="clear" w:color="auto" w:fill="E9EFEE"/>
          </w:tcPr>
          <w:p>
            <w:pPr>
              <w:jc w:val="right"/>
              <w:spacing w:after="0"/>
              <w:rPr>
                <w:sz w:val="20"/>
                <w:szCs w:val="20"/>
                <w:color w:val="auto"/>
              </w:rPr>
            </w:pPr>
            <w:r>
              <w:rPr>
                <w:rFonts w:ascii="Arial" w:cs="Arial" w:eastAsia="Arial" w:hAnsi="Arial"/>
                <w:sz w:val="15"/>
                <w:szCs w:val="15"/>
                <w:color w:val="auto"/>
              </w:rPr>
              <w:t>1,927,575</w:t>
            </w:r>
          </w:p>
        </w:tc>
        <w:tc>
          <w:tcPr>
            <w:tcW w:w="980" w:type="dxa"/>
            <w:vAlign w:val="bottom"/>
            <w:gridSpan w:val="2"/>
            <w:shd w:val="clear" w:color="auto" w:fill="E9EFEE"/>
          </w:tcPr>
          <w:p>
            <w:pPr>
              <w:jc w:val="right"/>
              <w:spacing w:after="0"/>
              <w:rPr>
                <w:sz w:val="20"/>
                <w:szCs w:val="20"/>
                <w:color w:val="auto"/>
              </w:rPr>
            </w:pPr>
            <w:r>
              <w:rPr>
                <w:rFonts w:ascii="Arial" w:cs="Arial" w:eastAsia="Arial" w:hAnsi="Arial"/>
                <w:sz w:val="15"/>
                <w:szCs w:val="15"/>
                <w:color w:val="auto"/>
              </w:rPr>
              <w:t>1,927,575</w:t>
            </w:r>
          </w:p>
        </w:tc>
        <w:tc>
          <w:tcPr>
            <w:tcW w:w="1080" w:type="dxa"/>
            <w:vAlign w:val="bottom"/>
            <w:gridSpan w:val="2"/>
            <w:shd w:val="clear" w:color="auto" w:fill="E9EFEE"/>
          </w:tcPr>
          <w:p>
            <w:pPr>
              <w:jc w:val="right"/>
              <w:spacing w:after="0"/>
              <w:rPr>
                <w:sz w:val="20"/>
                <w:szCs w:val="20"/>
                <w:color w:val="auto"/>
              </w:rPr>
            </w:pPr>
            <w:r>
              <w:rPr>
                <w:rFonts w:ascii="Arial" w:cs="Arial" w:eastAsia="Arial" w:hAnsi="Arial"/>
                <w:sz w:val="15"/>
                <w:szCs w:val="15"/>
                <w:color w:val="auto"/>
              </w:rPr>
              <w:t>1,927,575</w:t>
            </w:r>
          </w:p>
        </w:tc>
        <w:tc>
          <w:tcPr>
            <w:tcW w:w="100" w:type="dxa"/>
            <w:vAlign w:val="bottom"/>
            <w:shd w:val="clear" w:color="auto" w:fill="E9EFEE"/>
          </w:tcPr>
          <w:p>
            <w:pPr>
              <w:spacing w:after="0"/>
              <w:rPr>
                <w:sz w:val="16"/>
                <w:szCs w:val="16"/>
                <w:color w:val="auto"/>
              </w:rPr>
            </w:pPr>
          </w:p>
        </w:tc>
      </w:tr>
      <w:tr>
        <w:trPr>
          <w:trHeight w:val="189"/>
        </w:trPr>
        <w:tc>
          <w:tcPr>
            <w:tcW w:w="3760" w:type="dxa"/>
            <w:vAlign w:val="bottom"/>
            <w:shd w:val="clear" w:color="auto" w:fill="E9EFEE"/>
          </w:tcPr>
          <w:p>
            <w:pPr>
              <w:ind w:left="20"/>
              <w:spacing w:after="0" w:line="189" w:lineRule="exact"/>
              <w:rPr>
                <w:sz w:val="20"/>
                <w:szCs w:val="20"/>
                <w:color w:val="auto"/>
              </w:rPr>
            </w:pPr>
            <w:r>
              <w:rPr>
                <w:rFonts w:ascii="Arial" w:cs="Arial" w:eastAsia="Arial" w:hAnsi="Arial"/>
                <w:sz w:val="13"/>
                <w:szCs w:val="13"/>
                <w:color w:val="auto"/>
              </w:rPr>
              <w:t>Value of stock options</w:t>
            </w:r>
            <w:r>
              <w:rPr>
                <w:rFonts w:ascii="Arial" w:cs="Arial" w:eastAsia="Arial" w:hAnsi="Arial"/>
                <w:sz w:val="21"/>
                <w:szCs w:val="21"/>
                <w:color w:val="auto"/>
                <w:vertAlign w:val="superscript"/>
              </w:rPr>
              <w:t>(3)</w:t>
            </w:r>
          </w:p>
        </w:tc>
        <w:tc>
          <w:tcPr>
            <w:tcW w:w="80" w:type="dxa"/>
            <w:vAlign w:val="bottom"/>
            <w:shd w:val="clear" w:color="auto" w:fill="E9EFEE"/>
          </w:tcPr>
          <w:p>
            <w:pPr>
              <w:spacing w:after="0"/>
              <w:rPr>
                <w:sz w:val="16"/>
                <w:szCs w:val="16"/>
                <w:color w:val="auto"/>
              </w:rPr>
            </w:pPr>
          </w:p>
        </w:tc>
        <w:tc>
          <w:tcPr>
            <w:tcW w:w="1080" w:type="dxa"/>
            <w:vAlign w:val="bottom"/>
            <w:shd w:val="clear" w:color="auto" w:fill="E9EFEE"/>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E9EFEE"/>
          </w:tcPr>
          <w:p>
            <w:pPr>
              <w:spacing w:after="0"/>
              <w:rPr>
                <w:sz w:val="16"/>
                <w:szCs w:val="16"/>
                <w:color w:val="auto"/>
              </w:rPr>
            </w:pPr>
          </w:p>
        </w:tc>
        <w:tc>
          <w:tcPr>
            <w:tcW w:w="1080" w:type="dxa"/>
            <w:vAlign w:val="bottom"/>
            <w:shd w:val="clear" w:color="auto" w:fill="E9EFEE"/>
          </w:tcPr>
          <w:p>
            <w:pPr>
              <w:ind w:left="920"/>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E9EFEE"/>
          </w:tcPr>
          <w:p>
            <w:pPr>
              <w:spacing w:after="0"/>
              <w:rPr>
                <w:sz w:val="16"/>
                <w:szCs w:val="16"/>
                <w:color w:val="auto"/>
              </w:rPr>
            </w:pPr>
          </w:p>
        </w:tc>
        <w:tc>
          <w:tcPr>
            <w:tcW w:w="1080" w:type="dxa"/>
            <w:vAlign w:val="bottom"/>
            <w:shd w:val="clear" w:color="auto" w:fill="E9EFEE"/>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E9EFEE"/>
          </w:tcPr>
          <w:p>
            <w:pPr>
              <w:spacing w:after="0"/>
              <w:rPr>
                <w:sz w:val="16"/>
                <w:szCs w:val="16"/>
                <w:color w:val="auto"/>
              </w:rPr>
            </w:pPr>
          </w:p>
        </w:tc>
        <w:tc>
          <w:tcPr>
            <w:tcW w:w="820" w:type="dxa"/>
            <w:vAlign w:val="bottom"/>
            <w:shd w:val="clear" w:color="auto" w:fill="E9EFEE"/>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E9EFEE"/>
          </w:tcPr>
          <w:p>
            <w:pPr>
              <w:spacing w:after="0"/>
              <w:rPr>
                <w:sz w:val="16"/>
                <w:szCs w:val="16"/>
                <w:color w:val="auto"/>
              </w:rPr>
            </w:pPr>
          </w:p>
        </w:tc>
        <w:tc>
          <w:tcPr>
            <w:tcW w:w="1020" w:type="dxa"/>
            <w:vAlign w:val="bottom"/>
            <w:gridSpan w:val="2"/>
            <w:shd w:val="clear" w:color="auto" w:fill="E9EFEE"/>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3760" w:type="dxa"/>
            <w:vAlign w:val="bottom"/>
            <w:shd w:val="clear" w:color="auto" w:fill="E9EFEE"/>
          </w:tcPr>
          <w:p>
            <w:pPr>
              <w:ind w:left="20"/>
              <w:spacing w:after="0"/>
              <w:rPr>
                <w:sz w:val="20"/>
                <w:szCs w:val="20"/>
                <w:color w:val="auto"/>
              </w:rPr>
            </w:pPr>
            <w:r>
              <w:rPr>
                <w:rFonts w:ascii="Arial" w:cs="Arial" w:eastAsia="Arial" w:hAnsi="Arial"/>
                <w:sz w:val="15"/>
                <w:szCs w:val="15"/>
                <w:color w:val="auto"/>
              </w:rPr>
              <w:t>Outplacement services</w:t>
            </w:r>
          </w:p>
        </w:tc>
        <w:tc>
          <w:tcPr>
            <w:tcW w:w="80" w:type="dxa"/>
            <w:vAlign w:val="bottom"/>
            <w:shd w:val="clear" w:color="auto" w:fill="E9EFEE"/>
          </w:tcPr>
          <w:p>
            <w:pPr>
              <w:spacing w:after="0"/>
              <w:rPr>
                <w:sz w:val="16"/>
                <w:szCs w:val="16"/>
                <w:color w:val="auto"/>
              </w:rPr>
            </w:pPr>
          </w:p>
        </w:tc>
        <w:tc>
          <w:tcPr>
            <w:tcW w:w="1080" w:type="dxa"/>
            <w:vAlign w:val="bottom"/>
            <w:shd w:val="clear" w:color="auto" w:fill="E9EFEE"/>
          </w:tcPr>
          <w:p>
            <w:pPr>
              <w:jc w:val="right"/>
              <w:spacing w:after="0"/>
              <w:rPr>
                <w:sz w:val="20"/>
                <w:szCs w:val="20"/>
                <w:color w:val="auto"/>
              </w:rPr>
            </w:pPr>
            <w:r>
              <w:rPr>
                <w:rFonts w:ascii="Arial" w:cs="Arial" w:eastAsia="Arial" w:hAnsi="Arial"/>
                <w:sz w:val="15"/>
                <w:szCs w:val="15"/>
                <w:color w:val="auto"/>
              </w:rPr>
              <w:t>25,000</w:t>
            </w:r>
          </w:p>
        </w:tc>
        <w:tc>
          <w:tcPr>
            <w:tcW w:w="160" w:type="dxa"/>
            <w:vAlign w:val="bottom"/>
            <w:shd w:val="clear" w:color="auto" w:fill="E9EFEE"/>
          </w:tcPr>
          <w:p>
            <w:pPr>
              <w:spacing w:after="0"/>
              <w:rPr>
                <w:sz w:val="16"/>
                <w:szCs w:val="16"/>
                <w:color w:val="auto"/>
              </w:rPr>
            </w:pPr>
          </w:p>
        </w:tc>
        <w:tc>
          <w:tcPr>
            <w:tcW w:w="1080" w:type="dxa"/>
            <w:vAlign w:val="bottom"/>
            <w:shd w:val="clear" w:color="auto" w:fill="E9EFEE"/>
          </w:tcPr>
          <w:p>
            <w:pPr>
              <w:ind w:left="920"/>
              <w:spacing w:after="0"/>
              <w:rPr>
                <w:sz w:val="20"/>
                <w:szCs w:val="20"/>
                <w:color w:val="auto"/>
              </w:rPr>
            </w:pPr>
            <w:r>
              <w:rPr>
                <w:rFonts w:ascii="Arial" w:cs="Arial" w:eastAsia="Arial" w:hAnsi="Arial"/>
                <w:sz w:val="15"/>
                <w:szCs w:val="15"/>
                <w:color w:val="auto"/>
                <w:w w:val="93"/>
              </w:rPr>
              <w:t>—</w:t>
            </w:r>
          </w:p>
        </w:tc>
        <w:tc>
          <w:tcPr>
            <w:tcW w:w="1240" w:type="dxa"/>
            <w:vAlign w:val="bottom"/>
            <w:gridSpan w:val="2"/>
            <w:shd w:val="clear" w:color="auto" w:fill="E9EFEE"/>
          </w:tcPr>
          <w:p>
            <w:pPr>
              <w:jc w:val="right"/>
              <w:spacing w:after="0"/>
              <w:rPr>
                <w:sz w:val="20"/>
                <w:szCs w:val="20"/>
                <w:color w:val="auto"/>
              </w:rPr>
            </w:pPr>
            <w:r>
              <w:rPr>
                <w:rFonts w:ascii="Arial" w:cs="Arial" w:eastAsia="Arial" w:hAnsi="Arial"/>
                <w:sz w:val="15"/>
                <w:szCs w:val="15"/>
                <w:color w:val="auto"/>
              </w:rPr>
              <w:t>25,000</w:t>
            </w:r>
          </w:p>
        </w:tc>
        <w:tc>
          <w:tcPr>
            <w:tcW w:w="160" w:type="dxa"/>
            <w:vAlign w:val="bottom"/>
            <w:shd w:val="clear" w:color="auto" w:fill="E9EFEE"/>
          </w:tcPr>
          <w:p>
            <w:pPr>
              <w:spacing w:after="0"/>
              <w:rPr>
                <w:sz w:val="16"/>
                <w:szCs w:val="16"/>
                <w:color w:val="auto"/>
              </w:rPr>
            </w:pPr>
          </w:p>
        </w:tc>
        <w:tc>
          <w:tcPr>
            <w:tcW w:w="820" w:type="dxa"/>
            <w:vAlign w:val="bottom"/>
            <w:shd w:val="clear" w:color="auto" w:fill="E9EFEE"/>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E9EFEE"/>
          </w:tcPr>
          <w:p>
            <w:pPr>
              <w:spacing w:after="0"/>
              <w:rPr>
                <w:sz w:val="16"/>
                <w:szCs w:val="16"/>
                <w:color w:val="auto"/>
              </w:rPr>
            </w:pPr>
          </w:p>
        </w:tc>
        <w:tc>
          <w:tcPr>
            <w:tcW w:w="1020" w:type="dxa"/>
            <w:vAlign w:val="bottom"/>
            <w:gridSpan w:val="2"/>
            <w:shd w:val="clear" w:color="auto" w:fill="E9EFEE"/>
          </w:tcPr>
          <w:p>
            <w:pPr>
              <w:jc w:val="right"/>
              <w:ind w:right="120"/>
              <w:spacing w:after="0"/>
              <w:rPr>
                <w:sz w:val="20"/>
                <w:szCs w:val="20"/>
                <w:color w:val="auto"/>
              </w:rPr>
            </w:pPr>
            <w:r>
              <w:rPr>
                <w:rFonts w:ascii="Arial" w:cs="Arial" w:eastAsia="Arial" w:hAnsi="Arial"/>
                <w:sz w:val="15"/>
                <w:szCs w:val="15"/>
                <w:color w:val="auto"/>
              </w:rPr>
              <w:t>—</w:t>
            </w:r>
          </w:p>
        </w:tc>
      </w:tr>
      <w:tr>
        <w:trPr>
          <w:trHeight w:val="176"/>
        </w:trPr>
        <w:tc>
          <w:tcPr>
            <w:tcW w:w="3760" w:type="dxa"/>
            <w:vAlign w:val="bottom"/>
            <w:tcBorders>
              <w:bottom w:val="single" w:sz="8" w:color="E9EFEE"/>
            </w:tcBorders>
            <w:shd w:val="clear" w:color="auto" w:fill="E9EFEE"/>
          </w:tcPr>
          <w:p>
            <w:pPr>
              <w:ind w:left="20"/>
              <w:spacing w:after="0"/>
              <w:rPr>
                <w:sz w:val="20"/>
                <w:szCs w:val="20"/>
                <w:color w:val="auto"/>
              </w:rPr>
            </w:pPr>
            <w:r>
              <w:rPr>
                <w:rFonts w:ascii="Arial" w:cs="Arial" w:eastAsia="Arial" w:hAnsi="Arial"/>
                <w:sz w:val="15"/>
                <w:szCs w:val="15"/>
                <w:color w:val="auto"/>
              </w:rPr>
              <w:t>Medical benefits</w:t>
            </w:r>
          </w:p>
        </w:tc>
        <w:tc>
          <w:tcPr>
            <w:tcW w:w="80" w:type="dxa"/>
            <w:vAlign w:val="bottom"/>
            <w:tcBorders>
              <w:bottom w:val="single" w:sz="8" w:color="E9EFEE"/>
            </w:tcBorders>
            <w:shd w:val="clear" w:color="auto" w:fill="E9EFEE"/>
          </w:tcPr>
          <w:p>
            <w:pPr>
              <w:spacing w:after="0"/>
              <w:rPr>
                <w:sz w:val="15"/>
                <w:szCs w:val="15"/>
                <w:color w:val="auto"/>
              </w:rPr>
            </w:pPr>
          </w:p>
        </w:tc>
        <w:tc>
          <w:tcPr>
            <w:tcW w:w="1080" w:type="dxa"/>
            <w:vAlign w:val="bottom"/>
            <w:tcBorders>
              <w:bottom w:val="single" w:sz="8" w:color="auto"/>
            </w:tcBorders>
            <w:shd w:val="clear" w:color="auto" w:fill="E9EFEE"/>
          </w:tcPr>
          <w:p>
            <w:pPr>
              <w:jc w:val="right"/>
              <w:spacing w:after="0"/>
              <w:rPr>
                <w:sz w:val="20"/>
                <w:szCs w:val="20"/>
                <w:color w:val="auto"/>
              </w:rPr>
            </w:pPr>
            <w:r>
              <w:rPr>
                <w:rFonts w:ascii="Arial" w:cs="Arial" w:eastAsia="Arial" w:hAnsi="Arial"/>
                <w:sz w:val="15"/>
                <w:szCs w:val="15"/>
                <w:color w:val="auto"/>
              </w:rPr>
              <w:t>16,700</w:t>
            </w:r>
          </w:p>
        </w:tc>
        <w:tc>
          <w:tcPr>
            <w:tcW w:w="160" w:type="dxa"/>
            <w:vAlign w:val="bottom"/>
            <w:tcBorders>
              <w:bottom w:val="single" w:sz="8" w:color="E9EFEE"/>
            </w:tcBorders>
            <w:shd w:val="clear" w:color="auto" w:fill="E9EFEE"/>
          </w:tcPr>
          <w:p>
            <w:pPr>
              <w:spacing w:after="0"/>
              <w:rPr>
                <w:sz w:val="15"/>
                <w:szCs w:val="15"/>
                <w:color w:val="auto"/>
              </w:rPr>
            </w:pPr>
          </w:p>
        </w:tc>
        <w:tc>
          <w:tcPr>
            <w:tcW w:w="1080" w:type="dxa"/>
            <w:vAlign w:val="bottom"/>
            <w:tcBorders>
              <w:bottom w:val="single" w:sz="8" w:color="auto"/>
            </w:tcBorders>
            <w:shd w:val="clear" w:color="auto" w:fill="E9EFEE"/>
          </w:tcPr>
          <w:p>
            <w:pPr>
              <w:ind w:left="920"/>
              <w:spacing w:after="0"/>
              <w:rPr>
                <w:sz w:val="20"/>
                <w:szCs w:val="20"/>
                <w:color w:val="auto"/>
              </w:rPr>
            </w:pPr>
            <w:r>
              <w:rPr>
                <w:rFonts w:ascii="Arial" w:cs="Arial" w:eastAsia="Arial" w:hAnsi="Arial"/>
                <w:sz w:val="15"/>
                <w:szCs w:val="15"/>
                <w:color w:val="auto"/>
                <w:w w:val="93"/>
              </w:rPr>
              <w:t>—</w:t>
            </w:r>
          </w:p>
        </w:tc>
        <w:tc>
          <w:tcPr>
            <w:tcW w:w="160" w:type="dxa"/>
            <w:vAlign w:val="bottom"/>
            <w:tcBorders>
              <w:bottom w:val="single" w:sz="8" w:color="E9EFEE"/>
            </w:tcBorders>
            <w:shd w:val="clear" w:color="auto" w:fill="E9EFEE"/>
          </w:tcPr>
          <w:p>
            <w:pPr>
              <w:spacing w:after="0"/>
              <w:rPr>
                <w:sz w:val="15"/>
                <w:szCs w:val="15"/>
                <w:color w:val="auto"/>
              </w:rPr>
            </w:pPr>
          </w:p>
        </w:tc>
        <w:tc>
          <w:tcPr>
            <w:tcW w:w="1080" w:type="dxa"/>
            <w:vAlign w:val="bottom"/>
            <w:tcBorders>
              <w:bottom w:val="single" w:sz="8" w:color="auto"/>
            </w:tcBorders>
            <w:shd w:val="clear" w:color="auto" w:fill="E9EFEE"/>
          </w:tcPr>
          <w:p>
            <w:pPr>
              <w:jc w:val="right"/>
              <w:spacing w:after="0"/>
              <w:rPr>
                <w:sz w:val="20"/>
                <w:szCs w:val="20"/>
                <w:color w:val="auto"/>
              </w:rPr>
            </w:pPr>
            <w:r>
              <w:rPr>
                <w:rFonts w:ascii="Arial" w:cs="Arial" w:eastAsia="Arial" w:hAnsi="Arial"/>
                <w:sz w:val="15"/>
                <w:szCs w:val="15"/>
                <w:color w:val="auto"/>
              </w:rPr>
              <w:t>50,000</w:t>
            </w:r>
          </w:p>
        </w:tc>
        <w:tc>
          <w:tcPr>
            <w:tcW w:w="160" w:type="dxa"/>
            <w:vAlign w:val="bottom"/>
            <w:tcBorders>
              <w:bottom w:val="single" w:sz="8" w:color="E9EFEE"/>
            </w:tcBorders>
            <w:shd w:val="clear" w:color="auto" w:fill="E9EFEE"/>
          </w:tcPr>
          <w:p>
            <w:pPr>
              <w:spacing w:after="0"/>
              <w:rPr>
                <w:sz w:val="15"/>
                <w:szCs w:val="15"/>
                <w:color w:val="auto"/>
              </w:rPr>
            </w:pPr>
          </w:p>
        </w:tc>
        <w:tc>
          <w:tcPr>
            <w:tcW w:w="820" w:type="dxa"/>
            <w:vAlign w:val="bottom"/>
            <w:tcBorders>
              <w:bottom w:val="single" w:sz="8" w:color="auto"/>
            </w:tcBorders>
            <w:shd w:val="clear" w:color="auto" w:fill="E9EFEE"/>
          </w:tcPr>
          <w:p>
            <w:pPr>
              <w:jc w:val="right"/>
              <w:spacing w:after="0"/>
              <w:rPr>
                <w:sz w:val="20"/>
                <w:szCs w:val="20"/>
                <w:color w:val="auto"/>
              </w:rPr>
            </w:pPr>
            <w:r>
              <w:rPr>
                <w:rFonts w:ascii="Arial" w:cs="Arial" w:eastAsia="Arial" w:hAnsi="Arial"/>
                <w:sz w:val="15"/>
                <w:szCs w:val="15"/>
                <w:color w:val="auto"/>
              </w:rPr>
              <w:t>50,000</w:t>
            </w:r>
          </w:p>
        </w:tc>
        <w:tc>
          <w:tcPr>
            <w:tcW w:w="160" w:type="dxa"/>
            <w:vAlign w:val="bottom"/>
            <w:tcBorders>
              <w:bottom w:val="single" w:sz="8" w:color="E9EFEE"/>
            </w:tcBorders>
            <w:shd w:val="clear" w:color="auto" w:fill="E9EFEE"/>
          </w:tcPr>
          <w:p>
            <w:pPr>
              <w:spacing w:after="0"/>
              <w:rPr>
                <w:sz w:val="15"/>
                <w:szCs w:val="15"/>
                <w:color w:val="auto"/>
              </w:rPr>
            </w:pPr>
          </w:p>
        </w:tc>
        <w:tc>
          <w:tcPr>
            <w:tcW w:w="920" w:type="dxa"/>
            <w:vAlign w:val="bottom"/>
            <w:tcBorders>
              <w:bottom w:val="single" w:sz="8" w:color="auto"/>
            </w:tcBorders>
            <w:shd w:val="clear" w:color="auto" w:fill="E9EFEE"/>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E9EFEE"/>
            </w:tcBorders>
            <w:shd w:val="clear" w:color="auto" w:fill="E9EFEE"/>
          </w:tcPr>
          <w:p>
            <w:pPr>
              <w:spacing w:after="0"/>
              <w:rPr>
                <w:sz w:val="15"/>
                <w:szCs w:val="15"/>
                <w:color w:val="auto"/>
              </w:rPr>
            </w:pPr>
          </w:p>
        </w:tc>
      </w:tr>
      <w:tr>
        <w:trPr>
          <w:trHeight w:val="263"/>
        </w:trPr>
        <w:tc>
          <w:tcPr>
            <w:tcW w:w="3760" w:type="dxa"/>
            <w:vAlign w:val="bottom"/>
            <w:tcBorders>
              <w:bottom w:val="single" w:sz="8" w:color="000562"/>
            </w:tcBorders>
            <w:shd w:val="clear" w:color="auto" w:fill="E9EFEE"/>
          </w:tcPr>
          <w:p>
            <w:pPr>
              <w:ind w:left="20"/>
              <w:spacing w:after="0"/>
              <w:rPr>
                <w:sz w:val="20"/>
                <w:szCs w:val="20"/>
                <w:color w:val="auto"/>
              </w:rPr>
            </w:pPr>
            <w:r>
              <w:rPr>
                <w:rFonts w:ascii="Arial" w:cs="Arial" w:eastAsia="Arial" w:hAnsi="Arial"/>
                <w:sz w:val="15"/>
                <w:szCs w:val="15"/>
                <w:i w:val="1"/>
                <w:iCs w:val="1"/>
                <w:color w:val="auto"/>
              </w:rPr>
              <w:t>Total</w:t>
            </w:r>
          </w:p>
        </w:tc>
        <w:tc>
          <w:tcPr>
            <w:tcW w:w="80" w:type="dxa"/>
            <w:vAlign w:val="bottom"/>
            <w:tcBorders>
              <w:bottom w:val="single" w:sz="8" w:color="000562"/>
            </w:tcBorders>
            <w:shd w:val="clear" w:color="auto" w:fill="E9EFEE"/>
          </w:tcPr>
          <w:p>
            <w:pPr>
              <w:spacing w:after="0"/>
              <w:rPr>
                <w:sz w:val="22"/>
                <w:szCs w:val="22"/>
                <w:color w:val="auto"/>
              </w:rPr>
            </w:pPr>
          </w:p>
        </w:tc>
        <w:tc>
          <w:tcPr>
            <w:tcW w:w="1080" w:type="dxa"/>
            <w:vAlign w:val="bottom"/>
            <w:tcBorders>
              <w:bottom w:val="single" w:sz="8" w:color="auto"/>
            </w:tcBorders>
            <w:shd w:val="clear" w:color="auto" w:fill="E9EFEE"/>
          </w:tcPr>
          <w:p>
            <w:pPr>
              <w:jc w:val="right"/>
              <w:spacing w:after="0"/>
              <w:rPr>
                <w:sz w:val="20"/>
                <w:szCs w:val="20"/>
                <w:color w:val="auto"/>
              </w:rPr>
            </w:pPr>
            <w:r>
              <w:rPr>
                <w:rFonts w:ascii="Arial" w:cs="Arial" w:eastAsia="Arial" w:hAnsi="Arial"/>
                <w:sz w:val="15"/>
                <w:szCs w:val="15"/>
                <w:color w:val="auto"/>
              </w:rPr>
              <w:t>1,877,315</w:t>
            </w:r>
          </w:p>
        </w:tc>
        <w:tc>
          <w:tcPr>
            <w:tcW w:w="160" w:type="dxa"/>
            <w:vAlign w:val="bottom"/>
            <w:tcBorders>
              <w:bottom w:val="single" w:sz="8" w:color="000562"/>
            </w:tcBorders>
            <w:shd w:val="clear" w:color="auto" w:fill="E9EFEE"/>
          </w:tcPr>
          <w:p>
            <w:pPr>
              <w:spacing w:after="0"/>
              <w:rPr>
                <w:sz w:val="22"/>
                <w:szCs w:val="22"/>
                <w:color w:val="auto"/>
              </w:rPr>
            </w:pPr>
          </w:p>
        </w:tc>
        <w:tc>
          <w:tcPr>
            <w:tcW w:w="1080" w:type="dxa"/>
            <w:vAlign w:val="bottom"/>
            <w:tcBorders>
              <w:bottom w:val="single" w:sz="8" w:color="auto"/>
            </w:tcBorders>
            <w:shd w:val="clear" w:color="auto" w:fill="E9EFEE"/>
          </w:tcPr>
          <w:p>
            <w:pPr>
              <w:ind w:left="920"/>
              <w:spacing w:after="0"/>
              <w:rPr>
                <w:sz w:val="20"/>
                <w:szCs w:val="20"/>
                <w:color w:val="auto"/>
              </w:rPr>
            </w:pPr>
            <w:r>
              <w:rPr>
                <w:rFonts w:ascii="Arial" w:cs="Arial" w:eastAsia="Arial" w:hAnsi="Arial"/>
                <w:sz w:val="15"/>
                <w:szCs w:val="15"/>
                <w:color w:val="auto"/>
                <w:w w:val="93"/>
              </w:rPr>
              <w:t>—</w:t>
            </w:r>
          </w:p>
        </w:tc>
        <w:tc>
          <w:tcPr>
            <w:tcW w:w="160" w:type="dxa"/>
            <w:vAlign w:val="bottom"/>
            <w:tcBorders>
              <w:bottom w:val="single" w:sz="8" w:color="000562"/>
            </w:tcBorders>
            <w:shd w:val="clear" w:color="auto" w:fill="E9EFEE"/>
          </w:tcPr>
          <w:p>
            <w:pPr>
              <w:spacing w:after="0"/>
              <w:rPr>
                <w:sz w:val="22"/>
                <w:szCs w:val="22"/>
                <w:color w:val="auto"/>
              </w:rPr>
            </w:pPr>
          </w:p>
        </w:tc>
        <w:tc>
          <w:tcPr>
            <w:tcW w:w="1080" w:type="dxa"/>
            <w:vAlign w:val="bottom"/>
            <w:tcBorders>
              <w:bottom w:val="single" w:sz="8" w:color="auto"/>
            </w:tcBorders>
            <w:shd w:val="clear" w:color="auto" w:fill="E9EFEE"/>
          </w:tcPr>
          <w:p>
            <w:pPr>
              <w:jc w:val="right"/>
              <w:spacing w:after="0"/>
              <w:rPr>
                <w:sz w:val="20"/>
                <w:szCs w:val="20"/>
                <w:color w:val="auto"/>
              </w:rPr>
            </w:pPr>
            <w:r>
              <w:rPr>
                <w:rFonts w:ascii="Arial" w:cs="Arial" w:eastAsia="Arial" w:hAnsi="Arial"/>
                <w:sz w:val="15"/>
                <w:szCs w:val="15"/>
                <w:color w:val="auto"/>
              </w:rPr>
              <w:t>3,924,495</w:t>
            </w:r>
          </w:p>
        </w:tc>
        <w:tc>
          <w:tcPr>
            <w:tcW w:w="160" w:type="dxa"/>
            <w:vAlign w:val="bottom"/>
            <w:tcBorders>
              <w:bottom w:val="single" w:sz="8" w:color="000562"/>
            </w:tcBorders>
            <w:shd w:val="clear" w:color="auto" w:fill="E9EFEE"/>
          </w:tcPr>
          <w:p>
            <w:pPr>
              <w:spacing w:after="0"/>
              <w:rPr>
                <w:sz w:val="22"/>
                <w:szCs w:val="22"/>
                <w:color w:val="auto"/>
              </w:rPr>
            </w:pPr>
          </w:p>
        </w:tc>
        <w:tc>
          <w:tcPr>
            <w:tcW w:w="820" w:type="dxa"/>
            <w:vAlign w:val="bottom"/>
            <w:tcBorders>
              <w:bottom w:val="single" w:sz="8" w:color="auto"/>
            </w:tcBorders>
            <w:shd w:val="clear" w:color="auto" w:fill="E9EFEE"/>
          </w:tcPr>
          <w:p>
            <w:pPr>
              <w:jc w:val="right"/>
              <w:spacing w:after="0"/>
              <w:rPr>
                <w:sz w:val="20"/>
                <w:szCs w:val="20"/>
                <w:color w:val="auto"/>
              </w:rPr>
            </w:pPr>
            <w:r>
              <w:rPr>
                <w:rFonts w:ascii="Arial" w:cs="Arial" w:eastAsia="Arial" w:hAnsi="Arial"/>
                <w:sz w:val="15"/>
                <w:szCs w:val="15"/>
                <w:color w:val="auto"/>
              </w:rPr>
              <w:t>1,977,575</w:t>
            </w:r>
          </w:p>
        </w:tc>
        <w:tc>
          <w:tcPr>
            <w:tcW w:w="160" w:type="dxa"/>
            <w:vAlign w:val="bottom"/>
            <w:tcBorders>
              <w:bottom w:val="single" w:sz="8" w:color="000562"/>
            </w:tcBorders>
            <w:shd w:val="clear" w:color="auto" w:fill="E9EFEE"/>
          </w:tcPr>
          <w:p>
            <w:pPr>
              <w:spacing w:after="0"/>
              <w:rPr>
                <w:sz w:val="22"/>
                <w:szCs w:val="22"/>
                <w:color w:val="auto"/>
              </w:rPr>
            </w:pPr>
          </w:p>
        </w:tc>
        <w:tc>
          <w:tcPr>
            <w:tcW w:w="920" w:type="dxa"/>
            <w:vAlign w:val="bottom"/>
            <w:tcBorders>
              <w:bottom w:val="single" w:sz="8" w:color="auto"/>
            </w:tcBorders>
            <w:shd w:val="clear" w:color="auto" w:fill="E9EFEE"/>
          </w:tcPr>
          <w:p>
            <w:pPr>
              <w:jc w:val="right"/>
              <w:spacing w:after="0"/>
              <w:rPr>
                <w:sz w:val="20"/>
                <w:szCs w:val="20"/>
                <w:color w:val="auto"/>
              </w:rPr>
            </w:pPr>
            <w:r>
              <w:rPr>
                <w:rFonts w:ascii="Arial" w:cs="Arial" w:eastAsia="Arial" w:hAnsi="Arial"/>
                <w:sz w:val="15"/>
                <w:szCs w:val="15"/>
                <w:color w:val="auto"/>
              </w:rPr>
              <w:t>1,927,575</w:t>
            </w:r>
          </w:p>
        </w:tc>
        <w:tc>
          <w:tcPr>
            <w:tcW w:w="100" w:type="dxa"/>
            <w:vAlign w:val="bottom"/>
            <w:tcBorders>
              <w:bottom w:val="single" w:sz="8" w:color="000562"/>
            </w:tcBorders>
            <w:shd w:val="clear" w:color="auto" w:fill="E9EFEE"/>
          </w:tcPr>
          <w:p>
            <w:pPr>
              <w:spacing w:after="0"/>
              <w:rPr>
                <w:sz w:val="22"/>
                <w:szCs w:val="22"/>
                <w:color w:val="auto"/>
              </w:rPr>
            </w:pPr>
          </w:p>
        </w:tc>
      </w:tr>
    </w:tbl>
    <w:p>
      <w:pPr>
        <w:spacing w:after="0" w:line="113" w:lineRule="exact"/>
        <w:rPr>
          <w:sz w:val="20"/>
          <w:szCs w:val="20"/>
          <w:color w:val="auto"/>
        </w:rPr>
      </w:pPr>
    </w:p>
    <w:p>
      <w:pPr>
        <w:jc w:val="both"/>
        <w:ind w:left="400" w:right="20" w:hanging="353"/>
        <w:spacing w:after="0" w:line="250" w:lineRule="auto"/>
        <w:tabs>
          <w:tab w:leader="none" w:pos="4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Comprised of multiple of base salary as of December 31, 2018 and applicable STI payments. The 2018 STI bonus is not included as it was deemed for purposes of this table as earned as of December 31, 2018 and is subject to company performance. Assumes that no accrued but unearned vacation pay is due.</w:t>
      </w:r>
    </w:p>
    <w:p>
      <w:pPr>
        <w:spacing w:after="0" w:line="91" w:lineRule="exact"/>
        <w:rPr>
          <w:rFonts w:ascii="Arial" w:cs="Arial" w:eastAsia="Arial" w:hAnsi="Arial"/>
          <w:sz w:val="14"/>
          <w:szCs w:val="14"/>
          <w:color w:val="auto"/>
        </w:rPr>
      </w:pPr>
    </w:p>
    <w:p>
      <w:pPr>
        <w:jc w:val="both"/>
        <w:ind w:left="400" w:hanging="353"/>
        <w:spacing w:after="0" w:line="244" w:lineRule="auto"/>
        <w:tabs>
          <w:tab w:leader="none" w:pos="4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Restricted stock units include service-based units and performance-based stock units, and are either included on a pro-rata basis for the portion of the earnings period that has elapsed or on a fully-vested basis as required by the terms of the Severance Policy. In addition, the number of performance-based stock units included assumes the target metric would be achieved. Restricted stock units are valued at the market price of the Common Stock of $27.29 at December 31, 2018. Messrs. Amato, Zalupski and Sherbin had 58,325, 52,113 and 43,788 shares, respectively, that would have been vested upon an involuntary termination without cause or by executive for good reason as of December 31, 2018, and (assuming target performance) 161,025, 86,786, and 70,633 shares, respectively, that would have been vested upon a qualifying termination in connection with a change-of-control, death or disability.</w:t>
      </w:r>
    </w:p>
    <w:p>
      <w:pPr>
        <w:spacing w:after="0" w:line="96" w:lineRule="exact"/>
        <w:rPr>
          <w:rFonts w:ascii="Arial" w:cs="Arial" w:eastAsia="Arial" w:hAnsi="Arial"/>
          <w:sz w:val="14"/>
          <w:szCs w:val="14"/>
          <w:color w:val="auto"/>
        </w:rPr>
      </w:pPr>
    </w:p>
    <w:p>
      <w:pPr>
        <w:jc w:val="both"/>
        <w:ind w:left="400" w:hanging="353"/>
        <w:spacing w:after="0" w:line="248" w:lineRule="auto"/>
        <w:tabs>
          <w:tab w:leader="none" w:pos="4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Stock options valued at the market price of the Company’s common stock of $27.29 at December 31, 2018, less the respective exercise price. Mr. Amato has 20,833 stock options that would be vested upon an involuntary termination by Company without cause or termination by executive for good reason and 50,000 stock options that would be vested upon a change-of-control termination or a termination due to death or disability.</w:t>
      </w:r>
    </w:p>
    <w:p>
      <w:pPr>
        <w:spacing w:after="0" w:line="257" w:lineRule="exact"/>
        <w:rPr>
          <w:rFonts w:ascii="Arial" w:cs="Arial" w:eastAsia="Arial" w:hAnsi="Arial"/>
          <w:sz w:val="14"/>
          <w:szCs w:val="14"/>
          <w:color w:val="auto"/>
        </w:rPr>
      </w:pPr>
    </w:p>
    <w:p>
      <w:pPr>
        <w:jc w:val="both"/>
        <w:ind w:left="400" w:hanging="353"/>
        <w:spacing w:after="0" w:line="247" w:lineRule="auto"/>
        <w:tabs>
          <w:tab w:leader="none" w:pos="4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With respect to death, the Severance Policy provides that all obligations of the Company to make any further payments, except for accrued but unpaid salary and accrued but unpaid STI awards, terminate as of the date of the NEO’s death. Equity awards become 100% vested upon death. Each NEO’s dependents are eligible to receive reimbursement for the employee portion of COBRA premiums for a period not to exceed 36 months after the NEO’s date of death.</w:t>
      </w:r>
    </w:p>
    <w:p>
      <w:pPr>
        <w:spacing w:after="0" w:line="93" w:lineRule="exact"/>
        <w:rPr>
          <w:rFonts w:ascii="Arial" w:cs="Arial" w:eastAsia="Arial" w:hAnsi="Arial"/>
          <w:sz w:val="14"/>
          <w:szCs w:val="14"/>
          <w:color w:val="auto"/>
        </w:rPr>
      </w:pPr>
    </w:p>
    <w:p>
      <w:pPr>
        <w:jc w:val="both"/>
        <w:ind w:left="400" w:right="20" w:hanging="353"/>
        <w:spacing w:after="0" w:line="241" w:lineRule="auto"/>
        <w:tabs>
          <w:tab w:leader="none" w:pos="4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With respect to disability, the Severance Policy provides that all obligations of the Company to make any further payments, except for accrued but unpaid salary and accrued but unpaid annual STI awards, terminate on the earlier of (a) six months after the disability related termination or</w:t>
      </w:r>
    </w:p>
    <w:p>
      <w:pPr>
        <w:ind w:left="400" w:right="20" w:hanging="2"/>
        <w:spacing w:after="0" w:line="258" w:lineRule="auto"/>
        <w:tabs>
          <w:tab w:leader="none" w:pos="640" w:val="left"/>
        </w:tabs>
        <w:numPr>
          <w:ilvl w:val="1"/>
          <w:numId w:val="58"/>
        </w:numPr>
        <w:rPr>
          <w:rFonts w:ascii="Arial" w:cs="Arial" w:eastAsia="Arial" w:hAnsi="Arial"/>
          <w:sz w:val="14"/>
          <w:szCs w:val="14"/>
          <w:color w:val="auto"/>
        </w:rPr>
      </w:pPr>
      <w:r>
        <w:rPr>
          <w:rFonts w:ascii="Arial" w:cs="Arial" w:eastAsia="Arial" w:hAnsi="Arial"/>
          <w:sz w:val="14"/>
          <w:szCs w:val="14"/>
          <w:color w:val="auto"/>
        </w:rPr>
        <w:t>the date the NEO receives benefits under the Company’s long-term disability program. Equity awards become 100% vested upon the disability termination.</w:t>
      </w:r>
    </w:p>
    <w:p>
      <w:pPr>
        <w:spacing w:after="0" w:line="170" w:lineRule="exact"/>
        <w:rPr>
          <w:sz w:val="20"/>
          <w:szCs w:val="20"/>
          <w:color w:val="auto"/>
        </w:rPr>
      </w:pPr>
    </w:p>
    <w:p>
      <w:pPr>
        <w:ind w:left="7140"/>
        <w:spacing w:after="0"/>
        <w:tabs>
          <w:tab w:leader="none" w:pos="9040" w:val="left"/>
          <w:tab w:leader="none" w:pos="9340" w:val="left"/>
        </w:tabs>
        <w:rPr>
          <w:sz w:val="20"/>
          <w:szCs w:val="20"/>
          <w:color w:val="auto"/>
        </w:rPr>
      </w:pPr>
      <w:r>
        <w:rPr>
          <w:rFonts w:ascii="Arial" w:cs="Arial" w:eastAsia="Arial" w:hAnsi="Arial"/>
          <w:sz w:val="18"/>
          <w:szCs w:val="18"/>
          <w:i w:val="1"/>
          <w:iCs w:val="1"/>
          <w:color w:val="auto"/>
        </w:rPr>
        <w:t>2019 Proxy Statement</w:t>
      </w:r>
      <w:r>
        <w:rPr>
          <w:sz w:val="20"/>
          <w:szCs w:val="20"/>
          <w:color w:val="auto"/>
        </w:rPr>
        <w:tab/>
      </w:r>
      <w:r>
        <w:rPr>
          <w:rFonts w:ascii="Arial" w:cs="Arial" w:eastAsia="Arial" w:hAnsi="Arial"/>
          <w:sz w:val="22"/>
          <w:szCs w:val="22"/>
          <w:b w:val="1"/>
          <w:bCs w:val="1"/>
          <w:color w:val="000562"/>
        </w:rPr>
        <w:t>I</w:t>
      </w:r>
      <w:r>
        <w:rPr>
          <w:sz w:val="20"/>
          <w:szCs w:val="20"/>
          <w:color w:val="auto"/>
        </w:rPr>
        <w:tab/>
      </w:r>
      <w:r>
        <w:rPr>
          <w:rFonts w:ascii="Arial" w:cs="Arial" w:eastAsia="Arial" w:hAnsi="Arial"/>
          <w:sz w:val="17"/>
          <w:szCs w:val="17"/>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071870" cy="431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000562"/>
        </w:rPr>
        <w:t>TriMas Corporation</w:t>
      </w:r>
    </w:p>
    <w:p>
      <w:pPr>
        <w:spacing w:after="0" w:line="1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CEO Pay Ratio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0718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Mr. Amato, our CEO, had 2018 total compensation of $4,074,561, as reflected in the 2018 Summary Compensation Table. We estimate that the median of 2018 total compensation for all employees of the Company and its consolidated subsidiaries as of December 31, 2018 (the “Determination Date”), excluding our CEO, was $ 39,532, which amount comprises all applicable elements of compensation for 2018 in accordance with Item 402(c)(2)(x) of Regulation S-K (the “Median Annual Compensation”). The ratio of Mr. Amato’s 2018 total compensation to the Median Annual Compensation was approximately 103 to 1. We note that, due to our permitted use of reasonable estimates and assumptions in preparing this pay ratio disclosure, the disclosure may involve a degree of imprecision, and thus this ratio disclosure is a reasonable estimate calculated in a manner consistent with Item 402(u) of Regulation S-K using the data and assumptions described below.</w:t>
      </w:r>
    </w:p>
    <w:p>
      <w:pPr>
        <w:spacing w:after="0" w:line="1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 identify the employee who received the Median Annual Compensation (the “Median Employee”), we measured annual base pay (consisting of regular base earnings and overtime) for the period beginning on January 1, 2018 and ending on December 31, 2018 for 3,765 employees, representing all full-time, part-time, seasonal, temporary and contract employees (whose compensation is determined by the Company) of the Company and our consolidated subsidiaries as of the Determination Date. In determining the Median Employee, we also annualized compensation for employees who worked less than all of 2018 (other than temporary employees) based on reasonable assumptions and estimates relating to our employee compensation program, including new hires.</w:t>
      </w:r>
    </w:p>
    <w:p>
      <w:pPr>
        <w:spacing w:after="0" w:line="189" w:lineRule="exact"/>
        <w:rPr>
          <w:sz w:val="20"/>
          <w:szCs w:val="20"/>
          <w:color w:val="auto"/>
        </w:rPr>
      </w:pPr>
    </w:p>
    <w:p>
      <w:pPr>
        <w:ind w:left="360" w:hanging="349"/>
        <w:spacing w:after="0"/>
        <w:tabs>
          <w:tab w:leader="none" w:pos="360" w:val="left"/>
        </w:tabs>
        <w:numPr>
          <w:ilvl w:val="0"/>
          <w:numId w:val="59"/>
        </w:numPr>
        <w:rPr>
          <w:rFonts w:ascii="Arial" w:cs="Arial" w:eastAsia="Arial" w:hAnsi="Arial"/>
          <w:sz w:val="18"/>
          <w:szCs w:val="18"/>
          <w:b w:val="1"/>
          <w:bCs w:val="1"/>
          <w:color w:val="auto"/>
        </w:rPr>
      </w:pPr>
      <w:r>
        <w:rPr>
          <w:rFonts w:ascii="Arial" w:cs="Arial" w:eastAsia="Arial" w:hAnsi="Arial"/>
          <w:sz w:val="22"/>
          <w:szCs w:val="22"/>
          <w:b w:val="1"/>
          <w:bCs w:val="1"/>
          <w:color w:val="000562"/>
        </w:rPr>
        <w:t xml:space="preserve">I </w:t>
      </w:r>
      <w:r>
        <w:rPr>
          <w:rFonts w:ascii="Arial" w:cs="Arial" w:eastAsia="Arial" w:hAnsi="Arial"/>
          <w:sz w:val="18"/>
          <w:szCs w:val="18"/>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071870" cy="431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0562"/>
        </w:rPr>
        <w:t>ADDITIONAL INFORMATION</w:t>
      </w:r>
    </w:p>
    <w:p>
      <w:pPr>
        <w:spacing w:after="0" w:line="228" w:lineRule="exact"/>
        <w:rPr>
          <w:sz w:val="20"/>
          <w:szCs w:val="20"/>
          <w:color w:val="auto"/>
        </w:rPr>
      </w:pPr>
    </w:p>
    <w:p>
      <w:pPr>
        <w:spacing w:after="0"/>
        <w:rPr>
          <w:sz w:val="20"/>
          <w:szCs w:val="20"/>
          <w:color w:val="auto"/>
        </w:rPr>
      </w:pPr>
      <w:r>
        <w:rPr>
          <w:rFonts w:ascii="Arial" w:cs="Arial" w:eastAsia="Arial" w:hAnsi="Arial"/>
          <w:sz w:val="43"/>
          <w:szCs w:val="43"/>
          <w:color w:val="000562"/>
        </w:rPr>
        <w:t>ADDITIONAL INFORMATION</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What is the purpose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0718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the Annual Meeting, holders of the Company’s Common Stock will act upon the matters outlined in the accompanying notice of Annual Meeting, including: to elect three directors to serve until the annual meeting in 2022; to ratify the appointment of Deloitte as the Company’s independent registered public accounting firm for the fiscal year ending December 31, 2019; to approve, on a non-binding advisory basis, the compensation paid to the Company’s NEOs; and to transact such other business as may properly come before the meeting. In addition, management will report on the performance of the Company and will respond to appropriate questions from shareholders.</w:t>
      </w:r>
    </w:p>
    <w:p>
      <w:pPr>
        <w:spacing w:after="0" w:line="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Why didn’t I receive a paper copy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0718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3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We have distributed proxy materials to some of our shareholders over the internet by sending them a Notice of Internet Availability of Proxy Materials that explains how to access our proxy materials and vote online. Many other companies have transitioned to this more contemporary way of distributing annual meeting materials, often called “electronic proxy” or “Notice and Access.”</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“Notice and Access” process, which was approved by the SEC in 2007, expedites our shareholders’ receipt of these materials, lowers the costs of proxy solicitation and reduces the environmental impact of our annual meeting.</w:t>
      </w:r>
    </w:p>
    <w:p>
      <w:pPr>
        <w:spacing w:after="0" w:line="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What if I would like to receive a paper copy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0718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3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If you received a notice and would like us to send you a printed copy of our proxy materials, please follow the instructions included in your notice to request a copy.</w:t>
      </w:r>
    </w:p>
    <w:p>
      <w:pPr>
        <w:spacing w:after="0" w:line="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Who is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0718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Company’s Common Stock constitutes the Voting Stock of the Company. As of March 15, 2019 (the “Record Date”), there were no outstanding shares of preferred stock of the Company. Only record holders of Common Stock at the close of business on the Record Date are entitled to receive notice of the Annual Meeting and to vote those shares of Common Stock that they held on the Record Date. Each outstanding share of Common Stock is entitled to </w:t>
      </w:r>
      <w:r>
        <w:rPr>
          <w:rFonts w:ascii="Arial" w:cs="Arial" w:eastAsia="Arial" w:hAnsi="Arial"/>
          <w:sz w:val="18"/>
          <w:szCs w:val="18"/>
          <w:i w:val="1"/>
          <w:iCs w:val="1"/>
          <w:color w:val="auto"/>
        </w:rPr>
        <w:t>one vote</w:t>
      </w:r>
      <w:r>
        <w:rPr>
          <w:rFonts w:ascii="Arial" w:cs="Arial" w:eastAsia="Arial" w:hAnsi="Arial"/>
          <w:sz w:val="18"/>
          <w:szCs w:val="18"/>
          <w:color w:val="auto"/>
        </w:rPr>
        <w:t xml:space="preserve"> on each matter to be voted upon at the Annual Meeting.</w:t>
      </w:r>
    </w:p>
    <w:p>
      <w:pPr>
        <w:spacing w:after="0" w:line="8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What constitutes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0718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business to be conducted at the Annual Meeting, a quorum must be present. The presence at the Annual Meeting, in person or by proxy, of the holders of a majority of the shares of Common Stock issued and outstanding and entitled to vote on the Record Date will constitute a quorum for all purposes. As of the Record Date, 45,686,317 shares of Common Stock were issued and outstanding and entitled to vote. Broker non-votes and proxies marked with abstentions or instructions to withhold votes will be counted as present in determining whether there is a quorum.</w:t>
      </w:r>
    </w:p>
    <w:p>
      <w:pPr>
        <w:spacing w:after="0" w:line="149" w:lineRule="exact"/>
        <w:rPr>
          <w:sz w:val="20"/>
          <w:szCs w:val="20"/>
          <w:color w:val="auto"/>
        </w:rPr>
      </w:pPr>
    </w:p>
    <w:p>
      <w:pPr>
        <w:ind w:right="260"/>
        <w:spacing w:after="0" w:line="243" w:lineRule="auto"/>
        <w:rPr>
          <w:sz w:val="20"/>
          <w:szCs w:val="20"/>
          <w:color w:val="auto"/>
        </w:rPr>
      </w:pPr>
      <w:r>
        <w:rPr>
          <w:rFonts w:ascii="Arial" w:cs="Arial" w:eastAsia="Arial" w:hAnsi="Arial"/>
          <w:sz w:val="25"/>
          <w:szCs w:val="25"/>
          <w:b w:val="1"/>
          <w:bCs w:val="1"/>
          <w:color w:val="auto"/>
        </w:rPr>
        <w:t>What is the difference between holding shares as a shareholder of record and being a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60718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 xml:space="preserve">Shareholders of Record. </w:t>
      </w:r>
      <w:r>
        <w:rPr>
          <w:rFonts w:ascii="Arial" w:cs="Arial" w:eastAsia="Arial" w:hAnsi="Arial"/>
          <w:sz w:val="18"/>
          <w:szCs w:val="18"/>
          <w:color w:val="auto"/>
        </w:rPr>
        <w:t>If, at the close of business on the Record Date, your shares are registered directly in your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 with the Company’s transfer agent, Computershare, you are considered the shareholder of record with respect to those shares, and these proxy materials (including a proxy card) are being sent directly to you by the Company. As a shareholder of record, you have the right to grant your voting proxy directly to the Company via the proxy card or to vote in person at the Annual Meeting.</w:t>
      </w:r>
    </w:p>
    <w:p>
      <w:pPr>
        <w:spacing w:after="0" w:line="184" w:lineRule="exact"/>
        <w:rPr>
          <w:sz w:val="20"/>
          <w:szCs w:val="20"/>
          <w:color w:val="auto"/>
        </w:rPr>
      </w:pPr>
    </w:p>
    <w:p>
      <w:pPr>
        <w:ind w:left="7140"/>
        <w:spacing w:after="0"/>
        <w:tabs>
          <w:tab w:leader="none" w:pos="9040" w:val="left"/>
          <w:tab w:leader="none" w:pos="9340" w:val="left"/>
        </w:tabs>
        <w:rPr>
          <w:sz w:val="20"/>
          <w:szCs w:val="20"/>
          <w:color w:val="auto"/>
        </w:rPr>
      </w:pPr>
      <w:r>
        <w:rPr>
          <w:rFonts w:ascii="Arial" w:cs="Arial" w:eastAsia="Arial" w:hAnsi="Arial"/>
          <w:sz w:val="18"/>
          <w:szCs w:val="18"/>
          <w:i w:val="1"/>
          <w:iCs w:val="1"/>
          <w:color w:val="auto"/>
        </w:rPr>
        <w:t>2019 Proxy Statement</w:t>
      </w:r>
      <w:r>
        <w:rPr>
          <w:sz w:val="20"/>
          <w:szCs w:val="20"/>
          <w:color w:val="auto"/>
        </w:rPr>
        <w:tab/>
      </w:r>
      <w:r>
        <w:rPr>
          <w:rFonts w:ascii="Arial" w:cs="Arial" w:eastAsia="Arial" w:hAnsi="Arial"/>
          <w:sz w:val="22"/>
          <w:szCs w:val="22"/>
          <w:b w:val="1"/>
          <w:bCs w:val="1"/>
          <w:color w:val="000562"/>
        </w:rPr>
        <w:t>I</w:t>
      </w:r>
      <w:r>
        <w:rPr>
          <w:sz w:val="20"/>
          <w:szCs w:val="20"/>
          <w:color w:val="auto"/>
        </w:rPr>
        <w:tab/>
      </w:r>
      <w:r>
        <w:rPr>
          <w:rFonts w:ascii="Arial" w:cs="Arial" w:eastAsia="Arial" w:hAnsi="Arial"/>
          <w:sz w:val="17"/>
          <w:szCs w:val="17"/>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071870" cy="431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000562"/>
        </w:rPr>
        <w:t>TriMas Corporation</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Beneficial Owners. </w:t>
      </w:r>
      <w:r>
        <w:rPr>
          <w:rFonts w:ascii="Arial" w:cs="Arial" w:eastAsia="Arial" w:hAnsi="Arial"/>
          <w:sz w:val="18"/>
          <w:szCs w:val="18"/>
          <w:color w:val="auto"/>
        </w:rPr>
        <w:t>If, at the close of business on the Record Date, your shares were not issued directly in your name,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but were held in a stock brokerage account or by a bank, trustee or other nominee, you are considered the beneficial owner of shares, and these proxy materials (including a voting instruction card) are being forwarded to you by your broker, trustee, bank or nominee who is considered the shareholder of record with respect to those shares. As the beneficial owner, you have the right to direct your broker, trustee, bank or nominee on how to vote the shares in your account and are also invited to attend the Annual Meeting. However, since you are not the shareholder of record, you may not vote these shares in person at the Annual Meeting unless you request and obtain a proxy from your broker, trustee, bank or nominee. Your broker, trustee, bank or nominee has enclosed a voting instruction card for you to use in directing the broker, trustee, bank or nominee on how to vote your shares.</w:t>
      </w:r>
    </w:p>
    <w:p>
      <w:pPr>
        <w:spacing w:after="0" w:line="7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0718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2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 xml:space="preserve">Shareholders of Record. </w:t>
      </w:r>
      <w:r>
        <w:rPr>
          <w:rFonts w:ascii="Arial" w:cs="Arial" w:eastAsia="Arial" w:hAnsi="Arial"/>
          <w:sz w:val="18"/>
          <w:szCs w:val="18"/>
          <w:color w:val="auto"/>
        </w:rPr>
        <w:t>If you complete and properly sign the proxy card and return it to the Company, it will be voted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you direct. You may also vote via telephone or internet (as indicated on your proxy card). If you attend the Annual Meeting, you may deliver your completed proxy card in person or vote by ballot.</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Beneficial Owners. </w:t>
      </w:r>
      <w:r>
        <w:rPr>
          <w:rFonts w:ascii="Arial" w:cs="Arial" w:eastAsia="Arial" w:hAnsi="Arial"/>
          <w:sz w:val="18"/>
          <w:szCs w:val="18"/>
          <w:color w:val="auto"/>
        </w:rPr>
        <w:t>If you complete and properly sign the voting instruction card and return it to your broker,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 or other nominee, it will be voted as you direct. You may also vote via telephone or internet (as indicated on your voting instruction card). If you want to vote your shares at the Annual Meeting, you must request and obtain a proxy from such broker, trustee, bank or other nominee confirming that you beneficially own such shares and giving you the power to vote such shares.</w:t>
      </w:r>
    </w:p>
    <w:p>
      <w:pPr>
        <w:spacing w:after="0" w:line="14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Can I change my vote after I return my proxy card or voting instruction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60718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Shareholders of Record. </w:t>
      </w:r>
      <w:r>
        <w:rPr>
          <w:rFonts w:ascii="Arial" w:cs="Arial" w:eastAsia="Arial" w:hAnsi="Arial"/>
          <w:sz w:val="18"/>
          <w:szCs w:val="18"/>
          <w:color w:val="auto"/>
        </w:rPr>
        <w:t>You may change your vote at any time before the proxy is exercised by filing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Secretary of the Company, at 38505 Woodward Avenue, Suite 200, Bloomfield Hills, Michigan 48304, either written notice revoking the proxy or a properly signed proxy that is dated later than the proxy card. If you attend the Annual Meeting, the individuals named as proxy holders in the proxy card will nevertheless have authority to vote your shares in accordance with your instructions on the proxy card unless you properly file such notice or new proxy.</w:t>
      </w:r>
    </w:p>
    <w:p>
      <w:pPr>
        <w:spacing w:after="0" w:line="7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Beneficial Owners. </w:t>
      </w:r>
      <w:r>
        <w:rPr>
          <w:rFonts w:ascii="Arial" w:cs="Arial" w:eastAsia="Arial" w:hAnsi="Arial"/>
          <w:sz w:val="18"/>
          <w:szCs w:val="18"/>
          <w:color w:val="auto"/>
        </w:rPr>
        <w:t>If you hold your shares through a bank, trustee, broker or other nominee, you should contact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to submit new voting instructions prior to the time such voting instructions are exercised.</w:t>
      </w:r>
    </w:p>
    <w:p>
      <w:pPr>
        <w:spacing w:after="0" w:line="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will my shares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0718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Shareholders of Record. </w:t>
      </w:r>
      <w:r>
        <w:rPr>
          <w:rFonts w:ascii="Arial" w:cs="Arial" w:eastAsia="Arial" w:hAnsi="Arial"/>
          <w:sz w:val="18"/>
          <w:szCs w:val="18"/>
          <w:color w:val="auto"/>
        </w:rPr>
        <w:t>All shares represented by the proxies mailed to shareholders will be voted at the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Meeting in accordance with instructions given by the shareholders. Where no instructions are given, the shares will be voted (1) for the election of the Board of Directors’ nominees for three directors, (2) for the ratification of the appointment of Deloitte as the Company’s independent registered public accounting firm for the year ending December 31, 2019 and (3) for the approval, on a non-binding advisory basis, the compensation paid to the Company’s NEOs.</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Beneficial Owners. </w:t>
      </w:r>
      <w:r>
        <w:rPr>
          <w:rFonts w:ascii="Arial" w:cs="Arial" w:eastAsia="Arial" w:hAnsi="Arial"/>
          <w:sz w:val="18"/>
          <w:szCs w:val="18"/>
          <w:color w:val="auto"/>
        </w:rPr>
        <w:t>The brokers, banks or nominees holding shares for beneficial owners must vote those shares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instructed, and if no instructions from the beneficial owner are received on a matter deemed to be non-routine, they may not vote the shares on that matter. Under applicable law, a broker, bank or nominee has the discretion to vote on routine matters, such as Proposal 2, but does not have discretion to vote with respect to non-routine matters, such as Proposals 1 or 3. Common Stock subject to broker non-votes will be considered present at the meeting for purposes of determining whether there is a quorum. Broker non-votes will have no effect in determining the outcome of the vote on Proposal 1 and will have the effect of a vote against Proposal 3. In order to avoid a broker non-vote of your shares on this proposal, you must send voting instructions to your bank, broker or nominee.</w:t>
      </w:r>
    </w:p>
    <w:p>
      <w:pPr>
        <w:spacing w:after="0" w:line="189" w:lineRule="exact"/>
        <w:rPr>
          <w:sz w:val="20"/>
          <w:szCs w:val="20"/>
          <w:color w:val="auto"/>
        </w:rPr>
      </w:pPr>
    </w:p>
    <w:p>
      <w:pPr>
        <w:ind w:left="360" w:hanging="349"/>
        <w:spacing w:after="0"/>
        <w:tabs>
          <w:tab w:leader="none" w:pos="360" w:val="left"/>
        </w:tabs>
        <w:numPr>
          <w:ilvl w:val="0"/>
          <w:numId w:val="60"/>
        </w:numPr>
        <w:rPr>
          <w:rFonts w:ascii="Arial" w:cs="Arial" w:eastAsia="Arial" w:hAnsi="Arial"/>
          <w:sz w:val="18"/>
          <w:szCs w:val="18"/>
          <w:b w:val="1"/>
          <w:bCs w:val="1"/>
          <w:color w:val="auto"/>
        </w:rPr>
      </w:pPr>
      <w:r>
        <w:rPr>
          <w:rFonts w:ascii="Arial" w:cs="Arial" w:eastAsia="Arial" w:hAnsi="Arial"/>
          <w:sz w:val="22"/>
          <w:szCs w:val="22"/>
          <w:b w:val="1"/>
          <w:bCs w:val="1"/>
          <w:color w:val="000562"/>
        </w:rPr>
        <w:t xml:space="preserve">I </w:t>
      </w:r>
      <w:r>
        <w:rPr>
          <w:rFonts w:ascii="Arial" w:cs="Arial" w:eastAsia="Arial" w:hAnsi="Arial"/>
          <w:sz w:val="18"/>
          <w:szCs w:val="18"/>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071870" cy="431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0562"/>
        </w:rPr>
        <w:t>ADDITIONAL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What are the Board’s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0718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a vote: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Proposal 1</w:t>
      </w:r>
      <w:r>
        <w:rPr>
          <w:rFonts w:ascii="Arial" w:cs="Arial" w:eastAsia="Arial" w:hAnsi="Arial"/>
          <w:sz w:val="18"/>
          <w:szCs w:val="18"/>
          <w:b w:val="1"/>
          <w:bCs w:val="1"/>
          <w:color w:val="auto"/>
        </w:rPr>
        <w:t xml:space="preserve"> —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election of the nominated slate of directors.</w:t>
      </w:r>
    </w:p>
    <w:p>
      <w:pPr>
        <w:spacing w:after="0" w:line="10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u w:val="single" w:color="auto"/>
          <w:color w:val="auto"/>
        </w:rPr>
        <w:t>Proposal 2</w:t>
      </w:r>
      <w:r>
        <w:rPr>
          <w:rFonts w:ascii="Arial" w:cs="Arial" w:eastAsia="Arial" w:hAnsi="Arial"/>
          <w:sz w:val="18"/>
          <w:szCs w:val="18"/>
          <w:b w:val="1"/>
          <w:bCs w:val="1"/>
          <w:color w:val="auto"/>
        </w:rPr>
        <w:t xml:space="preserve"> —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ratification of the appointment of Deloitte as the Company’s independent registered public accounting firm for the fiscal year ending December 31, 2019.</w:t>
      </w:r>
    </w:p>
    <w:p>
      <w:pPr>
        <w:spacing w:after="0" w:line="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u w:val="single" w:color="auto"/>
          <w:color w:val="auto"/>
        </w:rPr>
        <w:t>Proposal 3</w:t>
      </w:r>
      <w:r>
        <w:rPr>
          <w:rFonts w:ascii="Arial" w:cs="Arial" w:eastAsia="Arial" w:hAnsi="Arial"/>
          <w:sz w:val="18"/>
          <w:szCs w:val="18"/>
          <w:b w:val="1"/>
          <w:bCs w:val="1"/>
          <w:color w:val="auto"/>
        </w:rPr>
        <w:t xml:space="preserve"> —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approval, on a non-binding advisory basis, of the compensation paid to the Company’s NEOs.</w:t>
      </w:r>
    </w:p>
    <w:p>
      <w:pPr>
        <w:spacing w:after="0" w:line="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What vote is required to approve each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0718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1 - Election of Directors.</w:t>
      </w:r>
    </w:p>
    <w:p>
      <w:pPr>
        <w:spacing w:after="0" w:line="1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three nominees who receive the most votes cast at the Annual Meeting will be elected as directors, provided a quorum of at least a majority of the outstanding shares of the Company’s Common Stock is represented at the meeting. However, we have adopted a majority voting policy that is applicable in uncontested director elections. This means that the plurality standard will determine whether a director nominee is elected, but our majority voting policy will further require that the number of votes cast “for” a director must exceed the number of votes “withheld” from that director or the director must submit his or her resignation. The Board, taking into account the recommendation of the Governance and Nominating Committee, would then determine whether to accept or reject any required resignation. A proxy card marked “Withhold” or “For All Except” with respect to the election of one or more directors will not be voted with respect to the director or directors indicated. Abstentions and broker non-votes will each be counted as present for purposes of determining the presence of a quorum, but will have no effect on the election of directors.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2 - Ratification of the Appointment of Independent Registered Public Accounting Firm.</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affirmative vote of a majority of the shares of Common Stock present or represented by proxy at the Annual Meeting will be necessary to ratify the Audit Committee’s appointment of Deloitte as the Company’s independent registered public accounting firm for the fiscal year ending December 31, 2019, provided that a quorum is present. Abstentions will have the same effect as a vote against the matter. Although shareholder ratification of the appointment is not required by law and is not binding on the Company, the Audit Committee will take the appointment under advisement if such appointment is not so ratified.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3 - Approval, on a non-binding advisory basis, of the compensation paid to the Company’s NEOs.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affirmative vote of a majority of the shares of Common Stock present or represented by proxy at the Annual Meeting will be necessary to approve the non-binding advisory resolution approving the compensation paid to the Company’s NEOs. While the Board of Directors intends to carefully consider the shareholder vote resulting from this proposal, the final vote is advisory in nature. Abstentions will have the same effect as a vote against the matter.</w:t>
      </w:r>
    </w:p>
    <w:p>
      <w:pPr>
        <w:spacing w:after="0" w:line="8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What will happen if other matters are raised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0718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any other matter is properly submitted to the shareholders at the Annual Meeting, its adoption will require the affirmative vote of a majority of the shares of Common Stock outstanding on the Record Date that is present or represented at the Annual Meeting. The Board does not propose to conduct any business at the Annual Meeting other than as stated above.</w:t>
      </w:r>
    </w:p>
    <w:p>
      <w:pPr>
        <w:spacing w:after="0" w:line="8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do I find out the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0718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Preliminary voting results will be announced at the Annual Meeting and final voting results will be published by the Company in a Current Report on Form 8-K.</w:t>
      </w:r>
    </w:p>
    <w:p>
      <w:pPr>
        <w:spacing w:after="0" w:line="178" w:lineRule="exact"/>
        <w:rPr>
          <w:sz w:val="20"/>
          <w:szCs w:val="20"/>
          <w:color w:val="auto"/>
        </w:rPr>
      </w:pPr>
    </w:p>
    <w:p>
      <w:pPr>
        <w:ind w:left="7140"/>
        <w:spacing w:after="0"/>
        <w:tabs>
          <w:tab w:leader="none" w:pos="9040" w:val="left"/>
          <w:tab w:leader="none" w:pos="9340" w:val="left"/>
        </w:tabs>
        <w:rPr>
          <w:sz w:val="20"/>
          <w:szCs w:val="20"/>
          <w:color w:val="auto"/>
        </w:rPr>
      </w:pPr>
      <w:r>
        <w:rPr>
          <w:rFonts w:ascii="Arial" w:cs="Arial" w:eastAsia="Arial" w:hAnsi="Arial"/>
          <w:sz w:val="18"/>
          <w:szCs w:val="18"/>
          <w:i w:val="1"/>
          <w:iCs w:val="1"/>
          <w:color w:val="auto"/>
        </w:rPr>
        <w:t>2019 Proxy Statement</w:t>
      </w:r>
      <w:r>
        <w:rPr>
          <w:sz w:val="20"/>
          <w:szCs w:val="20"/>
          <w:color w:val="auto"/>
        </w:rPr>
        <w:tab/>
      </w:r>
      <w:r>
        <w:rPr>
          <w:rFonts w:ascii="Arial" w:cs="Arial" w:eastAsia="Arial" w:hAnsi="Arial"/>
          <w:sz w:val="22"/>
          <w:szCs w:val="22"/>
          <w:b w:val="1"/>
          <w:bCs w:val="1"/>
          <w:color w:val="000562"/>
        </w:rPr>
        <w:t>I</w:t>
      </w:r>
      <w:r>
        <w:rPr>
          <w:sz w:val="20"/>
          <w:szCs w:val="20"/>
          <w:color w:val="auto"/>
        </w:rPr>
        <w:tab/>
      </w:r>
      <w:r>
        <w:rPr>
          <w:rFonts w:ascii="Arial" w:cs="Arial" w:eastAsia="Arial" w:hAnsi="Arial"/>
          <w:sz w:val="17"/>
          <w:szCs w:val="17"/>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071870" cy="431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000562"/>
        </w:rPr>
        <w:t>TriMas Corporation</w:t>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may I obtain an additional copy of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0718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you share an address with another shareholder, you may receive only one set of proxy materials unless you have provided contrary instructions. If you wish to receive a separate set of proxy materials now or in the future, please request the additional copy by contacting TriMas Corporation, Attention: Investor Relations, 38505 Woodward Avenue, Suite 200, Bloomfield Hills, Michigan 48304, Telephone 248-631-5450, or by email to generalcounsel@trimascorp.com. Additionally, if you have been receiving multiple sets of proxy materials and wish to receive only one set of proxy materials, please contact the Company’s Investor Relations department in the manner provided above.</w:t>
      </w:r>
    </w:p>
    <w:p>
      <w:pPr>
        <w:spacing w:after="0" w:line="152" w:lineRule="exact"/>
        <w:rPr>
          <w:sz w:val="20"/>
          <w:szCs w:val="20"/>
          <w:color w:val="auto"/>
        </w:rPr>
      </w:pPr>
    </w:p>
    <w:p>
      <w:pPr>
        <w:ind w:right="360"/>
        <w:spacing w:after="0" w:line="243" w:lineRule="auto"/>
        <w:rPr>
          <w:sz w:val="20"/>
          <w:szCs w:val="20"/>
          <w:color w:val="auto"/>
        </w:rPr>
      </w:pPr>
      <w:r>
        <w:rPr>
          <w:rFonts w:ascii="Arial" w:cs="Arial" w:eastAsia="Arial" w:hAnsi="Arial"/>
          <w:sz w:val="25"/>
          <w:szCs w:val="25"/>
          <w:b w:val="1"/>
          <w:bCs w:val="1"/>
          <w:color w:val="auto"/>
        </w:rPr>
        <w:t>What does it mean if I receive more than one proxy card or voting instruction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60718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you receive more than one proxy card or voting instruction card, it means that you have multiple accounts with banks, trustees, brokers, other nominees and/or the Company’s transfer agent. Please sign and deliver each proxy card and voting instruction card that you receive to ensure that all of your shares will be voted. We recommend that you contact your nominee and/or the Company’s transfer agent, as appropriate, to consolidate as many accounts as possible under the same name and address.</w:t>
      </w:r>
    </w:p>
    <w:p>
      <w:pPr>
        <w:spacing w:after="0" w:line="8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Who pays for the 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0718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accompanying proxy is being solicited by the Company’s Board. The Company will bear the cost of soliciting the proxies. Officers and other management employees of the Company will receive no additional compensation for the solicitation of proxies and may use mail, e-mail, personal interview and/or telephone.</w:t>
      </w:r>
    </w:p>
    <w:p>
      <w:pPr>
        <w:spacing w:after="0" w:line="145" w:lineRule="exact"/>
        <w:rPr>
          <w:sz w:val="20"/>
          <w:szCs w:val="20"/>
          <w:color w:val="auto"/>
        </w:rPr>
      </w:pPr>
    </w:p>
    <w:p>
      <w:pPr>
        <w:ind w:right="280"/>
        <w:spacing w:after="0" w:line="243" w:lineRule="auto"/>
        <w:rPr>
          <w:sz w:val="20"/>
          <w:szCs w:val="20"/>
          <w:color w:val="auto"/>
        </w:rPr>
      </w:pPr>
      <w:r>
        <w:rPr>
          <w:rFonts w:ascii="Arial" w:cs="Arial" w:eastAsia="Arial" w:hAnsi="Arial"/>
          <w:sz w:val="25"/>
          <w:szCs w:val="25"/>
          <w:b w:val="1"/>
          <w:bCs w:val="1"/>
          <w:color w:val="auto"/>
        </w:rPr>
        <w:t>How can I access the Company’s proxy materials and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60718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Financial Information subsection under “Investors” on the Company’s website, </w:t>
      </w:r>
      <w:r>
        <w:rPr>
          <w:rFonts w:ascii="Arial" w:cs="Arial" w:eastAsia="Arial" w:hAnsi="Arial"/>
          <w:sz w:val="18"/>
          <w:szCs w:val="18"/>
          <w:i w:val="1"/>
          <w:iCs w:val="1"/>
          <w:color w:val="auto"/>
        </w:rPr>
        <w:t>www.trimascorp.com</w:t>
      </w:r>
      <w:r>
        <w:rPr>
          <w:rFonts w:ascii="Arial" w:cs="Arial" w:eastAsia="Arial" w:hAnsi="Arial"/>
          <w:sz w:val="18"/>
          <w:szCs w:val="18"/>
          <w:color w:val="auto"/>
        </w:rPr>
        <w:t xml:space="preserve">, provides access, free of charge, to SEC reports as soon as reasonably practicable after the Company electronically files such reports with, or furnishes such reports to, the SEC, including proxy materials, Annual Reports on Form 10-K, Quarterly Reports on Form 10-Q, Current Reports on Form 8-K and amendments to these reports. </w:t>
      </w:r>
      <w:r>
        <w:rPr>
          <w:rFonts w:ascii="Arial" w:cs="Arial" w:eastAsia="Arial" w:hAnsi="Arial"/>
          <w:sz w:val="18"/>
          <w:szCs w:val="18"/>
          <w:b w:val="1"/>
          <w:bCs w:val="1"/>
          <w:color w:val="auto"/>
        </w:rPr>
        <w:t>The Company has posted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printable and searchable 2019 proxy materials to the Company’s website at http://ir.trimascorp.com. </w:t>
      </w:r>
      <w:r>
        <w:rPr>
          <w:rFonts w:ascii="Arial" w:cs="Arial" w:eastAsia="Arial" w:hAnsi="Arial"/>
          <w:sz w:val="18"/>
          <w:szCs w:val="18"/>
          <w:color w:val="auto"/>
        </w:rPr>
        <w:t>A copy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Annual Report on Form 10-K for the year ended December 31, 2018, as filed with the SEC, will be sent to any shareholder, without charge, upon written request sent to the Company’s executive offices at TriMas Corporation, Attention: Investor Relations, 38505 Woodward Avenue, Suite 200, Bloomfield Hills, Michigan 48304 or by email to generalcounsel@trimascorp.com.</w:t>
      </w:r>
    </w:p>
    <w:p>
      <w:pPr>
        <w:spacing w:after="0" w:line="8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The references to the website address of the Company and SEC in this proxy statement are not intended to function as a hyperlink and, except as specified herein, the information contained on such websites is not part of this proxy statement.</w:t>
      </w:r>
    </w:p>
    <w:p>
      <w:pPr>
        <w:spacing w:after="0" w:line="7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Is a registered list of shareholders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0718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3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names of shareholders of record entitled to vote at the Annual Meeting will be available to shareholders entitled to vote at the meeting on Tuesday, May 14, 2019 at the Company’s headquarters.</w:t>
      </w:r>
    </w:p>
    <w:p>
      <w:pPr>
        <w:spacing w:after="0" w:line="140" w:lineRule="exact"/>
        <w:rPr>
          <w:sz w:val="20"/>
          <w:szCs w:val="20"/>
          <w:color w:val="auto"/>
        </w:rPr>
      </w:pPr>
    </w:p>
    <w:p>
      <w:pPr>
        <w:ind w:right="180"/>
        <w:spacing w:after="0" w:line="243" w:lineRule="auto"/>
        <w:rPr>
          <w:sz w:val="20"/>
          <w:szCs w:val="20"/>
          <w:color w:val="auto"/>
        </w:rPr>
      </w:pPr>
      <w:r>
        <w:rPr>
          <w:rFonts w:ascii="Arial" w:cs="Arial" w:eastAsia="Arial" w:hAnsi="Arial"/>
          <w:sz w:val="25"/>
          <w:szCs w:val="25"/>
          <w:b w:val="1"/>
          <w:bCs w:val="1"/>
          <w:color w:val="auto"/>
        </w:rPr>
        <w:t>How and when may I submit a shareholder proposal or director nomination for the 2020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60718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a shareholder proposal to be considered for inclusion in the Company’s proxy statement for the 2020 Annual Meeting, the Corporate Secretary must receive the written proposal at the Company’s principal executive offices no later than December 3, 2019. Such proposals also must comply with SEC regulations</w:t>
      </w:r>
    </w:p>
    <w:p>
      <w:pPr>
        <w:spacing w:after="0" w:line="184" w:lineRule="exact"/>
        <w:rPr>
          <w:sz w:val="20"/>
          <w:szCs w:val="20"/>
          <w:color w:val="auto"/>
        </w:rPr>
      </w:pPr>
    </w:p>
    <w:p>
      <w:pPr>
        <w:ind w:left="360" w:hanging="349"/>
        <w:spacing w:after="0"/>
        <w:tabs>
          <w:tab w:leader="none" w:pos="360" w:val="left"/>
        </w:tabs>
        <w:numPr>
          <w:ilvl w:val="0"/>
          <w:numId w:val="61"/>
        </w:numPr>
        <w:rPr>
          <w:rFonts w:ascii="Arial" w:cs="Arial" w:eastAsia="Arial" w:hAnsi="Arial"/>
          <w:sz w:val="18"/>
          <w:szCs w:val="18"/>
          <w:b w:val="1"/>
          <w:bCs w:val="1"/>
          <w:color w:val="auto"/>
        </w:rPr>
      </w:pPr>
      <w:r>
        <w:rPr>
          <w:rFonts w:ascii="Arial" w:cs="Arial" w:eastAsia="Arial" w:hAnsi="Arial"/>
          <w:sz w:val="22"/>
          <w:szCs w:val="22"/>
          <w:b w:val="1"/>
          <w:bCs w:val="1"/>
          <w:color w:val="000562"/>
        </w:rPr>
        <w:t xml:space="preserve">I </w:t>
      </w:r>
      <w:r>
        <w:rPr>
          <w:rFonts w:ascii="Arial" w:cs="Arial" w:eastAsia="Arial" w:hAnsi="Arial"/>
          <w:sz w:val="18"/>
          <w:szCs w:val="18"/>
          <w:i w:val="1"/>
          <w:iCs w:val="1"/>
          <w:color w:val="000000"/>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071870" cy="431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6900"/>
        <w:spacing w:after="0"/>
        <w:rPr>
          <w:sz w:val="20"/>
          <w:szCs w:val="20"/>
          <w:color w:val="auto"/>
        </w:rPr>
      </w:pPr>
      <w:r>
        <w:rPr>
          <w:rFonts w:ascii="Arial" w:cs="Arial" w:eastAsia="Arial" w:hAnsi="Arial"/>
          <w:sz w:val="19"/>
          <w:szCs w:val="19"/>
          <w:b w:val="1"/>
          <w:bCs w:val="1"/>
          <w:color w:val="000562"/>
        </w:rPr>
        <w:t>ADDITIONAL INFORMATION</w:t>
      </w: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Rule 14a-8 regarding the inclusion of shareholder proposals in company-sponsored proxy materials. Proposals should be addressed to TriMas Corporation, Senior Vice President, General Counsel, Chief Compliance Officer and Corporate Secretary, 38505 Woodward Avenue, Suite 200, Bloomfield Hills, Michigan 48304 or by fax to (888) 318-8873.</w:t>
      </w:r>
    </w:p>
    <w:p>
      <w:pPr>
        <w:spacing w:after="0" w:line="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a shareholder proposal or director nomination that is intended to be considered at the 2020 Annual Meeting, but not included in the Company’s proxy statement, the shareholder must give timely notice to the Corporate Secretary not earlier than January 15, 2020 and not later than the close of business on February 14, 2020. Any shareholder proposal must set forth (1) a brief description of the business desired to be brought before the 2020 Annual Meeting and the reasons for conducting such business, (2) the name and address, as they appear on the Company’s books, of the shareholder proposing such business, (3) the number of shares of Common Stock that are beneficially owned by the shareholder, (4) any material interest of the shareholder in such business and (5) any additional information that is required to be provided by the shareholder pursuant to Regulation 14A under the Exchange Act or the Company’s Third Amended and Restated Bylaws.</w:t>
      </w:r>
    </w:p>
    <w:p>
      <w:pPr>
        <w:spacing w:after="0" w:line="194" w:lineRule="exact"/>
        <w:rPr>
          <w:sz w:val="20"/>
          <w:szCs w:val="20"/>
          <w:color w:val="auto"/>
        </w:rPr>
      </w:pPr>
    </w:p>
    <w:p>
      <w:pPr>
        <w:ind w:left="7140"/>
        <w:spacing w:after="0"/>
        <w:tabs>
          <w:tab w:leader="none" w:pos="9040" w:val="left"/>
          <w:tab w:leader="none" w:pos="9340" w:val="left"/>
        </w:tabs>
        <w:rPr>
          <w:sz w:val="20"/>
          <w:szCs w:val="20"/>
          <w:color w:val="auto"/>
        </w:rPr>
      </w:pPr>
      <w:r>
        <w:rPr>
          <w:rFonts w:ascii="Arial" w:cs="Arial" w:eastAsia="Arial" w:hAnsi="Arial"/>
          <w:sz w:val="18"/>
          <w:szCs w:val="18"/>
          <w:i w:val="1"/>
          <w:iCs w:val="1"/>
          <w:color w:val="auto"/>
        </w:rPr>
        <w:t>2019 Proxy Statement</w:t>
      </w:r>
      <w:r>
        <w:rPr>
          <w:sz w:val="20"/>
          <w:szCs w:val="20"/>
          <w:color w:val="auto"/>
        </w:rPr>
        <w:tab/>
      </w:r>
      <w:r>
        <w:rPr>
          <w:rFonts w:ascii="Arial" w:cs="Arial" w:eastAsia="Arial" w:hAnsi="Arial"/>
          <w:sz w:val="22"/>
          <w:szCs w:val="22"/>
          <w:b w:val="1"/>
          <w:bCs w:val="1"/>
          <w:color w:val="000562"/>
        </w:rPr>
        <w:t>I</w:t>
      </w:r>
      <w:r>
        <w:rPr>
          <w:sz w:val="20"/>
          <w:szCs w:val="20"/>
          <w:color w:val="auto"/>
        </w:rPr>
        <w:tab/>
      </w:r>
      <w:r>
        <w:rPr>
          <w:rFonts w:ascii="Arial" w:cs="Arial" w:eastAsia="Arial" w:hAnsi="Arial"/>
          <w:sz w:val="17"/>
          <w:szCs w:val="17"/>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071870" cy="431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294755" cy="86099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4755" cy="860996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071870" cy="77012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71870" cy="770128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071870" cy="77012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71870" cy="7701280"/>
                    </a:xfrm>
                    <a:prstGeom prst="rect">
                      <a:avLst/>
                    </a:prstGeom>
                    <a:noFill/>
                  </pic:spPr>
                </pic:pic>
              </a:graphicData>
            </a:graphic>
          </wp:anchor>
        </w:drawing>
      </w:r>
    </w:p>
    <w:sectPr>
      <w:pgSz w:w="11900" w:h="16838" w:orient="portrait"/>
      <w:cols w:equalWidth="0" w:num="1">
        <w:col w:w="9279"/>
      </w:cols>
      <w:pgMar w:left="1180" w:top="2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o"/>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o"/>
      <w:numFmt w:val="bullet"/>
      <w:start w:val="1"/>
    </w:lvl>
    <w:lvl w:ilvl="1">
      <w:lvlJc w:val="left"/>
      <w:lvlText w:val="(%2)"/>
      <w:numFmt w:val="decimal"/>
      <w:start w:val="1"/>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2"/>
      <w:numFmt w:val="bullet"/>
      <w:start w:val="1"/>
    </w:lvl>
  </w:abstractNum>
  <w:abstractNum w:abstractNumId="9">
    <w:nsid w:val="440BADFC"/>
    <w:multiLevelType w:val="hybridMultilevel"/>
    <w:lvl w:ilvl="0">
      <w:lvlJc w:val="left"/>
      <w:lvlText w:val="4"/>
      <w:numFmt w:val="bullet"/>
      <w:start w:val="1"/>
    </w:lvl>
  </w:abstractNum>
  <w:abstractNum w:abstractNumId="10">
    <w:nsid w:val="5072367"/>
    <w:multiLevelType w:val="hybridMultilevel"/>
    <w:lvl w:ilvl="0">
      <w:lvlJc w:val="left"/>
      <w:lvlText w:val="&amp;"/>
      <w:numFmt w:val="bullet"/>
      <w:start w:val="1"/>
    </w:lvl>
  </w:abstractNum>
  <w:abstractNum w:abstractNumId="11">
    <w:nsid w:val="3804823E"/>
    <w:multiLevelType w:val="hybridMultilevel"/>
    <w:lvl w:ilvl="0">
      <w:lvlJc w:val="left"/>
      <w:lvlText w:val="6"/>
      <w:numFmt w:val="bullet"/>
      <w:start w:val="1"/>
    </w:lvl>
  </w:abstractNum>
  <w:abstractNum w:abstractNumId="12">
    <w:nsid w:val="77465F01"/>
    <w:multiLevelType w:val="hybridMultilevel"/>
    <w:lvl w:ilvl="0">
      <w:lvlJc w:val="left"/>
      <w:lvlText w:val="8"/>
      <w:numFmt w:val="bullet"/>
      <w:start w:val="1"/>
    </w:lvl>
  </w:abstractNum>
  <w:abstractNum w:abstractNumId="13">
    <w:nsid w:val="7724C67E"/>
    <w:multiLevelType w:val="hybridMultilevel"/>
    <w:lvl w:ilvl="0">
      <w:lvlJc w:val="left"/>
      <w:lvlText w:val="%1"/>
      <w:numFmt w:val="decimal"/>
      <w:start w:val="10"/>
    </w:lvl>
  </w:abstractNum>
  <w:abstractNum w:abstractNumId="14">
    <w:nsid w:val="5C482A97"/>
    <w:multiLevelType w:val="hybridMultilevel"/>
    <w:lvl w:ilvl="0">
      <w:lvlJc w:val="left"/>
      <w:lvlText w:val="%1"/>
      <w:numFmt w:val="decimal"/>
      <w:start w:val="12"/>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1"/>
      <w:numFmt w:val="decimal"/>
      <w:start w:val="14"/>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1"/>
      <w:numFmt w:val="decimal"/>
      <w:start w:val="16"/>
    </w:lvl>
  </w:abstractNum>
  <w:abstractNum w:abstractNumId="20">
    <w:nsid w:val="153EA438"/>
    <w:multiLevelType w:val="hybridMultilevel"/>
    <w:lvl w:ilvl="0">
      <w:lvlJc w:val="left"/>
      <w:lvlText w:val="%1."/>
      <w:numFmt w:val="decimal"/>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1"/>
      <w:numFmt w:val="decimal"/>
      <w:start w:val="18"/>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1"/>
      <w:numFmt w:val="decimal"/>
      <w:start w:val="20"/>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1"/>
      <w:numFmt w:val="decimal"/>
      <w:start w:val="22"/>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1"/>
      <w:numFmt w:val="decimal"/>
      <w:start w:val="24"/>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1"/>
      <w:numFmt w:val="decimal"/>
      <w:start w:val="26"/>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1"/>
      <w:numFmt w:val="decimal"/>
      <w:start w:val="28"/>
    </w:lvl>
  </w:abstractNum>
  <w:abstractNum w:abstractNumId="38">
    <w:nsid w:val="749ABB43"/>
    <w:multiLevelType w:val="hybridMultilevel"/>
    <w:lvl w:ilvl="0">
      <w:lvlJc w:val="left"/>
      <w:lvlText w:val="%1"/>
      <w:numFmt w:val="decimal"/>
      <w:start w:val="30"/>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1)"/>
      <w:numFmt w:val="decimal"/>
      <w:start w:val="1"/>
    </w:lvl>
  </w:abstractNum>
  <w:abstractNum w:abstractNumId="41">
    <w:nsid w:val="79A1DEAA"/>
    <w:multiLevelType w:val="hybridMultilevel"/>
    <w:lvl w:ilvl="0">
      <w:lvlJc w:val="left"/>
      <w:lvlText w:val="%1"/>
      <w:numFmt w:val="decimal"/>
      <w:start w:val="32"/>
    </w:lvl>
  </w:abstractNum>
  <w:abstractNum w:abstractNumId="42">
    <w:nsid w:val="75C6C33A"/>
    <w:multiLevelType w:val="hybridMultilevel"/>
    <w:lvl w:ilvl="0">
      <w:lvlJc w:val="left"/>
      <w:lvlText w:val="(%1)"/>
      <w:numFmt w:val="decimal"/>
      <w:start w:val="1"/>
    </w:lvl>
  </w:abstractNum>
  <w:abstractNum w:abstractNumId="43">
    <w:nsid w:val="12E685FB"/>
    <w:multiLevelType w:val="hybridMultilevel"/>
    <w:lvl w:ilvl="0">
      <w:lvlJc w:val="left"/>
      <w:lvlText w:val="%1"/>
      <w:numFmt w:val="decimal"/>
      <w:start w:val="34"/>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1"/>
      <w:numFmt w:val="decimal"/>
      <w:start w:val="36"/>
    </w:lvl>
  </w:abstractNum>
  <w:abstractNum w:abstractNumId="46">
    <w:nsid w:val="374A3FE6"/>
    <w:multiLevelType w:val="hybridMultilevel"/>
    <w:lvl w:ilvl="0">
      <w:lvlJc w:val="left"/>
      <w:lvlText w:val="%1"/>
      <w:numFmt w:val="decimal"/>
      <w:start w:val="38"/>
    </w:lvl>
  </w:abstractNum>
  <w:abstractNum w:abstractNumId="47">
    <w:nsid w:val="4F4EF005"/>
    <w:multiLevelType w:val="hybridMultilevel"/>
    <w:lvl w:ilvl="0">
      <w:lvlJc w:val="left"/>
      <w:lvlText w:val="%1"/>
      <w:numFmt w:val="decimal"/>
      <w:start w:val="40"/>
    </w:lvl>
  </w:abstractNum>
  <w:abstractNum w:abstractNumId="48">
    <w:nsid w:val="23F9C13C"/>
    <w:multiLevelType w:val="hybridMultilevel"/>
    <w:lvl w:ilvl="0">
      <w:lvlJc w:val="left"/>
      <w:lvlText w:val="(%1)"/>
      <w:numFmt w:val="decimal"/>
      <w:start w:val="1"/>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1"/>
      <w:numFmt w:val="decimal"/>
      <w:start w:val="42"/>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1)"/>
      <w:numFmt w:val="decimal"/>
      <w:start w:val="1"/>
    </w:lvl>
  </w:abstractNum>
  <w:abstractNum w:abstractNumId="53">
    <w:nsid w:val="180115BE"/>
    <w:multiLevelType w:val="hybridMultilevel"/>
    <w:lvl w:ilvl="0">
      <w:lvlJc w:val="left"/>
      <w:lvlText w:val="(%1)"/>
      <w:numFmt w:val="decimal"/>
      <w:start w:val="1"/>
    </w:lvl>
  </w:abstractNum>
  <w:abstractNum w:abstractNumId="54">
    <w:nsid w:val="235BA861"/>
    <w:multiLevelType w:val="hybridMultilevel"/>
    <w:lvl w:ilvl="0">
      <w:lvlJc w:val="left"/>
      <w:lvlText w:val="%1"/>
      <w:numFmt w:val="decimal"/>
      <w:start w:val="44"/>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decimal"/>
      <w:start w:val="46"/>
    </w:lvl>
  </w:abstractNum>
  <w:abstractNum w:abstractNumId="57">
    <w:nsid w:val="15B5AF5C"/>
    <w:multiLevelType w:val="hybridMultilevel"/>
    <w:lvl w:ilvl="0">
      <w:lvlJc w:val="left"/>
      <w:lvlText w:val="(%1)"/>
      <w:numFmt w:val="decimal"/>
      <w:start w:val="1"/>
    </w:lvl>
    <w:lvl w:ilvl="1">
      <w:lvlJc w:val="left"/>
      <w:lvlText w:val="(%2)"/>
      <w:numFmt w:val="lowerLetter"/>
      <w:start w:val="2"/>
    </w:lvl>
  </w:abstractNum>
  <w:abstractNum w:abstractNumId="58">
    <w:nsid w:val="741226BB"/>
    <w:multiLevelType w:val="hybridMultilevel"/>
    <w:lvl w:ilvl="0">
      <w:lvlJc w:val="left"/>
      <w:lvlText w:val="%1"/>
      <w:numFmt w:val="decimal"/>
      <w:start w:val="48"/>
    </w:lvl>
  </w:abstractNum>
  <w:abstractNum w:abstractNumId="59">
    <w:nsid w:val="D34B6A8"/>
    <w:multiLevelType w:val="hybridMultilevel"/>
    <w:lvl w:ilvl="0">
      <w:lvlJc w:val="left"/>
      <w:lvlText w:val="%1"/>
      <w:numFmt w:val="decimal"/>
      <w:start w:val="50"/>
    </w:lvl>
  </w:abstractNum>
  <w:abstractNum w:abstractNumId="60">
    <w:nsid w:val="10233C99"/>
    <w:multiLevelType w:val="hybridMultilevel"/>
    <w:lvl w:ilvl="0">
      <w:lvlJc w:val="left"/>
      <w:lvlText w:val="%1"/>
      <w:numFmt w:val="decimal"/>
      <w:start w:val="5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2019-12-03T16:59:34Z</dcterms:created>
  <dcterms:modified xsi:type="dcterms:W3CDTF">2019-12-03T16:59:34Z</dcterms:modified>
</cp:coreProperties>
</file>