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8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July 22, 2025, the number of outstanding shares of the Registrant's common stock, $0.01 par value, was 40,641,562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1"/>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540" w:type="dxa"/>
            <w:vAlign w:val="bottom"/>
            <w:gridSpan w:val="11"/>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 as of June 30, 2025 and December 31, 2024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and Six Months Ended June 30, 2025</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and 2024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and Six Months Ended</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June 30, 2025 and 2024</w:t>
            </w:r>
          </w:p>
        </w:tc>
        <w:tc>
          <w:tcPr>
            <w:tcW w:w="462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Six Months Ended June 30, 2025 and 2024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 of Shareholders' Equity for the Six Months Ended June 30, 2025</w:t>
            </w:r>
          </w:p>
        </w:tc>
        <w:tc>
          <w:tcPr>
            <w:tcW w:w="220" w:type="dxa"/>
            <w:vAlign w:val="bottom"/>
          </w:tcPr>
          <w:p>
            <w:pPr>
              <w:spacing w:after="0"/>
              <w:rPr>
                <w:sz w:val="24"/>
                <w:szCs w:val="24"/>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and 2024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00" w:type="dxa"/>
            <w:vAlign w:val="bottom"/>
            <w:gridSpan w:val="8"/>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6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2024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2024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$2.0 million and $3.2 million as of June 30, 2025 and December 31,</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426,640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40,638,234 shares at June 30, 2025 and 40,574,847 shares at December 31, 2024</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663,770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dispositions of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40,647,361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40,699,287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40,626,325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40,858,668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41,160,526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dispositions of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 of foreign currency exchange forward contract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business, property and equipment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financing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for the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22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686,570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2025</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June 30,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675,930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2024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will provide the incremental disclosures in its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78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210,560</w:t>
            </w: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r>
      <w:tr>
        <w:trPr>
          <w:trHeight w:val="229"/>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w:t>
            </w:r>
          </w:p>
        </w:tc>
      </w:tr>
      <w:tr>
        <w:trPr>
          <w:trHeight w:val="223"/>
        </w:trPr>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467,600</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 As of June 30, 2025, the Company’s total deferred revenue and related contract assets were $13.9 million and $8.8 million, and were included in accrued liabilities and prepaid expenses and other current assets, respectively, in the accompanying consolidated balance sheet. As of December 31, 2024, the Company's total deferred revenue and related contract assets were immaterial.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Realignment Actions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$0.7 million and $4.5 million, respectively, of realignment costs related to actions to reorganize its corporate office, primarily for severance and consulting costs, including $1.5 million of non-cash compensation expense during the six months ended June 30, 2025. These charges were included in selling, general and administrative expenses in the accompanying consolidated statement of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Sale of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2025, the Company acquired the aerospace business of GMT Gummi-Metall-Technik GmbH (“GMT”) for a purchase price of $37.2 million. Based on a preliminary purchase price allocation, the fair value of assets acquired and liabilities assumed included $15.4 million of goodwill, $4.6 million of intangible assets, $0.2 million of property and equipment, and $17.0 million of net working capital. The final purchase price remains subject to an adjustment for net working capital as defined in the purchase agreement. Based in Germany, GMT’s aerospace division (“GMT Aerospace”) develops and manufactures a wide range of tie-rods and rubber-metal anti-vibration systems for commercial and military aerospace applications with annual net sales of approximately €22.0 million. GMT Aerospace is part of the Aerospace reportable segment and has been renamed TriMas Aerospace Germany.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completed the sale of its Arrow Engine business within the Specialty Products segment for net cash proceeds of $20.5 million, with the final sale price remaining subject to a working capital adjustment, if any, which is expected to be completed in the third quarter of 2025. As a result, the Company recorded a pre-tax gain of $5.3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June 30, 2025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356,360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388,490</w:t>
            </w: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439,590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(267,720)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9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175"/>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209,190</w:t>
            </w: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24"/>
                <w:szCs w:val="24"/>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524,390</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648,980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318,650</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840" w:type="dxa"/>
            <w:vAlign w:val="bottom"/>
            <w:gridSpan w:val="6"/>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9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398,120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amended its existing credit agreement ("Credit Agreement") to extend the maturity date. The Company incurred fees and expenses of $1.3 million related to the amendment, all of which was capitalized as debt issuance costs. The Company also recorded $0.1 million of non-cash expense related to the write-off of previously capitalized deferred financing fees.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June 30, 2025, compared to the key terms prior to the amendment (showing gross availability):</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 in millions)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3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3/31/2030</w:t>
            </w:r>
          </w:p>
        </w:tc>
      </w:tr>
      <w:tr>
        <w:trPr>
          <w:trHeight w:val="148"/>
        </w:trPr>
        <w:tc>
          <w:tcPr>
            <w:tcW w:w="3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amending)</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3/29/2026</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the Company had $28.6 million outstanding under its revolving credit facility and had $215.1 million potentially available after giving effect to $6.3 million of letters of credit issued and outstanding. At December 31, 2024, the Company had $1.5 million outstanding under its revolving credit facility and had $292.2 million potentially available after giving effect to $6.3 million of letters of credit issued and outstanding. The Company's borrowing capacity was not reduced by leverage restrictions contained in the Credit Agreement as of June 30, 2025. After consideration of leverage restrictions contained in the Credit Agreement, as of December 31, 2024, the Company had $216.7 million of borrowing capacity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2025, the Company was in compliance with its financial covenants contained in the Credit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June 30, 2025 or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46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8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4"/>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June 30, 2025 and December 31, 2024, and the amounts reclassified from AOCI into earnings for the six months ended June 30, 2025 and 2024 (dollars in thousands):</w:t>
      </w:r>
    </w:p>
    <w:p>
      <w:pPr>
        <w:sectPr>
          <w:pgSz w:w="11900" w:h="16838" w:orient="portrait"/>
          <w:cols w:equalWidth="0" w:num="1">
            <w:col w:w="11240"/>
          </w:cols>
          <w:pgMar w:left="320" w:top="121" w:right="339" w:bottom="1440" w:gutter="0" w:footer="0" w:header="0"/>
        </w:sectPr>
      </w:pPr>
    </w:p>
    <w:p>
      <w:pPr>
        <w:spacing w:after="0" w:line="24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40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8890</wp:posOffset>
            </wp:positionV>
            <wp:extent cx="1739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75" w:lineRule="exact"/>
        <w:rPr>
          <w:sz w:val="20"/>
          <w:szCs w:val="20"/>
          <w:color w:val="auto"/>
        </w:rPr>
      </w:pPr>
    </w:p>
    <w:tbl>
      <w:tblPr>
        <w:tblLayout w:type="fixed"/>
        <w:tblInd w:w="256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380" w:type="dxa"/>
            <w:vAlign w:val="bottom"/>
            <w:vMerge w:val="continue"/>
          </w:tcPr>
          <w:p>
            <w:pPr>
              <w:spacing w:after="0"/>
              <w:rPr>
                <w:sz w:val="14"/>
                <w:szCs w:val="14"/>
                <w:color w:val="auto"/>
              </w:rPr>
            </w:pPr>
          </w:p>
        </w:tc>
        <w:tc>
          <w:tcPr>
            <w:tcW w:w="2000" w:type="dxa"/>
            <w:vAlign w:val="bottom"/>
          </w:tcPr>
          <w:p>
            <w:pPr>
              <w:jc w:val="center"/>
              <w:ind w:left="9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0" w:type="dxa"/>
            <w:vAlign w:val="bottom"/>
          </w:tcPr>
          <w:p>
            <w:pPr>
              <w:spacing w:after="0"/>
              <w:rPr>
                <w:sz w:val="1"/>
                <w:szCs w:val="1"/>
                <w:color w:val="auto"/>
              </w:rPr>
            </w:pPr>
          </w:p>
        </w:tc>
      </w:tr>
      <w:tr>
        <w:trPr>
          <w:trHeight w:val="162"/>
        </w:trPr>
        <w:tc>
          <w:tcPr>
            <w:tcW w:w="120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0" w:type="dxa"/>
            <w:vAlign w:val="bottom"/>
          </w:tcPr>
          <w:p>
            <w:pPr>
              <w:spacing w:after="0"/>
              <w:rPr>
                <w:sz w:val="1"/>
                <w:szCs w:val="1"/>
                <w:color w:val="auto"/>
              </w:rPr>
            </w:pPr>
          </w:p>
        </w:tc>
      </w:tr>
      <w:tr>
        <w:trPr>
          <w:trHeight w:val="212"/>
        </w:trPr>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p>
      <w:pPr>
        <w:jc w:val="center"/>
        <w:spacing w:after="0"/>
        <w:rPr>
          <w:sz w:val="20"/>
          <w:szCs w:val="20"/>
          <w:color w:val="auto"/>
        </w:rPr>
      </w:pPr>
      <w:r>
        <w:rPr>
          <w:rFonts w:ascii="Times New Roman" w:cs="Times New Roman" w:eastAsia="Times New Roman" w:hAnsi="Times New Roman"/>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40" w:type="dxa"/>
            <w:vAlign w:val="bottom"/>
          </w:tcPr>
          <w:p>
            <w:pPr>
              <w:spacing w:after="0"/>
              <w:rPr>
                <w:sz w:val="18"/>
                <w:szCs w:val="18"/>
                <w:color w:val="auto"/>
              </w:rPr>
            </w:pPr>
          </w:p>
        </w:tc>
        <w:tc>
          <w:tcPr>
            <w:tcW w:w="136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28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340"/>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3" w:lineRule="exact"/>
        <w:rPr>
          <w:sz w:val="20"/>
          <w:szCs w:val="20"/>
          <w:color w:val="auto"/>
        </w:rPr>
      </w:pPr>
    </w:p>
    <w:p>
      <w:pPr>
        <w:sectPr>
          <w:pgSz w:w="11900" w:h="16838" w:orient="portrait"/>
          <w:cols w:equalWidth="0" w:num="2">
            <w:col w:w="7140" w:space="180"/>
            <w:col w:w="3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176"/>
        </w:trPr>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3"/>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16,300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Company was party to foreign currency exchange forward contracts to economically hedge changes in foreign currency rates with notional amounts of $128.2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September 2025. These contracts are not designated as hedge instruments; therefore, gains and losses on these contracts are recognized each period directly into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9"/>
          </w:tcPr>
          <w:p>
            <w:pPr>
              <w:jc w:val="center"/>
              <w:ind w:left="396"/>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5"/>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3"/>
                <w:szCs w:val="13"/>
                <w:color w:val="auto"/>
              </w:rPr>
            </w:pPr>
          </w:p>
        </w:tc>
        <w:tc>
          <w:tcPr>
            <w:tcW w:w="1980" w:type="dxa"/>
            <w:vAlign w:val="bottom"/>
            <w:gridSpan w:val="4"/>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3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 Recognized in</w:t>
            </w:r>
          </w:p>
        </w:tc>
        <w:tc>
          <w:tcPr>
            <w:tcW w:w="240" w:type="dxa"/>
            <w:vAlign w:val="bottom"/>
          </w:tcPr>
          <w:p>
            <w:pPr>
              <w:spacing w:after="0"/>
              <w:rPr>
                <w:sz w:val="12"/>
                <w:szCs w:val="12"/>
                <w:color w:val="auto"/>
              </w:rPr>
            </w:pPr>
          </w:p>
        </w:tc>
        <w:tc>
          <w:tcPr>
            <w:tcW w:w="820" w:type="dxa"/>
            <w:vAlign w:val="bottom"/>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3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3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2025 and December 31, 2024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5"/>
                <w:szCs w:val="15"/>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6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w:t>
            </w: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$0.6 million and $0.4 million as of June 30, 2025 and December 31,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38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74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1"/>
        </w:trPr>
        <w:tc>
          <w:tcPr>
            <w:tcW w:w="274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Operating lease cost</w:t>
            </w:r>
          </w:p>
        </w:tc>
        <w:tc>
          <w:tcPr>
            <w:tcW w:w="30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243"/>
        </w:trPr>
        <w:tc>
          <w:tcPr>
            <w:tcW w:w="274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Short-term, variable and other lease</w:t>
            </w:r>
          </w:p>
        </w:tc>
        <w:tc>
          <w:tcPr>
            <w:tcW w:w="3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20"/>
        </w:trPr>
        <w:tc>
          <w:tcPr>
            <w:tcW w:w="2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2"/>
                <w:szCs w:val="22"/>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r>
      <w:tr>
        <w:trPr>
          <w:trHeight w:val="223"/>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23"/>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20" w:type="dxa"/>
            <w:vAlign w:val="bottom"/>
            <w:tcBorders>
              <w:bottom w:val="single" w:sz="8" w:color="auto"/>
            </w:tcBorders>
          </w:tcPr>
          <w:p>
            <w:pPr>
              <w:spacing w:after="0"/>
              <w:rPr>
                <w:sz w:val="18"/>
                <w:szCs w:val="18"/>
                <w:color w:val="auto"/>
              </w:rPr>
            </w:pPr>
          </w:p>
        </w:tc>
      </w:tr>
      <w:tr>
        <w:trPr>
          <w:trHeight w:val="209"/>
        </w:trPr>
        <w:tc>
          <w:tcPr>
            <w:tcW w:w="6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June 30, 2025 is 5.9 years and 2.1 years, respectively. The weighted-average discount rate for the operating leases and finance leases as of June 30, 2025 is 4.6% and 2.6%,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was a party to 532 pending cases involving an aggregate of 4,984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66"/>
        </w:trPr>
        <w:tc>
          <w:tcPr>
            <w:tcW w:w="22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Six Months Ended June 30,</w:t>
            </w: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795,000</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4,984 claims pending at June 30, 2025, 36 set forth specific amounts of damages (other than those stating the statutory minimum or maximum). At June 30, 2025, of the 36 claims that set forth specific amounts, there were no claims seeking more than $5 million for punitive damages. Below is a breakdown of the compensatory damages sought for those claims seeking specific amounts: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31</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$14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commissioned its actuary to update the study, based on data as of May 31, 2024, which yielded a range of possible future liability of $31.0 million to $39.8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$5.5 million to increase the liability estimate to $31.0 million, at the low-end of the range. As of June 30, 2025 and December 31, 2024, the Company’s total asbestos-related liability was $28.5 million and $29.7 million, respectively, and is included in accrued liabilities and other long-term liabilities in the accompanying consolidated balance sheet.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the three months ended June 30, 2025, the Company reached the threshold of qualified future settlements required to commence excess carrier insurance coverage under the coverage-in-place agreement. As of June 30, 2025, the Company was in the process of transitioning the administration and settlement of asbestos defense costs and indemnity payments to the insurance carriers under the coverage-in-place agreement. As of June 30, 2025, the Company has not recognized an asbestos-related insurance recovery asset corresponding to its asbestos-related liability. The Company will continue to reassess its estimate of insurance recoveries and corresponding accounting for any such recoveries as the facts and circumstances change.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six months ended June 30, 2025 and 2024, the Company recorded no charges related to environmental remediation costs. As of June 30, 2025 and December 31, 2024, the Company’s total environmental remediation obligation was $3.3 million.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its segments consistent with how internally reported financial information is regularly reviewed by TriMas' President and Chief Executive Officer (chief operating decision maker) to analyze financial performance, make decisions, and allocate resources. TriMas reports its operations in three segments: Packaging, Aerospace and Specialty Products. Each of these segments has discrete financial information that is regularly evaluated by the chief operating decision maker. The chief operating decision maker uses segment adjusted operating profit when assessing segment performance, determining resource and capital allocation and developing overall strategic direction of the Company. The chief operating decision maker analyzes segment adjusted operating profit on a monthly basis by comparing actual results to forecasted and budgeted expectations to assess performance. Segment adjusted operating profit is also used in compensation related decision-making under certain employee incentive programs. Segment adjusted operating profit is defined as operating profit excluding Special Items. Special Items include: realignment and severance costs, purchase accounting charges related to the step-up of inventory to fair value, and mergers, acquisitions, diligence and transaction costs.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more information regarding the types of products and services provided within each reportable segment: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and Aarts Packaging brands,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also marketed under the TriMas Packaging brand, as well as the Intertech and Omega brands, which are also marketed under the TriMas Life Sciences brand. TriMas' Packaging business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includes the Monogram Aerospace Fasteners, Allfast Fastening Systems, Mac Fasteners, TFI Aerospace, 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Products, Martinic Engineering, and Weldmac Manufacturing Company brands, which are also marketed under the TriMas Aerospace brand. TriMas' Aerospace business develops, qualifies and manufactures highly-engineered, precision fasteners, tubular products and assemblies for fluid conveyance, and machined products and assemblies to serve the aerospace and defense market. TriMas' Aerospace segment also includes GMT Aerospace, acquired on February 17, 2025, which the Company has renamed TriMas Aerospace Germany.</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brand,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consists of our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300" w:type="dxa"/>
            <w:vAlign w:val="bottom"/>
          </w:tcPr>
          <w:p>
            <w:pPr>
              <w:spacing w:after="0"/>
              <w:rPr>
                <w:sz w:val="24"/>
                <w:szCs w:val="24"/>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274,760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4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charges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22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Specialty</w:t>
            </w:r>
          </w:p>
        </w:tc>
        <w:tc>
          <w:tcPr>
            <w:tcW w:w="30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4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(e)</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(11,180)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Mergers, acquisitions, diligence and transaction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6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516,430</w:t>
            </w: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(f)</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charges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expenses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adjusted operating profit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Corporate </w:t>
            </w:r>
            <w:r>
              <w:rPr>
                <w:rFonts w:ascii="Times New Roman" w:cs="Times New Roman" w:eastAsia="Times New Roman" w:hAnsi="Times New Roman"/>
                <w:sz w:val="22"/>
                <w:szCs w:val="22"/>
                <w:color w:val="auto"/>
                <w:vertAlign w:val="superscript"/>
              </w:rPr>
              <w:t>(g)</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(25,590)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realignment and severance costs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Mergers, acquisitions, diligence and transaction costs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sales is defined as cost of sales excluding Special Items.</w:t>
      </w:r>
    </w:p>
    <w:p>
      <w:pPr>
        <w:spacing w:after="0" w:line="92"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selling, general and administrative expenses is defined as selling, general and administrative expenses excluding Special Items.</w:t>
      </w:r>
    </w:p>
    <w:p>
      <w:pPr>
        <w:spacing w:after="0" w:line="128"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for each reportable segment includes net gain (loss) on dispositions of assets excluding Special Items.</w:t>
      </w:r>
    </w:p>
    <w:p>
      <w:pPr>
        <w:spacing w:after="0" w:line="92"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$2.2 million of realignment, severance and consulting costs and $1.4 million of system implementation costs.</w:t>
      </w:r>
    </w:p>
    <w:p>
      <w:pPr>
        <w:spacing w:after="0" w:line="122" w:lineRule="exact"/>
        <w:rPr>
          <w:rFonts w:ascii="Times New Roman" w:cs="Times New Roman" w:eastAsia="Times New Roman" w:hAnsi="Times New Roman"/>
          <w:sz w:val="19"/>
          <w:szCs w:val="19"/>
          <w:color w:val="auto"/>
          <w:vertAlign w:val="superscript"/>
        </w:rPr>
      </w:pPr>
    </w:p>
    <w:p>
      <w:pPr>
        <w:ind w:left="180" w:hanging="172"/>
        <w:spacing w:after="0" w:line="302" w:lineRule="auto"/>
        <w:tabs>
          <w:tab w:leader="none" w:pos="168"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$1.0 million of mergers, acquisition, diligence and transaction costs, and $0.8 million of system implementation costs and $0.7 million for an environmental settlement related to a legacy liability.</w:t>
      </w:r>
    </w:p>
    <w:p>
      <w:pPr>
        <w:spacing w:after="0" w:line="94" w:lineRule="exact"/>
        <w:rPr>
          <w:rFonts w:ascii="Times New Roman" w:cs="Times New Roman" w:eastAsia="Times New Roman" w:hAnsi="Times New Roman"/>
          <w:sz w:val="9"/>
          <w:szCs w:val="9"/>
          <w:color w:val="auto"/>
        </w:rPr>
      </w:pPr>
    </w:p>
    <w:p>
      <w:pPr>
        <w:ind w:left="180" w:hanging="172"/>
        <w:spacing w:after="0" w:line="230" w:lineRule="auto"/>
        <w:tabs>
          <w:tab w:leader="none" w:pos="148"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$7.0 million of realignment, severance and consulting costs, a $5.3 million gain on the sale of Arrow Engine, $2.4 million of system implementation costs and $0.3 million of mergers, acquisition, diligence and transaction costs.</w:t>
      </w:r>
    </w:p>
    <w:p>
      <w:pPr>
        <w:spacing w:after="0" w:line="122" w:lineRule="exact"/>
        <w:rPr>
          <w:rFonts w:ascii="Times New Roman" w:cs="Times New Roman" w:eastAsia="Times New Roman" w:hAnsi="Times New Roman"/>
          <w:sz w:val="19"/>
          <w:szCs w:val="19"/>
          <w:color w:val="auto"/>
          <w:vertAlign w:val="superscript"/>
        </w:rPr>
      </w:pPr>
    </w:p>
    <w:p>
      <w:pPr>
        <w:ind w:left="180" w:hanging="172"/>
        <w:spacing w:after="0" w:line="230" w:lineRule="auto"/>
        <w:tabs>
          <w:tab w:leader="none" w:pos="18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$2.2 million of mergers, acquisition, diligence and transaction costs, and $1.8 million of system implementation costs, $0.7 million of consulting costs and $0.7 million for an environmental settlement related to a legacy liability.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7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Aerospace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29"/>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24,110</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5"/>
        </w:trPr>
        <w:tc>
          <w:tcPr>
            <w:tcW w:w="4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29"/>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Aerospace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3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30"/>
        </w:trPr>
        <w:tc>
          <w:tcPr>
            <w:tcW w:w="4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Packaging</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885,330</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811,190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Aerospace</w:t>
            </w: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390,980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Specialty Products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1,445,400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6"/>
        </w:trPr>
        <w:tc>
          <w:tcPr>
            <w:tcW w:w="1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900,000 stock option awards during the six months ended June 30, 2025. The Company estimated the grant-date fair value of the awards using the Black-Scholes option pricing model using the following weighted-average assumptions: risk-free interest rate of 4.1%, expected volatility of 33.0%, annual dividend payment of $0.16, and an expected term of 6.5 years. Information related to stock options at June 30, 2025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there was $6.7 million of unrecognized compensation cost related to stock options that is expected to be recorded over a weighted average period of 1.6 years.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$0.1 million of stock-based compensation expense related to stock options during the three and six months ended June 30, 2025 and no stock-based compensation expense related to stock options during the three and six months ended June 30, 2024. The stock-based compensation expense is included in selling, general and administrative expenses in the accompanying consolidated statement of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six months ended June 30, 2025:</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457,504 RSUs to certain employees, which are subject only to a service condition and vest ratably over one, two, or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36,396 RSUs to its non-employee independent directors, which fully vest one year from date of grant so long as the director and/or Company does not terminate the director's service prior to the vesting date;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81 RSUs to certain employees related to dividend equivalent rights on existing equity awards;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1,242 RSUs related to director fee deferrals as certain of the Company's directors elected to defer all or a portion of their director fees and to receive the amount in Company common stock at a future date.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2025, the Company also awarded 95,023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2025 and ending December 31, 2027.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4.00% and annualized volatility of 30.8%. Depending on the performance achieved for these two metrics, the amount of shares earned, if any, can vary for each metric from 0% of the target award to a maximum of 250% of the target.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June 30, 2025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1,029,881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29,460,000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$13.1 million of unrecognized compensation cost related to unvested RSUs that is expected to be recorded over a weighted average period of 2.4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$1.9 million and $1.9 million during the three months ended June 30, 2025 and 2024, respectively, and $4.9 million and $6.4 million during the six months ended June 30, 2025 and 2024, respectively. The stock-based compensation expense is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and stock options. The following table summarizes the dilutive effect of RSUs and stock options on common stock for the six months ended June 30,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40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300" w:type="dxa"/>
            <w:vAlign w:val="bottom"/>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4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40,647,361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40,699,287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40,626,325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40,858,668</w:t>
            </w: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282,500</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313,473</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301,858</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40,929,861</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40,999,038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40,939,798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41,160,526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Anti-dilutive shares excluded from the computation of diluted earnings per share for the three and six months ended June 30, 2025, were 80,957 and 42,969 shares, respectively. There were no anti-dilutive shares for the three and six months ended June 30, 2024.</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In the three and six months ended June 30, 2025, the Company purchased 85,729 and 106,220 shares of its outstanding common stock for $1.8 million and $2.3 million, respectively. During the three and six months ended June 30, 2024, the Company purchased 131,900 and 671,937 shares of its outstanding common stock for $3.5 million and $16.9 million, respectively. As of June 30, 2025, the Company had $65.4 million remaining under the repurchase authorization.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and six months ended June 30, 2025, the Company's quarterly cash dividends declared were $0.04 per share of common stock and total dividends declared and paid on common shares were $1.7 million and $3.3 million, respectively. In the three and six months ended June 30, 2024, the Company's quarterly cash dividends declared were $0.04 per share of common stock and total dividends declared and paid on common shares were $1.7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Benefit Plans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benefit cost (income)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1"/>
        </w:trPr>
        <w:tc>
          <w:tcPr>
            <w:tcW w:w="45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$0.2 million and $0.5 million to its defined benefit pension plans during the three and six months ended June 30, 2025, respectively. The Company expects to contribute $1.2 million to its defined benefit pension plans for the full year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six months ended June 30, 2025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$4.1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six months ended June 30, 2024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$0.4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2025 and 2024 was 25.2% and 13.7%, respectively. The Company recorded income tax expense of $5.6 million and $1.7 million for the three months ended June 30, 2025 and 2024, respectively. The increase in the effective tax rate for the three months ended June 30, 2025 was primarily due to the recognition of approximately $1.4 million of tax benefit related to foreign tax loss carryforwards in the three months ended June 30, 2024, and by a year-over-year increase in losses incurred in certain foreign subsidiaries for which no tax benefit is recognized.</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2025 and 2024 was 26.2% and 19.0%, respectively. The Company recorded income tax expense of $10.4 million and $3.8 million for the six months ended June 30, 2025 and 2024, respectively. The effective tax rate for the six months ended June 30, 2025 was higher than in the prior year primarily due to the recognition of approximately $1.4 million of tax benefit related to foreign tax loss carryforwards in the three months ended June 30, 2024. Additionally, the sale of the Arrow Engine business resulted in a taxable capital gain and related income tax expense of approximately $1.4 million in the first half of 2025.</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President Donald J. Trump signed into law the legislation formally titled “An Act to provide for reconciliation pursuant to title II of H. Con. Res. 14” —and commonly referred to as the One Big Beautiful Bill Act ("OBBBA"). The legislation takes effect in the third quarter of 2025. Based on an initial analysis of the OBBBA, the Company does not anticipate a material impact on the effective tax rate and expects a favorable impact on U.S. federal cash taxes for the remainder of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2025, the Company announced that its Board of Directors had declared a cash dividend of $0.04 per share of TriMas Corporation common stock, which will be payable on August 12, 2025, to shareholders of record as of the close of business on August 5,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2024.</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most recently by cost inflation (raw materials, wage rates and freight) and a lack of material, and in certain regions, skilled labor availability. Additionally, during the first six months of 2025, the U.S. government altered its approach to international trade policy and announced baseline tariffs on products from all countries and additional individualized reciprocal tariffs on the countries with which the United States has the largest trade deficits, including China. This change in international trade policy has also created uncertainty with respect to future tariffs, including any retaliatory tariffs imposed by other countries, or other potential governmental actions. These factors have affected each of our businesses and how we operate, albeit in different ways and magnitudes. The current tariffs, predominately those imposed on China-based imports, have increased the costs of certain products sourced from non-U.S. countries. Sales of certain of our products for industrial applications, for example steel cylinders for packaged gas applications, have experienced volatility in demand related to customers securing a high order rates in prior periods, only to enter a period of destocking in more recent periods. This significant level of volatility in demand levels, input and transportation costs, and material and labor availability, have pressured our ability to operate efficiently in recent periods. While some areas of demand volatility and softness remain, such as in our Specialty Products segment, and more specifically our Norris Cylinder business, we have experienced more steady and consistent demand in our Packaging and Aerospace segments.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our second quarter 2025 net sales increased $34.3 million, or 14.2%, compared to second quarter 2024. We experienced organic growth of 23.8% and 7.9% within our Aerospace and Packaging segments, respectively, compared to second quarter 2024. We also experienced growth from acquisitions of 8.7% in our Aerospace segment. These increases were partially offset by lower sales of 6.8% in our Specialty Products segment as compared to the prior year quarter, as higher sales of steel cylinders were more than offset by the lost sales due to the divestiture of our Arrow Engine business in January 2025. Our overall sales increase included $0.6 million of currency exchange, as our reported results in U.S. dollars were favorably impacted as a result of a weakening U.S. dollar relative to foreign currencies.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second quarter 2025 compared with second quarter 2024, other than as directly impacted by sales changes, were higher consulting costs and costs incurred related to actions to reorganize our corporate office and an increase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we completed the divestiture of our Arrow Engine business within our Specialty Products segment for net cash proceeds of $20.5 million, with the final sale price remaining subject to a working capital adjustment, if any. We recognized a pre-tax gain of $5.3 million on the sale of Arrow Engine. Arrow Engine contributed $5.4 million of sales in second quarter 2024</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we acquired the aerospace business of GMT Gummi-Metall-Technik GmbH (“GMT”) for a purchase price of $37.2 million. GMT’s aerospace division (“GMT Aerospace”), which is reported in our Aerospace segment, is located in Germany and contributed $6.7 million of acquisition-related sales growth during second quarter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second quarter 2025, we incurred pre-tax costs of $2.2 million related to professional consulting fees and costs related to actions to reorganize our corporate office.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second quarter 2025 was 25.2% as compared to 13.7% for second quarter 2024. The increase in the effective tax rate for second quarter 2025 was primarily due to the recognition of approximately $1.4 million of tax benefit related to foreign tax loss carryforwards in second quarter 2024, and by a year-over-year increase in losses incurred in certain foreign subsidiaries for which no tax benefit is recognized.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volatility in certain of our input costs as a direct and indirect result of foreign trade policy, where tariffs on certain of our commodity-based products sourced from Asia have been instituted. In addition, the U.S. government recently announced baseline tariffs on products from all countries and additional individualized reciprocal tariffs on the countries with which the United States has the largest trade deficits, including China. We will continue to take actions to mitigate such increases, including implementing commercial pricing adjustments, holding extra inventories,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often is a precursor to rising polymeric raw material costs, for which we may experience a contractual commercial recovery lag.</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second quarter 2025, we purchased 85,729 shares of our outstanding common stock for an aggregate purchase price of $1.8 million. As of June 30, 2025, we had $65.4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second quarter 2025,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June 30, 2025 and 2024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69,720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three months ended June 30, 2025 as compared to the three months ended June 30,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Second Quarter 2025 vs. Second Quarter 2024</w:t>
            </w:r>
          </w:p>
        </w:tc>
        <w:tc>
          <w:tcPr>
            <w:tcW w:w="1460" w:type="dxa"/>
            <w:vAlign w:val="bottom"/>
            <w:tcBorders>
              <w:bottom w:val="single" w:sz="8" w:color="auto"/>
            </w:tcBorders>
          </w:tcPr>
          <w:p>
            <w:pPr>
              <w:spacing w:after="0"/>
              <w:rPr>
                <w:sz w:val="18"/>
                <w:szCs w:val="18"/>
                <w:color w:val="auto"/>
              </w:rPr>
            </w:pPr>
          </w:p>
        </w:tc>
      </w:tr>
      <w:tr>
        <w:trPr>
          <w:trHeight w:val="211"/>
        </w:trPr>
        <w:tc>
          <w:tcPr>
            <w:tcW w:w="322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9"/>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4"/>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six months ended June 30, 2025 and 2024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516,430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six months ended June 30, 2025 as compared to the six months ended June 30,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Second Quarter 2025 vs. Year to Date Second Quarter 2024</w:t>
            </w:r>
          </w:p>
        </w:tc>
        <w:tc>
          <w:tcPr>
            <w:tcW w:w="1460" w:type="dxa"/>
            <w:vAlign w:val="bottom"/>
            <w:tcBorders>
              <w:bottom w:val="single" w:sz="8" w:color="auto"/>
            </w:tcBorders>
          </w:tcPr>
          <w:p>
            <w:pPr>
              <w:spacing w:after="0"/>
              <w:rPr>
                <w:sz w:val="18"/>
                <w:szCs w:val="18"/>
                <w:color w:val="auto"/>
              </w:rPr>
            </w:pPr>
          </w:p>
        </w:tc>
      </w:tr>
      <w:tr>
        <w:trPr>
          <w:trHeight w:val="211"/>
        </w:trPr>
        <w:tc>
          <w:tcPr>
            <w:tcW w:w="3220" w:type="dxa"/>
            <w:vAlign w:val="bottom"/>
          </w:tcPr>
          <w:p>
            <w:pPr>
              <w:spacing w:after="0"/>
              <w:rPr>
                <w:sz w:val="18"/>
                <w:szCs w:val="18"/>
                <w:color w:val="auto"/>
              </w:rPr>
            </w:pPr>
          </w:p>
        </w:tc>
        <w:tc>
          <w:tcPr>
            <w:tcW w:w="14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6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Divestitures</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4"/>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June 30, 2025, compared with the three months ended June 30, 2024, were: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Aerospace and Packaging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demand for our cylinder products within our Specialty Products segment;</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The divestiture of our Arrow Engine business;</w:t>
      </w:r>
    </w:p>
    <w:p>
      <w:pPr>
        <w:spacing w:after="0" w:line="144" w:lineRule="exact"/>
        <w:rPr>
          <w:rFonts w:ascii="Times New Roman" w:cs="Times New Roman" w:eastAsia="Times New Roman" w:hAnsi="Times New Roman"/>
          <w:sz w:val="16"/>
          <w:szCs w:val="16"/>
          <w:b w:val="1"/>
          <w:bCs w:val="1"/>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recent acquisition of GMT Aerospace;</w:t>
      </w:r>
    </w:p>
    <w:p>
      <w:pPr>
        <w:spacing w:after="0" w:line="15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Increased costs, primarily related to consulting costs and costs associated with actions to reorganize the corporate office; and</w:t>
      </w:r>
    </w:p>
    <w:p>
      <w:pPr>
        <w:spacing w:after="0" w:line="157" w:lineRule="exact"/>
        <w:rPr>
          <w:rFonts w:ascii="Times New Roman" w:cs="Times New Roman" w:eastAsia="Times New Roman" w:hAnsi="Times New Roman"/>
          <w:sz w:val="16"/>
          <w:szCs w:val="16"/>
          <w:b w:val="1"/>
          <w:bCs w:val="1"/>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effective tax rate in second quarter 2025 compared with second quarter 2024.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with Three Months Ended June 30,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$34.3 million, or 14.2%, to $274.8 million for the three months ended June 30, 2025, as compared with $240.5 million in the three months ended June 30, 2024. Acquisition-related sales growth was $6.7 million from our February 2025 acquisition of GMT Aerospace. Organic sales, excluding the impact of currency exchange, increased $32.3 million, or 13.4%, as organic sales increased 23.8% and 7.9% within our Aerospace and Packaging segments, respectively, due to improved throughput and commercial actions with Aerospace and end market demand improvements within Packaging. Sales decreased 6.8% in our Specialty Products segment as an organic sales increase of 13.1% for our steel cylinders was more than offset by the impact of the divestiture of our Arrow Engine business. In addition, net sales increased by $0.6 million due to currency exchange, as our reported results in U.S. dollars were favorably impacted as a result of the weakening of the U.S. dollar relative to foreign currencies.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25.4% and 22.5% for the three months ended June 30, 2025 and 2024, respectively. Gross profit margin increased primarily due to higher sales levels and related improved fixed cost absorption within our Aerospace and Packaging segments, a more favorable product sales mix, and favorable commercial actions within our Aerospace segment, as well as due to the favorable impact of prior year operational improvement actions within our Packaging segment. The increase in gross profit was partially offset by reduced sales in our Specialty Products segment as the increase in gross profit related to increased steel cylinder sales was more than offset by the loss of sales related to the divestiture of our Arrow Engine business. Additionally, gross profit decreased due to a $0.5 million purchase accounting charge related to the step-up of GMT Aerospace's inventory to fair value and increased input costs in our Packaging segment.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9.9% and 7.4% for the three months ended June 30, 2025 and 2024, respectively. Operating profit increased $9.3 million to $27.1 million in the three months ended June 30, 2025, from $17.9 million for the three months ended June 30, 2024, primarily due to higher sales levels and related improved fixed cost absorption within our Aerospace and Packaging segments, a more favorable product sales mix, and favorable commercial actions within our Aerospace segment, as well as due to the favorable impact of prior year operational improvement actions within our Packaging segment. The increase in operating profit was partially offset by reduced sales in our Specialty Products segment as the increase in operating profit related to increased steel cylinder sales was more than offset by the loss of sales related to the divestiture of our Arrow Engine business. In addition, operating profit decreased due to a $0.5 million purchase accounting charge related to the step-up of GMT Aerospace's inventory to fair value, increased input costs in our Packaging segment, higher employee-related costs, higher consulting costs and costs associated with actions to reorganize the corporate office.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$0.7 million, to $4.6 million for the three months ended June 30, 2025, compared to $5.2 million for the three months ended June 30, 2024, due to a decrease in our weighted average borrowings and a lower effective interest rate on our revolving credit facility.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$0.3 million to $0.2 million of expense for the three months ended June 30, 2025, as compared to a nominal amount of income for the three months ended June 30, 2024, primarily due to mark-to-market gains on our de-designated cross currency swap in second quarter 2024 that did not repeat in second quarter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2025 and 2024 was 25.2% and 13.7%, respectively. We recorded income tax expense of $5.6 million and $1.7 million for the three months ended June 30, 2025 and 2024, respectively. The increase in the effective tax rate for the three months ended June 30, 2025 was primarily due to the recognition of approximately $1.4 million of tax benefit related to foreign tax loss carryforwards in the three months ended June 30, 2024, and by a year-over-year increase in losses incurred in certain foreign subsidiaries for which no tax benefit is recognized.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$5.8 million, to $16.7 million for the three months ended June 30, 2025, as compared to $10.9 million for the three months ended June 30, 2024. The increase was primarily the result of an increase in operating profit of $9.3 million and a decrease in interest expense of $0.7 million, partially offset by an increase in income tax expense of $3.9 million and an increase in other expense of $0.3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$11.1 million, or 8.4% (of which 7.9% was organic and 0.5% was foreign currency exchange), to $143.0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2025, as compared to $131.9 million in the three months ended June 30, 2024. Sales of dispensing products used primarily for beauty, personal care and home care applications increased by $13.4 million. Sales of products used for industrial applications increased by $0.2 million and sales of other consumer goods products increased by $3.2 million. These increases were partially offset by the decrease in sales of products used in food and beverage applications of $6.3 million, primarily due to reduced demand for certain dairy applications in North America and beverage closure applications in Europe. Net sales increased by $0.6 million due to currency exchange, as our reported results in U.S. dollars were favorably impacted as a result of the weakening of the U.S. dollar relative to foreign currencies, as compared to second quarter 2024.</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$3.4 million to $35.6 million, or 24.9% of sales, in the three months ended June 30, 2025, as compared to $32.1 million, or 24.3% of sales, in the three months ended June 30, 2024, primarily due to higher sales levels and resulting improved fixed cost absorption, as well as the favorable impact of prior year operational improvement actions. These increases to gross profit were partially offset by increased input costs.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$1.5 million to $15.5 million, or 10.9% of sales, in the three months ended June 30, 2025, as compared to $14.0 million, or 10.6% of sales, in the three months ended June 30, 2024, primarily due to higher employee-related costs and higher information technology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$2.0 million to $20.0 million, or 14.0% of sales, in the three months ended June 30, 2025, as compared to $18.0 million, or 13.7% of sales, in the three months ended June 30, 2024, primarily due to higher sales volume, improved fixed cost absorption and the favorable impact of cost reduction efforts, partially offset by increased input costs and higher selling, general and administrative expenses.</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June 30, 2025 increased $25.3 million, or 32.5% (of which 23.8% was organic and 8.7%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to $103.0 million, as compared to $77.7 million in the three months ended June 30, 2024. Acquisition-related sales growth from our February 2025 acquisition of GMT Aerospace was $6.7 million. Sales of our fasteners products increased by $14.1 million due to increases in aircraft build rates, improved production yield and commercial actions. Sales of our engineered components products increased by $4.5 million due to improved production throughput.</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$12.5 million to $31.8 million, or 30.8% of sales, in the three months ended June 30, 2025, from $19.3 million, or 24.8% of sales, in the three months ended June 30, 2024. Gross profit increased primarily due to higher sales levels and resulting improved fixed cost absorption, a more favorable product sales mix and favorable commercial actions. These increases in gross profit were partially offset by a $0.5 million purchase accounting charge related to the step-up of GMT Aerospace's inventory to fair value.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$2.8 million to $11.6 million, or 11.3% of sales, in the three months ended June 30, 2025, as compared to $8.9 million, or 11.4% of sales, in the three months ended June 30, 2024, primarily due to higher employee-related costs and higher ongoing selling, general and administrative costs associated with our acquisition of GMT Aerospace.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$9.7 million to $20.1 million, or 19.6% of sales, in the three months ended June 30, 2025, as compared to $10.4 million, or 13.4% of sales, in the three months ended June 30, 2024, primarily due to the impact of higher sales levels, improved fixed cost absorption, a more favorable product sales mix, and commercial actions. These increases were partially offset by higher selling, general and administrative expenses and the recognition of the purchase accounting charge related to the step-up of GMT Aerospace's inventory to fair value.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June 30, 2025 decreased $2.1 million, or 6.8% (of which 10.8% was organic and (17.6)%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divestiture of Arrow Engine), to $28.7 million, as compared to $30.9 million in the three months ended June 30, 2024. Sales of steel cylinders increased $3.3 million, or 13.1%, to $28.7 million, as compared to $25.4 million, due to improved order intake. Arrow Engine contributed $5.4 million of sales in second quarter 2024. See Note 5, "</w:t>
      </w:r>
      <w:r>
        <w:rPr>
          <w:rFonts w:ascii="Times New Roman" w:cs="Times New Roman" w:eastAsia="Times New Roman" w:hAnsi="Times New Roman"/>
          <w:sz w:val="18"/>
          <w:szCs w:val="18"/>
          <w:i w:val="1"/>
          <w:iCs w:val="1"/>
          <w:color w:val="auto"/>
        </w:rPr>
        <w:t>Acquisitions and Sale of Business,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within this quarterly report on Form 10-Q for more information.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$0.2 million to $2.4 million, or 8.4% of sales, in the three months ended June 30, 2025, as compared to $2.6 million, or 8.5% of sales, in the three months ended June 30, 2024, as the increase in gross profit related to increased steel cylinder sales was more than offset by the impact of the divestiture of Arrow Engine.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$0.9 million to $1.1 million, or 4.0% of sales, in the three months ended June 30, 2025, as compared to $2.0 million, or 6.5% of sales, in the three months ended June 30, 2024, primarily due to reduced spending levels and the year-over-year impact from the divestiture of our Arrow Engine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$0.7 million to $1.3 million, or 4.4% of sales, in the three months ended June 30, 2025, as compared to $0.6 million, or 1.9% of sales, in the three months ended June 30, 2024, primarily due to increased sales of steel cylinders and reduced spending levels, partially offset by the year-over-year impact from the divestiture of our Arrow Engine business.</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expenses increased $3.1 million to $14.3 million for the three months ended June 30, 2025, from $11.2 million for the three months ended June 30, 2024, primarily due to higher employee-related costs, an increase of $2.2 million related to consulting costs and costs associated with actions to reorganize the corporate office, and $0.7 million of higher costs associated with the upgrade of certain key information technology applications. These increases were partially offset by $1.0 million of lower professional costs associated with business acquisition, diligence and transaction-related activity and the impact of a $0.7 million environment settlement related to a legacy TriMas operation that occurred in second quarter 2024 that did not recur.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with Six Months Ended June 30, 2024</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$48.8 million, or 10.4%, to $516.4 million for the six months ended June 30, 2025, as compared with $467.6 million in the six months ended June 30, 2024. Acquisition-related sales growth was $10.0 million from our February 2025 acquisition of GMT Aerospace. Organic sales, excluding the impact of currency exchange and acquisitions, increased $51.0 million, or 10.9%, as organic sales increases of 25.7% and 5.7% within our Aerospace and Packaging segments, respectively, driven by end market demand improvements, were partially offset by a 15.7% sales decrease in our Specialty Products segment due to lower market demand and the divestiture of our Arrow Engine business. In addition, net sales decreased by $3.2 million due to currency exchange, as our reported results in U.S. dollars were unfavorably impacted as a result of a strengthening U.S. dollar relative to foreign currencies.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24.5% for the six months ended June 30, 2025 and 22.8% for the six months ended June 30, 2024. Gross profit margin increased primarily due to higher sales levels and related improved fixed cost absorption within our Aerospace and Packaging segments, a more favorable product sales mix, and favorable commercial actions within our Aerospace segment, as well as due to the favorable impact of prior year operational improvement actions within our Packaging segment. The increase in gross profit was partially offset by reduced sales of steel cylinders and related reduction in absorption of fixed costs, and the loss of sales related to the divestiture of our Arrow Engine business within our Specialty Products segment. Additionally, gross profit decreased due to a $0.7 million purchase accounting charge related to the step-up of GMT Aerospace's inventory to fair value and increased input costs in our Packaging segment.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9.5% and 6.5% for the six months ended June 30, 2025 and 2024, respectively. Operating profit increased $18.6 million, to $48.9 million, for the six months ended June 30, 2025, compared to $30.3 million for the six months ended June 30, 2024, primarily due to higher sales levels and related improved fixed cost absorption within our Aerospace and Packaging segments, a more favorable product sales mix, and favorable commercial actions within our Aerospace segment. Additionally, operating profit increased due to a $5.3 million gain on the sale of Arrow Engine and the favorable impact of prior year operational improvement actions within our Packaging segment. The increase in operating profit was partially offset by reduced sales of steel cylinders and related reduction in absorption of fixed costs, and the loss of sales related to the divestiture of Arrow Engine within our Specialty Products segment. In addition, operating profit decreased due to increased tariff related input costs in our Packaging segment and by $4.8 million primarily related to consulting costs and costs associated with actions to reorganize the corporate office. We also recorded a $0.7 million purchase accounting charge related to the step-up of GMT Aerospace's inventory to fair value and recognized higher employee-related costs.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$1.1 million, to $9.1 million, for the six months ended June 30, 2025, as compared to $10.2 million for the six months ended June 30, 2024, due to a decrease in our weighted average borrowings and a lower effective interest rate as a result of decreased borrowings from our revolving credit facility.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remained flat at $0.3 million of expense, for the six months ended June 30, 2025 and 2024, as decreased losses on foreign currency transactions was offset by lower miscellaneous income.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2025 and 2024 was 26.2% and 19.0%, respectively. We recorded tax expense of $10.4 million for the six months ended June 30, 2025, as compared to $3.8 million for the six months ended June 30, 2024. The effective tax rate for the six months ended June 30, 2025 was higher than in the prior year primarily due to the recognition of approximately $1.4 million of tax benefit related to foreign tax loss carryforwards in the three months ended June 30, 2024. Additionally, the sale of the Arrow Engine business resulted in a taxable capital gain and related income tax expense of approximately $1.4 million in the first half of 2025.</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by $13.1 million, to $29.1 million, for the six months ended June 30, 2025, compared to $16.1 million for the six months ended June 30, 2024. The increase was primarily the result of an increase in operating profit of $18.6 million and a decrease in interest expense of $1.1 million, partially offset by a $6.6 million increase in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$11.6 million, or 4.5% (of which 5.7% was organic and (1.2)% was foreign currency exchange), to $270.6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June 30, 2025, as compared to $259.0 million in the six months ended June 30, 2024. Sales of dispensing products used primarily for beauty, personal care and home care applications increased by $20.2 million. Sales of products used for industrial applications increased by $2.1 million and sales of other consumer goods products increased by $5.5 million. These increases were partially offset by the decrease in sales of products used in food and beverage applications of $13.0 million, primarily due to reduced demand for certain dairy applications in North America and beverage closure applications in Europe. Net sales decreased by $3.1 million due to currency exchange, as our reported results in U.S. dollars were unfavorably impacted as a result of the strengthening U.S. dollar relative to foreign currencies, as compared to 2024.</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$2.6 million to $67.0 million, or 24.8% of sales, in the six months ended June 30, 2025, as compared to $64.4 million, or 24.9% of sales, in the six months ended June 30, 2024, due to higher sales levels and resulting improved fixed cost absorption, as well as the favorable impact of prior year operational improvement actions. These increases to gross profit were partially offset by increased input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$0.5 million to $29.8 million, or 11.0% of sales, in the six months ended June 30, 2025, as compared to $29.2 million, or 11.3% of sales, in the six months ended June 30, 2024, primarily due to higher employee-related costs and higher information technology costs, partially offset by lower charges for the provision for losses on accounts receivable.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$2.1 million to $37.2 million, or 13.8% of sales, in the six months ended June 30, 2025, as compared to $35.1 million, or 13.6% of sales, in the six months ended June 30, 2024, primarily due to higher sales volume, improved fixed cost absorption and the favorable impact of cost reduction efforts, partially offset by increased input costs and higher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six months ended June 30, 2025 increased $47.2 million, or 32.5% (of which 25.7% was organic, 6.9%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(0.1)% was foreign currency exchange), to $192.2 million, as compared to $145.1 million in the six months ended June 30, 2024. Acquisition-related sales growth from our February 2025 acquisition of GMT Aerospace was $10.0 million. Sales of our fasteners products increased by $26.1 million due to increases in aircraft build rates, improved production yield and commercial actions. Sales of our engineered components products increased by $11.1 million due to improved production throughput.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$21.1 million to $56.0 million, or 29.1% of sales, in the six months ended June 30, 2025, from $34.9 million, or 24.0% of sales, in the six months ended June 30, 2024. Gross profit increased primarily due to higher sales levels and resulting improved fixed cost absorption, a more favorable product sales mix and favorable commercial actions. These increases in gross profit were partially offset by a $0.7 million purchase accounting charge related to the step-up of GMT Aerospace's inventory to fair value.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$3.4 million to $20.8 million, or 10.8% of sales, in the six months ended June 30, 2025, as compared to $17.3 million, or 11.9% of sales, in the six months ended June 30, 2024, primarily due to higher employee-related costs, higher ongoing selling, general and administrative costs associated with our acquisition of GMT Aerospace, and higher information technology costs. These increases were partially offset by lower charges for the provision for losses on accounts receivable and lower professional fees.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$17.7 million to $35.2 million, or 18.3% of sales, in the six months ended June 30, 2025, as compared to $17.6 million, or 12.1% of sales, in the six months ended June 30, 2024, primarily due to the impact of higher sales levels, improved fixed cost absorption, a more favorable product sales mix, and commercial actions. These increases were partially offset by higher selling, general and administrative expenses and the recognition of the purchase accounting charge related to the step-up of GMT Aerospace's inventory to fair value.</w:t>
      </w:r>
    </w:p>
    <w:p>
      <w:pPr>
        <w:spacing w:after="0" w:line="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six months ended June 30, 2025 decreased $10.0 million, or 15.7% (of which (1.5)% was organic and (14.2)%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divestiture of Arrow Engine), to $53.6 million, as compared to $63.6 million in the six months ended June 30, 2024. Sales of steel cylinders decreased $1.0 million, or 1.8%, to $52.2 million, as compared to $53.2 million, due predominantly to lower demand for industrial applications as customers continued to work through high prior period inventory balances. Arrow Engine contributed $1.4 million of sales in first half 2025, as compared to $10.4 million in first half 2024. See Note 5, "</w:t>
      </w:r>
      <w:r>
        <w:rPr>
          <w:rFonts w:ascii="Times New Roman" w:cs="Times New Roman" w:eastAsia="Times New Roman" w:hAnsi="Times New Roman"/>
          <w:sz w:val="18"/>
          <w:szCs w:val="18"/>
          <w:i w:val="1"/>
          <w:iCs w:val="1"/>
          <w:color w:val="auto"/>
        </w:rPr>
        <w:t>Acquisitions and Sale of Business,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within this quarterly report on Form 10-Q for more information.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$3.7 million to $3.8 million, or 7.0% of sales, in the six months ended June 30, 2025, as compared to $7.5 million, or 11.8% of sales, in the six months ended June 30, 2024, primarily due to the year-over-year impact from the divestiture of our Arrow Engine business as well as reduced sales of our steel cylinders and resulting less favorable absorption of fixed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$0.6 million to $3.7 million, or 6.8% of sales, in the six months ended June 30, 2025, as compared to $4.3 million, or 6.7% of sales, in the six months ended June 30, 2024, due to reduced spending levels and the year-over-year impact from the divestiture of our Arrow Engine business, partially offset by $0.9 million of transaction-related costs associated with the divestiture of our Arrow Engine business.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$3.1 million to $0.1 million, or 0.2% of sales, in the six months ended June 30, 2025, as compared to $3.2 million, or 5.0% of sales, in the six months ended June 30, 2024, primarily due to the year-over-year impact from the divestiture of our Arrow Engine business as well as lower steel cylinder sales levels, which resulted in less favorable absorption of fixed costs.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7"/>
          <w:szCs w:val="17"/>
          <w:color w:val="auto"/>
        </w:rPr>
        <w:t>Corporate expenses, net consist of the following (dollars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decreased $2.0 million to $23.6 million for the six months ended June 30, 2025, from $25.6 million for the six months ended June 30, 2024, primarily due to a $5.3 million pre-tax gain on the sale of the Arrow Engine business, $1.9 million of lower professional costs associated with business acquisition, diligence and transaction-related activity, a $1.4 million decrease in non-cash stock compensation due to timing and estimated attainment of existing awards, and the impact of a $0.7 million environment settlement related to a legacy TriMas operation that occurred in second quarter 2024 that did not recur. These decreases were partially offset by an increase of $4.8 million, primarily related to consulting costs and costs associated with actions to reorganize the corporate office, and higher employee-related costs.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$39.4 million for the six months ended June 30, 2025, as compared to $14.7 million for the six months ended June 30, 2024.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we generated $54.8 million in cash flows, based on net income of $29.1 million and after considering the effects of non-cash items related to depreciation, amortization, and gain on dispositions of assets, amortization of debt issuance costs, changes in deferred income taxes, stock-based compensation, provision for losses on accounts receivable, and other operating activities. For the six months ended June 30, 2024, we generated $59.2 million in cash flows based on net income of $16.1 million and after considering the effects of similar non-cash items.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$29.7 million and $24.7 million for the six months ended June 30, 2025 and 2024, respectively. The increased use of cash for each of the six month periods is due primarily to the timing of sales and collection of cash related thereto within the periods. Days sales outstanding of receivables increased one day through the six months ended June 30, 2025, and decreased one day through the six months ended June 30, 2024.</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decreased our investment in inventory by $1.3 million for the six months ended June 30, 2025, while we increased our investment by $18.3 million for the six months ended June 30, 2024. Our days sales in inventory decreased by seven days through the six months ended June 30, 2025, and decreased by five days through the six months ended June 30, 2024, as we continued to manage inventory levels, considering our supply needs, and balanced with sales growth within our Packaging and Aerospace segments in both periods.</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$1.4 million and $0.4 million for the six months ended June 30, 2025, and 2024,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payable and accrued liabilities resulted in a source of cash of $14.5 million for the six months ended June 30, 2025, while decreases in accounts payable and accrued liabilities resulted in a use of cash of $1.2 million for the six months ended June 30, 2024. Days accounts payable on hand increased by one day through the six months ended June 30, 2025, and decreased by seven days for the six months ended June 30, 2024. Our days accounts payable on hand fluctuate primarily as a result of the timing of payments made to suppliers and the mix of vendors and related terms.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six months ended June 30, 2025 and 2024 was $46.0 million and $23.9 million, respectively. During the first six months of 2025, we invested $30.0 million in capital expenditures, as we continued our investment in growth, capacity and productivity-related capital projects. We paid $37.2 million, net of cash acquired, to acquire GMT Aerospace. We also received net proceeds of $21.2 million from the sale of our Arrow Engine business and disposition of property and equipment. During the first six months of 2024, we invested $24.1 million in capital expenditures and received net proceeds of $0.2 million from disposition of property and equipment.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$13.7 million and $9.3 million for the six months ended June 30, 2025 and 2024, respectively. During the six months ended June 30, 2025, we received net proceeds of $22.2 million from borrowings on our revolving credit facilities, paid $1.3 million for debt financing fees, purchased $2.3 million of our outstanding common stock, used a net cash amount of $1.8 million related to our stock compensation arrangements, paid dividends of $3.3 million, and received $0.2 million related to other financing activities. Our reported net proceeds from borrowings on our revolving credit facilities considers the impact of foreign currency translation. During the six months ended June 30, 2024, we received net proceeds of $31.3 million from borrowings on our revolving credit facilities, purchased $16.9 million of outstanding common stock, used a net cash amount of $1.6 million related to our stock compensation arrangements, paid dividends of $3.3 million, and paid $0.2 million related to other financing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our consolidated subsidiaries that do not guarantee the Senior Notes represented 31% of the total of guarantor and non-guarantor net sales, treating each as a consolidated group and excluding intercompany transactions between guarantor and non-guarantor subsidiaries. In addition, our non-guarantor subsidiaries represented 39% and 18% of the total guarantor and non-guarantor assets and liabilities, respectively, as of June 30, 2025, treating the guarantor and non-guarantor subsidiaries each as a consolidated group.</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we amended our Credit Agreement to extend the maturity date. We incurred fees and expenses of $1.3 million related to the amendment, all of which was capitalized as debt issuance costs. We also recorded $0.1 million of non-cash expense related to the write-off of previously capitalized deferred financing fees.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June 30, 2025, compared to the key terms prior to the amendment (showing gross availability):</w:t>
      </w:r>
    </w:p>
    <w:p>
      <w:pPr>
        <w:spacing w:after="0" w:line="158"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 ($ in millions)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3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3/31/2030</w:t>
            </w:r>
          </w:p>
        </w:tc>
      </w:tr>
      <w:tr>
        <w:trPr>
          <w:trHeight w:val="149"/>
        </w:trPr>
        <w:tc>
          <w:tcPr>
            <w:tcW w:w="3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amending)</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3/29/2026</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Our revolving credit facility allows for the issuance of letters of credit, not to exceed $40.0 million in aggregate.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permits borrowings denominated in specific foreign currencies, subject to a $125.0 million sub limit. 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2025. If we were to complete an acquisition which qualifies for a Covenant Holiday Period, as defined in our Credit Agreement, then our permitted total net leverage ratio cannot exceed 4.50 to 1.00 during that period. Our actual total net leverage ratio was 2.55 to 1.00 at June 30, 2025. Our permitted interest expense coverage ratio under the Credit Agreement is 3.00 to 1.00 as of June 30, 2025. Our actual interest expense coverage ratio was 9.70 to 1.00 at June 30, 2025. At June 30, 2025,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June 30, 2025 (dollars in thousands). We present Consolidated Bank EBITDA to show our performance under our financial covenants.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4"/>
        </w:trPr>
        <w:tc>
          <w:tcPr>
            <w:tcW w:w="8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37,310</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 and asset write-offs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8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7,870</w:t>
            </w:r>
          </w:p>
        </w:tc>
      </w:tr>
      <w:tr>
        <w:trPr>
          <w:trHeight w:val="230"/>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Permitted acquisitions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8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dispositions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0"/>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167,450</w:t>
            </w:r>
          </w:p>
        </w:tc>
      </w:tr>
      <w:tr>
        <w:trPr>
          <w:trHeight w:val="20"/>
        </w:trPr>
        <w:tc>
          <w:tcPr>
            <w:tcW w:w="8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63"/>
        </w:trPr>
        <w:tc>
          <w:tcPr>
            <w:tcW w:w="8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427,040</w:t>
            </w:r>
          </w:p>
        </w:tc>
        <w:tc>
          <w:tcPr>
            <w:tcW w:w="200" w:type="dxa"/>
            <w:vAlign w:val="bottom"/>
            <w:tcBorders>
              <w:top w:val="single" w:sz="8" w:color="CCEEFF"/>
            </w:tcBorders>
            <w:shd w:val="clear" w:color="auto" w:fill="CCEEFF"/>
          </w:tcPr>
          <w:p>
            <w:pPr>
              <w:spacing w:after="0"/>
              <w:rPr>
                <w:sz w:val="19"/>
                <w:szCs w:val="19"/>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8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00" w:type="dxa"/>
            <w:vAlign w:val="bottom"/>
          </w:tcPr>
          <w:p>
            <w:pPr>
              <w:spacing w:after="0"/>
              <w:rPr>
                <w:sz w:val="16"/>
                <w:szCs w:val="16"/>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167,450</w:t>
            </w:r>
          </w:p>
        </w:tc>
        <w:tc>
          <w:tcPr>
            <w:tcW w:w="200" w:type="dxa"/>
            <w:vAlign w:val="bottom"/>
            <w:shd w:val="clear" w:color="auto" w:fill="CCEEFF"/>
          </w:tcPr>
          <w:p>
            <w:pPr>
              <w:spacing w:after="0"/>
              <w:rPr>
                <w:sz w:val="19"/>
                <w:szCs w:val="19"/>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strike related costs, severance, relocation, and realignment expenses.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$17.1 million of derivative liabilities, and $1.6 million of finance leases as of June 30, 2025.</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we had $28.6 million outstanding under our revolving credit facility and had $215.1 million potentially available after giving effect to $6.3 million of letters of credit issued and outstanding. At December 31, 2024, we had $1.5 million outstanding under our revolving credit facility and had $292.2 million potentially available after giving effect to $6.3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June 30, 2025. After consideration of leverage restrictions contained in the Credit Agreement, as of December 31, 2024, we had $216.7 million of borrowing capacity available for general corporate purposes.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six months of 2025 approximated $436.3 million, compared to $452.9 million during the first six months of 2024, primarily due to borrowings made on our revolving credit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At June 30, 2025, we had no amounts outstanding on this loan facility.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majority of our cash on hand as of June 30, 2025 is located outside of the U.S., given available funding under our revolving credit facility of $215.1 million at June 30, 2025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Based on our variable rate-based borrowings outstanding at June 30, 2025, a 1% increase in the per annum interest rate would increase our interest expense by $0.3 million annually.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related thereto approximated $13.9 million in 2024. We expect leasing will continue to be an available financing option to fund future capital expenditure requirements.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In the six months ended June 30, 2025, we purchased 106,220 shares of our outstanding common stock for an aggregate purchase price of $2.3 million. Since the initial authorization through June 30, 2025, we have purchased 6,672,784 shares of our outstanding common stock for an aggregate purchase price of $184.6 million. We will continue to evaluate opportunities to return capital to shareholders through the purchase of our common stock and the payment of dividends, depending on market conditions, and other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2025, we were party to foreign exchange forward and swap contracts to hedge changes in foreign currency exchange rates with notional amounts of $128.2 million. We also use cross-currency swap agreements to mitigate currency risks associated with the net investment in certain of our foreign subsidiaries.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January 7, 2025, Moody's affirmed a Ba3 rating to our Senior Notes.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changed its outlook from stable to negative. On June 28, 2024, Standard</w:t>
      </w:r>
    </w:p>
    <w:p>
      <w:pPr>
        <w:spacing w:after="0" w:line="1" w:lineRule="exact"/>
        <w:rPr>
          <w:sz w:val="20"/>
          <w:szCs w:val="20"/>
          <w:color w:val="auto"/>
        </w:rPr>
      </w:pPr>
    </w:p>
    <w:p>
      <w:pPr>
        <w:jc w:val="both"/>
        <w:ind w:firstLine="8"/>
        <w:spacing w:after="0" w:line="255" w:lineRule="auto"/>
        <w:tabs>
          <w:tab w:leader="none" w:pos="1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delivered strong financial results through the first half of 2025, driven by increased demand and successful growth initiatives within our Aerospace and Packaging segments, combined with manufacturing enhancements and commercial actions. During first quarter 2025, we successfully completed our acquisition of GMT Aerospace in our Aerospace segment and divested of our Arrow Engine business, which reflect our continued steps to optimize our portfolio of businesses. Looking forward, we remain optimistic about the long-term growth within our two largest segments, Packaging and Aerospace, and an accelerated recovery of our cylinder business within our Specialty Products segment, which had increased sales and operating profit in second quarter 2025 as compared to the prior year period.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continued strong performance in our two largest segments and recovery in Specialty Products, we remain cautious of both primary and secondary effects from the impact of tariffs on input costs and global market conditions. However, we remain committed to mitigate the impact of the tariff environment, as much as practical, by executing on commercial, procurement, production, and streamlining actions and taking other steps as necessary, to maintain our strong balance sheet and generate cash in support of our capital allocation strategy.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President Donald J. Trump signed into law the legislation formally titled “An Act to provide for reconciliation pursuant to title II of H. Con. Res. 14” —and commonly referred to as the One Big Beautiful Bill Act ("OBBBA"). The legislation takes effect in the third quarter of 2025. Based on an initial analysis of the OBBBA, we do not anticipate a material impact on the effective tax rate and expect a favorable impact on U.S. federal cash taxes for the remainder of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2025,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2025,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2024 Annual Report on Form 10-K and Part 2,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Quarterly Report on Form 10-Q for the period ended March 31, 2025, which could materially affect our business, financial condition or future results. There are no material changes to our risk factors as disclosed in our 2024 Annual Report on Form 10-K and our Quarterly Report on Form 10-Q for the period ended March 31, 2025.</w:t>
      </w:r>
    </w:p>
    <w:p>
      <w:pPr>
        <w:spacing w:after="0" w:line="1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June 30, 2025:</w:t>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3460" w:type="dxa"/>
            <w:vAlign w:val="bottom"/>
            <w:vMerge w:val="restart"/>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0" w:type="dxa"/>
            <w:vAlign w:val="bottom"/>
          </w:tcPr>
          <w:p>
            <w:pPr>
              <w:spacing w:after="0"/>
              <w:rPr>
                <w:sz w:val="1"/>
                <w:szCs w:val="1"/>
                <w:color w:val="auto"/>
              </w:rPr>
            </w:pPr>
          </w:p>
        </w:tc>
      </w:tr>
      <w:tr>
        <w:trPr>
          <w:trHeight w:val="162"/>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4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3460" w:type="dxa"/>
            <w:vAlign w:val="bottom"/>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60" w:type="dxa"/>
            <w:vAlign w:val="bottom"/>
          </w:tcPr>
          <w:p>
            <w:pPr>
              <w:jc w:val="center"/>
              <w:ind w:left="19"/>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Approximate Dollar</w:t>
      </w:r>
    </w:p>
    <w:p>
      <w:pPr>
        <w:jc w:val="both"/>
        <w:ind w:right="80" w:firstLine="1"/>
        <w:spacing w:after="0" w:line="192" w:lineRule="auto"/>
        <w:rPr>
          <w:sz w:val="20"/>
          <w:szCs w:val="20"/>
          <w:color w:val="auto"/>
        </w:rPr>
      </w:pPr>
      <w:r>
        <w:rPr>
          <w:rFonts w:ascii="Times New Roman" w:cs="Times New Roman" w:eastAsia="Times New Roman" w:hAnsi="Times New Roman"/>
          <w:sz w:val="15"/>
          <w:szCs w:val="15"/>
          <w:b w:val="1"/>
          <w:bCs w:val="1"/>
          <w:color w:val="auto"/>
        </w:rPr>
        <w:t>Value of Shares that May Yet Be Purchased Under the Program (in millions)</w:t>
      </w:r>
    </w:p>
    <w:p>
      <w:pPr>
        <w:ind w:left="800"/>
        <w:spacing w:after="0"/>
        <w:rPr>
          <w:sz w:val="20"/>
          <w:szCs w:val="20"/>
          <w:color w:val="auto"/>
        </w:rPr>
      </w:pPr>
      <w:r>
        <w:rPr>
          <w:rFonts w:ascii="Times New Roman" w:cs="Times New Roman" w:eastAsia="Times New Roman" w:hAnsi="Times New Roman"/>
          <w:sz w:val="11"/>
          <w:szCs w:val="11"/>
          <w:b w:val="1"/>
          <w:bCs w:val="1"/>
          <w:color w:val="auto"/>
        </w:rPr>
        <w:t>(1)</w:t>
      </w:r>
    </w:p>
    <w:p>
      <w:pPr>
        <w:spacing w:after="0" w:line="90" w:lineRule="exact"/>
        <w:rPr>
          <w:sz w:val="20"/>
          <w:szCs w:val="20"/>
          <w:color w:val="auto"/>
        </w:rPr>
      </w:pPr>
    </w:p>
    <w:p>
      <w:pPr>
        <w:sectPr>
          <w:pgSz w:w="11900" w:h="16838" w:orient="portrait"/>
          <w:cols w:equalWidth="0" w:num="2">
            <w:col w:w="9240" w:space="180"/>
            <w:col w:w="182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85,729</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85,729</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85,729</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85,729</w:t>
            </w: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tabs>
          <w:tab w:leader="none" w:pos="309"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2025, the Company repurchased 85,729 shares of its common stock at a cost of $1.8 million. The share repurchase program is effective and has no expiration date.</w:t>
      </w:r>
    </w:p>
    <w:p>
      <w:pPr>
        <w:spacing w:after="0" w:line="2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2025, Thomas A. Amato, TriMas' former President and Chief Executive Officer, modified an existing trading plan, which was originally adopted on March 5, 2025, intended to satisfy the affirmative defense conditions of Rule 10b5-1(c) under the Exchange Act. As modified, the trading plan provides that Mr. Amato may sell up to an aggregate of 222,891 shares of the Company's common stock. First trades under Mr. Amato’s trading plan will not occur until August 19, 2025, at the earliest, and the trading plan is scheduled to terminate on December 31, 2025, subject to early termination for certain specified events set forth therein.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1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2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18"/>
                <w:szCs w:val="18"/>
                <w:color w:val="auto"/>
              </w:rPr>
            </w:pPr>
          </w:p>
        </w:tc>
        <w:tc>
          <w:tcPr>
            <w:tcW w:w="9740" w:type="dxa"/>
            <w:vAlign w:val="bottom"/>
            <w:gridSpan w:val="17"/>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Fourth Amended and Restated Certificate of Incorporation of TriMas Corporation, incorporated by reference to Exhibit 3.1 to the</w:t>
              </w:r>
            </w:hyperlink>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Company's Quarterly Report on Form 10-Q filed on August 3, 2007.</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spacing w:after="0"/>
              <w:rPr>
                <w:sz w:val="18"/>
                <w:szCs w:val="18"/>
                <w:color w:val="auto"/>
              </w:rPr>
            </w:pPr>
          </w:p>
        </w:tc>
        <w:tc>
          <w:tcPr>
            <w:tcW w:w="9740" w:type="dxa"/>
            <w:vAlign w:val="bottom"/>
            <w:gridSpan w:val="1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Third Amended and Restated By-laws of TriMas Corporation, incorporated by reference to Exhibit 3.1 to the Company's Current</w:t>
              </w:r>
            </w:hyperlink>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Report on Form 8-K filed on December 18, 2015.</w:t>
              </w:r>
            </w:hyperlink>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8"/>
                <w:szCs w:val="18"/>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Restricted Stock Units Agreement (Interim CFO) (One-Year Cliff Vest) under the 2023 Equity and Incentive Compensation Plan,</w:t>
            </w: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dated as of March 20, 2025, by and between TriMas Corporation and Teresa M. Finley.**</w:t>
            </w:r>
          </w:p>
        </w:tc>
        <w:tc>
          <w:tcPr>
            <w:tcW w:w="2860" w:type="dxa"/>
            <w:vAlign w:val="bottom"/>
            <w:tcBorders>
              <w:top w:val="single" w:sz="8" w:color="0000FF"/>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spacing w:after="0"/>
              <w:rPr>
                <w:sz w:val="18"/>
                <w:szCs w:val="18"/>
                <w:color w:val="auto"/>
              </w:rPr>
            </w:pPr>
          </w:p>
        </w:tc>
        <w:tc>
          <w:tcPr>
            <w:tcW w:w="6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Offer Letter between TriMas Corporation and Thomas Snyder dated as of June 3, 2025. **</w:t>
            </w:r>
          </w:p>
        </w:tc>
        <w:tc>
          <w:tcPr>
            <w:tcW w:w="3200" w:type="dxa"/>
            <w:vAlign w:val="bottom"/>
            <w:gridSpan w:val="11"/>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spacing w:after="0"/>
              <w:rPr>
                <w:sz w:val="18"/>
                <w:szCs w:val="18"/>
                <w:color w:val="auto"/>
              </w:rPr>
            </w:pPr>
          </w:p>
        </w:tc>
        <w:tc>
          <w:tcPr>
            <w:tcW w:w="9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Restricted Stock Units Inducement Award Agreement (Three-Year Ratable Vest), dated as of June 24, 2025, by and between TriMas</w:t>
              </w:r>
            </w:hyperlink>
          </w:p>
        </w:tc>
        <w:tc>
          <w:tcPr>
            <w:tcW w:w="220" w:type="dxa"/>
            <w:vAlign w:val="bottom"/>
            <w:gridSpan w:val="3"/>
          </w:tcPr>
          <w:p>
            <w:pPr>
              <w:spacing w:after="0"/>
              <w:rPr>
                <w:sz w:val="18"/>
                <w:szCs w:val="18"/>
                <w:color w:val="auto"/>
              </w:rPr>
            </w:pP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740" w:type="dxa"/>
            <w:vAlign w:val="bottom"/>
            <w:gridSpan w:val="17"/>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Corporation and Thomas Snyder, incorporated by reference to Exhibit 4.4 to the Company’s Registration Statement on Form S-8 (SEC</w:t>
              </w:r>
            </w:hyperlink>
          </w:p>
        </w:tc>
      </w:tr>
      <w:tr>
        <w:trPr>
          <w:trHeight w:val="155"/>
        </w:trPr>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File No. 333-288286) filed on June 24, 2025. **</w:t>
              </w:r>
            </w:hyperlink>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18"/>
                <w:szCs w:val="18"/>
                <w:color w:val="auto"/>
              </w:rPr>
            </w:pPr>
          </w:p>
        </w:tc>
        <w:tc>
          <w:tcPr>
            <w:tcW w:w="9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Non-Qualified Stock Option Inducement Award Agreement (Five-Year Ratable Vest), dated as of June 24, 2025, by and between</w:t>
              </w:r>
            </w:hyperlink>
          </w:p>
        </w:tc>
        <w:tc>
          <w:tcPr>
            <w:tcW w:w="460" w:type="dxa"/>
            <w:vAlign w:val="bottom"/>
            <w:gridSpan w:val="7"/>
          </w:tcPr>
          <w:p>
            <w:pPr>
              <w:spacing w:after="0"/>
              <w:rPr>
                <w:sz w:val="18"/>
                <w:szCs w:val="18"/>
                <w:color w:val="auto"/>
              </w:rPr>
            </w:pPr>
          </w:p>
        </w:tc>
      </w:tr>
      <w:tr>
        <w:trPr>
          <w:trHeight w:val="169"/>
        </w:trPr>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740" w:type="dxa"/>
            <w:vAlign w:val="bottom"/>
            <w:gridSpan w:val="17"/>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TriMas Corporation and Thomas Snyder, incorporated by reference to Exhibit 4.5 to the Company’s Registration Statement on Form</w:t>
              </w:r>
            </w:hyperlink>
          </w:p>
        </w:tc>
      </w:tr>
      <w:tr>
        <w:trPr>
          <w:trHeight w:val="156"/>
        </w:trPr>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S-8 (SEC File No. 333-288286) filed on June 24, 2025. **</w:t>
              </w:r>
            </w:hyperlink>
          </w:p>
        </w:tc>
        <w:tc>
          <w:tcPr>
            <w:tcW w:w="5320" w:type="dxa"/>
            <w:vAlign w:val="bottom"/>
            <w:tcBorders>
              <w:top w:val="single" w:sz="8" w:color="0000FF"/>
            </w:tcBorders>
            <w:gridSpan w:val="12"/>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8"/>
                <w:szCs w:val="18"/>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Severance Agreement between TriMas Corporation and Thomas J. Snyder dated as of June 23, 2025. **</w:t>
            </w: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0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tcPr>
          <w:p>
            <w:pPr>
              <w:spacing w:after="0"/>
              <w:rPr>
                <w:sz w:val="18"/>
                <w:szCs w:val="18"/>
                <w:color w:val="auto"/>
              </w:rPr>
            </w:pPr>
          </w:p>
        </w:tc>
        <w:tc>
          <w:tcPr>
            <w:tcW w:w="7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Indemnification Agreement between TriMas Corporation and Thomas J. Snyder dated as of June 23, 2025. **</w:t>
            </w:r>
          </w:p>
        </w:tc>
        <w:tc>
          <w:tcPr>
            <w:tcW w:w="1820" w:type="dxa"/>
            <w:vAlign w:val="bottom"/>
            <w:gridSpan w:val="9"/>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Pr>
          <w:p>
            <w:pPr>
              <w:spacing w:after="0"/>
              <w:rPr>
                <w:sz w:val="18"/>
                <w:szCs w:val="18"/>
                <w:color w:val="auto"/>
              </w:rPr>
            </w:pPr>
          </w:p>
        </w:tc>
        <w:tc>
          <w:tcPr>
            <w:tcW w:w="9740" w:type="dxa"/>
            <w:vAlign w:val="bottom"/>
            <w:gridSpan w:val="17"/>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9"/>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20" w:type="dxa"/>
            <w:vAlign w:val="bottom"/>
            <w:gridSpan w:val="8"/>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40" w:type="dxa"/>
            <w:vAlign w:val="bottom"/>
          </w:tcPr>
          <w:p>
            <w:pPr>
              <w:spacing w:after="0"/>
              <w:rPr>
                <w:sz w:val="18"/>
                <w:szCs w:val="18"/>
                <w:color w:val="auto"/>
              </w:rPr>
            </w:pPr>
          </w:p>
        </w:tc>
        <w:tc>
          <w:tcPr>
            <w:tcW w:w="8720" w:type="dxa"/>
            <w:vAlign w:val="bottom"/>
            <w:tcBorders>
              <w:bottom w:val="single" w:sz="8" w:color="0000FF"/>
            </w:tcBorders>
            <w:gridSpan w:val="9"/>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20" w:type="dxa"/>
            <w:vAlign w:val="bottom"/>
            <w:gridSpan w:val="8"/>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tcPr>
          <w:p>
            <w:pPr>
              <w:spacing w:after="0"/>
              <w:rPr>
                <w:sz w:val="18"/>
                <w:szCs w:val="18"/>
                <w:color w:val="auto"/>
              </w:rPr>
            </w:pPr>
          </w:p>
        </w:tc>
        <w:tc>
          <w:tcPr>
            <w:tcW w:w="8720" w:type="dxa"/>
            <w:vAlign w:val="bottom"/>
            <w:tcBorders>
              <w:bottom w:val="single" w:sz="8" w:color="0000FF"/>
            </w:tcBorders>
            <w:gridSpan w:val="9"/>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020" w:type="dxa"/>
            <w:vAlign w:val="bottom"/>
            <w:gridSpan w:val="8"/>
          </w:tcPr>
          <w:p>
            <w:pPr>
              <w:spacing w:after="0"/>
              <w:rPr>
                <w:sz w:val="18"/>
                <w:szCs w:val="18"/>
                <w:color w:val="auto"/>
              </w:rPr>
            </w:pPr>
          </w:p>
        </w:tc>
      </w:tr>
    </w:tbl>
    <w:p>
      <w:pPr>
        <w:spacing w:after="0" w:line="22" w:lineRule="exact"/>
        <w:rPr>
          <w:sz w:val="20"/>
          <w:szCs w:val="20"/>
          <w:color w:val="auto"/>
        </w:rPr>
      </w:pPr>
    </w:p>
    <w:p>
      <w:pPr>
        <w:jc w:val="both"/>
        <w:ind w:left="1480" w:hanging="1454"/>
        <w:spacing w:after="0" w:line="223"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TriMas Corporation's Quarterly Report on Form 10-Q for the quarter ended June 30, 2025,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p>
      <w:pPr>
        <w:spacing w:after="0" w:line="2" w:lineRule="exact"/>
        <w:rPr>
          <w:sz w:val="20"/>
          <w:szCs w:val="20"/>
          <w:color w:val="auto"/>
        </w:rPr>
      </w:pPr>
    </w:p>
    <w:p>
      <w:pPr>
        <w:ind w:left="1480" w:hanging="1454"/>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1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80" w:type="dxa"/>
            <w:vAlign w:val="bottom"/>
          </w:tcPr>
          <w:p>
            <w:pPr>
              <w:spacing w:after="0"/>
              <w:rPr>
                <w:sz w:val="20"/>
                <w:szCs w:val="20"/>
                <w:color w:val="auto"/>
              </w:rPr>
            </w:pPr>
          </w:p>
        </w:tc>
      </w:tr>
      <w:tr>
        <w:trPr>
          <w:trHeight w:val="48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80" w:type="dxa"/>
            <w:vAlign w:val="bottom"/>
          </w:tcPr>
          <w:p>
            <w:pPr>
              <w:jc w:val="center"/>
              <w:ind w:right="2450"/>
              <w:spacing w:after="0"/>
              <w:rPr>
                <w:sz w:val="20"/>
                <w:szCs w:val="20"/>
                <w:color w:val="auto"/>
              </w:rPr>
            </w:pPr>
            <w:r>
              <w:rPr>
                <w:rFonts w:ascii="Times New Roman" w:cs="Times New Roman" w:eastAsia="Times New Roman" w:hAnsi="Times New Roman"/>
                <w:sz w:val="18"/>
                <w:szCs w:val="18"/>
                <w:color w:val="auto"/>
                <w:w w:val="99"/>
              </w:rPr>
              <w:t>/s/ TERESA M. FINLEY</w:t>
            </w:r>
          </w:p>
        </w:tc>
      </w:tr>
      <w:tr>
        <w:trPr>
          <w:trHeight w:val="54"/>
        </w:trPr>
        <w:tc>
          <w:tcPr>
            <w:tcW w:w="2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176"/>
        </w:trPr>
        <w:tc>
          <w:tcPr>
            <w:tcW w:w="2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480" w:type="dxa"/>
            <w:vAlign w:val="bottom"/>
          </w:tcPr>
          <w:p>
            <w:pPr>
              <w:jc w:val="center"/>
              <w:ind w:right="2450"/>
              <w:spacing w:after="0" w:line="176" w:lineRule="exact"/>
              <w:rPr>
                <w:sz w:val="20"/>
                <w:szCs w:val="20"/>
                <w:color w:val="auto"/>
              </w:rPr>
            </w:pPr>
            <w:r>
              <w:rPr>
                <w:rFonts w:ascii="Times New Roman" w:cs="Times New Roman" w:eastAsia="Times New Roman" w:hAnsi="Times New Roman"/>
                <w:sz w:val="18"/>
                <w:szCs w:val="18"/>
                <w:color w:val="auto"/>
                <w:w w:val="98"/>
              </w:rPr>
              <w:t>Teresa M. Finley</w:t>
            </w: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41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245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One-Year (Cliff) Vest (Interim CFO)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69"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338"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Teresa M. Finley</w:t>
      </w:r>
    </w:p>
    <w:p>
      <w:pPr>
        <w:spacing w:after="0" w:line="173" w:lineRule="exact"/>
        <w:rPr>
          <w:sz w:val="20"/>
          <w:szCs w:val="20"/>
          <w:color w:val="auto"/>
        </w:rPr>
      </w:pPr>
    </w:p>
    <w:p>
      <w:pPr>
        <w:sectPr>
          <w:pgSz w:w="11900" w:h="16838" w:orient="portrait"/>
          <w:cols w:equalWidth="0" w:num="2">
            <w:col w:w="5740" w:space="720"/>
            <w:col w:w="478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May 20, 2025</w:t>
      </w:r>
    </w:p>
    <w:p>
      <w:pPr>
        <w:spacing w:after="0" w:line="173" w:lineRule="exact"/>
        <w:rPr>
          <w:sz w:val="20"/>
          <w:szCs w:val="20"/>
          <w:color w:val="auto"/>
        </w:rPr>
      </w:pPr>
    </w:p>
    <w:p>
      <w:pPr>
        <w:sectPr>
          <w:pgSz w:w="11900" w:h="16838" w:orient="portrait"/>
          <w:cols w:equalWidth="0" w:num="2">
            <w:col w:w="5740" w:space="720"/>
            <w:col w:w="478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March 20, 2025</w:t>
      </w:r>
    </w:p>
    <w:p>
      <w:pPr>
        <w:spacing w:after="0" w:line="173" w:lineRule="exact"/>
        <w:rPr>
          <w:sz w:val="20"/>
          <w:szCs w:val="20"/>
          <w:color w:val="auto"/>
        </w:rPr>
      </w:pPr>
    </w:p>
    <w:p>
      <w:pPr>
        <w:sectPr>
          <w:pgSz w:w="11900" w:h="16838" w:orient="portrait"/>
          <w:cols w:equalWidth="0" w:num="2">
            <w:col w:w="5740" w:space="720"/>
            <w:col w:w="4780"/>
          </w:cols>
          <w:pgMar w:left="320" w:top="33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0" w:lineRule="exact"/>
        <w:rPr>
          <w:sz w:val="20"/>
          <w:szCs w:val="20"/>
          <w:color w:val="auto"/>
        </w:rPr>
      </w:pPr>
    </w:p>
    <w:p>
      <w:pPr>
        <w:sectPr>
          <w:pgSz w:w="11900" w:h="16838" w:orient="portrait"/>
          <w:cols w:equalWidth="0" w:num="2">
            <w:col w:w="5740" w:space="720"/>
            <w:col w:w="4780"/>
          </w:cols>
          <w:pgMar w:left="320" w:top="338" w:right="339" w:bottom="1440" w:gutter="0" w:footer="0" w:header="0"/>
          <w:type w:val="continuous"/>
        </w:sectPr>
      </w:pPr>
    </w:p>
    <w:p>
      <w:pPr>
        <w:spacing w:after="0" w:line="230"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the Vesting Date.</w:t>
      </w:r>
    </w:p>
    <w:p>
      <w:pPr>
        <w:sectPr>
          <w:pgSz w:w="11900" w:h="16838" w:orient="portrait"/>
          <w:cols w:equalWidth="0" w:num="1">
            <w:col w:w="11240"/>
          </w:cols>
          <w:pgMar w:left="320" w:top="338" w:right="339" w:bottom="1440" w:gutter="0" w:footer="0" w:header="0"/>
          <w:type w:val="continuous"/>
        </w:sectPr>
      </w:pPr>
    </w:p>
    <w:bookmarkStart w:id="49" w:name="page50"/>
    <w:bookmarkEnd w:id="49"/>
    <w:p>
      <w:pPr>
        <w:ind w:left="820" w:hanging="636"/>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41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Within Six Months; Certain Other Terminations; Breach of Other Obligations</w:t>
      </w:r>
      <w:r>
        <w:rPr>
          <w:rFonts w:ascii="Times New Roman" w:cs="Times New Roman" w:eastAsia="Times New Roman" w:hAnsi="Times New Roman"/>
          <w:sz w:val="22"/>
          <w:szCs w:val="22"/>
          <w:color w:val="auto"/>
        </w:rPr>
        <w:t>. Any unvested Restricted Stock Units subject to this Award will be canceled and forfeited if,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Vesting Date: (A) Grantee voluntarily terminates employment with the Company, including from the role of Interim Chief Financial Officer, both (1) before September 20, 2025 and (2) prior to another person succeeding Grantee in the role of Chief Financial Officer of the Company; (B) Grantee ceases to be a Service Provider (including regarding Board service) other than as described in Section II.A.1(b)(ii) or Section II.A.1(b)(iii); or (C) if Grantee violates the provisions of Section II.B.3 below.</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58" w:lineRule="auto"/>
        <w:tabs>
          <w:tab w:leader="none" w:pos="133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the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54" w:lineRule="auto"/>
        <w:tabs>
          <w:tab w:leader="none" w:pos="153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as Service Provider Without Cause. </w:t>
      </w:r>
      <w:r>
        <w:rPr>
          <w:rFonts w:ascii="Times New Roman" w:cs="Times New Roman" w:eastAsia="Times New Roman" w:hAnsi="Times New Roman"/>
          <w:sz w:val="22"/>
          <w:szCs w:val="22"/>
          <w:color w:val="auto"/>
        </w:rPr>
        <w:t>Notwithstanding Section II.A.1(b)(i)(B),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ceases to be a Service Provider prior to the Vesting Date due to involuntary termination (including regarding Board service) without Cause, Grantee shall fully vest in the Restricted Stock Units subject to this Award that have not already vested as of the date on which Grantee ceases to be a Service Provider due to such involuntary termination.</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59" w:lineRule="auto"/>
        <w:tabs>
          <w:tab w:leader="none" w:pos="146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such unvested Restricted Stock Units shall vest in accordance with this Section II.A.1(b)(iv):</w:t>
      </w:r>
    </w:p>
    <w:p>
      <w:pPr>
        <w:spacing w:after="0" w:line="183" w:lineRule="exact"/>
        <w:rPr>
          <w:rFonts w:ascii="Times New Roman" w:cs="Times New Roman" w:eastAsia="Times New Roman" w:hAnsi="Times New Roman"/>
          <w:sz w:val="22"/>
          <w:szCs w:val="22"/>
          <w:color w:val="auto"/>
        </w:rPr>
      </w:pPr>
    </w:p>
    <w:p>
      <w:pPr>
        <w:jc w:val="both"/>
        <w:ind w:left="1080" w:firstLine="643"/>
        <w:spacing w:after="0" w:line="251" w:lineRule="auto"/>
        <w:tabs>
          <w:tab w:leader="none" w:pos="2393"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II.A.1(b)(iv)(B) to continue, replace or assume the Restricted Stock Units covered by this Award (the “Replaced Award”).</w:t>
      </w:r>
    </w:p>
    <w:p>
      <w:pPr>
        <w:spacing w:after="0" w:line="181" w:lineRule="exact"/>
        <w:rPr>
          <w:rFonts w:ascii="Times New Roman" w:cs="Times New Roman" w:eastAsia="Times New Roman" w:hAnsi="Times New Roman"/>
          <w:sz w:val="22"/>
          <w:szCs w:val="22"/>
          <w:color w:val="auto"/>
        </w:rPr>
      </w:pPr>
    </w:p>
    <w:p>
      <w:pPr>
        <w:ind w:left="1080" w:firstLine="643"/>
        <w:spacing w:after="0" w:line="271" w:lineRule="auto"/>
        <w:tabs>
          <w:tab w:leader="none" w:pos="2265"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391" w:right="339" w:bottom="1440" w:gutter="0" w:footer="0" w:header="0"/>
        </w:sectPr>
      </w:pPr>
    </w:p>
    <w:bookmarkStart w:id="50" w:name="page51"/>
    <w:bookmarkEnd w:id="50"/>
    <w:p>
      <w:pPr>
        <w:jc w:val="both"/>
        <w:ind w:left="1760"/>
        <w:spacing w:after="0" w:line="247" w:lineRule="auto"/>
        <w:rPr>
          <w:sz w:val="20"/>
          <w:szCs w:val="20"/>
          <w:color w:val="auto"/>
        </w:rPr>
      </w:pPr>
      <w:r>
        <w:rPr>
          <w:rFonts w:ascii="Times New Roman" w:cs="Times New Roman" w:eastAsia="Times New Roman" w:hAnsi="Times New Roman"/>
          <w:sz w:val="22"/>
          <w:szCs w:val="22"/>
          <w:color w:val="auto"/>
        </w:rPr>
        <w:t>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II.A.1(b)(iv)(B) are satisfied will be made by the Committee, as constituted immediately before the Change in Control, in its sole discretion.</w:t>
      </w:r>
    </w:p>
    <w:p>
      <w:pPr>
        <w:spacing w:after="0" w:line="203" w:lineRule="exact"/>
        <w:rPr>
          <w:sz w:val="20"/>
          <w:szCs w:val="20"/>
          <w:color w:val="auto"/>
        </w:rPr>
      </w:pPr>
    </w:p>
    <w:p>
      <w:pPr>
        <w:jc w:val="both"/>
        <w:ind w:left="1760" w:firstLine="643"/>
        <w:spacing w:after="0" w:line="250" w:lineRule="auto"/>
        <w:tabs>
          <w:tab w:leader="none" w:pos="297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Grantee ceases to be a Service Provider (on an involuntary basis)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cessation of status as a Service Provider.</w:t>
      </w:r>
    </w:p>
    <w:p>
      <w:pPr>
        <w:spacing w:after="0" w:line="194" w:lineRule="exact"/>
        <w:rPr>
          <w:rFonts w:ascii="Times New Roman" w:cs="Times New Roman" w:eastAsia="Times New Roman" w:hAnsi="Times New Roman"/>
          <w:sz w:val="22"/>
          <w:szCs w:val="22"/>
          <w:color w:val="auto"/>
        </w:rPr>
      </w:pPr>
    </w:p>
    <w:p>
      <w:pPr>
        <w:jc w:val="both"/>
        <w:ind w:left="1760" w:firstLine="643"/>
        <w:spacing w:after="0" w:line="252" w:lineRule="auto"/>
        <w:tabs>
          <w:tab w:leader="none" w:pos="300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9" w:lineRule="exact"/>
        <w:rPr>
          <w:sz w:val="20"/>
          <w:szCs w:val="20"/>
          <w:color w:val="auto"/>
        </w:rPr>
      </w:pPr>
    </w:p>
    <w:p>
      <w:pPr>
        <w:jc w:val="both"/>
        <w:ind w:left="220"/>
        <w:spacing w:after="0" w:line="263"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63" w:lineRule="exact"/>
        <w:rPr>
          <w:sz w:val="20"/>
          <w:szCs w:val="20"/>
          <w:color w:val="auto"/>
        </w:rPr>
      </w:pPr>
    </w:p>
    <w:p>
      <w:pPr>
        <w:ind w:left="380" w:hanging="380"/>
        <w:spacing w:after="0"/>
        <w:tabs>
          <w:tab w:leader="none" w:pos="38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ind w:left="220" w:firstLine="259"/>
        <w:spacing w:after="0" w:line="299" w:lineRule="auto"/>
        <w:tabs>
          <w:tab w:leader="none" w:pos="98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Subject to Section II.A.2(b) below, and as soon as administratively practicable following (but no later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than thirty (30) days following) the Vesting Date, the Company shall issue Grantee one share of Common Stock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00"/>
          </w:cols>
          <w:pgMar w:left="760" w:top="1422"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2"/>
          <w:szCs w:val="22"/>
          <w:color w:val="auto"/>
        </w:rPr>
        <w:t>Restricted Stock Unit that is vested (but has not previously been settled) on the Vesting Date.</w:t>
      </w:r>
    </w:p>
    <w:p>
      <w:pPr>
        <w:spacing w:after="0" w:line="216" w:lineRule="exact"/>
        <w:rPr>
          <w:sz w:val="20"/>
          <w:szCs w:val="20"/>
          <w:color w:val="auto"/>
        </w:rPr>
      </w:pPr>
    </w:p>
    <w:p>
      <w:pPr>
        <w:ind w:left="660" w:firstLine="306"/>
        <w:spacing w:after="0" w:line="275" w:lineRule="auto"/>
        <w:tabs>
          <w:tab w:leader="none" w:pos="153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66" w:lineRule="exact"/>
        <w:rPr>
          <w:rFonts w:ascii="Times New Roman" w:cs="Times New Roman" w:eastAsia="Times New Roman" w:hAnsi="Times New Roman"/>
          <w:sz w:val="22"/>
          <w:szCs w:val="22"/>
          <w:color w:val="auto"/>
        </w:rPr>
      </w:pPr>
    </w:p>
    <w:p>
      <w:pPr>
        <w:jc w:val="both"/>
        <w:ind w:left="1300" w:firstLine="571"/>
        <w:spacing w:after="0" w:line="252" w:lineRule="auto"/>
        <w:tabs>
          <w:tab w:leader="none" w:pos="2426"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79" w:lineRule="exact"/>
        <w:rPr>
          <w:rFonts w:ascii="Times New Roman" w:cs="Times New Roman" w:eastAsia="Times New Roman" w:hAnsi="Times New Roman"/>
          <w:sz w:val="22"/>
          <w:szCs w:val="22"/>
          <w:color w:val="auto"/>
        </w:rPr>
      </w:pPr>
    </w:p>
    <w:p>
      <w:pPr>
        <w:jc w:val="both"/>
        <w:ind w:left="1300" w:firstLine="571"/>
        <w:spacing w:after="0" w:line="250" w:lineRule="auto"/>
        <w:tabs>
          <w:tab w:leader="none" w:pos="2475"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79" w:lineRule="exact"/>
        <w:rPr>
          <w:rFonts w:ascii="Times New Roman" w:cs="Times New Roman" w:eastAsia="Times New Roman" w:hAnsi="Times New Roman"/>
          <w:sz w:val="22"/>
          <w:szCs w:val="22"/>
          <w:color w:val="auto"/>
        </w:rPr>
      </w:pPr>
    </w:p>
    <w:p>
      <w:pPr>
        <w:jc w:val="both"/>
        <w:ind w:left="1300" w:firstLine="571"/>
        <w:spacing w:after="0" w:line="265" w:lineRule="auto"/>
        <w:tabs>
          <w:tab w:leader="none" w:pos="2523"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rFonts w:ascii="Times New Roman" w:cs="Times New Roman" w:eastAsia="Times New Roman" w:hAnsi="Times New Roman"/>
          <w:sz w:val="21"/>
          <w:szCs w:val="21"/>
          <w:color w:val="auto"/>
        </w:rPr>
      </w:pPr>
    </w:p>
    <w:p>
      <w:pPr>
        <w:jc w:val="both"/>
        <w:ind w:firstLine="449"/>
        <w:spacing w:after="0" w:line="249" w:lineRule="auto"/>
        <w:tabs>
          <w:tab w:leader="none" w:pos="823"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52" w:name="page53"/>
    <w:bookmarkEnd w:id="52"/>
    <w:p>
      <w:pPr>
        <w:spacing w:after="0" w:line="271" w:lineRule="auto"/>
        <w:rPr>
          <w:sz w:val="20"/>
          <w:szCs w:val="20"/>
          <w:color w:val="auto"/>
        </w:rPr>
      </w:pPr>
      <w:r>
        <w:rPr>
          <w:rFonts w:ascii="Times New Roman" w:cs="Times New Roman" w:eastAsia="Times New Roman" w:hAnsi="Times New Roman"/>
          <w:sz w:val="22"/>
          <w:szCs w:val="22"/>
          <w:color w:val="auto"/>
        </w:rPr>
        <w:t>rounded down to the nearest whole number and shall be determined by dividing such credited amounts by the Market Value per Share on the payment date.</w:t>
      </w:r>
    </w:p>
    <w:p>
      <w:pPr>
        <w:spacing w:after="0" w:line="154" w:lineRule="exact"/>
        <w:rPr>
          <w:sz w:val="20"/>
          <w:szCs w:val="20"/>
          <w:color w:val="auto"/>
        </w:rPr>
      </w:pPr>
    </w:p>
    <w:p>
      <w:pPr>
        <w:ind w:right="20" w:firstLine="467"/>
        <w:spacing w:after="0" w:line="287" w:lineRule="auto"/>
        <w:tabs>
          <w:tab w:leader="none" w:pos="850" w:val="left"/>
        </w:tabs>
        <w:numPr>
          <w:ilvl w:val="2"/>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37" w:lineRule="exact"/>
        <w:rPr>
          <w:rFonts w:ascii="Times New Roman" w:cs="Times New Roman" w:eastAsia="Times New Roman" w:hAnsi="Times New Roman"/>
          <w:sz w:val="22"/>
          <w:szCs w:val="22"/>
          <w:b w:val="1"/>
          <w:bCs w:val="1"/>
          <w:color w:val="auto"/>
        </w:rPr>
      </w:pPr>
    </w:p>
    <w:p>
      <w:pPr>
        <w:ind w:firstLine="440"/>
        <w:spacing w:after="0" w:line="275" w:lineRule="auto"/>
        <w:tabs>
          <w:tab w:leader="none" w:pos="81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49" w:lineRule="exact"/>
        <w:rPr>
          <w:rFonts w:ascii="Times New Roman" w:cs="Times New Roman" w:eastAsia="Times New Roman" w:hAnsi="Times New Roman"/>
          <w:sz w:val="22"/>
          <w:szCs w:val="22"/>
          <w:b w:val="1"/>
          <w:bCs w:val="1"/>
          <w:color w:val="auto"/>
        </w:rPr>
      </w:pPr>
    </w:p>
    <w:p>
      <w:pPr>
        <w:ind w:left="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494"/>
        <w:spacing w:after="0" w:line="258" w:lineRule="auto"/>
        <w:tabs>
          <w:tab w:leader="none" w:pos="891" w:val="left"/>
        </w:tabs>
        <w:numPr>
          <w:ilvl w:val="3"/>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7" w:lineRule="exact"/>
        <w:rPr>
          <w:rFonts w:ascii="Times New Roman" w:cs="Times New Roman" w:eastAsia="Times New Roman" w:hAnsi="Times New Roman"/>
          <w:sz w:val="22"/>
          <w:szCs w:val="22"/>
          <w:b w:val="1"/>
          <w:bCs w:val="1"/>
          <w:color w:val="auto"/>
        </w:rPr>
      </w:pPr>
    </w:p>
    <w:p>
      <w:pPr>
        <w:jc w:val="both"/>
        <w:ind w:firstLine="593"/>
        <w:spacing w:after="0" w:line="248" w:lineRule="auto"/>
        <w:tabs>
          <w:tab w:leader="none" w:pos="1039" w:val="left"/>
        </w:tabs>
        <w:numPr>
          <w:ilvl w:val="4"/>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2"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ind w:left="660" w:right="100" w:firstLine="644"/>
        <w:spacing w:after="0" w:line="258" w:lineRule="auto"/>
        <w:tabs>
          <w:tab w:leader="none" w:pos="1764" w:val="left"/>
        </w:tabs>
        <w:numPr>
          <w:ilvl w:val="5"/>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Generally. </w:t>
      </w:r>
      <w:r>
        <w:rPr>
          <w:rFonts w:ascii="Times New Roman" w:cs="Times New Roman" w:eastAsia="Times New Roman" w:hAnsi="Times New Roman"/>
          <w:sz w:val="22"/>
          <w:szCs w:val="22"/>
          <w:color w:val="auto"/>
        </w:rPr>
        <w:t>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53" w:name="page54"/>
    <w:bookmarkEnd w:id="53"/>
    <w:p>
      <w:pPr>
        <w:ind w:right="40"/>
        <w:spacing w:after="0" w:line="253" w:lineRule="auto"/>
        <w:rPr>
          <w:sz w:val="20"/>
          <w:szCs w:val="20"/>
          <w:color w:val="auto"/>
        </w:rPr>
      </w:pPr>
      <w:r>
        <w:rPr>
          <w:rFonts w:ascii="Times New Roman" w:cs="Times New Roman" w:eastAsia="Times New Roman" w:hAnsi="Times New Roman"/>
          <w:sz w:val="22"/>
          <w:szCs w:val="22"/>
          <w:color w:val="auto"/>
        </w:rPr>
        <w:t>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75" w:lineRule="exact"/>
        <w:rPr>
          <w:sz w:val="20"/>
          <w:szCs w:val="20"/>
          <w:color w:val="auto"/>
        </w:rPr>
      </w:pPr>
    </w:p>
    <w:p>
      <w:pPr>
        <w:ind w:firstLine="212"/>
        <w:spacing w:after="0" w:line="259" w:lineRule="auto"/>
        <w:tabs>
          <w:tab w:leader="none" w:pos="68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Confidentiality. </w:t>
      </w:r>
      <w:r>
        <w:rPr>
          <w:rFonts w:ascii="Times New Roman" w:cs="Times New Roman" w:eastAsia="Times New Roman" w:hAnsi="Times New Roman"/>
          <w:sz w:val="21"/>
          <w:szCs w:val="21"/>
          <w:color w:val="auto"/>
        </w:rPr>
        <w:t>Recognizing Grantee’s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“Arrangements”)):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60"/>
          </w:cols>
          <w:pgMar w:left="980" w:top="1422" w:right="359" w:bottom="1440" w:gutter="0" w:footer="0" w:header="0"/>
        </w:sectPr>
      </w:pPr>
    </w:p>
    <w:bookmarkStart w:id="54" w:name="page55"/>
    <w:bookmarkEnd w:id="54"/>
    <w:p>
      <w:pPr>
        <w:ind w:right="20"/>
        <w:spacing w:after="0" w:line="265" w:lineRule="auto"/>
        <w:rPr>
          <w:sz w:val="20"/>
          <w:szCs w:val="20"/>
          <w:color w:val="auto"/>
        </w:rPr>
      </w:pPr>
      <w:r>
        <w:rPr>
          <w:rFonts w:ascii="Times New Roman" w:cs="Times New Roman" w:eastAsia="Times New Roman" w:hAnsi="Times New Roman"/>
          <w:sz w:val="21"/>
          <w:szCs w:val="21"/>
          <w:color w:val="auto"/>
        </w:rPr>
        <w:t>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65" w:lineRule="exact"/>
        <w:rPr>
          <w:sz w:val="20"/>
          <w:szCs w:val="20"/>
          <w:color w:val="auto"/>
        </w:rPr>
      </w:pPr>
    </w:p>
    <w:p>
      <w:pPr>
        <w:ind w:left="660" w:hanging="448"/>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p>
    <w:p>
      <w:pPr>
        <w:spacing w:after="0" w:line="223" w:lineRule="exact"/>
        <w:rPr>
          <w:rFonts w:ascii="Times New Roman" w:cs="Times New Roman" w:eastAsia="Times New Roman" w:hAnsi="Times New Roman"/>
          <w:sz w:val="22"/>
          <w:szCs w:val="22"/>
          <w:color w:val="auto"/>
        </w:rPr>
      </w:pPr>
    </w:p>
    <w:p>
      <w:pPr>
        <w:ind w:left="640" w:right="160" w:firstLine="652"/>
        <w:spacing w:after="0" w:line="249" w:lineRule="auto"/>
        <w:tabs>
          <w:tab w:leader="none" w:pos="1708"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3" w:lineRule="exact"/>
        <w:rPr>
          <w:rFonts w:ascii="Times New Roman" w:cs="Times New Roman" w:eastAsia="Times New Roman" w:hAnsi="Times New Roman"/>
          <w:sz w:val="22"/>
          <w:szCs w:val="22"/>
          <w:color w:val="auto"/>
        </w:rPr>
      </w:pPr>
    </w:p>
    <w:p>
      <w:pPr>
        <w:ind w:left="640" w:firstLine="220"/>
        <w:spacing w:after="0" w:line="250" w:lineRule="auto"/>
        <w:tabs>
          <w:tab w:leader="none" w:pos="133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93" w:lineRule="exact"/>
        <w:rPr>
          <w:rFonts w:ascii="Times New Roman" w:cs="Times New Roman" w:eastAsia="Times New Roman" w:hAnsi="Times New Roman"/>
          <w:sz w:val="22"/>
          <w:szCs w:val="22"/>
          <w:color w:val="auto"/>
        </w:rPr>
      </w:pPr>
    </w:p>
    <w:p>
      <w:pPr>
        <w:ind w:left="640" w:right="220" w:hanging="212"/>
        <w:spacing w:after="0" w:line="248" w:lineRule="auto"/>
        <w:tabs>
          <w:tab w:leader="none" w:pos="96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60"/>
          </w:cols>
          <w:pgMar w:left="980" w:top="1422" w:right="359" w:bottom="1440" w:gutter="0" w:footer="0" w:header="0"/>
        </w:sectPr>
      </w:pPr>
    </w:p>
    <w:bookmarkStart w:id="55" w:name="page56"/>
    <w:bookmarkEnd w:id="55"/>
    <w:p>
      <w:pPr>
        <w:ind w:left="640" w:right="300"/>
        <w:spacing w:after="0" w:line="271" w:lineRule="auto"/>
        <w:rPr>
          <w:sz w:val="20"/>
          <w:szCs w:val="20"/>
          <w:color w:val="auto"/>
        </w:rPr>
      </w:pPr>
      <w:r>
        <w:rPr>
          <w:rFonts w:ascii="Times New Roman" w:cs="Times New Roman" w:eastAsia="Times New Roman" w:hAnsi="Times New Roman"/>
          <w:sz w:val="22"/>
          <w:szCs w:val="22"/>
          <w:color w:val="auto"/>
        </w:rPr>
        <w:t>efforts such as advertisements and job listings, or directly or indirectly induce any employee of the Company to leave the Company, or assist in any of the foregoing.</w:t>
      </w:r>
    </w:p>
    <w:p>
      <w:pPr>
        <w:spacing w:after="0" w:line="154" w:lineRule="exact"/>
        <w:rPr>
          <w:sz w:val="20"/>
          <w:szCs w:val="20"/>
          <w:color w:val="auto"/>
        </w:rPr>
      </w:pPr>
    </w:p>
    <w:p>
      <w:pPr>
        <w:ind w:left="680" w:hanging="468"/>
        <w:spacing w:after="0"/>
        <w:tabs>
          <w:tab w:leader="none" w:pos="6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Determination by the Board. </w:t>
      </w:r>
      <w:r>
        <w:rPr>
          <w:rFonts w:ascii="Times New Roman" w:cs="Times New Roman" w:eastAsia="Times New Roman" w:hAnsi="Times New Roman"/>
          <w:sz w:val="22"/>
          <w:szCs w:val="22"/>
          <w:color w:val="auto"/>
        </w:rPr>
        <w:t>Upon entering into this Agreement, Grantee understands and agrees that a</w:t>
      </w:r>
    </w:p>
    <w:p>
      <w:pPr>
        <w:spacing w:after="0" w:line="33" w:lineRule="exact"/>
        <w:rPr>
          <w:rFonts w:ascii="Times New Roman" w:cs="Times New Roman" w:eastAsia="Times New Roman" w:hAnsi="Times New Roman"/>
          <w:sz w:val="22"/>
          <w:szCs w:val="22"/>
          <w:color w:val="auto"/>
        </w:rPr>
      </w:pPr>
    </w:p>
    <w:p>
      <w:pPr>
        <w:ind w:right="1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75" w:lineRule="exact"/>
        <w:rPr>
          <w:rFonts w:ascii="Times New Roman" w:cs="Times New Roman" w:eastAsia="Times New Roman" w:hAnsi="Times New Roman"/>
          <w:sz w:val="22"/>
          <w:szCs w:val="22"/>
          <w:color w:val="auto"/>
        </w:rPr>
      </w:pPr>
    </w:p>
    <w:p>
      <w:pPr>
        <w:ind w:left="660" w:hanging="44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ind w:left="640" w:right="20" w:firstLine="622"/>
        <w:spacing w:after="0" w:line="250" w:lineRule="auto"/>
        <w:tabs>
          <w:tab w:leader="none" w:pos="167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ind w:left="640" w:right="40" w:firstLine="622"/>
        <w:spacing w:after="0" w:line="253" w:lineRule="auto"/>
        <w:tabs>
          <w:tab w:leader="none" w:pos="173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75" w:lineRule="exact"/>
        <w:rPr>
          <w:sz w:val="20"/>
          <w:szCs w:val="20"/>
          <w:color w:val="auto"/>
        </w:rPr>
      </w:pPr>
    </w:p>
    <w:p>
      <w:pPr>
        <w:ind w:left="640" w:firstLine="622"/>
        <w:spacing w:after="0" w:line="248" w:lineRule="auto"/>
        <w:tabs>
          <w:tab w:leader="none" w:pos="173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422" w:right="339" w:bottom="1440" w:gutter="0" w:footer="0" w:header="0"/>
        </w:sectPr>
      </w:pPr>
    </w:p>
    <w:bookmarkStart w:id="56" w:name="page57"/>
    <w:bookmarkEnd w:id="56"/>
    <w:p>
      <w:pPr>
        <w:ind w:left="1280"/>
        <w:spacing w:after="0"/>
        <w:rPr>
          <w:sz w:val="20"/>
          <w:szCs w:val="20"/>
          <w:color w:val="auto"/>
        </w:rPr>
      </w:pPr>
      <w:r>
        <w:rPr>
          <w:rFonts w:ascii="Times New Roman" w:cs="Times New Roman" w:eastAsia="Times New Roman" w:hAnsi="Times New Roman"/>
          <w:sz w:val="22"/>
          <w:szCs w:val="22"/>
          <w:color w:val="auto"/>
        </w:rPr>
        <w:t>Grantee can establish was already in the public domain at the time of disclosure through no fault of Grantee.</w:t>
      </w:r>
    </w:p>
    <w:p>
      <w:pPr>
        <w:spacing w:after="0" w:line="216" w:lineRule="exact"/>
        <w:rPr>
          <w:sz w:val="20"/>
          <w:szCs w:val="20"/>
          <w:color w:val="auto"/>
        </w:rPr>
      </w:pPr>
    </w:p>
    <w:p>
      <w:pPr>
        <w:jc w:val="both"/>
        <w:ind w:left="620" w:right="140" w:firstLine="644"/>
        <w:spacing w:after="0" w:line="258" w:lineRule="auto"/>
        <w:tabs>
          <w:tab w:leader="none" w:pos="169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7" w:lineRule="exact"/>
        <w:rPr>
          <w:rFonts w:ascii="Times New Roman" w:cs="Times New Roman" w:eastAsia="Times New Roman" w:hAnsi="Times New Roman"/>
          <w:sz w:val="22"/>
          <w:szCs w:val="22"/>
          <w:color w:val="auto"/>
        </w:rPr>
      </w:pPr>
    </w:p>
    <w:p>
      <w:pPr>
        <w:ind w:left="620" w:right="60" w:firstLine="644"/>
        <w:spacing w:after="0" w:line="248" w:lineRule="auto"/>
        <w:tabs>
          <w:tab w:leader="none" w:pos="1726"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Relief, Remedies, and Enforcement</w:t>
      </w:r>
      <w:r>
        <w:rPr>
          <w:rFonts w:ascii="Times New Roman" w:cs="Times New Roman" w:eastAsia="Times New Roman" w:hAnsi="Times New Roman"/>
          <w:sz w:val="22"/>
          <w:szCs w:val="22"/>
          <w:color w:val="auto"/>
        </w:rPr>
        <w:t>. 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79" w:lineRule="exact"/>
        <w:rPr>
          <w:rFonts w:ascii="Times New Roman" w:cs="Times New Roman" w:eastAsia="Times New Roman" w:hAnsi="Times New Roman"/>
          <w:sz w:val="22"/>
          <w:szCs w:val="22"/>
          <w:color w:val="auto"/>
        </w:rPr>
      </w:pPr>
    </w:p>
    <w:p>
      <w:pPr>
        <w:ind w:left="620" w:right="760" w:firstLine="644"/>
        <w:spacing w:after="0" w:line="287" w:lineRule="auto"/>
        <w:tabs>
          <w:tab w:leader="none" w:pos="1726"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rFonts w:ascii="Times New Roman" w:cs="Times New Roman" w:eastAsia="Times New Roman" w:hAnsi="Times New Roman"/>
          <w:sz w:val="22"/>
          <w:szCs w:val="22"/>
          <w:color w:val="auto"/>
        </w:rPr>
      </w:pPr>
    </w:p>
    <w:p>
      <w:pPr>
        <w:jc w:val="both"/>
        <w:ind w:left="-20" w:firstLine="485"/>
        <w:spacing w:after="0" w:line="252" w:lineRule="auto"/>
        <w:tabs>
          <w:tab w:leader="none" w:pos="857"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74" w:lineRule="exact"/>
        <w:rPr>
          <w:rFonts w:ascii="Times New Roman" w:cs="Times New Roman" w:eastAsia="Times New Roman" w:hAnsi="Times New Roman"/>
          <w:sz w:val="22"/>
          <w:szCs w:val="22"/>
          <w:b w:val="1"/>
          <w:bCs w:val="1"/>
          <w:color w:val="auto"/>
        </w:rPr>
      </w:pPr>
    </w:p>
    <w:p>
      <w:pPr>
        <w:jc w:val="both"/>
        <w:ind w:left="-20" w:firstLine="530"/>
        <w:spacing w:after="0" w:line="259" w:lineRule="auto"/>
        <w:tabs>
          <w:tab w:leader="none" w:pos="925"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40" w:top="1422" w:right="339" w:bottom="1440" w:gutter="0" w:footer="0" w:header="0"/>
        </w:sectPr>
      </w:pPr>
    </w:p>
    <w:bookmarkStart w:id="57" w:name="page58"/>
    <w:bookmarkEnd w:id="57"/>
    <w:p>
      <w:pPr>
        <w:spacing w:after="0" w:line="271" w:lineRule="auto"/>
        <w:rPr>
          <w:sz w:val="20"/>
          <w:szCs w:val="20"/>
          <w:color w:val="auto"/>
        </w:rPr>
      </w:pPr>
      <w:r>
        <w:rPr>
          <w:rFonts w:ascii="Times New Roman" w:cs="Times New Roman" w:eastAsia="Times New Roman" w:hAnsi="Times New Roman"/>
          <w:sz w:val="22"/>
          <w:szCs w:val="22"/>
          <w:color w:val="auto"/>
        </w:rPr>
        <w:t>whatsoever, with or without Cause, except to the extent expressly provided otherwise in a written employment agreement between Grantee and the Company or any Subsidiary.</w:t>
      </w:r>
    </w:p>
    <w:p>
      <w:pPr>
        <w:spacing w:after="0" w:line="154" w:lineRule="exact"/>
        <w:rPr>
          <w:sz w:val="20"/>
          <w:szCs w:val="20"/>
          <w:color w:val="auto"/>
        </w:rPr>
      </w:pPr>
    </w:p>
    <w:p>
      <w:pPr>
        <w:jc w:val="both"/>
        <w:ind w:firstLine="449"/>
        <w:spacing w:after="0" w:line="258" w:lineRule="auto"/>
        <w:tabs>
          <w:tab w:leader="none" w:pos="82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7" w:lineRule="exact"/>
        <w:rPr>
          <w:rFonts w:ascii="Times New Roman" w:cs="Times New Roman" w:eastAsia="Times New Roman" w:hAnsi="Times New Roman"/>
          <w:sz w:val="22"/>
          <w:szCs w:val="22"/>
          <w:b w:val="1"/>
          <w:bCs w:val="1"/>
          <w:color w:val="auto"/>
        </w:rPr>
      </w:pPr>
    </w:p>
    <w:p>
      <w:pPr>
        <w:jc w:val="both"/>
        <w:ind w:firstLine="561"/>
        <w:spacing w:after="0" w:line="265" w:lineRule="auto"/>
        <w:tabs>
          <w:tab w:leader="none" w:pos="985"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1" w:lineRule="exact"/>
        <w:rPr>
          <w:rFonts w:ascii="Times New Roman" w:cs="Times New Roman" w:eastAsia="Times New Roman" w:hAnsi="Times New Roman"/>
          <w:sz w:val="22"/>
          <w:szCs w:val="22"/>
          <w:b w:val="1"/>
          <w:bCs w:val="1"/>
          <w:color w:val="auto"/>
        </w:rPr>
      </w:pPr>
    </w:p>
    <w:p>
      <w:pPr>
        <w:jc w:val="both"/>
        <w:ind w:firstLine="584"/>
        <w:spacing w:after="0" w:line="259" w:lineRule="auto"/>
        <w:tabs>
          <w:tab w:leader="none" w:pos="1026" w:val="left"/>
        </w:tabs>
        <w:numPr>
          <w:ilvl w:val="3"/>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6" w:lineRule="exact"/>
        <w:rPr>
          <w:rFonts w:ascii="Times New Roman" w:cs="Times New Roman" w:eastAsia="Times New Roman" w:hAnsi="Times New Roman"/>
          <w:sz w:val="22"/>
          <w:szCs w:val="22"/>
          <w:b w:val="1"/>
          <w:bCs w:val="1"/>
          <w:color w:val="auto"/>
        </w:rPr>
      </w:pPr>
    </w:p>
    <w:p>
      <w:pPr>
        <w:jc w:val="both"/>
        <w:ind w:firstLine="746"/>
        <w:spacing w:after="0" w:line="258" w:lineRule="auto"/>
        <w:tabs>
          <w:tab w:leader="none" w:pos="1269" w:val="left"/>
        </w:tabs>
        <w:numPr>
          <w:ilvl w:val="4"/>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7" w:lineRule="exact"/>
        <w:rPr>
          <w:rFonts w:ascii="Times New Roman" w:cs="Times New Roman" w:eastAsia="Times New Roman" w:hAnsi="Times New Roman"/>
          <w:sz w:val="22"/>
          <w:szCs w:val="22"/>
          <w:b w:val="1"/>
          <w:bCs w:val="1"/>
          <w:color w:val="auto"/>
        </w:rPr>
      </w:pPr>
    </w:p>
    <w:p>
      <w:pPr>
        <w:jc w:val="both"/>
        <w:ind w:firstLine="534"/>
        <w:spacing w:after="0" w:line="254" w:lineRule="auto"/>
        <w:tabs>
          <w:tab w:leader="none" w:pos="945"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3" w:lineRule="exact"/>
        <w:rPr>
          <w:sz w:val="20"/>
          <w:szCs w:val="20"/>
          <w:color w:val="auto"/>
        </w:rPr>
      </w:pPr>
    </w:p>
    <w:p>
      <w:pPr>
        <w:ind w:left="920" w:hanging="480"/>
        <w:spacing w:after="0"/>
        <w:tabs>
          <w:tab w:leader="none" w:pos="9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660" w:right="20" w:firstLine="227"/>
        <w:spacing w:after="0" w:line="295" w:lineRule="auto"/>
        <w:tabs>
          <w:tab w:leader="none" w:pos="1361"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48" w:lineRule="exact"/>
        <w:rPr>
          <w:rFonts w:ascii="Times New Roman" w:cs="Times New Roman" w:eastAsia="Times New Roman" w:hAnsi="Times New Roman"/>
          <w:sz w:val="21"/>
          <w:szCs w:val="21"/>
          <w:color w:val="auto"/>
        </w:rPr>
      </w:pPr>
    </w:p>
    <w:p>
      <w:pPr>
        <w:jc w:val="both"/>
        <w:ind w:left="660" w:firstLine="266"/>
        <w:spacing w:after="0" w:line="257" w:lineRule="auto"/>
        <w:tabs>
          <w:tab w:leader="none" w:pos="145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58" w:name="page59"/>
    <w:bookmarkEnd w:id="58"/>
    <w:p>
      <w:pPr>
        <w:ind w:left="640" w:firstLine="348"/>
        <w:spacing w:after="0" w:line="271" w:lineRule="auto"/>
        <w:tabs>
          <w:tab w:leader="none" w:pos="1584" w:val="left"/>
        </w:tabs>
        <w:numPr>
          <w:ilvl w:val="5"/>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320" w:hanging="468"/>
        <w:spacing w:after="0"/>
        <w:tabs>
          <w:tab w:leader="none" w:pos="1320" w:val="left"/>
        </w:tabs>
        <w:numPr>
          <w:ilvl w:val="4"/>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33" w:lineRule="exact"/>
        <w:rPr>
          <w:rFonts w:ascii="Times New Roman" w:cs="Times New Roman" w:eastAsia="Times New Roman" w:hAnsi="Times New Roman"/>
          <w:sz w:val="22"/>
          <w:szCs w:val="22"/>
          <w:color w:val="auto"/>
        </w:rPr>
      </w:pPr>
    </w:p>
    <w:p>
      <w:pPr>
        <w:jc w:val="both"/>
        <w:ind w:left="640" w:firstLine="231"/>
        <w:spacing w:after="0" w:line="257" w:lineRule="auto"/>
        <w:tabs>
          <w:tab w:leader="none" w:pos="1351" w:val="left"/>
        </w:tabs>
        <w:numPr>
          <w:ilvl w:val="4"/>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72" w:lineRule="exact"/>
        <w:rPr>
          <w:rFonts w:ascii="Times New Roman" w:cs="Times New Roman" w:eastAsia="Times New Roman" w:hAnsi="Times New Roman"/>
          <w:sz w:val="22"/>
          <w:szCs w:val="22"/>
          <w:color w:val="auto"/>
        </w:rPr>
      </w:pPr>
    </w:p>
    <w:p>
      <w:pPr>
        <w:ind w:left="640" w:right="20" w:firstLine="216"/>
        <w:spacing w:after="0" w:line="271" w:lineRule="auto"/>
        <w:tabs>
          <w:tab w:leader="none" w:pos="1296" w:val="left"/>
        </w:tabs>
        <w:numPr>
          <w:ilvl w:val="3"/>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71" w:lineRule="exact"/>
        <w:rPr>
          <w:rFonts w:ascii="Times New Roman" w:cs="Times New Roman" w:eastAsia="Times New Roman" w:hAnsi="Times New Roman"/>
          <w:sz w:val="22"/>
          <w:szCs w:val="22"/>
          <w:color w:val="auto"/>
        </w:rPr>
      </w:pPr>
    </w:p>
    <w:p>
      <w:pPr>
        <w:ind w:left="1320" w:hanging="468"/>
        <w:spacing w:after="0"/>
        <w:tabs>
          <w:tab w:leader="none" w:pos="1320" w:val="left"/>
        </w:tabs>
        <w:numPr>
          <w:ilvl w:val="4"/>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640" w:firstLine="212"/>
        <w:spacing w:after="0" w:line="275" w:lineRule="auto"/>
        <w:tabs>
          <w:tab w:leader="none" w:pos="1324" w:val="left"/>
        </w:tabs>
        <w:numPr>
          <w:ilvl w:val="4"/>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640" w:firstLine="264"/>
        <w:spacing w:after="0" w:line="251" w:lineRule="auto"/>
        <w:tabs>
          <w:tab w:leader="none" w:pos="1380" w:val="left"/>
        </w:tabs>
        <w:numPr>
          <w:ilvl w:val="4"/>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1" w:lineRule="exact"/>
        <w:rPr>
          <w:rFonts w:ascii="Times New Roman" w:cs="Times New Roman" w:eastAsia="Times New Roman" w:hAnsi="Times New Roman"/>
          <w:sz w:val="22"/>
          <w:szCs w:val="22"/>
          <w:color w:val="auto"/>
        </w:rPr>
      </w:pPr>
    </w:p>
    <w:p>
      <w:pPr>
        <w:jc w:val="both"/>
        <w:ind w:left="640" w:firstLine="225"/>
        <w:spacing w:after="0" w:line="268" w:lineRule="auto"/>
        <w:tabs>
          <w:tab w:leader="none" w:pos="1303" w:val="left"/>
        </w:tabs>
        <w:numPr>
          <w:ilvl w:val="3"/>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59" w:lineRule="exact"/>
        <w:rPr>
          <w:rFonts w:ascii="Times New Roman" w:cs="Times New Roman" w:eastAsia="Times New Roman" w:hAnsi="Times New Roman"/>
          <w:sz w:val="21"/>
          <w:szCs w:val="21"/>
          <w:color w:val="auto"/>
        </w:rPr>
      </w:pPr>
    </w:p>
    <w:p>
      <w:pPr>
        <w:ind w:left="900" w:hanging="480"/>
        <w:spacing w:after="0"/>
        <w:tabs>
          <w:tab w:leader="none" w:pos="9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 [RESERVED]</w:t>
      </w:r>
    </w:p>
    <w:p>
      <w:pPr>
        <w:spacing w:after="0" w:line="233" w:lineRule="exact"/>
        <w:rPr>
          <w:rFonts w:ascii="Times New Roman" w:cs="Times New Roman" w:eastAsia="Times New Roman" w:hAnsi="Times New Roman"/>
          <w:sz w:val="22"/>
          <w:szCs w:val="22"/>
          <w:b w:val="1"/>
          <w:bCs w:val="1"/>
          <w:color w:val="auto"/>
        </w:rPr>
      </w:pPr>
    </w:p>
    <w:p>
      <w:pPr>
        <w:jc w:val="both"/>
        <w:ind w:left="-20" w:firstLine="494"/>
        <w:spacing w:after="0" w:line="259" w:lineRule="auto"/>
        <w:tabs>
          <w:tab w:leader="none" w:pos="979"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22" w:right="339" w:bottom="1440" w:gutter="0" w:footer="0" w:header="0"/>
        </w:sectPr>
      </w:pPr>
    </w:p>
    <w:bookmarkStart w:id="59" w:name="page60"/>
    <w:bookmarkEnd w:id="59"/>
    <w:p>
      <w:pPr>
        <w:spacing w:after="0" w:line="271" w:lineRule="auto"/>
        <w:rPr>
          <w:sz w:val="20"/>
          <w:szCs w:val="20"/>
          <w:color w:val="auto"/>
        </w:rPr>
      </w:pPr>
      <w:r>
        <w:rPr>
          <w:rFonts w:ascii="Times New Roman" w:cs="Times New Roman" w:eastAsia="Times New Roman" w:hAnsi="Times New Roman"/>
          <w:sz w:val="22"/>
          <w:szCs w:val="22"/>
          <w:color w:val="auto"/>
        </w:rPr>
        <w:t>an amendment that is deemed necessary by the Company to ensure compliance with Section 409A of the Code or Section 10D of the Exchange Act.</w:t>
      </w:r>
    </w:p>
    <w:p>
      <w:pPr>
        <w:spacing w:after="0" w:line="154" w:lineRule="exact"/>
        <w:rPr>
          <w:sz w:val="20"/>
          <w:szCs w:val="20"/>
          <w:color w:val="auto"/>
        </w:rPr>
      </w:pPr>
    </w:p>
    <w:p>
      <w:pPr>
        <w:jc w:val="both"/>
        <w:ind w:firstLine="467"/>
        <w:spacing w:after="0" w:line="258" w:lineRule="auto"/>
        <w:tabs>
          <w:tab w:leader="none" w:pos="958"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67" w:lineRule="exact"/>
        <w:rPr>
          <w:rFonts w:ascii="Times New Roman" w:cs="Times New Roman" w:eastAsia="Times New Roman" w:hAnsi="Times New Roman"/>
          <w:sz w:val="22"/>
          <w:szCs w:val="22"/>
          <w:b w:val="1"/>
          <w:bCs w:val="1"/>
          <w:color w:val="auto"/>
        </w:rPr>
      </w:pPr>
    </w:p>
    <w:p>
      <w:pPr>
        <w:jc w:val="both"/>
        <w:ind w:firstLine="449"/>
        <w:spacing w:after="0" w:line="261" w:lineRule="auto"/>
        <w:tabs>
          <w:tab w:leader="none" w:pos="931"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78"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48" w:lineRule="auto"/>
        <w:tabs>
          <w:tab w:leader="none" w:pos="186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2"/>
          <w:szCs w:val="22"/>
          <w:color w:val="auto"/>
        </w:rPr>
        <w:t>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79" w:lineRule="exact"/>
        <w:rPr>
          <w:sz w:val="20"/>
          <w:szCs w:val="20"/>
          <w:color w:val="auto"/>
        </w:rPr>
      </w:pPr>
    </w:p>
    <w:p>
      <w:pPr>
        <w:jc w:val="both"/>
        <w:ind w:firstLine="644"/>
        <w:spacing w:after="0" w:line="256" w:lineRule="auto"/>
        <w:tabs>
          <w:tab w:leader="none" w:pos="116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7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600"/>
          </w:cols>
          <w:pgMar w:left="960" w:top="1422" w:right="339" w:bottom="1440" w:gutter="0" w:footer="0" w:header="0"/>
        </w:sectPr>
      </w:pPr>
    </w:p>
    <w:bookmarkStart w:id="61" w:name="page62"/>
    <w:bookmarkEnd w:id="61"/>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Dated as of: March 20, 2025</w:t>
            </w:r>
          </w:p>
        </w:tc>
        <w:tc>
          <w:tcPr>
            <w:tcW w:w="5400" w:type="dxa"/>
            <w:vAlign w:val="bottom"/>
            <w:gridSpan w:val="2"/>
          </w:tcPr>
          <w:p>
            <w:pPr>
              <w:ind w:left="1220"/>
              <w:spacing w:after="0"/>
              <w:rPr>
                <w:sz w:val="20"/>
                <w:szCs w:val="20"/>
                <w:color w:val="auto"/>
              </w:rPr>
            </w:pPr>
            <w:r>
              <w:rPr>
                <w:rFonts w:ascii="Times New Roman" w:cs="Times New Roman" w:eastAsia="Times New Roman" w:hAnsi="Times New Roman"/>
                <w:sz w:val="22"/>
                <w:szCs w:val="22"/>
                <w:color w:val="auto"/>
                <w:w w:val="97"/>
              </w:rPr>
              <w:t>By: _/s/ Thomas A. Amato_________________</w:t>
            </w:r>
          </w:p>
        </w:tc>
      </w:tr>
      <w:tr>
        <w:trPr>
          <w:trHeight w:val="20"/>
        </w:trPr>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263"/>
        </w:trPr>
        <w:tc>
          <w:tcPr>
            <w:tcW w:w="3720" w:type="dxa"/>
            <w:vAlign w:val="bottom"/>
          </w:tcPr>
          <w:p>
            <w:pPr>
              <w:spacing w:after="0"/>
              <w:rPr>
                <w:sz w:val="22"/>
                <w:szCs w:val="22"/>
                <w:color w:val="auto"/>
              </w:rPr>
            </w:pPr>
          </w:p>
        </w:tc>
        <w:tc>
          <w:tcPr>
            <w:tcW w:w="5400" w:type="dxa"/>
            <w:vAlign w:val="bottom"/>
            <w:gridSpan w:val="2"/>
          </w:tcPr>
          <w:p>
            <w:pPr>
              <w:ind w:left="1220"/>
              <w:spacing w:after="0"/>
              <w:rPr>
                <w:sz w:val="20"/>
                <w:szCs w:val="20"/>
                <w:color w:val="auto"/>
              </w:rPr>
            </w:pPr>
            <w:r>
              <w:rPr>
                <w:rFonts w:ascii="Times New Roman" w:cs="Times New Roman" w:eastAsia="Times New Roman" w:hAnsi="Times New Roman"/>
                <w:sz w:val="22"/>
                <w:szCs w:val="22"/>
                <w:color w:val="auto"/>
              </w:rPr>
              <w:t>Name: Thomas A. Amato</w:t>
            </w:r>
          </w:p>
        </w:tc>
      </w:tr>
      <w:tr>
        <w:trPr>
          <w:trHeight w:val="282"/>
        </w:trPr>
        <w:tc>
          <w:tcPr>
            <w:tcW w:w="3720" w:type="dxa"/>
            <w:vAlign w:val="bottom"/>
          </w:tcPr>
          <w:p>
            <w:pPr>
              <w:spacing w:after="0"/>
              <w:rPr>
                <w:sz w:val="24"/>
                <w:szCs w:val="24"/>
                <w:color w:val="auto"/>
              </w:rPr>
            </w:pPr>
          </w:p>
        </w:tc>
        <w:tc>
          <w:tcPr>
            <w:tcW w:w="5400" w:type="dxa"/>
            <w:vAlign w:val="bottom"/>
            <w:gridSpan w:val="2"/>
          </w:tcPr>
          <w:p>
            <w:pPr>
              <w:ind w:left="1220"/>
              <w:spacing w:after="0"/>
              <w:rPr>
                <w:sz w:val="20"/>
                <w:szCs w:val="20"/>
                <w:color w:val="auto"/>
              </w:rPr>
            </w:pPr>
            <w:r>
              <w:rPr>
                <w:rFonts w:ascii="Times New Roman" w:cs="Times New Roman" w:eastAsia="Times New Roman" w:hAnsi="Times New Roman"/>
                <w:sz w:val="22"/>
                <w:szCs w:val="22"/>
                <w:color w:val="auto"/>
              </w:rPr>
              <w:t>Title: 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400" w:hanging="644"/>
        <w:spacing w:after="0" w:line="271" w:lineRule="auto"/>
        <w:tabs>
          <w:tab w:leader="none" w:pos="12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31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400" w:hanging="644"/>
        <w:spacing w:after="0" w:line="257" w:lineRule="auto"/>
        <w:tabs>
          <w:tab w:leader="none" w:pos="120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418" w:right="339" w:bottom="1440" w:gutter="0" w:footer="0" w:header="0"/>
        </w:sectPr>
      </w:pPr>
    </w:p>
    <w:bookmarkStart w:id="63" w:name="page64"/>
    <w:bookmarkEnd w:id="63"/>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22" w:right="339" w:bottom="1440" w:gutter="0" w:footer="0" w:header="0"/>
        </w:sectPr>
      </w:pPr>
    </w:p>
    <w:bookmarkStart w:id="64" w:name="page65"/>
    <w:bookmarkEnd w:id="64"/>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645920" cy="52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CONFIDENTIAL</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June 3, 2025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Thomas Snyder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VIA E-MAIL DELIVERY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Thomas: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On behalf of the Board of Directors (the “Board”) of TriMas Corporation (the “Company”), we are delighted to extend to you an offer of employment as President and Chief Executive Officer (“CEO”) of the Company (the “Offer”). If you accept this Offer by countersigning this letter agreement (“Offer Letter”) as described below, then, subject to your formal appointment as CEO by the Board, your first day of employment with the Company as CEO will be June 23, 2025 (or such other date to which you and the Board may mutually agree (the “Start Date”)). We will appoint you as a member of the Board within five (5) business days after you commence employment with the Company as CEO. As CEO, you will report solely to the Board. The following is not a contract of employment, but this Offer Letter outlines the general terms and conditions regarding the Offer.</w:t>
      </w:r>
    </w:p>
    <w:p>
      <w:pPr>
        <w:sectPr>
          <w:pgSz w:w="11900" w:h="16838" w:orient="portrait"/>
          <w:cols w:equalWidth="0" w:num="1">
            <w:col w:w="11240"/>
          </w:cols>
          <w:pgMar w:left="320" w:top="122"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Salary Rate: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$800,000 annually, paid bi-weekly in accordance with the Company’s normal payroll procedures, subject to applicable payroll deductions and tax withholdings and annual review.</w:t>
      </w:r>
    </w:p>
    <w:p>
      <w:pPr>
        <w:spacing w:after="0" w:line="9" w:lineRule="exact"/>
        <w:rPr>
          <w:sz w:val="20"/>
          <w:szCs w:val="20"/>
          <w:color w:val="auto"/>
        </w:rPr>
      </w:pPr>
    </w:p>
    <w:p>
      <w:pPr>
        <w:sectPr>
          <w:pgSz w:w="11900" w:h="16838" w:orient="portrait"/>
          <w:cols w:equalWidth="0" w:num="2">
            <w:col w:w="1840" w:space="720"/>
            <w:col w:w="868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20"/>
          <w:szCs w:val="20"/>
          <w:b w:val="1"/>
          <w:bCs w:val="1"/>
          <w:color w:val="auto"/>
        </w:rPr>
        <w:t>Short-Term</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Plan</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Participation: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Incentive</w:t>
      </w:r>
    </w:p>
    <w:p>
      <w:pPr>
        <w:spacing w:after="0" w:line="20" w:lineRule="exact"/>
        <w:rPr>
          <w:sz w:val="20"/>
          <w:szCs w:val="20"/>
          <w:color w:val="auto"/>
        </w:rPr>
      </w:pPr>
      <w:r>
        <w:rPr>
          <w:sz w:val="20"/>
          <w:szCs w:val="20"/>
          <w:color w:val="auto"/>
        </w:rPr>
        <w:br w:type="column"/>
      </w:r>
    </w:p>
    <w:p>
      <w:pPr>
        <w:jc w:val="both"/>
        <w:ind w:right="80"/>
        <w:spacing w:after="0" w:line="254" w:lineRule="auto"/>
        <w:rPr>
          <w:sz w:val="20"/>
          <w:szCs w:val="20"/>
          <w:color w:val="auto"/>
        </w:rPr>
      </w:pPr>
      <w:r>
        <w:rPr>
          <w:rFonts w:ascii="Arial" w:cs="Arial" w:eastAsia="Arial" w:hAnsi="Arial"/>
          <w:sz w:val="20"/>
          <w:szCs w:val="20"/>
          <w:color w:val="auto"/>
        </w:rPr>
        <w:t>Beginning in 2026, for each Company fiscal year during your employment, you will be eligible to participate in the Company’s annual short-term incentive compensation program (“STI”). Your target STI award for each STI plan year will be 100% of your base salary rate that is in effect as of the immediately-prior December 31. Depending on the performance results achieved for applicable STI performance measures and goals, actual STI awards are expected to vary as a percent of target from 0% to a maximum of 200%.</w:t>
      </w:r>
    </w:p>
    <w:p>
      <w:pPr>
        <w:spacing w:after="0" w:line="200" w:lineRule="exact"/>
        <w:rPr>
          <w:sz w:val="20"/>
          <w:szCs w:val="20"/>
          <w:color w:val="auto"/>
        </w:rPr>
      </w:pPr>
    </w:p>
    <w:p>
      <w:pPr>
        <w:sectPr>
          <w:pgSz w:w="11900" w:h="16838" w:orient="portrait"/>
          <w:cols w:equalWidth="0" w:num="3">
            <w:col w:w="1340" w:space="260"/>
            <w:col w:w="860" w:space="140"/>
            <w:col w:w="8640"/>
          </w:cols>
          <w:pgMar w:left="320" w:top="122" w:right="339" w:bottom="1440" w:gutter="0" w:footer="0" w:header="0"/>
          <w:type w:val="continuous"/>
        </w:sectPr>
      </w:pPr>
    </w:p>
    <w:p>
      <w:pPr>
        <w:jc w:val="both"/>
        <w:ind w:left="2600" w:right="60"/>
        <w:spacing w:after="0" w:line="262" w:lineRule="auto"/>
        <w:rPr>
          <w:sz w:val="20"/>
          <w:szCs w:val="20"/>
          <w:color w:val="auto"/>
        </w:rPr>
      </w:pPr>
      <w:r>
        <w:rPr>
          <w:rFonts w:ascii="Arial" w:cs="Arial" w:eastAsia="Arial" w:hAnsi="Arial"/>
          <w:sz w:val="20"/>
          <w:szCs w:val="20"/>
          <w:color w:val="auto"/>
        </w:rPr>
        <w:t>The STI details are communicated annually, are subject to change and are governed by the terms of the written STI policy. Each STI award opportunity and payout will be subject to the specific approval of the Board or the Compensation Committee of the Board.</w:t>
      </w:r>
    </w:p>
    <w:p>
      <w:pPr>
        <w:spacing w:after="0" w:line="205" w:lineRule="exact"/>
        <w:rPr>
          <w:sz w:val="20"/>
          <w:szCs w:val="20"/>
          <w:color w:val="auto"/>
        </w:rPr>
      </w:pPr>
    </w:p>
    <w:p>
      <w:pPr>
        <w:ind w:left="2600" w:right="80"/>
        <w:spacing w:after="0" w:line="271" w:lineRule="auto"/>
        <w:rPr>
          <w:sz w:val="20"/>
          <w:szCs w:val="20"/>
          <w:color w:val="auto"/>
        </w:rPr>
      </w:pPr>
      <w:r>
        <w:rPr>
          <w:rFonts w:ascii="Arial" w:cs="Arial" w:eastAsia="Arial" w:hAnsi="Arial"/>
          <w:sz w:val="20"/>
          <w:szCs w:val="20"/>
          <w:color w:val="auto"/>
        </w:rPr>
        <w:t>During the course of 2025, we will expect you to work with the Compensation Committee of the Board to help design the Company’s STI program for 2026.</w:t>
      </w:r>
    </w:p>
    <w:p>
      <w:pPr>
        <w:sectPr>
          <w:pgSz w:w="11900" w:h="16838" w:orient="portrait"/>
          <w:cols w:equalWidth="0" w:num="1">
            <w:col w:w="11240"/>
          </w:cols>
          <w:pgMar w:left="320" w:top="122" w:right="339" w:bottom="1440" w:gutter="0" w:footer="0" w:header="0"/>
          <w:type w:val="continuous"/>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2025 Bonus: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Provided you are actively employed with the Company at the time the Bonus (as defined herein) is scheduled to be paid (or, if you voluntarily</w:t>
      </w:r>
    </w:p>
    <w:p>
      <w:pPr>
        <w:spacing w:after="0" w:line="200" w:lineRule="exact"/>
        <w:rPr>
          <w:sz w:val="20"/>
          <w:szCs w:val="20"/>
          <w:color w:val="auto"/>
        </w:rPr>
      </w:pPr>
    </w:p>
    <w:p>
      <w:pPr>
        <w:sectPr>
          <w:pgSz w:w="11900" w:h="16838" w:orient="portrait"/>
          <w:cols w:equalWidth="0" w:num="2">
            <w:col w:w="1840" w:space="720"/>
            <w:col w:w="8680"/>
          </w:cols>
          <w:pgMar w:left="320" w:top="122"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b w:val="1"/>
          <w:bCs w:val="1"/>
          <w:color w:val="auto"/>
        </w:rPr>
        <w:t>Inducement Awards - Restricted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Units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p>
    <w:p>
      <w:pPr>
        <w:spacing w:after="0" w:line="277" w:lineRule="auto"/>
        <w:rPr>
          <w:sz w:val="20"/>
          <w:szCs w:val="20"/>
          <w:color w:val="auto"/>
        </w:rPr>
      </w:pPr>
      <w:r>
        <w:rPr>
          <w:rFonts w:ascii="Arial" w:cs="Arial" w:eastAsia="Arial" w:hAnsi="Arial"/>
          <w:sz w:val="20"/>
          <w:szCs w:val="20"/>
          <w:b w:val="1"/>
          <w:bCs w:val="1"/>
          <w:color w:val="auto"/>
        </w:rPr>
        <w:t>Premium-Priced Stock Options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terminate your employment with the Company for Good Reason prior to such scheduled</w:t>
      </w:r>
    </w:p>
    <w:p>
      <w:pPr>
        <w:ind w:right="60"/>
        <w:spacing w:after="0" w:line="215" w:lineRule="auto"/>
        <w:rPr>
          <w:sz w:val="20"/>
          <w:szCs w:val="20"/>
          <w:color w:val="auto"/>
        </w:rPr>
      </w:pPr>
      <w:r>
        <w:rPr>
          <w:rFonts w:ascii="Arial" w:cs="Arial" w:eastAsia="Arial" w:hAnsi="Arial"/>
          <w:sz w:val="19"/>
          <w:szCs w:val="19"/>
          <w:color w:val="auto"/>
        </w:rPr>
        <w:t>payment), the Company will provide you with a lump-sum cash bonus of $400,000, less applicable taxes, and withholdings (the “Bonus”), which amount will be paid to you at the time the 2025 STI</w:t>
      </w:r>
    </w:p>
    <w:p>
      <w:pPr>
        <w:spacing w:after="0" w:line="211" w:lineRule="auto"/>
        <w:rPr>
          <w:sz w:val="20"/>
          <w:szCs w:val="20"/>
          <w:color w:val="auto"/>
        </w:rPr>
      </w:pPr>
      <w:r>
        <w:rPr>
          <w:rFonts w:ascii="Arial" w:cs="Arial" w:eastAsia="Arial" w:hAnsi="Arial"/>
          <w:sz w:val="20"/>
          <w:szCs w:val="20"/>
          <w:color w:val="auto"/>
        </w:rPr>
        <w:t>award is paid to the Company’s employees (but no later than March 15, 2026). If, prior to the</w:t>
      </w:r>
    </w:p>
    <w:p>
      <w:pPr>
        <w:ind w:right="80"/>
        <w:spacing w:after="0" w:line="204" w:lineRule="auto"/>
        <w:rPr>
          <w:sz w:val="20"/>
          <w:szCs w:val="20"/>
          <w:color w:val="auto"/>
        </w:rPr>
      </w:pPr>
      <w:r>
        <w:rPr>
          <w:rFonts w:ascii="Arial" w:cs="Arial" w:eastAsia="Arial" w:hAnsi="Arial"/>
          <w:sz w:val="20"/>
          <w:szCs w:val="20"/>
          <w:color w:val="auto"/>
        </w:rPr>
        <w:t>Bonus being so paid, your employment with the Company is terminated by the Company due to your death or Disability, you will receive a pro-rata portion of such Bonus based on the number of</w:t>
      </w:r>
    </w:p>
    <w:p>
      <w:pPr>
        <w:spacing w:after="0" w:line="223" w:lineRule="auto"/>
        <w:rPr>
          <w:sz w:val="20"/>
          <w:szCs w:val="20"/>
          <w:color w:val="auto"/>
        </w:rPr>
      </w:pPr>
      <w:r>
        <w:rPr>
          <w:rFonts w:ascii="Arial" w:cs="Arial" w:eastAsia="Arial" w:hAnsi="Arial"/>
          <w:sz w:val="19"/>
          <w:szCs w:val="19"/>
          <w:color w:val="auto"/>
        </w:rPr>
        <w:t>days during which you were employed with the Company in 2025, compared to the total number of</w:t>
      </w:r>
    </w:p>
    <w:p>
      <w:pPr>
        <w:ind w:right="80"/>
        <w:spacing w:after="0" w:line="204" w:lineRule="auto"/>
        <w:rPr>
          <w:sz w:val="20"/>
          <w:szCs w:val="20"/>
          <w:color w:val="auto"/>
        </w:rPr>
      </w:pPr>
      <w:r>
        <w:rPr>
          <w:rFonts w:ascii="Arial" w:cs="Arial" w:eastAsia="Arial" w:hAnsi="Arial"/>
          <w:sz w:val="20"/>
          <w:szCs w:val="20"/>
          <w:color w:val="auto"/>
        </w:rPr>
        <w:t>days from the Start Date through the end of 2025, paid at the same time as described above for the Bonus. If you voluntarily terminate your employment with the Company without Good Reason</w:t>
      </w:r>
    </w:p>
    <w:p>
      <w:pPr>
        <w:spacing w:after="0" w:line="223" w:lineRule="auto"/>
        <w:rPr>
          <w:sz w:val="20"/>
          <w:szCs w:val="20"/>
          <w:color w:val="auto"/>
        </w:rPr>
      </w:pPr>
      <w:r>
        <w:rPr>
          <w:rFonts w:ascii="Arial" w:cs="Arial" w:eastAsia="Arial" w:hAnsi="Arial"/>
          <w:sz w:val="19"/>
          <w:szCs w:val="19"/>
          <w:color w:val="auto"/>
        </w:rPr>
        <w:t>or the Company terminates your employment with the Company for Cause, in each case within six</w:t>
      </w:r>
    </w:p>
    <w:p>
      <w:pPr>
        <w:ind w:right="60"/>
        <w:spacing w:after="0" w:line="215" w:lineRule="auto"/>
        <w:rPr>
          <w:sz w:val="20"/>
          <w:szCs w:val="20"/>
          <w:color w:val="auto"/>
        </w:rPr>
      </w:pPr>
      <w:r>
        <w:rPr>
          <w:rFonts w:ascii="Arial" w:cs="Arial" w:eastAsia="Arial" w:hAnsi="Arial"/>
          <w:sz w:val="19"/>
          <w:szCs w:val="19"/>
          <w:color w:val="auto"/>
        </w:rPr>
        <w:t>months from the date the Bonus is paid to you, then you agree to repay to the Company 100% of the pre-tax Bonus amount indicated above within thirty (30) days from your last day of employment</w:t>
      </w:r>
    </w:p>
    <w:p>
      <w:pPr>
        <w:spacing w:after="0" w:line="211" w:lineRule="auto"/>
        <w:rPr>
          <w:sz w:val="20"/>
          <w:szCs w:val="20"/>
          <w:color w:val="auto"/>
        </w:rPr>
      </w:pPr>
      <w:r>
        <w:rPr>
          <w:rFonts w:ascii="Arial" w:cs="Arial" w:eastAsia="Arial" w:hAnsi="Arial"/>
          <w:sz w:val="20"/>
          <w:szCs w:val="20"/>
          <w:color w:val="auto"/>
        </w:rPr>
        <w:t>with the Company (the “Bonus Repayment”). To meet this Bonus Repayment obligation, you</w:t>
      </w:r>
    </w:p>
    <w:p>
      <w:pPr>
        <w:ind w:right="80"/>
        <w:spacing w:after="0" w:line="204" w:lineRule="auto"/>
        <w:rPr>
          <w:sz w:val="20"/>
          <w:szCs w:val="20"/>
          <w:color w:val="auto"/>
        </w:rPr>
      </w:pPr>
      <w:r>
        <w:rPr>
          <w:rFonts w:ascii="Arial" w:cs="Arial" w:eastAsia="Arial" w:hAnsi="Arial"/>
          <w:sz w:val="20"/>
          <w:szCs w:val="20"/>
          <w:color w:val="auto"/>
        </w:rPr>
        <w:t>consent to the Company deducting the Bonus Repayment amount from your final pay and other payments due to you from the Company, as permitted by applicable law. You remain responsible</w:t>
      </w:r>
    </w:p>
    <w:p>
      <w:pPr>
        <w:spacing w:after="0" w:line="211" w:lineRule="auto"/>
        <w:rPr>
          <w:sz w:val="20"/>
          <w:szCs w:val="20"/>
          <w:color w:val="auto"/>
        </w:rPr>
      </w:pPr>
      <w:r>
        <w:rPr>
          <w:rFonts w:ascii="Arial" w:cs="Arial" w:eastAsia="Arial" w:hAnsi="Arial"/>
          <w:sz w:val="20"/>
          <w:szCs w:val="20"/>
          <w:color w:val="auto"/>
        </w:rPr>
        <w:t>for paying any remaining Bonus Repayment amount within such thirty (30)-day period. For</w:t>
      </w:r>
    </w:p>
    <w:p>
      <w:pPr>
        <w:spacing w:after="0" w:line="1" w:lineRule="exact"/>
        <w:rPr>
          <w:sz w:val="20"/>
          <w:szCs w:val="20"/>
          <w:color w:val="auto"/>
        </w:rPr>
      </w:pPr>
    </w:p>
    <w:p>
      <w:pPr>
        <w:ind w:right="80"/>
        <w:spacing w:after="0" w:line="215" w:lineRule="auto"/>
        <w:rPr>
          <w:sz w:val="20"/>
          <w:szCs w:val="20"/>
          <w:color w:val="auto"/>
        </w:rPr>
      </w:pPr>
      <w:r>
        <w:rPr>
          <w:rFonts w:ascii="Arial" w:cs="Arial" w:eastAsia="Arial" w:hAnsi="Arial"/>
          <w:sz w:val="19"/>
          <w:szCs w:val="19"/>
          <w:color w:val="auto"/>
        </w:rPr>
        <w:t>purposes of this Offer Letter, the terms “Cause,” “Change in Control,” “Disability” and “Good Reason” are used herein as defined in the Severance Agreement (itself defined below in this Offer</w:t>
      </w:r>
    </w:p>
    <w:p>
      <w:pPr>
        <w:spacing w:after="0"/>
        <w:rPr>
          <w:sz w:val="20"/>
          <w:szCs w:val="20"/>
          <w:color w:val="auto"/>
        </w:rPr>
      </w:pPr>
      <w:r>
        <w:rPr>
          <w:rFonts w:ascii="Arial" w:cs="Arial" w:eastAsia="Arial" w:hAnsi="Arial"/>
          <w:sz w:val="20"/>
          <w:szCs w:val="20"/>
          <w:color w:val="auto"/>
        </w:rPr>
        <w:t>Letter).</w:t>
      </w:r>
    </w:p>
    <w:p>
      <w:pPr>
        <w:spacing w:after="0" w:line="252" w:lineRule="exact"/>
        <w:rPr>
          <w:sz w:val="20"/>
          <w:szCs w:val="20"/>
          <w:color w:val="auto"/>
        </w:rPr>
      </w:pPr>
    </w:p>
    <w:p>
      <w:pPr>
        <w:jc w:val="both"/>
        <w:ind w:left="200" w:right="80"/>
        <w:spacing w:after="0" w:line="262" w:lineRule="auto"/>
        <w:rPr>
          <w:sz w:val="20"/>
          <w:szCs w:val="20"/>
          <w:color w:val="auto"/>
        </w:rPr>
      </w:pPr>
      <w:r>
        <w:rPr>
          <w:rFonts w:ascii="Arial" w:cs="Arial" w:eastAsia="Arial" w:hAnsi="Arial"/>
          <w:sz w:val="20"/>
          <w:szCs w:val="20"/>
          <w:color w:val="auto"/>
        </w:rPr>
        <w:t>If you accept this Offer and commence employment with the Company, you will receive, as a material inducement to your commencement of employment with the Company, the following equity-based inducement awards:</w:t>
      </w:r>
    </w:p>
    <w:p>
      <w:pPr>
        <w:spacing w:after="0" w:line="219" w:lineRule="exact"/>
        <w:rPr>
          <w:sz w:val="20"/>
          <w:szCs w:val="20"/>
          <w:color w:val="auto"/>
        </w:rPr>
      </w:pPr>
    </w:p>
    <w:p>
      <w:pPr>
        <w:ind w:left="520" w:right="80" w:hanging="161"/>
        <w:spacing w:after="0" w:line="295" w:lineRule="auto"/>
        <w:rPr>
          <w:sz w:val="20"/>
          <w:szCs w:val="20"/>
          <w:color w:val="auto"/>
        </w:rPr>
      </w:pPr>
      <w:r>
        <w:rPr>
          <w:rFonts w:ascii="Arial" w:cs="Arial" w:eastAsia="Arial" w:hAnsi="Arial"/>
          <w:sz w:val="19"/>
          <w:szCs w:val="19"/>
          <w:color w:val="auto"/>
        </w:rPr>
        <w:t xml:space="preserve">A special, one-time grant of certain service-based restricted stock units with a total grant date value of $4.25 million (the “Inducement RSUs”). The Inducement RSUs will in general vest ratably over a three-year period from the date of grant, subject to the other terms and conditions outlined in the Company’s Inducement Restricted Stock Units Award Agreement for the Inducement RSUs (in the form attached to this Offer Letter as </w:t>
      </w:r>
      <w:r>
        <w:rPr>
          <w:rFonts w:ascii="Arial" w:cs="Arial" w:eastAsia="Arial" w:hAnsi="Arial"/>
          <w:sz w:val="19"/>
          <w:szCs w:val="19"/>
          <w:u w:val="single" w:color="auto"/>
          <w:color w:val="auto"/>
        </w:rPr>
        <w:t>Exhibit A</w:t>
      </w:r>
      <w:r>
        <w:rPr>
          <w:rFonts w:ascii="Arial" w:cs="Arial" w:eastAsia="Arial" w:hAnsi="Arial"/>
          <w:sz w:val="19"/>
          <w:szCs w:val="19"/>
          <w:color w:val="auto"/>
        </w:rPr>
        <w:t>). In particular, if your employment with the Company is terminated as a result of your death or Disability, by the Company not for Cause or by you for Good Reason, you will fully and immediately vest in the unvested Inducement RSUs, and if your employment with the Company terminates for any other reason, all unvested Inducement RSUs will be cancelled and forfeited; and</w:t>
      </w:r>
    </w:p>
    <w:p>
      <w:pPr>
        <w:spacing w:after="0" w:line="134" w:lineRule="exact"/>
        <w:rPr>
          <w:sz w:val="20"/>
          <w:szCs w:val="20"/>
          <w:color w:val="auto"/>
        </w:rPr>
      </w:pPr>
    </w:p>
    <w:p>
      <w:pPr>
        <w:jc w:val="both"/>
        <w:ind w:left="520" w:right="60" w:hanging="161"/>
        <w:spacing w:after="0" w:line="283" w:lineRule="auto"/>
        <w:rPr>
          <w:sz w:val="20"/>
          <w:szCs w:val="20"/>
          <w:color w:val="auto"/>
        </w:rPr>
      </w:pPr>
      <w:r>
        <w:rPr>
          <w:rFonts w:ascii="Arial" w:cs="Arial" w:eastAsia="Arial" w:hAnsi="Arial"/>
          <w:sz w:val="20"/>
          <w:szCs w:val="20"/>
          <w:color w:val="auto"/>
        </w:rPr>
        <w:t xml:space="preserve">A special, one-time grant of certain premium-priced stock options, as further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“Inducement Stock Options” and, together with the “Inducement RSUs,” the “Inducement Awards”) Each of the five tranches of the Inducement Stock Options will in general vest and become exercisable ratably over a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100" w:space="380"/>
            <w:col w:w="8680"/>
          </w:cols>
          <w:pgMar w:left="400" w:top="1391" w:right="339" w:bottom="1440" w:gutter="0" w:footer="0" w:header="0"/>
        </w:sectPr>
      </w:pPr>
    </w:p>
    <w:bookmarkStart w:id="66" w:name="page67"/>
    <w:bookmarkEnd w:id="66"/>
    <w:p>
      <w:pPr>
        <w:ind w:left="3060" w:right="100"/>
        <w:spacing w:after="0" w:line="276" w:lineRule="auto"/>
        <w:rPr>
          <w:sz w:val="20"/>
          <w:szCs w:val="20"/>
          <w:color w:val="auto"/>
        </w:rPr>
      </w:pPr>
      <w:r>
        <w:rPr>
          <w:rFonts w:ascii="Arial" w:cs="Arial" w:eastAsia="Arial" w:hAnsi="Arial"/>
          <w:sz w:val="20"/>
          <w:szCs w:val="20"/>
          <w:color w:val="auto"/>
        </w:rPr>
        <w:t xml:space="preserve">from the date of grant, with such Inducement Stock Options having a 10-year term and otherwise subject to the other terms and conditions outlined in the Company’s Inducement Stock Options Award Agreement for the Inducement Stock Options (in the form attached to this Offer Letter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as well as the terms of the Company’s Compensation Clawback Policy. The exercise prices for the Inducement Stock Options must be at a premium to the closing price for the Company’s stock on the date of grant for such Inducement Stock Options. In particular, except within two years after a Change in Control (as described in the Inducement Stock Options Award Agreement), upon the termination of your employment with the Company for any reason, all unvested Inducement Stock Options will be forfeited;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your employment is so terminated as a result of your death or Disability, by the Company not for Cause or by you for Good Reason, you will fully and immediately vest in a Pro-Rata Portion of the Inducement Stock Options that would have vested had you remained employed with the Company through the next vesting date for the Inducement Stock Options. For these purposes, the “Pro-Rata Portion” will be based on the number of days from the immediately prior vesting date for the Inducement Stock Options until the date of such termination, compared to the total number of days from the immediately prior vesting date until the next vesting date for the Inducement Stock Option. Further, upon a termination event, you will have ninety (90) days to exercise vested Inducement Stock Options;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the termination event is the result of your death or Disability, you or your estate, as applicable, will have one year to exercise vested Inducement Stock Options.</w:t>
      </w:r>
    </w:p>
    <w:p>
      <w:pPr>
        <w:spacing w:after="0" w:line="143" w:lineRule="exact"/>
        <w:rPr>
          <w:sz w:val="20"/>
          <w:szCs w:val="20"/>
          <w:color w:val="auto"/>
        </w:rPr>
      </w:pPr>
    </w:p>
    <w:p>
      <w:pPr>
        <w:jc w:val="both"/>
        <w:ind w:left="2740" w:right="60"/>
        <w:spacing w:after="0" w:line="252" w:lineRule="auto"/>
        <w:rPr>
          <w:sz w:val="20"/>
          <w:szCs w:val="20"/>
          <w:color w:val="auto"/>
        </w:rPr>
      </w:pPr>
      <w:r>
        <w:rPr>
          <w:rFonts w:ascii="Arial" w:cs="Arial" w:eastAsia="Arial" w:hAnsi="Arial"/>
          <w:sz w:val="20"/>
          <w:szCs w:val="20"/>
          <w:color w:val="auto"/>
        </w:rPr>
        <w:t>The Inducement Awards have been approved by the Compensation Committee of the Board, contingent on your commencement of employment with the Company. If you accept this Offer and commence employment with the Company, the Inducement Awards will be issued as “inducement grants” under the applicable rules of the Nasdaq Stock Market, and according to the requirements thereof. The Inducement Awards will be granted to you on the trading day immediately subsequent to the Start Date (or, if later, the first date thereafter by which the Company has filed the applicable Registration Statement on Form S-8 for such Inducement Awards.</w:t>
      </w:r>
    </w:p>
    <w:p>
      <w:pPr>
        <w:spacing w:after="0" w:line="10" w:lineRule="exact"/>
        <w:rPr>
          <w:sz w:val="20"/>
          <w:szCs w:val="20"/>
          <w:color w:val="auto"/>
        </w:rPr>
      </w:pPr>
    </w:p>
    <w:p>
      <w:pPr>
        <w:jc w:val="both"/>
        <w:ind w:left="2580" w:right="60" w:hanging="2579"/>
        <w:spacing w:after="0" w:line="254" w:lineRule="auto"/>
        <w:tabs>
          <w:tab w:leader="none" w:pos="2560" w:val="left"/>
        </w:tabs>
        <w:rPr>
          <w:sz w:val="20"/>
          <w:szCs w:val="20"/>
          <w:color w:val="auto"/>
        </w:rPr>
      </w:pPr>
      <w:r>
        <w:rPr>
          <w:rFonts w:ascii="Arial" w:cs="Arial" w:eastAsia="Arial" w:hAnsi="Arial"/>
          <w:sz w:val="20"/>
          <w:szCs w:val="20"/>
          <w:b w:val="1"/>
          <w:bCs w:val="1"/>
          <w:color w:val="auto"/>
        </w:rPr>
        <w:t>Benefits:</w:t>
      </w:r>
      <w:r>
        <w:rPr>
          <w:sz w:val="20"/>
          <w:szCs w:val="20"/>
          <w:color w:val="auto"/>
        </w:rPr>
        <w:tab/>
      </w:r>
      <w:r>
        <w:rPr>
          <w:rFonts w:ascii="Arial" w:cs="Arial" w:eastAsia="Arial" w:hAnsi="Arial"/>
          <w:sz w:val="20"/>
          <w:szCs w:val="20"/>
          <w:color w:val="auto"/>
        </w:rPr>
        <w:t>You will be eligible to participate in the TriMas Corporation Welfare Benefit Plan and the TriMas Corporation Salaried Retirement Program on terms substantially similar to those that apply for other executive officers of the Company from time-to-time. The Company provides group life insurance, health care, flexible spending accounts, health savings account, an employee wellbeing program, long term disability coverage, accidental death &amp; dismemberment insurance and retirement benefits. TriMas requires verification of dependent status for dependents you would elect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27"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Vacation: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Severance Agreement: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Relocation Allowance:</w:t>
      </w:r>
    </w:p>
    <w:p>
      <w:pPr>
        <w:spacing w:after="0" w:line="20" w:lineRule="exact"/>
        <w:rPr>
          <w:sz w:val="20"/>
          <w:szCs w:val="20"/>
          <w:color w:val="auto"/>
        </w:rPr>
      </w:pPr>
      <w:r>
        <w:rPr>
          <w:sz w:val="20"/>
          <w:szCs w:val="20"/>
          <w:color w:val="auto"/>
        </w:rPr>
        <w:br w:type="column"/>
      </w:r>
    </w:p>
    <w:p>
      <w:pPr>
        <w:jc w:val="both"/>
        <w:ind w:left="40" w:right="80"/>
        <w:spacing w:after="0" w:line="286" w:lineRule="auto"/>
        <w:rPr>
          <w:sz w:val="20"/>
          <w:szCs w:val="20"/>
          <w:color w:val="auto"/>
        </w:rPr>
      </w:pPr>
      <w:r>
        <w:rPr>
          <w:rFonts w:ascii="Arial" w:cs="Arial" w:eastAsia="Arial" w:hAnsi="Arial"/>
          <w:sz w:val="20"/>
          <w:szCs w:val="20"/>
          <w:color w:val="auto"/>
        </w:rPr>
        <w:t xml:space="preserve">to enroll into the benefit program. Details of the Company’s benefits can be found at </w:t>
      </w:r>
      <w:r>
        <w:rPr>
          <w:rFonts w:ascii="Arial" w:cs="Arial" w:eastAsia="Arial" w:hAnsi="Arial"/>
          <w:sz w:val="20"/>
          <w:szCs w:val="20"/>
          <w:u w:val="single" w:color="auto"/>
          <w:color w:val="0000FF"/>
        </w:rPr>
        <w:t>www.trimasbenefits.com</w:t>
      </w:r>
      <w:r>
        <w:rPr>
          <w:rFonts w:ascii="Arial" w:cs="Arial" w:eastAsia="Arial" w:hAnsi="Arial"/>
          <w:sz w:val="20"/>
          <w:szCs w:val="20"/>
          <w:color w:val="000000"/>
        </w:rPr>
        <w:t>.</w:t>
      </w:r>
    </w:p>
    <w:p>
      <w:pPr>
        <w:spacing w:after="0" w:line="167" w:lineRule="exact"/>
        <w:rPr>
          <w:sz w:val="20"/>
          <w:szCs w:val="20"/>
          <w:color w:val="auto"/>
        </w:rPr>
      </w:pPr>
    </w:p>
    <w:p>
      <w:pPr>
        <w:jc w:val="both"/>
        <w:ind w:left="40" w:right="80"/>
        <w:spacing w:after="0" w:line="262" w:lineRule="auto"/>
        <w:rPr>
          <w:sz w:val="20"/>
          <w:szCs w:val="20"/>
          <w:color w:val="auto"/>
        </w:rPr>
      </w:pPr>
      <w:r>
        <w:rPr>
          <w:rFonts w:ascii="Arial" w:cs="Arial" w:eastAsia="Arial" w:hAnsi="Arial"/>
          <w:sz w:val="20"/>
          <w:szCs w:val="20"/>
          <w:color w:val="auto"/>
        </w:rPr>
        <w:t>The terms and scope of participation for these benefits and the compensation plans and policies referenced in this Offer Letter are subject to the plans and policy documentation and are subject to change.</w:t>
      </w:r>
    </w:p>
    <w:p>
      <w:pPr>
        <w:spacing w:after="0" w:line="3"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You will be entitled to four (4) weeks of paid vacation annually (which will be pro-rated for 2025), in addition to company-paid holidays and sick leave in accordance with the Company’s policies.</w:t>
      </w:r>
    </w:p>
    <w:p>
      <w:pPr>
        <w:spacing w:after="0" w:line="2" w:lineRule="exact"/>
        <w:rPr>
          <w:sz w:val="20"/>
          <w:szCs w:val="20"/>
          <w:color w:val="auto"/>
        </w:rPr>
      </w:pPr>
    </w:p>
    <w:p>
      <w:pPr>
        <w:jc w:val="both"/>
        <w:ind w:left="40" w:right="80"/>
        <w:spacing w:after="0" w:line="260" w:lineRule="auto"/>
        <w:rPr>
          <w:sz w:val="20"/>
          <w:szCs w:val="20"/>
          <w:color w:val="auto"/>
        </w:rPr>
      </w:pPr>
      <w:r>
        <w:rPr>
          <w:rFonts w:ascii="Arial" w:cs="Arial" w:eastAsia="Arial" w:hAnsi="Arial"/>
          <w:sz w:val="20"/>
          <w:szCs w:val="20"/>
          <w:color w:val="auto"/>
        </w:rPr>
        <w:t xml:space="preserve">If you accept this Offer and commence employment with the Company, as of the Start Date, you will execute and enter into a Severance Agreement with the Company (in the form attached to this Offer Letter as </w:t>
      </w:r>
      <w:r>
        <w:rPr>
          <w:rFonts w:ascii="Arial" w:cs="Arial" w:eastAsia="Arial" w:hAnsi="Arial"/>
          <w:sz w:val="20"/>
          <w:szCs w:val="20"/>
          <w:u w:val="single" w:color="auto"/>
          <w:color w:val="auto"/>
        </w:rPr>
        <w:t>Exhibit C</w:t>
      </w:r>
      <w:r>
        <w:rPr>
          <w:rFonts w:ascii="Arial" w:cs="Arial" w:eastAsia="Arial" w:hAnsi="Arial"/>
          <w:sz w:val="20"/>
          <w:szCs w:val="20"/>
          <w:color w:val="auto"/>
        </w:rPr>
        <w:t>, the “Severance Agreement”).</w:t>
      </w:r>
    </w:p>
    <w:p>
      <w:pPr>
        <w:spacing w:after="0" w:line="17" w:lineRule="exact"/>
        <w:rPr>
          <w:sz w:val="20"/>
          <w:szCs w:val="20"/>
          <w:color w:val="auto"/>
        </w:rPr>
      </w:pPr>
    </w:p>
    <w:p>
      <w:pPr>
        <w:jc w:val="both"/>
        <w:ind w:left="40" w:right="60"/>
        <w:spacing w:after="0" w:line="249" w:lineRule="auto"/>
        <w:rPr>
          <w:sz w:val="20"/>
          <w:szCs w:val="20"/>
          <w:color w:val="auto"/>
        </w:rPr>
      </w:pPr>
      <w:r>
        <w:rPr>
          <w:rFonts w:ascii="Arial" w:cs="Arial" w:eastAsia="Arial" w:hAnsi="Arial"/>
          <w:sz w:val="20"/>
          <w:szCs w:val="20"/>
          <w:color w:val="auto"/>
        </w:rPr>
        <w:t>Your primary work location will be the Company’s headquarters. The Company agrees to provide you with a relocation allowance of up to $450,000, less applicable taxes and withholdings, in connection with your relocation (the “Allowance”). The Allowance will be paid in three substantially equal installments. The first installment will be paid within thirty (30) days following the Start Date. You must submit a request to the Chairperson of the Compensation Committee of the Board for the release of the second installment of the Allowance, which amount must be paid not later than December 31, 2025. You must also submit a request to the Chairperson of the Compensation Committee for the release of the third and final installment of the Allowance (or such lesser amount to which you and such Chairperson agree), which amount must be paid between January 1, 2026 and March 15, 2026. Your relocation must be complete by a date mutually agreed to by you and the Chairperson of the Board, but, in any case, no later than December 31, 2026. In addition to the Allowance, the Company will reimburse you for all of your expenses incurred in connection with commuting to the Company’s headquarters during the first ninety (90) days of your employment, including for expenses related to your spouse’s round-trip travel for two trips with you to the Company’s headquarters. If you voluntarily terminate your employment with the Company or the Company terminates your employment with the Company for Cause, in each case prior to the two-year anniversary of the Start Date, then you will be required to repay all or a portion of the pre-tax Allowance amount (but only to the extent the Allowance has been paid to you) indicated above to the Company in accordance with the following prorated repayment schedule:</w:t>
      </w:r>
    </w:p>
    <w:p>
      <w:pPr>
        <w:spacing w:after="0" w:line="236" w:lineRule="exact"/>
        <w:rPr>
          <w:sz w:val="20"/>
          <w:szCs w:val="20"/>
          <w:color w:val="auto"/>
        </w:rPr>
      </w:pPr>
    </w:p>
    <w:p>
      <w:pPr>
        <w:ind w:left="680" w:hanging="316"/>
        <w:spacing w:after="0"/>
        <w:tabs>
          <w:tab w:leader="none" w:pos="6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Less than 12 months of employment: 100%;</w:t>
      </w:r>
    </w:p>
    <w:p>
      <w:pPr>
        <w:spacing w:after="0" w:line="40" w:lineRule="exact"/>
        <w:rPr>
          <w:rFonts w:ascii="Arial" w:cs="Arial" w:eastAsia="Arial" w:hAnsi="Arial"/>
          <w:sz w:val="20"/>
          <w:szCs w:val="20"/>
          <w:color w:val="auto"/>
        </w:rPr>
      </w:pPr>
    </w:p>
    <w:p>
      <w:pPr>
        <w:ind w:left="680" w:hanging="316"/>
        <w:spacing w:after="0"/>
        <w:tabs>
          <w:tab w:leader="none" w:pos="6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12 to 18 months of employment: 75%; and</w:t>
      </w:r>
    </w:p>
    <w:p>
      <w:pPr>
        <w:spacing w:after="0" w:line="31" w:lineRule="exact"/>
        <w:rPr>
          <w:rFonts w:ascii="Arial" w:cs="Arial" w:eastAsia="Arial" w:hAnsi="Arial"/>
          <w:sz w:val="20"/>
          <w:szCs w:val="20"/>
          <w:color w:val="auto"/>
        </w:rPr>
      </w:pPr>
    </w:p>
    <w:p>
      <w:pPr>
        <w:ind w:left="680" w:hanging="316"/>
        <w:spacing w:after="0"/>
        <w:tabs>
          <w:tab w:leader="none" w:pos="6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19 to 24 months of employment: 50%.</w:t>
      </w:r>
    </w:p>
    <w:p>
      <w:pPr>
        <w:spacing w:after="0" w:line="197" w:lineRule="exact"/>
        <w:rPr>
          <w:sz w:val="20"/>
          <w:szCs w:val="20"/>
          <w:color w:val="auto"/>
        </w:rPr>
      </w:pPr>
    </w:p>
    <w:p>
      <w:pPr>
        <w:jc w:val="both"/>
        <w:ind w:left="40" w:right="80"/>
        <w:spacing w:after="0" w:line="259" w:lineRule="auto"/>
        <w:rPr>
          <w:sz w:val="20"/>
          <w:szCs w:val="20"/>
          <w:color w:val="auto"/>
        </w:rPr>
      </w:pPr>
      <w:r>
        <w:rPr>
          <w:rFonts w:ascii="Arial" w:cs="Arial" w:eastAsia="Arial" w:hAnsi="Arial"/>
          <w:sz w:val="20"/>
          <w:szCs w:val="20"/>
          <w:color w:val="auto"/>
        </w:rPr>
        <w:t>You consent to the Company deducting the Allowance repayment amount from your final pay or other payments due to you from the Company (such as, but not limited to, vacation pay or STI pay), as permitted by applicable law. You remain responsible for paying any remaining Allowance repayment amount within sixty (60) days from your last day of employment.</w:t>
      </w:r>
    </w:p>
    <w:p>
      <w:pPr>
        <w:spacing w:after="0" w:line="200" w:lineRule="exact"/>
        <w:rPr>
          <w:sz w:val="20"/>
          <w:szCs w:val="20"/>
          <w:color w:val="auto"/>
        </w:rPr>
      </w:pPr>
    </w:p>
    <w:p>
      <w:pPr>
        <w:sectPr>
          <w:pgSz w:w="11900" w:h="16838" w:orient="portrait"/>
          <w:cols w:equalWidth="0" w:num="2">
            <w:col w:w="2160" w:space="380"/>
            <w:col w:w="8680"/>
          </w:cols>
          <w:pgMar w:left="340" w:top="1414"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40" w:top="1414" w:right="339" w:bottom="1440" w:gutter="0" w:footer="0" w:header="0"/>
          <w:type w:val="continuous"/>
        </w:sectPr>
      </w:pPr>
    </w:p>
    <w:bookmarkStart w:id="68" w:name="page69"/>
    <w:bookmarkEnd w:id="68"/>
    <w:p>
      <w:pPr>
        <w:spacing w:after="0" w:line="107" w:lineRule="exact"/>
        <w:rPr>
          <w:sz w:val="20"/>
          <w:szCs w:val="20"/>
          <w:color w:val="auto"/>
        </w:rPr>
      </w:pPr>
    </w:p>
    <w:p>
      <w:pPr>
        <w:jc w:val="both"/>
        <w:ind w:left="2600" w:right="80" w:hanging="2579"/>
        <w:spacing w:after="0" w:line="254" w:lineRule="auto"/>
        <w:tabs>
          <w:tab w:leader="none" w:pos="2580" w:val="left"/>
        </w:tabs>
        <w:rPr>
          <w:sz w:val="20"/>
          <w:szCs w:val="20"/>
          <w:color w:val="auto"/>
        </w:rPr>
      </w:pPr>
      <w:r>
        <w:rPr>
          <w:rFonts w:ascii="Arial" w:cs="Arial" w:eastAsia="Arial" w:hAnsi="Arial"/>
          <w:sz w:val="20"/>
          <w:szCs w:val="20"/>
          <w:b w:val="1"/>
          <w:bCs w:val="1"/>
          <w:color w:val="auto"/>
        </w:rPr>
        <w:t>Indemnification:</w:t>
      </w:r>
      <w:r>
        <w:rPr>
          <w:sz w:val="20"/>
          <w:szCs w:val="20"/>
          <w:color w:val="auto"/>
        </w:rPr>
        <w:tab/>
      </w:r>
      <w:r>
        <w:rPr>
          <w:rFonts w:ascii="Arial" w:cs="Arial" w:eastAsia="Arial" w:hAnsi="Arial"/>
          <w:sz w:val="20"/>
          <w:szCs w:val="20"/>
          <w:color w:val="auto"/>
        </w:rPr>
        <w:t xml:space="preserve">The Company will maintain director and officer insurance coverage and you will be indemnified for your actions in your service to the Company, in each case, on the same terms and conditions as apply to other executive officers of the Company. In addition, if you accept this Offer and commence employment with the Company, as of the Start Date, you and the Company will enter into an Indemnification Agreement (in the form attached to this Offer Letter as </w:t>
      </w:r>
      <w:r>
        <w:rPr>
          <w:rFonts w:ascii="Arial" w:cs="Arial" w:eastAsia="Arial" w:hAnsi="Arial"/>
          <w:sz w:val="20"/>
          <w:szCs w:val="20"/>
          <w:u w:val="single" w:color="auto"/>
          <w:color w:val="auto"/>
        </w:rPr>
        <w:t>Exhibit D</w:t>
      </w:r>
      <w:r>
        <w:rPr>
          <w:rFonts w:ascii="Arial" w:cs="Arial" w:eastAsia="Arial" w:hAnsi="Arial"/>
          <w:sz w:val="20"/>
          <w:szCs w:val="20"/>
          <w:color w:val="auto"/>
        </w:rPr>
        <w:t>, the “Indemnification Agreement”).</w:t>
      </w:r>
    </w:p>
    <w:p>
      <w:pPr>
        <w:spacing w:after="0" w:line="35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Any reimbursement to you, in accordance with the Company’s normal policies practices, for your ordinary and necessary reasonable business expenses as CEO will be paid no later than December 31 of the year following the year in which the expense was incurred, the amount of expenses reimbursed in one year will not affect the amount eligible for reimbursement in any subsequent year, and the right to reimbursement will not be subject to liquidation or exchange for another benefit (including, for purposes of compliance with Section 409A of the Internal Revenue Code of 1986, as amended, with reimbursement treated as a right to receive a series of separate and distinct payments). Notwithstanding the foregoing, upon presentation of appropriate documentation, the Company will reimburse you within 60 days of you providing appropriate documentation (but not later than December 31, 2025) for up to $35,000 in professional fees and expenses incurred in connection with the evaluation, consideration, and negotiation of this Offer.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promotes a drug-free workplace. Therefore, this Offer is made specifically contingent upon your completion of a drug screen that is satisfactory to the Company. This Offer is also specifically contingent upon the results of a reference/background check that are satisfactory to the Company, proof of eligibility to work in the United States, and signing a Confidential Information and Invention Assignment Agreement and an Agreement to Arbitrate.</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subject to (or deemed subject to) Company policies applicable to other executive officers of the Company from time-to-time. You are responsible for all applicable federal, state, city or other taxes imposed on your compensation and benefits arrangements, and the Company is not obligated to guarantee any particular tax result for you regarding any payment or benefit provided to you. This Offer Letter and the documents referenced herein set forth the complete and exclusive agreement between you and the Company with regard to the matters covered herein and supersedes any prior representations or agreements about such matters, whether written or verbal, except as otherwise specified in this Offer Letter. This Offer Letter and all questions arising in connection herewith shall be governed by the laws of the State of Michigan, with venue in any court of competent jurisdiction located in the State of Michigan. You and the Company will each pay your respective legal fees related to this Offer Letter and the employment arrangement. This Offer Letter may be modified or terminated only in a writing signed by both you and an authorized representative of the Company.</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Nothing in this Offer Letter (or otherwise) (1) limits your right to any monetary award offered by a government-administered whistleblower award program for providing information directly to a government agency (including the Securities and Exchange Commission pursuant to Section 21F of the Securities Exchange Act of 1934, as amended (the “Exchange Act”), the Dodd-Frank Wall Street Reform and Consumer Protection Act, or the Sarbanes-Oxley Act of 2002), or (2) prevents you from providing, without prior notice to the Company, information to governmental authorities regarding possible legal violations or otherwise testifying or participating in any</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54" w:lineRule="auto"/>
        <w:rPr>
          <w:sz w:val="20"/>
          <w:szCs w:val="20"/>
          <w:color w:val="auto"/>
        </w:rPr>
      </w:pPr>
      <w:r>
        <w:rPr>
          <w:rFonts w:ascii="Arial" w:cs="Arial" w:eastAsia="Arial" w:hAnsi="Arial"/>
          <w:sz w:val="20"/>
          <w:szCs w:val="20"/>
          <w:color w:val="auto"/>
        </w:rPr>
        <w:t>investigation or proceeding by any governmental authorities regarding possible legal violations. Furthermore, no Company policy or individual agreement between the Company and you shall prevent you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Board reserves the right to modify the terms of your employment at any time, and your employment with our company is “at will”, which means that either you or the Company may terminate the relationship at any time, subject to the terms of this Offer Letter and the Severance Agreement.</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We are looking forward to having you become CEO of the Company. We are highly confident of your ability to lead the organization in the successful growth and performance of our business.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If this Offer Letter accurately reflects your understanding of the Offer and if these terms and conditions are agreeable to you, please sign the Offer Letter below and return directly to Daniel Tredwell, by June 4, 2025 via email at </w:t>
      </w:r>
      <w:r>
        <w:rPr>
          <w:rFonts w:ascii="Arial" w:cs="Arial" w:eastAsia="Arial" w:hAnsi="Arial"/>
          <w:sz w:val="20"/>
          <w:szCs w:val="20"/>
          <w:b w:val="1"/>
          <w:bCs w:val="1"/>
          <w:color w:val="auto"/>
        </w:rPr>
        <w:t>[***]</w:t>
      </w:r>
      <w:r>
        <w:rPr>
          <w:rFonts w:ascii="Arial" w:cs="Arial" w:eastAsia="Arial" w:hAnsi="Arial"/>
          <w:sz w:val="20"/>
          <w:szCs w:val="20"/>
          <w:color w:val="auto"/>
        </w:rPr>
        <w:t>. This Offer Letter will be effective only upon countersignature by the Company, as provided for below.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56" w:lineRule="exact"/>
        <w:rPr>
          <w:sz w:val="20"/>
          <w:szCs w:val="20"/>
          <w:color w:val="auto"/>
        </w:rPr>
      </w:pPr>
    </w:p>
    <w:p>
      <w:pPr>
        <w:spacing w:after="0"/>
        <w:tabs>
          <w:tab w:leader="none" w:pos="2640" w:val="left"/>
        </w:tabs>
        <w:rPr>
          <w:sz w:val="20"/>
          <w:szCs w:val="20"/>
          <w:color w:val="auto"/>
        </w:rPr>
      </w:pPr>
      <w:r>
        <w:rPr>
          <w:rFonts w:ascii="Arial" w:cs="Arial" w:eastAsia="Arial" w:hAnsi="Arial"/>
          <w:sz w:val="20"/>
          <w:szCs w:val="20"/>
          <w:color w:val="auto"/>
        </w:rPr>
        <w:t>/s/ Herbert Parker</w:t>
      </w:r>
      <w:r>
        <w:rPr>
          <w:sz w:val="20"/>
          <w:szCs w:val="20"/>
          <w:color w:val="auto"/>
        </w:rPr>
        <w:tab/>
      </w:r>
      <w:r>
        <w:rPr>
          <w:rFonts w:ascii="Arial" w:cs="Arial" w:eastAsia="Arial" w:hAnsi="Arial"/>
          <w:sz w:val="19"/>
          <w:szCs w:val="19"/>
          <w:color w:val="auto"/>
        </w:rPr>
        <w:t>/s/ Daniel P. Tredwell</w:t>
      </w:r>
    </w:p>
    <w:p>
      <w:pPr>
        <w:spacing w:after="0" w:line="18" w:lineRule="exact"/>
        <w:rPr>
          <w:sz w:val="20"/>
          <w:szCs w:val="20"/>
          <w:color w:val="auto"/>
        </w:rPr>
      </w:pPr>
    </w:p>
    <w:p>
      <w:pPr>
        <w:spacing w:after="0"/>
        <w:tabs>
          <w:tab w:leader="none" w:pos="3840" w:val="left"/>
        </w:tabs>
        <w:rPr>
          <w:sz w:val="20"/>
          <w:szCs w:val="20"/>
          <w:color w:val="auto"/>
        </w:rPr>
      </w:pPr>
      <w:r>
        <w:rPr>
          <w:rFonts w:ascii="Arial" w:cs="Arial" w:eastAsia="Arial" w:hAnsi="Arial"/>
          <w:sz w:val="20"/>
          <w:szCs w:val="20"/>
          <w:color w:val="auto"/>
        </w:rPr>
        <w:t>_____________________________</w:t>
      </w:r>
      <w:r>
        <w:rPr>
          <w:sz w:val="20"/>
          <w:szCs w:val="20"/>
          <w:color w:val="auto"/>
        </w:rPr>
        <w:tab/>
      </w:r>
      <w:r>
        <w:rPr>
          <w:rFonts w:ascii="Arial" w:cs="Arial" w:eastAsia="Arial" w:hAnsi="Arial"/>
          <w:sz w:val="20"/>
          <w:szCs w:val="20"/>
          <w:color w:val="auto"/>
        </w:rPr>
        <w:t>_____________________________</w:t>
      </w:r>
    </w:p>
    <w:p>
      <w:pPr>
        <w:spacing w:after="0" w:line="13" w:lineRule="exact"/>
        <w:rPr>
          <w:sz w:val="20"/>
          <w:szCs w:val="20"/>
          <w:color w:val="auto"/>
        </w:rPr>
      </w:pPr>
    </w:p>
    <w:p>
      <w:pPr>
        <w:spacing w:after="0"/>
        <w:tabs>
          <w:tab w:leader="none" w:pos="2380" w:val="left"/>
        </w:tabs>
        <w:rPr>
          <w:sz w:val="20"/>
          <w:szCs w:val="20"/>
          <w:color w:val="auto"/>
        </w:rPr>
      </w:pPr>
      <w:r>
        <w:rPr>
          <w:rFonts w:ascii="Arial" w:cs="Arial" w:eastAsia="Arial" w:hAnsi="Arial"/>
          <w:sz w:val="20"/>
          <w:szCs w:val="20"/>
          <w:color w:val="auto"/>
        </w:rPr>
        <w:t>Herbert Parker</w:t>
      </w:r>
      <w:r>
        <w:rPr>
          <w:sz w:val="20"/>
          <w:szCs w:val="20"/>
          <w:color w:val="auto"/>
        </w:rPr>
        <w:tab/>
      </w:r>
      <w:r>
        <w:rPr>
          <w:rFonts w:ascii="Arial" w:cs="Arial" w:eastAsia="Arial" w:hAnsi="Arial"/>
          <w:sz w:val="19"/>
          <w:szCs w:val="19"/>
          <w:color w:val="auto"/>
        </w:rPr>
        <w:t>Daniel P. Tredwell</w:t>
      </w:r>
    </w:p>
    <w:p>
      <w:pPr>
        <w:spacing w:after="0"/>
        <w:tabs>
          <w:tab w:leader="none" w:pos="3080" w:val="left"/>
        </w:tabs>
        <w:rPr>
          <w:sz w:val="20"/>
          <w:szCs w:val="20"/>
          <w:color w:val="auto"/>
        </w:rPr>
      </w:pPr>
      <w:r>
        <w:rPr>
          <w:rFonts w:ascii="Arial" w:cs="Arial" w:eastAsia="Arial" w:hAnsi="Arial"/>
          <w:sz w:val="20"/>
          <w:szCs w:val="20"/>
          <w:color w:val="auto"/>
        </w:rPr>
        <w:t>Chairperson of the Board</w:t>
      </w:r>
      <w:r>
        <w:rPr>
          <w:sz w:val="20"/>
          <w:szCs w:val="20"/>
          <w:color w:val="auto"/>
        </w:rPr>
        <w:tab/>
      </w:r>
      <w:r>
        <w:rPr>
          <w:rFonts w:ascii="Arial" w:cs="Arial" w:eastAsia="Arial" w:hAnsi="Arial"/>
          <w:sz w:val="19"/>
          <w:szCs w:val="19"/>
          <w:color w:val="auto"/>
        </w:rPr>
        <w:t>Chairperson of GNC of Board</w:t>
      </w:r>
    </w:p>
    <w:p>
      <w:pPr>
        <w:spacing w:after="0" w:line="13" w:lineRule="exact"/>
        <w:rPr>
          <w:sz w:val="20"/>
          <w:szCs w:val="20"/>
          <w:color w:val="auto"/>
        </w:rPr>
      </w:pPr>
    </w:p>
    <w:p>
      <w:pPr>
        <w:spacing w:after="0"/>
        <w:tabs>
          <w:tab w:leader="none" w:pos="2820" w:val="left"/>
        </w:tabs>
        <w:rPr>
          <w:sz w:val="20"/>
          <w:szCs w:val="20"/>
          <w:color w:val="auto"/>
        </w:rPr>
      </w:pPr>
      <w:r>
        <w:rPr>
          <w:rFonts w:ascii="Arial" w:cs="Arial" w:eastAsia="Arial" w:hAnsi="Arial"/>
          <w:sz w:val="20"/>
          <w:szCs w:val="20"/>
          <w:color w:val="auto"/>
        </w:rPr>
        <w:t>TriMas Corporation</w:t>
      </w:r>
      <w:r>
        <w:rPr>
          <w:sz w:val="20"/>
          <w:szCs w:val="20"/>
          <w:color w:val="auto"/>
        </w:rPr>
        <w:tab/>
      </w:r>
      <w:r>
        <w:rPr>
          <w:rFonts w:ascii="Arial" w:cs="Arial" w:eastAsia="Arial" w:hAnsi="Arial"/>
          <w:sz w:val="19"/>
          <w:szCs w:val="19"/>
          <w:color w:val="auto"/>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344805</wp:posOffset>
            </wp:positionV>
            <wp:extent cx="69862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00" w:type="dxa"/>
        <w:tblCellMar>
          <w:top w:w="0" w:type="dxa"/>
          <w:left w:w="0" w:type="dxa"/>
          <w:bottom w:w="0" w:type="dxa"/>
          <w:right w:w="0" w:type="dxa"/>
        </w:tblCellMar>
      </w:tblPr>
      <w:tr>
        <w:trPr>
          <w:trHeight w:val="261"/>
        </w:trPr>
        <w:tc>
          <w:tcPr>
            <w:tcW w:w="2100" w:type="dxa"/>
            <w:vAlign w:val="bottom"/>
          </w:tcPr>
          <w:p>
            <w:pPr>
              <w:spacing w:after="0"/>
              <w:rPr>
                <w:sz w:val="20"/>
                <w:szCs w:val="20"/>
                <w:color w:val="auto"/>
              </w:rPr>
            </w:pPr>
            <w:r>
              <w:rPr>
                <w:rFonts w:ascii="Arial" w:cs="Arial" w:eastAsia="Arial" w:hAnsi="Arial"/>
                <w:sz w:val="20"/>
                <w:szCs w:val="20"/>
                <w:color w:val="auto"/>
              </w:rPr>
              <w:t>/s/ Thomas Snyder</w:t>
            </w:r>
          </w:p>
        </w:tc>
        <w:tc>
          <w:tcPr>
            <w:tcW w:w="1440" w:type="dxa"/>
            <w:vAlign w:val="bottom"/>
          </w:tcPr>
          <w:p>
            <w:pPr>
              <w:jc w:val="right"/>
              <w:spacing w:after="0"/>
              <w:rPr>
                <w:sz w:val="20"/>
                <w:szCs w:val="20"/>
                <w:color w:val="auto"/>
              </w:rPr>
            </w:pPr>
            <w:r>
              <w:rPr>
                <w:rFonts w:ascii="Arial" w:cs="Arial" w:eastAsia="Arial" w:hAnsi="Arial"/>
                <w:sz w:val="20"/>
                <w:szCs w:val="20"/>
                <w:color w:val="auto"/>
              </w:rPr>
              <w:t>6 / 3 / 2025</w:t>
            </w:r>
          </w:p>
        </w:tc>
      </w:tr>
    </w:tbl>
    <w:p>
      <w:pPr>
        <w:spacing w:after="0" w:line="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_____________________________________________</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Thomas Snyder</w:t>
      </w:r>
    </w:p>
    <w:p>
      <w:pPr>
        <w:spacing w:after="0" w:line="108" w:lineRule="exact"/>
        <w:rPr>
          <w:sz w:val="20"/>
          <w:szCs w:val="20"/>
          <w:color w:val="auto"/>
        </w:rPr>
      </w:pPr>
    </w:p>
    <w:p>
      <w:pPr>
        <w:ind w:left="100"/>
        <w:spacing w:after="0"/>
        <w:tabs>
          <w:tab w:leader="none" w:pos="23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0" w:lineRule="exact"/>
        <w:rPr>
          <w:sz w:val="20"/>
          <w:szCs w:val="20"/>
          <w:color w:val="auto"/>
        </w:rPr>
      </w:pPr>
    </w:p>
    <w:p>
      <w:pPr>
        <w:spacing w:after="0" w:line="284" w:lineRule="exact"/>
        <w:rPr>
          <w:sz w:val="20"/>
          <w:szCs w:val="20"/>
          <w:color w:val="auto"/>
        </w:rPr>
      </w:pPr>
    </w:p>
    <w:p>
      <w:pPr>
        <w:jc w:val="both"/>
        <w:ind w:left="100" w:right="100"/>
        <w:spacing w:after="0" w:line="283" w:lineRule="auto"/>
        <w:rPr>
          <w:sz w:val="20"/>
          <w:szCs w:val="20"/>
          <w:color w:val="auto"/>
        </w:rPr>
      </w:pPr>
      <w:r>
        <w:rPr>
          <w:rFonts w:ascii="Arial" w:cs="Arial" w:eastAsia="Arial" w:hAnsi="Arial"/>
          <w:sz w:val="20"/>
          <w:szCs w:val="20"/>
          <w:b w:val="1"/>
          <w:bCs w:val="1"/>
          <w:color w:val="auto"/>
        </w:rPr>
        <w:t>My signature serves as an acceptance of the terms and conditions of the Offer contained in this Offer Letter and as an acknowledgment that I understand that my employment is considered "at will", meaning that either the Company or I may terminate this employment relationship at any time with or without cause or notice.</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60"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Inducement Restricted Stock Units Award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412"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Inducement 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INDUCEMENT AWARD AGREEMENT</w:t>
      </w:r>
    </w:p>
    <w:p>
      <w:pPr>
        <w:spacing w:after="0" w:line="2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TriMas Corporation,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as approved by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 Company and the Compensation Committee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of the Board, has granted to the individual listed below (“</w:t>
      </w:r>
      <w:r>
        <w:rPr>
          <w:rFonts w:ascii="Times New Roman" w:cs="Times New Roman" w:eastAsia="Times New Roman" w:hAnsi="Times New Roman"/>
          <w:sz w:val="21"/>
          <w:szCs w:val="21"/>
          <w:b w:val="1"/>
          <w:bCs w:val="1"/>
          <w:i w:val="1"/>
          <w:iCs w:val="1"/>
          <w:color w:val="auto"/>
        </w:rPr>
        <w:t>Grantee</w:t>
      </w:r>
      <w:r>
        <w:rPr>
          <w:rFonts w:ascii="Times New Roman" w:cs="Times New Roman" w:eastAsia="Times New Roman" w:hAnsi="Times New Roman"/>
          <w:sz w:val="21"/>
          <w:szCs w:val="21"/>
          <w:color w:val="auto"/>
        </w:rPr>
        <w:t>”) a restricted stock units award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for the number of restricted stock units set forth below (“</w:t>
      </w:r>
      <w:r>
        <w:rPr>
          <w:rFonts w:ascii="Times New Roman" w:cs="Times New Roman" w:eastAsia="Times New Roman" w:hAnsi="Times New Roman"/>
          <w:sz w:val="21"/>
          <w:szCs w:val="21"/>
          <w:b w:val="1"/>
          <w:bCs w:val="1"/>
          <w:i w:val="1"/>
          <w:iCs w:val="1"/>
          <w:color w:val="auto"/>
        </w:rPr>
        <w:t>Restricted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Units</w:t>
      </w:r>
      <w:r>
        <w:rPr>
          <w:rFonts w:ascii="Times New Roman" w:cs="Times New Roman" w:eastAsia="Times New Roman" w:hAnsi="Times New Roman"/>
          <w:sz w:val="21"/>
          <w:szCs w:val="21"/>
          <w:color w:val="auto"/>
        </w:rPr>
        <w:t>”), subject to the terms and conditions this Restricted Stock Units Inducement Award Agreement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 is intended to be an inducement that is material to Grantee, who is entering into employment with the Company, and to encourage stock ownership by Grantee, thereby aligning Grantee’s interests with those of the stockholders of the Company (the “</w:t>
      </w:r>
      <w:r>
        <w:rPr>
          <w:rFonts w:ascii="Times New Roman" w:cs="Times New Roman" w:eastAsia="Times New Roman" w:hAnsi="Times New Roman"/>
          <w:sz w:val="21"/>
          <w:szCs w:val="21"/>
          <w:b w:val="1"/>
          <w:bCs w:val="1"/>
          <w:i w:val="1"/>
          <w:iCs w:val="1"/>
          <w:color w:val="auto"/>
        </w:rPr>
        <w:t>Stockholders</w:t>
      </w:r>
      <w:r>
        <w:rPr>
          <w:rFonts w:ascii="Times New Roman" w:cs="Times New Roman" w:eastAsia="Times New Roman" w:hAnsi="Times New Roman"/>
          <w:sz w:val="21"/>
          <w:szCs w:val="21"/>
          <w:color w:val="auto"/>
        </w:rPr>
        <w:t>”). This Agreement is intended to comply with Rule 5635(c)(4) of the Nasdaq Stock Market Listing Rules, which provide an exception to the Nasdaq Stock Market Listing Rules’ stockholder approval requirement for the issuance of securities regarding grants to certain employees of the Company as an inducement material to such individuals entering into employment with the Company, and shall be administered and interpreted consistent with such intent.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This Award and Agreement are not made pursuant to the TriMas Corporation 2023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w:t>
      </w:r>
    </w:p>
    <w:p>
      <w:pPr>
        <w:sectPr>
          <w:pgSz w:w="11900" w:h="16838" w:orient="portrait"/>
          <w:cols w:equalWidth="0" w:num="1">
            <w:col w:w="11240"/>
          </w:cols>
          <w:pgMar w:left="320" w:top="1404" w:right="339" w:bottom="1440" w:gutter="0" w:footer="0" w:header="0"/>
        </w:sect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Thomas Snyder</w:t>
      </w:r>
    </w:p>
    <w:p>
      <w:pPr>
        <w:spacing w:after="0" w:line="173" w:lineRule="exact"/>
        <w:rPr>
          <w:sz w:val="20"/>
          <w:szCs w:val="20"/>
          <w:color w:val="auto"/>
        </w:rPr>
      </w:pPr>
    </w:p>
    <w:p>
      <w:pPr>
        <w:sectPr>
          <w:pgSz w:w="11900" w:h="16838" w:orient="portrait"/>
          <w:cols w:equalWidth="0" w:num="2">
            <w:col w:w="5740" w:space="720"/>
            <w:col w:w="4780"/>
          </w:cols>
          <w:pgMar w:left="320" w:top="1404"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As of __________</w:t>
      </w:r>
    </w:p>
    <w:p>
      <w:pPr>
        <w:spacing w:after="0" w:line="173" w:lineRule="exact"/>
        <w:rPr>
          <w:sz w:val="20"/>
          <w:szCs w:val="20"/>
          <w:color w:val="auto"/>
        </w:rPr>
      </w:pPr>
    </w:p>
    <w:p>
      <w:pPr>
        <w:sectPr>
          <w:pgSz w:w="11900" w:h="16838" w:orient="portrait"/>
          <w:cols w:equalWidth="0" w:num="2">
            <w:col w:w="5740" w:space="720"/>
            <w:col w:w="4780"/>
          </w:cols>
          <w:pgMar w:left="320" w:top="1404"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173" w:lineRule="exact"/>
        <w:rPr>
          <w:sz w:val="20"/>
          <w:szCs w:val="20"/>
          <w:color w:val="auto"/>
        </w:rPr>
      </w:pPr>
    </w:p>
    <w:p>
      <w:pPr>
        <w:sectPr>
          <w:pgSz w:w="11900" w:h="16838" w:orient="portrait"/>
          <w:cols w:equalWidth="0" w:num="2">
            <w:col w:w="5740" w:space="720"/>
            <w:col w:w="4780"/>
          </w:cols>
          <w:pgMar w:left="320" w:top="1404"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ectPr>
          <w:pgSz w:w="11900" w:h="16838" w:orient="portrait"/>
          <w:cols w:equalWidth="0" w:num="2">
            <w:col w:w="5740" w:space="720"/>
            <w:col w:w="4780"/>
          </w:cols>
          <w:pgMar w:left="320" w:top="1404" w:right="339" w:bottom="1440" w:gutter="0" w:footer="0" w:header="0"/>
          <w:type w:val="continuous"/>
        </w:sectPr>
      </w:pPr>
    </w:p>
    <w:p>
      <w:pPr>
        <w:spacing w:after="0" w:line="230"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b w:val="1"/>
          <w:bCs w:val="1"/>
          <w:color w:val="auto"/>
        </w:rPr>
      </w:pPr>
    </w:p>
    <w:p>
      <w:pPr>
        <w:jc w:val="both"/>
        <w:ind w:firstLine="251"/>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the number of Restricted Stock Units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subject to the terms of this Agreement. The Restricted Stock Units granted under this Agreement are payable only in shares of common stock, par value $0.01 per share, of the Company (or any security into which such common stock may be changed by reason of any transaction or event of the type referred to in Section II.A.5 of this Agreement)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as described in Section II.A.2.</w:t>
      </w:r>
    </w:p>
    <w:p>
      <w:pPr>
        <w:spacing w:after="0" w:line="201"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b w:val="1"/>
          <w:bCs w:val="1"/>
          <w:color w:val="auto"/>
        </w:rPr>
      </w:pPr>
    </w:p>
    <w:p>
      <w:pPr>
        <w:ind w:left="660" w:firstLine="644"/>
        <w:spacing w:after="0" w:line="238" w:lineRule="auto"/>
        <w:tabs>
          <w:tab w:leader="none" w:pos="1980" w:val="left"/>
        </w:tabs>
        <w:numPr>
          <w:ilvl w:val="3"/>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w:t>
      </w:r>
    </w:p>
    <w:p>
      <w:pPr>
        <w:sectPr>
          <w:pgSz w:w="11900" w:h="16838" w:orient="portrait"/>
          <w:cols w:equalWidth="0" w:num="1">
            <w:col w:w="11240"/>
          </w:cols>
          <w:pgMar w:left="320" w:top="1404" w:right="339" w:bottom="1440" w:gutter="0" w:footer="0" w:header="0"/>
          <w:type w:val="continuous"/>
        </w:sectPr>
      </w:pPr>
    </w:p>
    <w:bookmarkStart w:id="72" w:name="page73"/>
    <w:bookmarkEnd w:id="72"/>
    <w:p>
      <w:pPr>
        <w:spacing w:after="0" w:line="239" w:lineRule="auto"/>
        <w:rPr>
          <w:sz w:val="20"/>
          <w:szCs w:val="20"/>
          <w:color w:val="auto"/>
        </w:rPr>
      </w:pPr>
      <w:r>
        <w:rPr>
          <w:rFonts w:ascii="Times New Roman" w:cs="Times New Roman" w:eastAsia="Times New Roman" w:hAnsi="Times New Roman"/>
          <w:sz w:val="22"/>
          <w:szCs w:val="22"/>
          <w:color w:val="auto"/>
        </w:rPr>
        <w:t>Grant (each,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subject generally to Grantee’s continued status as a Service Provider through each such Vesting Date.</w:t>
      </w:r>
    </w:p>
    <w:p>
      <w:pPr>
        <w:spacing w:after="0" w:line="146" w:lineRule="exact"/>
        <w:rPr>
          <w:sz w:val="20"/>
          <w:szCs w:val="20"/>
          <w:color w:val="auto"/>
        </w:rPr>
      </w:pPr>
    </w:p>
    <w:p>
      <w:pPr>
        <w:ind w:left="1440" w:hanging="472"/>
        <w:spacing w:after="0"/>
        <w:tabs>
          <w:tab w:leader="none" w:pos="14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06" w:lineRule="exact"/>
        <w:rPr>
          <w:rFonts w:ascii="Times New Roman" w:cs="Times New Roman" w:eastAsia="Times New Roman" w:hAnsi="Times New Roman"/>
          <w:sz w:val="22"/>
          <w:szCs w:val="22"/>
          <w:color w:val="auto"/>
        </w:rPr>
      </w:pPr>
    </w:p>
    <w:p>
      <w:pPr>
        <w:jc w:val="both"/>
        <w:ind w:left="640" w:firstLine="652"/>
        <w:spacing w:after="0" w:line="248" w:lineRule="auto"/>
        <w:tabs>
          <w:tab w:leader="none" w:pos="184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93"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78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75" w:lineRule="exact"/>
        <w:rPr>
          <w:rFonts w:ascii="Times New Roman" w:cs="Times New Roman" w:eastAsia="Times New Roman" w:hAnsi="Times New Roman"/>
          <w:sz w:val="22"/>
          <w:szCs w:val="22"/>
          <w:color w:val="auto"/>
        </w:rPr>
      </w:pPr>
    </w:p>
    <w:p>
      <w:pPr>
        <w:jc w:val="both"/>
        <w:ind w:left="640" w:firstLine="652"/>
        <w:spacing w:after="0" w:line="258" w:lineRule="auto"/>
        <w:tabs>
          <w:tab w:leader="none" w:pos="188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fully vest in the Restricted Stock Units subject to this Award that have not already vested as of the date on which Grantee ceases to be a Service Provider due to Grantee’s Qualifying Termination.</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65" w:lineRule="auto"/>
        <w:tabs>
          <w:tab w:leader="none" w:pos="182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such unvested Restricted Stock Units shall vest in accordance with this Section II.A.1(b)(iv):</w:t>
      </w:r>
    </w:p>
    <w:p>
      <w:pPr>
        <w:spacing w:after="0" w:line="165" w:lineRule="exact"/>
        <w:rPr>
          <w:rFonts w:ascii="Times New Roman" w:cs="Times New Roman" w:eastAsia="Times New Roman" w:hAnsi="Times New Roman"/>
          <w:sz w:val="22"/>
          <w:szCs w:val="22"/>
          <w:color w:val="auto"/>
        </w:rPr>
      </w:pPr>
    </w:p>
    <w:p>
      <w:pPr>
        <w:jc w:val="both"/>
        <w:ind w:left="1540" w:firstLine="643"/>
        <w:spacing w:after="0" w:line="265" w:lineRule="auto"/>
        <w:tabs>
          <w:tab w:leader="none" w:pos="2853"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if at any time before the vesting or forfeiture of all of the Restricted Stock Units subject to this Award, and while Grantee is continuously a Service Provider, a Change in Control occurs, then Grantee shall fully vest in the Restricted Stock Units subject to this Award that have not already vested as of the date of the Change in Control, except to the extent that a Replacement Award is provided to Grantee in accordance with Section II.A.1(b)(iv)(B) to continue, replace or assume the Restricted Stock Units covered by this Award (the “</w:t>
      </w:r>
      <w:r>
        <w:rPr>
          <w:rFonts w:ascii="Times New Roman" w:cs="Times New Roman" w:eastAsia="Times New Roman" w:hAnsi="Times New Roman"/>
          <w:sz w:val="21"/>
          <w:szCs w:val="21"/>
          <w:b w:val="1"/>
          <w:bCs w:val="1"/>
          <w:i w:val="1"/>
          <w:iCs w:val="1"/>
          <w:color w:val="auto"/>
        </w:rPr>
        <w:t>Replaced Award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980" w:top="1132" w:right="339" w:bottom="1440" w:gutter="0" w:footer="0" w:header="0"/>
        </w:sectPr>
      </w:pPr>
    </w:p>
    <w:bookmarkStart w:id="73" w:name="page74"/>
    <w:bookmarkEnd w:id="73"/>
    <w:p>
      <w:pPr>
        <w:jc w:val="both"/>
        <w:ind w:left="1540" w:firstLine="643"/>
        <w:spacing w:after="0" w:line="247" w:lineRule="auto"/>
        <w:tabs>
          <w:tab w:leader="none" w:pos="271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i w:val="1"/>
          <w:iCs w:val="1"/>
          <w:color w:val="auto"/>
        </w:rPr>
        <w:t>Replacement Award</w:t>
      </w:r>
      <w:r>
        <w:rPr>
          <w:rFonts w:ascii="Times New Roman" w:cs="Times New Roman" w:eastAsia="Times New Roman" w:hAnsi="Times New Roman"/>
          <w:sz w:val="22"/>
          <w:szCs w:val="22"/>
          <w:color w:val="auto"/>
        </w:rPr>
        <w:t>”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(4) if Grantee holding the Replaced Award is subject to U.S. federal income tax under the Internal Revenue Code of 1986, as amended, and the regulations thereunder, as such law and regulations may be amended from time to time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the tax consequences of which to such Grantee under the Code are not less favorable to such Grantee than the tax consequences of the Replaced Award, and (5)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II.A.1(b)(iv)(B) are satisfied will be made by the Committee, as constituted immediately before the Change in Control, in its sole discretion.</w:t>
      </w:r>
    </w:p>
    <w:p>
      <w:pPr>
        <w:spacing w:after="0" w:line="196" w:lineRule="exact"/>
        <w:rPr>
          <w:rFonts w:ascii="Times New Roman" w:cs="Times New Roman" w:eastAsia="Times New Roman" w:hAnsi="Times New Roman"/>
          <w:sz w:val="22"/>
          <w:szCs w:val="22"/>
          <w:color w:val="auto"/>
        </w:rPr>
      </w:pPr>
    </w:p>
    <w:p>
      <w:pPr>
        <w:jc w:val="both"/>
        <w:ind w:left="1540" w:firstLine="643"/>
        <w:spacing w:after="0" w:line="266" w:lineRule="auto"/>
        <w:tabs>
          <w:tab w:leader="none" w:pos="2696"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and its Subsidiaries (or any of their successors) (as applicable, the “</w:t>
      </w:r>
      <w:r>
        <w:rPr>
          <w:rFonts w:ascii="Times New Roman" w:cs="Times New Roman" w:eastAsia="Times New Roman" w:hAnsi="Times New Roman"/>
          <w:sz w:val="21"/>
          <w:szCs w:val="21"/>
          <w:b w:val="1"/>
          <w:bCs w:val="1"/>
          <w:i w:val="1"/>
          <w:iCs w:val="1"/>
          <w:color w:val="auto"/>
        </w:rPr>
        <w:t>Successor</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jc w:val="both"/>
        <w:ind w:left="1540" w:hanging="5"/>
        <w:spacing w:after="0" w:line="247" w:lineRule="auto"/>
        <w:tabs>
          <w:tab w:leader="none" w:pos="187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Disability, in each case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Disability.</w:t>
      </w:r>
    </w:p>
    <w:p>
      <w:pPr>
        <w:spacing w:after="0" w:line="186" w:lineRule="exact"/>
        <w:rPr>
          <w:rFonts w:ascii="Times New Roman" w:cs="Times New Roman" w:eastAsia="Times New Roman" w:hAnsi="Times New Roman"/>
          <w:sz w:val="22"/>
          <w:szCs w:val="22"/>
          <w:color w:val="auto"/>
        </w:rPr>
      </w:pPr>
    </w:p>
    <w:p>
      <w:pPr>
        <w:jc w:val="both"/>
        <w:ind w:left="1540" w:firstLine="643"/>
        <w:spacing w:after="0" w:line="256" w:lineRule="auto"/>
        <w:tabs>
          <w:tab w:leader="none" w:pos="278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980" w:top="1159" w:right="339" w:bottom="1440" w:gutter="0" w:footer="0" w:header="0"/>
        </w:sectPr>
      </w:pPr>
    </w:p>
    <w:bookmarkStart w:id="74" w:name="page75"/>
    <w:bookmarkEnd w:id="74"/>
    <w:p>
      <w:pPr>
        <w:ind w:left="380" w:hanging="380"/>
        <w:spacing w:after="0"/>
        <w:tabs>
          <w:tab w:leader="none" w:pos="3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220" w:firstLine="259"/>
        <w:spacing w:after="0" w:line="259" w:lineRule="auto"/>
        <w:tabs>
          <w:tab w:leader="none" w:pos="98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30 days following) each applicable Vesting Date, the Company shall issue Grantee one share of Common Stock for each Restricted Stock Unit that is vested (but has not previously been settled) on such Vesting Date.</w:t>
      </w:r>
    </w:p>
    <w:p>
      <w:pPr>
        <w:spacing w:after="0" w:line="179" w:lineRule="exact"/>
        <w:rPr>
          <w:rFonts w:ascii="Times New Roman" w:cs="Times New Roman" w:eastAsia="Times New Roman" w:hAnsi="Times New Roman"/>
          <w:sz w:val="22"/>
          <w:szCs w:val="22"/>
          <w:color w:val="auto"/>
        </w:rPr>
      </w:pPr>
    </w:p>
    <w:p>
      <w:pPr>
        <w:ind w:left="220" w:firstLine="306"/>
        <w:spacing w:after="0" w:line="275" w:lineRule="auto"/>
        <w:tabs>
          <w:tab w:leader="none" w:pos="1093"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53" w:lineRule="exact"/>
        <w:rPr>
          <w:rFonts w:ascii="Times New Roman" w:cs="Times New Roman" w:eastAsia="Times New Roman" w:hAnsi="Times New Roman"/>
          <w:sz w:val="22"/>
          <w:szCs w:val="22"/>
          <w:color w:val="auto"/>
        </w:rPr>
      </w:pPr>
    </w:p>
    <w:p>
      <w:pPr>
        <w:jc w:val="both"/>
        <w:ind w:left="860" w:firstLine="571"/>
        <w:spacing w:after="0" w:line="253" w:lineRule="auto"/>
        <w:tabs>
          <w:tab w:leader="none" w:pos="1937"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 (and have not previously been settled) on the date Grantee ceases to be a Service Provider as a result of Grantee’s death or Disability, the Company shall issue Grantee one share of Common Stock for each vested Restricted Stock Unit as soon as practicable following (but no later than 30 days following) the date Grantee ceases to be a Service Provider;</w:t>
      </w:r>
    </w:p>
    <w:p>
      <w:pPr>
        <w:spacing w:after="0" w:line="178" w:lineRule="exact"/>
        <w:rPr>
          <w:rFonts w:ascii="Times New Roman" w:cs="Times New Roman" w:eastAsia="Times New Roman" w:hAnsi="Times New Roman"/>
          <w:sz w:val="22"/>
          <w:szCs w:val="22"/>
          <w:color w:val="auto"/>
        </w:rPr>
      </w:pPr>
    </w:p>
    <w:p>
      <w:pPr>
        <w:jc w:val="both"/>
        <w:ind w:left="860" w:firstLine="571"/>
        <w:spacing w:after="0" w:line="252" w:lineRule="auto"/>
        <w:tabs>
          <w:tab w:leader="none" w:pos="1974"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II.A.1(b)(iii) (and have not previously been settled) on the date of Grantee’s Qualifying Termination, the Company shall issue Grantee one share of Common Stock for each vested Restricted Stock Unit as soon as practicable following (but no later than 30 days following) the date of Grantee’s Qualifying Termination.</w:t>
      </w:r>
    </w:p>
    <w:p>
      <w:pPr>
        <w:spacing w:after="0" w:line="192" w:lineRule="exact"/>
        <w:rPr>
          <w:rFonts w:ascii="Times New Roman" w:cs="Times New Roman" w:eastAsia="Times New Roman" w:hAnsi="Times New Roman"/>
          <w:sz w:val="22"/>
          <w:szCs w:val="22"/>
          <w:color w:val="auto"/>
        </w:rPr>
      </w:pPr>
    </w:p>
    <w:p>
      <w:pPr>
        <w:jc w:val="both"/>
        <w:ind w:left="860" w:firstLine="571"/>
        <w:spacing w:after="0" w:line="260" w:lineRule="auto"/>
        <w:tabs>
          <w:tab w:leader="none" w:pos="2085"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Restricted Stock Units are vested as a result of Section II.A.1(b)(iv)(A) (and have not previously been settled) on the date of a Change in Control, the Company shall issue Grantee one share of Common Stock for each vested Restricted Stock Unit as soon as practicable following (but no later than 30 days following) the date of the Change in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w:t>
      </w:r>
    </w:p>
    <w:p>
      <w:pPr>
        <w:spacing w:after="0" w:line="1" w:lineRule="exact"/>
        <w:rPr>
          <w:rFonts w:ascii="Times New Roman" w:cs="Times New Roman" w:eastAsia="Times New Roman" w:hAnsi="Times New Roman"/>
          <w:sz w:val="21"/>
          <w:szCs w:val="21"/>
          <w:color w:val="auto"/>
        </w:rPr>
      </w:pPr>
    </w:p>
    <w:p>
      <w:pPr>
        <w:ind w:left="8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(2)(A)(v) of the Code, or (B) the date that would have otherwise applied pursuant to this Agreement had such Change in Control not occurred; and</w:t>
      </w:r>
    </w:p>
    <w:p>
      <w:pPr>
        <w:spacing w:after="0" w:line="182" w:lineRule="exact"/>
        <w:rPr>
          <w:rFonts w:ascii="Times New Roman" w:cs="Times New Roman" w:eastAsia="Times New Roman" w:hAnsi="Times New Roman"/>
          <w:sz w:val="21"/>
          <w:szCs w:val="21"/>
          <w:color w:val="auto"/>
        </w:rPr>
      </w:pPr>
    </w:p>
    <w:p>
      <w:pPr>
        <w:jc w:val="both"/>
        <w:ind w:left="860" w:firstLine="571"/>
        <w:spacing w:after="0" w:line="265" w:lineRule="auto"/>
        <w:tabs>
          <w:tab w:leader="none" w:pos="1960"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II.A.1(b)(iv)(C)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30 days following) the date of such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760" w:top="1161" w:right="339" w:bottom="1440" w:gutter="0" w:footer="0" w:header="0"/>
        </w:sectPr>
      </w:pPr>
    </w:p>
    <w:bookmarkStart w:id="75" w:name="page76"/>
    <w:bookmarkEnd w:id="75"/>
    <w:p>
      <w:pPr>
        <w:jc w:val="both"/>
        <w:ind w:left="-180" w:firstLine="449"/>
        <w:spacing w:after="0" w:line="248" w:lineRule="auto"/>
        <w:tabs>
          <w:tab w:leader="none" w:pos="643"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5" w:lineRule="exact"/>
        <w:rPr>
          <w:rFonts w:ascii="Times New Roman" w:cs="Times New Roman" w:eastAsia="Times New Roman" w:hAnsi="Times New Roman"/>
          <w:sz w:val="22"/>
          <w:szCs w:val="22"/>
          <w:b w:val="1"/>
          <w:bCs w:val="1"/>
          <w:color w:val="auto"/>
        </w:rPr>
      </w:pPr>
    </w:p>
    <w:p>
      <w:pPr>
        <w:ind w:left="-180" w:right="20" w:firstLine="467"/>
        <w:spacing w:after="0" w:line="287" w:lineRule="auto"/>
        <w:tabs>
          <w:tab w:leader="none" w:pos="670" w:val="left"/>
        </w:tabs>
        <w:numPr>
          <w:ilvl w:val="2"/>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37" w:lineRule="exact"/>
        <w:rPr>
          <w:rFonts w:ascii="Times New Roman" w:cs="Times New Roman" w:eastAsia="Times New Roman" w:hAnsi="Times New Roman"/>
          <w:sz w:val="22"/>
          <w:szCs w:val="22"/>
          <w:b w:val="1"/>
          <w:bCs w:val="1"/>
          <w:color w:val="auto"/>
        </w:rPr>
      </w:pPr>
    </w:p>
    <w:p>
      <w:pPr>
        <w:jc w:val="both"/>
        <w:ind w:left="-180" w:firstLine="611"/>
        <w:spacing w:after="0" w:line="249" w:lineRule="auto"/>
        <w:tabs>
          <w:tab w:leader="none" w:pos="886" w:val="left"/>
        </w:tabs>
        <w:numPr>
          <w:ilvl w:val="4"/>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Committee shall make or provide for such adjustments in the number of and kind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covered by the Restricted Stock Units and in the other Award terms as the Committee, in its sole discretion, exercised in good faith, determines is equitably required to prevent dilution or enlargement of the rights of Grantee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the Restricted Stock Units such alternative consideration (including cash), if any, as it, in good faith, may determine to be equitable in the circumstances and shall require in connection therewith the surrender of the Award so replaced in a manner that complies with Section 409A of the Code.</w:t>
      </w:r>
    </w:p>
    <w:p>
      <w:pPr>
        <w:spacing w:after="0" w:line="177" w:lineRule="exact"/>
        <w:rPr>
          <w:rFonts w:ascii="Times New Roman" w:cs="Times New Roman" w:eastAsia="Times New Roman" w:hAnsi="Times New Roman"/>
          <w:sz w:val="22"/>
          <w:szCs w:val="22"/>
          <w:b w:val="1"/>
          <w:bCs w:val="1"/>
          <w:color w:val="auto"/>
        </w:rPr>
      </w:pPr>
    </w:p>
    <w:p>
      <w:pPr>
        <w:ind w:left="460" w:hanging="416"/>
        <w:spacing w:after="0"/>
        <w:tabs>
          <w:tab w:leader="none" w:pos="4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80" w:firstLine="458"/>
        <w:spacing w:after="0" w:line="258" w:lineRule="auto"/>
        <w:tabs>
          <w:tab w:leader="none" w:pos="657"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Section 409A, this Award and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7" w:lineRule="exact"/>
        <w:rPr>
          <w:rFonts w:ascii="Times New Roman" w:cs="Times New Roman" w:eastAsia="Times New Roman" w:hAnsi="Times New Roman"/>
          <w:sz w:val="22"/>
          <w:szCs w:val="22"/>
          <w:b w:val="1"/>
          <w:bCs w:val="1"/>
          <w:color w:val="auto"/>
        </w:rPr>
      </w:pPr>
    </w:p>
    <w:p>
      <w:pPr>
        <w:jc w:val="both"/>
        <w:ind w:left="-180" w:firstLine="593"/>
        <w:spacing w:after="0" w:line="252" w:lineRule="auto"/>
        <w:tabs>
          <w:tab w:leader="none" w:pos="859" w:val="left"/>
        </w:tabs>
        <w:numPr>
          <w:ilvl w:val="3"/>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16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1"/>
          <w:szCs w:val="21"/>
          <w:color w:val="auto"/>
        </w:rPr>
        <w:t>agrees that the Company will withhold shares of Common Stock having a value equal to the amount required to be withheld, and</w:t>
      </w:r>
    </w:p>
    <w:p>
      <w:pPr>
        <w:spacing w:after="0" w:line="39" w:lineRule="exact"/>
        <w:rPr>
          <w:sz w:val="20"/>
          <w:szCs w:val="20"/>
          <w:color w:val="auto"/>
        </w:rPr>
      </w:pPr>
    </w:p>
    <w:p>
      <w:pPr>
        <w:jc w:val="both"/>
        <w:ind w:firstLine="8"/>
        <w:spacing w:after="0" w:line="259" w:lineRule="auto"/>
        <w:tabs>
          <w:tab w:leader="none" w:pos="33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68" w:lineRule="exact"/>
        <w:rPr>
          <w:rFonts w:ascii="Times New Roman" w:cs="Times New Roman" w:eastAsia="Times New Roman" w:hAnsi="Times New Roman"/>
          <w:sz w:val="21"/>
          <w:szCs w:val="21"/>
          <w:color w:val="auto"/>
        </w:rPr>
      </w:pPr>
    </w:p>
    <w:p>
      <w:pPr>
        <w:ind w:left="820" w:hanging="380"/>
        <w:spacing w:after="0"/>
        <w:tabs>
          <w:tab w:leader="none" w:pos="82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33" w:lineRule="exact"/>
        <w:rPr>
          <w:rFonts w:ascii="Times New Roman" w:cs="Times New Roman" w:eastAsia="Times New Roman" w:hAnsi="Times New Roman"/>
          <w:sz w:val="22"/>
          <w:szCs w:val="22"/>
          <w:b w:val="1"/>
          <w:bCs w:val="1"/>
          <w:color w:val="auto"/>
        </w:rPr>
      </w:pPr>
    </w:p>
    <w:p>
      <w:pPr>
        <w:jc w:val="both"/>
        <w:ind w:left="660" w:firstLine="259"/>
        <w:spacing w:after="0" w:line="248" w:lineRule="auto"/>
        <w:tabs>
          <w:tab w:leader="none" w:pos="1426"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 agreement) with the Company, then (i) such other restrictive covenants, rather than the restrictive covenants in this Section II.B.3, shall apply to Grantee, and (ii) Grantee’s violation of such other restrictive covenants shall be treated as a violation of the restrictive covenants in this Section II.B.3 for purposes of this Agreement.</w:t>
      </w:r>
    </w:p>
    <w:p>
      <w:pPr>
        <w:spacing w:after="0" w:line="193" w:lineRule="exact"/>
        <w:rPr>
          <w:rFonts w:ascii="Times New Roman" w:cs="Times New Roman" w:eastAsia="Times New Roman" w:hAnsi="Times New Roman"/>
          <w:sz w:val="22"/>
          <w:szCs w:val="22"/>
          <w:color w:val="auto"/>
        </w:rPr>
      </w:pPr>
    </w:p>
    <w:p>
      <w:pPr>
        <w:jc w:val="both"/>
        <w:ind w:left="660" w:firstLine="327"/>
        <w:spacing w:after="0" w:line="248" w:lineRule="auto"/>
        <w:tabs>
          <w:tab w:leader="none" w:pos="1573"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5" w:right="339" w:bottom="1440" w:gutter="0" w:footer="0" w:header="0"/>
        </w:sectPr>
      </w:pPr>
    </w:p>
    <w:bookmarkStart w:id="77" w:name="page78"/>
    <w:bookmarkEnd w:id="77"/>
    <w:p>
      <w:pPr>
        <w:jc w:val="both"/>
        <w:spacing w:after="0" w:line="246" w:lineRule="auto"/>
        <w:rPr>
          <w:sz w:val="20"/>
          <w:szCs w:val="20"/>
          <w:color w:val="auto"/>
        </w:rPr>
      </w:pPr>
      <w:r>
        <w:rPr>
          <w:rFonts w:ascii="Times New Roman" w:cs="Times New Roman" w:eastAsia="Times New Roman" w:hAnsi="Times New Roman"/>
          <w:sz w:val="22"/>
          <w:szCs w:val="22"/>
          <w:color w:val="auto"/>
        </w:rPr>
        <w:t>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22"/>
          <w:szCs w:val="22"/>
          <w:b w:val="1"/>
          <w:bCs w:val="1"/>
          <w:i w:val="1"/>
          <w:iCs w:val="1"/>
          <w:color w:val="auto"/>
        </w:rPr>
        <w:t>Arrangements</w:t>
      </w:r>
      <w:r>
        <w:rPr>
          <w:rFonts w:ascii="Times New Roman" w:cs="Times New Roman" w:eastAsia="Times New Roman" w:hAnsi="Times New Roman"/>
          <w:sz w:val="22"/>
          <w:szCs w:val="22"/>
          <w:color w:val="auto"/>
        </w:rPr>
        <w:t>”)):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202" w:lineRule="exact"/>
        <w:rPr>
          <w:sz w:val="20"/>
          <w:szCs w:val="20"/>
          <w:color w:val="auto"/>
        </w:rPr>
      </w:pPr>
    </w:p>
    <w:p>
      <w:pPr>
        <w:ind w:left="660" w:hanging="44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0" w:hanging="208"/>
        <w:spacing w:after="0" w:line="250" w:lineRule="auto"/>
        <w:tabs>
          <w:tab w:leader="none" w:pos="84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provided that nothing herein shall prevent Grantee from owning, directly or indirectly, not more than five percent of the outstanding shares of, or any other equity interest in,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980" w:top="1165" w:right="339" w:bottom="1440" w:gutter="0" w:footer="0" w:header="0"/>
        </w:sectPr>
      </w:pPr>
    </w:p>
    <w:bookmarkStart w:id="78" w:name="page79"/>
    <w:bookmarkEnd w:id="78"/>
    <w:p>
      <w:pPr>
        <w:ind w:left="640"/>
        <w:spacing w:after="0" w:line="271" w:lineRule="auto"/>
        <w:rPr>
          <w:sz w:val="20"/>
          <w:szCs w:val="20"/>
          <w:color w:val="auto"/>
        </w:rPr>
      </w:pPr>
      <w:r>
        <w:rPr>
          <w:rFonts w:ascii="Times New Roman" w:cs="Times New Roman" w:eastAsia="Times New Roman" w:hAnsi="Times New Roman"/>
          <w:sz w:val="22"/>
          <w:szCs w:val="22"/>
          <w:color w:val="auto"/>
        </w:rPr>
        <w:t>engaged in the Business and listed or traded on a national securities exchange or in an over-the-counter securities market.</w:t>
      </w:r>
    </w:p>
    <w:p>
      <w:pPr>
        <w:spacing w:after="0" w:line="158" w:lineRule="exact"/>
        <w:rPr>
          <w:sz w:val="20"/>
          <w:szCs w:val="20"/>
          <w:color w:val="auto"/>
        </w:rPr>
      </w:pPr>
    </w:p>
    <w:p>
      <w:pPr>
        <w:jc w:val="both"/>
        <w:ind w:left="640" w:firstLine="337"/>
        <w:spacing w:after="0" w:line="250" w:lineRule="auto"/>
        <w:tabs>
          <w:tab w:leader="none" w:pos="1571" w:val="left"/>
        </w:tabs>
        <w:numPr>
          <w:ilvl w:val="3"/>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0" w:lineRule="exact"/>
        <w:rPr>
          <w:rFonts w:ascii="Times New Roman" w:cs="Times New Roman" w:eastAsia="Times New Roman" w:hAnsi="Times New Roman"/>
          <w:sz w:val="22"/>
          <w:szCs w:val="22"/>
          <w:color w:val="auto"/>
        </w:rPr>
      </w:pPr>
    </w:p>
    <w:p>
      <w:pPr>
        <w:jc w:val="both"/>
        <w:ind w:left="640" w:hanging="112"/>
        <w:spacing w:after="0" w:line="250" w:lineRule="auto"/>
        <w:tabs>
          <w:tab w:leader="none" w:pos="1114"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82" w:lineRule="exact"/>
        <w:rPr>
          <w:rFonts w:ascii="Times New Roman" w:cs="Times New Roman" w:eastAsia="Times New Roman" w:hAnsi="Times New Roman"/>
          <w:sz w:val="22"/>
          <w:szCs w:val="22"/>
          <w:color w:val="auto"/>
        </w:rPr>
      </w:pPr>
    </w:p>
    <w:p>
      <w:pPr>
        <w:jc w:val="both"/>
        <w:ind w:firstLine="354"/>
        <w:spacing w:after="0" w:line="258" w:lineRule="auto"/>
        <w:tabs>
          <w:tab w:leader="none" w:pos="96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660" w:hanging="44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7" w:lineRule="exact"/>
        <w:rPr>
          <w:rFonts w:ascii="Times New Roman" w:cs="Times New Roman" w:eastAsia="Times New Roman" w:hAnsi="Times New Roman"/>
          <w:sz w:val="22"/>
          <w:szCs w:val="22"/>
          <w:color w:val="auto"/>
        </w:rPr>
      </w:pPr>
    </w:p>
    <w:p>
      <w:pPr>
        <w:jc w:val="both"/>
        <w:ind w:left="640" w:firstLine="622"/>
        <w:spacing w:after="0" w:line="251" w:lineRule="auto"/>
        <w:tabs>
          <w:tab w:leader="none" w:pos="1746" w:val="left"/>
        </w:tabs>
        <w:numPr>
          <w:ilvl w:val="4"/>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2" w:lineRule="exact"/>
        <w:rPr>
          <w:rFonts w:ascii="Times New Roman" w:cs="Times New Roman" w:eastAsia="Times New Roman" w:hAnsi="Times New Roman"/>
          <w:sz w:val="22"/>
          <w:szCs w:val="22"/>
          <w:color w:val="auto"/>
        </w:rPr>
      </w:pPr>
    </w:p>
    <w:p>
      <w:pPr>
        <w:jc w:val="both"/>
        <w:ind w:left="640" w:firstLine="622"/>
        <w:spacing w:after="0" w:line="266" w:lineRule="auto"/>
        <w:tabs>
          <w:tab w:leader="none" w:pos="1833" w:val="left"/>
        </w:tabs>
        <w:numPr>
          <w:ilvl w:val="4"/>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980" w:top="1165"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22"/>
          <w:szCs w:val="22"/>
          <w:color w:val="auto"/>
        </w:rPr>
        <w:t>of the Company, and “engages” includes actively planning to engage in the business.</w:t>
      </w:r>
    </w:p>
    <w:p>
      <w:pPr>
        <w:spacing w:after="0" w:line="214" w:lineRule="exact"/>
        <w:rPr>
          <w:sz w:val="20"/>
          <w:szCs w:val="20"/>
          <w:color w:val="auto"/>
        </w:rPr>
      </w:pPr>
    </w:p>
    <w:p>
      <w:pPr>
        <w:jc w:val="both"/>
        <w:ind w:left="660" w:firstLine="622"/>
        <w:spacing w:after="0" w:line="248" w:lineRule="auto"/>
        <w:tabs>
          <w:tab w:leader="none" w:pos="19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1" w:lineRule="exact"/>
        <w:rPr>
          <w:rFonts w:ascii="Times New Roman" w:cs="Times New Roman" w:eastAsia="Times New Roman" w:hAnsi="Times New Roman"/>
          <w:sz w:val="22"/>
          <w:szCs w:val="22"/>
          <w:color w:val="auto"/>
        </w:rPr>
      </w:pPr>
    </w:p>
    <w:p>
      <w:pPr>
        <w:jc w:val="both"/>
        <w:ind w:firstLine="644"/>
        <w:spacing w:after="0" w:line="258" w:lineRule="auto"/>
        <w:tabs>
          <w:tab w:leader="none" w:pos="108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7" w:lineRule="exact"/>
        <w:rPr>
          <w:rFonts w:ascii="Times New Roman" w:cs="Times New Roman" w:eastAsia="Times New Roman" w:hAnsi="Times New Roman"/>
          <w:sz w:val="22"/>
          <w:szCs w:val="22"/>
          <w:color w:val="auto"/>
        </w:rPr>
      </w:pPr>
    </w:p>
    <w:p>
      <w:pPr>
        <w:jc w:val="both"/>
        <w:ind w:firstLine="644"/>
        <w:spacing w:after="0" w:line="262" w:lineRule="auto"/>
        <w:tabs>
          <w:tab w:leader="none" w:pos="11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Relief, Remedies, and Enforcement. </w:t>
      </w:r>
      <w:r>
        <w:rPr>
          <w:rFonts w:ascii="Times New Roman" w:cs="Times New Roman" w:eastAsia="Times New Roman" w:hAnsi="Times New Roman"/>
          <w:sz w:val="21"/>
          <w:szCs w:val="21"/>
          <w:color w:val="auto"/>
        </w:rPr>
        <w:t>Grantee acknowledges that the covenants contained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w:t>
      </w:r>
    </w:p>
    <w:p>
      <w:pPr>
        <w:spacing w:after="0" w:line="164" w:lineRule="exact"/>
        <w:rPr>
          <w:rFonts w:ascii="Times New Roman" w:cs="Times New Roman" w:eastAsia="Times New Roman" w:hAnsi="Times New Roman"/>
          <w:sz w:val="21"/>
          <w:szCs w:val="21"/>
          <w:color w:val="auto"/>
        </w:rPr>
      </w:pPr>
    </w:p>
    <w:p>
      <w:pPr>
        <w:ind w:firstLine="644"/>
        <w:spacing w:after="0" w:line="275" w:lineRule="auto"/>
        <w:tabs>
          <w:tab w:leader="none" w:pos="126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0"/>
          </w:cols>
          <w:pgMar w:left="960" w:top="1165" w:right="339" w:bottom="1440" w:gutter="0" w:footer="0" w:header="0"/>
        </w:sectPr>
      </w:pPr>
    </w:p>
    <w:bookmarkStart w:id="80" w:name="page81"/>
    <w:bookmarkEnd w:id="80"/>
    <w:p>
      <w:pPr>
        <w:jc w:val="both"/>
        <w:ind w:left="-180" w:firstLine="476"/>
        <w:spacing w:after="0" w:line="254" w:lineRule="auto"/>
        <w:tabs>
          <w:tab w:leader="none" w:pos="684"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comply with or be exempt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Section 409A of the Code. This Agreement shall be administered in a manner consistent with this intent, and any provision that would cause this Agreement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73" w:lineRule="exact"/>
        <w:rPr>
          <w:rFonts w:ascii="Times New Roman" w:cs="Times New Roman" w:eastAsia="Times New Roman" w:hAnsi="Times New Roman"/>
          <w:sz w:val="22"/>
          <w:szCs w:val="22"/>
          <w:b w:val="1"/>
          <w:bCs w:val="1"/>
          <w:color w:val="auto"/>
        </w:rPr>
      </w:pPr>
    </w:p>
    <w:p>
      <w:pPr>
        <w:jc w:val="both"/>
        <w:ind w:left="-180" w:firstLine="539"/>
        <w:spacing w:after="0" w:line="251" w:lineRule="auto"/>
        <w:tabs>
          <w:tab w:leader="none" w:pos="778" w:val="left"/>
        </w:tabs>
        <w:numPr>
          <w:ilvl w:val="2"/>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confers on Grantee any right to continue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89" w:lineRule="exact"/>
        <w:rPr>
          <w:rFonts w:ascii="Times New Roman" w:cs="Times New Roman" w:eastAsia="Times New Roman" w:hAnsi="Times New Roman"/>
          <w:sz w:val="22"/>
          <w:szCs w:val="22"/>
          <w:b w:val="1"/>
          <w:bCs w:val="1"/>
          <w:color w:val="auto"/>
        </w:rPr>
      </w:pPr>
    </w:p>
    <w:p>
      <w:pPr>
        <w:jc w:val="both"/>
        <w:ind w:left="-180" w:firstLine="449"/>
        <w:spacing w:after="0" w:line="253" w:lineRule="auto"/>
        <w:tabs>
          <w:tab w:leader="none" w:pos="643"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5" w:lineRule="exact"/>
        <w:rPr>
          <w:rFonts w:ascii="Times New Roman" w:cs="Times New Roman" w:eastAsia="Times New Roman" w:hAnsi="Times New Roman"/>
          <w:sz w:val="22"/>
          <w:szCs w:val="22"/>
          <w:b w:val="1"/>
          <w:bCs w:val="1"/>
          <w:color w:val="auto"/>
        </w:rPr>
      </w:pPr>
    </w:p>
    <w:p>
      <w:pPr>
        <w:jc w:val="both"/>
        <w:ind w:left="-180" w:firstLine="561"/>
        <w:spacing w:after="0" w:line="265" w:lineRule="auto"/>
        <w:tabs>
          <w:tab w:leader="none" w:pos="805" w:val="left"/>
        </w:tabs>
        <w:numPr>
          <w:ilvl w:val="3"/>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1" w:lineRule="exact"/>
        <w:rPr>
          <w:rFonts w:ascii="Times New Roman" w:cs="Times New Roman" w:eastAsia="Times New Roman" w:hAnsi="Times New Roman"/>
          <w:sz w:val="22"/>
          <w:szCs w:val="22"/>
          <w:b w:val="1"/>
          <w:bCs w:val="1"/>
          <w:color w:val="auto"/>
        </w:rPr>
      </w:pPr>
    </w:p>
    <w:p>
      <w:pPr>
        <w:jc w:val="both"/>
        <w:ind w:left="-180" w:firstLine="584"/>
        <w:spacing w:after="0" w:line="259" w:lineRule="auto"/>
        <w:tabs>
          <w:tab w:leader="none" w:pos="846" w:val="left"/>
        </w:tabs>
        <w:numPr>
          <w:ilvl w:val="4"/>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w:t>
      </w:r>
    </w:p>
    <w:p>
      <w:pPr>
        <w:spacing w:after="0" w:line="179" w:lineRule="exact"/>
        <w:rPr>
          <w:rFonts w:ascii="Times New Roman" w:cs="Times New Roman" w:eastAsia="Times New Roman" w:hAnsi="Times New Roman"/>
          <w:sz w:val="22"/>
          <w:szCs w:val="22"/>
          <w:b w:val="1"/>
          <w:bCs w:val="1"/>
          <w:color w:val="auto"/>
        </w:rPr>
      </w:pPr>
    </w:p>
    <w:p>
      <w:pPr>
        <w:jc w:val="both"/>
        <w:ind w:left="-180" w:firstLine="746"/>
        <w:spacing w:after="0" w:line="253" w:lineRule="auto"/>
        <w:tabs>
          <w:tab w:leader="none" w:pos="1089" w:val="left"/>
        </w:tabs>
        <w:numPr>
          <w:ilvl w:val="5"/>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5" w:lineRule="exact"/>
        <w:rPr>
          <w:sz w:val="20"/>
          <w:szCs w:val="20"/>
          <w:color w:val="auto"/>
        </w:rPr>
      </w:pPr>
    </w:p>
    <w:p>
      <w:pPr>
        <w:jc w:val="both"/>
        <w:ind w:left="-180" w:firstLine="494"/>
        <w:spacing w:after="0" w:line="258" w:lineRule="auto"/>
        <w:tabs>
          <w:tab w:leader="none" w:pos="819"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or future awards that may be granted, by electronic means. Grantee hereby consents to receive such documents by electronic delivery and, if requested, agrees to participate through an on-line or electronic system established and maintained by the Company or another third party designated by the Company.</w:t>
      </w:r>
    </w:p>
    <w:p>
      <w:pPr>
        <w:spacing w:after="0" w:line="167" w:lineRule="exact"/>
        <w:rPr>
          <w:rFonts w:ascii="Times New Roman" w:cs="Times New Roman" w:eastAsia="Times New Roman" w:hAnsi="Times New Roman"/>
          <w:sz w:val="22"/>
          <w:szCs w:val="22"/>
          <w:b w:val="1"/>
          <w:bCs w:val="1"/>
          <w:color w:val="auto"/>
        </w:rPr>
      </w:pPr>
    </w:p>
    <w:p>
      <w:pPr>
        <w:ind w:left="740" w:hanging="480"/>
        <w:spacing w:after="0"/>
        <w:tabs>
          <w:tab w:leader="none" w:pos="7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480" w:firstLine="249"/>
        <w:spacing w:after="0" w:line="271" w:lineRule="auto"/>
        <w:tabs>
          <w:tab w:leader="none" w:pos="1226"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discretionary award being made on a one-time basis and does not create any contractual or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500" w:top="1161" w:right="339" w:bottom="1440" w:gutter="0" w:footer="0" w:header="0"/>
        </w:sectPr>
      </w:pPr>
    </w:p>
    <w:bookmarkStart w:id="81" w:name="page82"/>
    <w:bookmarkEnd w:id="81"/>
    <w:p>
      <w:pPr>
        <w:ind w:left="480" w:right="20"/>
        <w:spacing w:after="0" w:line="271" w:lineRule="auto"/>
        <w:rPr>
          <w:sz w:val="20"/>
          <w:szCs w:val="20"/>
          <w:color w:val="auto"/>
        </w:rPr>
      </w:pPr>
      <w:r>
        <w:rPr>
          <w:rFonts w:ascii="Times New Roman" w:cs="Times New Roman" w:eastAsia="Times New Roman" w:hAnsi="Times New Roman"/>
          <w:sz w:val="22"/>
          <w:szCs w:val="22"/>
          <w:color w:val="auto"/>
        </w:rPr>
        <w:t>to receive future grants of restricted stock units, or benefits in lieu of restricted stock units, even if restricted stock units have been granted repeatedly in the past;</w:t>
      </w:r>
    </w:p>
    <w:p>
      <w:pPr>
        <w:spacing w:after="0" w:line="158" w:lineRule="exact"/>
        <w:rPr>
          <w:sz w:val="20"/>
          <w:szCs w:val="20"/>
          <w:color w:val="auto"/>
        </w:rPr>
      </w:pPr>
    </w:p>
    <w:p>
      <w:pPr>
        <w:ind w:left="480" w:firstLine="346"/>
        <w:spacing w:after="0" w:line="271" w:lineRule="auto"/>
        <w:tabs>
          <w:tab w:leader="none" w:pos="1432" w:val="left"/>
        </w:tabs>
        <w:numPr>
          <w:ilvl w:val="4"/>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71" w:lineRule="exact"/>
        <w:rPr>
          <w:rFonts w:ascii="Times New Roman" w:cs="Times New Roman" w:eastAsia="Times New Roman" w:hAnsi="Times New Roman"/>
          <w:sz w:val="22"/>
          <w:szCs w:val="22"/>
          <w:color w:val="auto"/>
        </w:rPr>
      </w:pPr>
    </w:p>
    <w:p>
      <w:pPr>
        <w:jc w:val="both"/>
        <w:ind w:left="480" w:firstLine="231"/>
        <w:spacing w:after="0" w:line="257" w:lineRule="auto"/>
        <w:tabs>
          <w:tab w:leader="none" w:pos="1191"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72" w:lineRule="exact"/>
        <w:rPr>
          <w:rFonts w:ascii="Times New Roman" w:cs="Times New Roman" w:eastAsia="Times New Roman" w:hAnsi="Times New Roman"/>
          <w:sz w:val="22"/>
          <w:szCs w:val="22"/>
          <w:color w:val="auto"/>
        </w:rPr>
      </w:pPr>
    </w:p>
    <w:p>
      <w:pPr>
        <w:ind w:left="480" w:firstLine="212"/>
        <w:spacing w:after="0" w:line="271" w:lineRule="auto"/>
        <w:tabs>
          <w:tab w:leader="none" w:pos="1164"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1140" w:hanging="448"/>
        <w:spacing w:after="0"/>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33" w:lineRule="exact"/>
        <w:rPr>
          <w:rFonts w:ascii="Times New Roman" w:cs="Times New Roman" w:eastAsia="Times New Roman" w:hAnsi="Times New Roman"/>
          <w:sz w:val="22"/>
          <w:szCs w:val="22"/>
          <w:color w:val="auto"/>
        </w:rPr>
      </w:pPr>
    </w:p>
    <w:p>
      <w:pPr>
        <w:jc w:val="both"/>
        <w:ind w:left="480" w:firstLine="216"/>
        <w:spacing w:after="0" w:line="275" w:lineRule="auto"/>
        <w:tabs>
          <w:tab w:leader="none" w:pos="113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480" w:firstLine="255"/>
        <w:spacing w:after="0" w:line="253" w:lineRule="auto"/>
        <w:tabs>
          <w:tab w:leader="none" w:pos="1250"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8" w:lineRule="exact"/>
        <w:rPr>
          <w:rFonts w:ascii="Times New Roman" w:cs="Times New Roman" w:eastAsia="Times New Roman" w:hAnsi="Times New Roman"/>
          <w:sz w:val="22"/>
          <w:szCs w:val="22"/>
          <w:color w:val="auto"/>
        </w:rPr>
      </w:pPr>
    </w:p>
    <w:p>
      <w:pPr>
        <w:jc w:val="both"/>
        <w:ind w:left="480" w:firstLine="255"/>
        <w:spacing w:after="0" w:line="251" w:lineRule="auto"/>
        <w:tabs>
          <w:tab w:leader="none" w:pos="1250"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 the event Grantee ceases to be a Service Provider, Grantee’s right to vest in the Restricted Stock Units under this Agreement,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77" w:lineRule="exact"/>
        <w:rPr>
          <w:rFonts w:ascii="Times New Roman" w:cs="Times New Roman" w:eastAsia="Times New Roman" w:hAnsi="Times New Roman"/>
          <w:sz w:val="22"/>
          <w:szCs w:val="22"/>
          <w:color w:val="auto"/>
        </w:rPr>
      </w:pPr>
    </w:p>
    <w:p>
      <w:pPr>
        <w:jc w:val="both"/>
        <w:ind w:left="-180" w:firstLine="723"/>
        <w:spacing w:after="0" w:line="252" w:lineRule="auto"/>
        <w:tabs>
          <w:tab w:leader="none" w:pos="1156"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California Addenda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provisions in this Agreement, the Restricted Stock Units and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also be subject to the special terms and conditions set forth in the California Addendum attached as Appendix B to this Agreement (which modifies and amends this Agreement to the extent provided for in Appendix B) during any period in which the Grantee is employed and/or resides in California, or for which the Company determines that the application of the terms and conditions of Appendix B is necessary or advisable in order to comply with applicable law. The California Addendum attached hereto as Appendix B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500" w:top="1165" w:right="339" w:bottom="1440" w:gutter="0" w:footer="0" w:header="0"/>
        </w:sectPr>
      </w:pPr>
    </w:p>
    <w:bookmarkStart w:id="82" w:name="page83"/>
    <w:bookmarkEnd w:id="82"/>
    <w:p>
      <w:pPr>
        <w:jc w:val="both"/>
        <w:ind w:firstLine="512"/>
        <w:spacing w:after="0" w:line="250" w:lineRule="auto"/>
        <w:tabs>
          <w:tab w:leader="none" w:pos="1026"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be administered by the Committee. The interpretation and construction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of any provision of this Agreement and any determination by the Committee pursuant to any provision of this Agreement or of any notification or document related hereto will be final and conclusive. No member of the Committee shall be liable for any such action or determination made in good faith. In addition, subject to Section II.A.5, the Committee is authorized to take any action it determines in its sole discretion to be appropriate subject only to the express limitations contained or referenced in this Agreement, and no authorization in any section or other provision of this Agreement is intended or may be deemed to constitute a limitation on the authority of the Committee.</w:t>
      </w:r>
    </w:p>
    <w:p>
      <w:pPr>
        <w:spacing w:after="0" w:line="180" w:lineRule="exact"/>
        <w:rPr>
          <w:rFonts w:ascii="Times New Roman" w:cs="Times New Roman" w:eastAsia="Times New Roman" w:hAnsi="Times New Roman"/>
          <w:sz w:val="22"/>
          <w:szCs w:val="22"/>
          <w:b w:val="1"/>
          <w:bCs w:val="1"/>
          <w:color w:val="auto"/>
        </w:rPr>
      </w:pPr>
    </w:p>
    <w:p>
      <w:pPr>
        <w:jc w:val="both"/>
        <w:ind w:firstLine="575"/>
        <w:spacing w:after="0" w:line="249" w:lineRule="auto"/>
        <w:tabs>
          <w:tab w:leader="none" w:pos="1120"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at any time and from time to time amend this Agreement in whole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however, that if an amendment to this Agreement requires approval by the Stockholders of the Company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 provided further, that no amendment shall adversely affect Grantee’s rights under this Agreement without Grantee’s written consent. Notwithstanding the foregoing, Grantee’s consent shall not be required to an amendment that is deemed necessary by the Company to ensure compliance with Section 409A of the Code or Section 10D of the Exchange Act.</w:t>
      </w:r>
    </w:p>
    <w:p>
      <w:pPr>
        <w:spacing w:after="0" w:line="195" w:lineRule="exact"/>
        <w:rPr>
          <w:rFonts w:ascii="Times New Roman" w:cs="Times New Roman" w:eastAsia="Times New Roman" w:hAnsi="Times New Roman"/>
          <w:sz w:val="22"/>
          <w:szCs w:val="22"/>
          <w:b w:val="1"/>
          <w:bCs w:val="1"/>
          <w:color w:val="auto"/>
        </w:rPr>
      </w:pPr>
    </w:p>
    <w:p>
      <w:pPr>
        <w:ind w:right="20" w:firstLine="620"/>
        <w:spacing w:after="0" w:line="275" w:lineRule="auto"/>
        <w:tabs>
          <w:tab w:leader="none" w:pos="1188" w:val="left"/>
        </w:tabs>
        <w:numPr>
          <w:ilvl w:val="3"/>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awarded pursuant to the Plan. For the avoidance of doubt, the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limitations and share counting and recycling rules set forth in the Plan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with respect to the Award.</w:t>
      </w:r>
    </w:p>
    <w:p>
      <w:pPr>
        <w:spacing w:after="0" w:line="149" w:lineRule="exact"/>
        <w:rPr>
          <w:rFonts w:ascii="Times New Roman" w:cs="Times New Roman" w:eastAsia="Times New Roman" w:hAnsi="Times New Roman"/>
          <w:sz w:val="22"/>
          <w:szCs w:val="22"/>
          <w:b w:val="1"/>
          <w:bCs w:val="1"/>
          <w:color w:val="auto"/>
        </w:rPr>
      </w:pPr>
    </w:p>
    <w:p>
      <w:pPr>
        <w:jc w:val="both"/>
        <w:ind w:firstLine="449"/>
        <w:spacing w:after="0" w:line="259" w:lineRule="auto"/>
        <w:tabs>
          <w:tab w:leader="none" w:pos="931"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and the Company also agree that any action by the Company to enforce this Agreement, as well as any related disputes or litigation related to this Agreement, must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AND THE COMPANY AGREE THAT, TO THE FULLEST EXTENT PERMITTED</w:t>
      </w:r>
    </w:p>
    <w:p>
      <w:pPr>
        <w:spacing w:after="0" w:line="6" w:lineRule="exact"/>
        <w:rPr>
          <w:rFonts w:ascii="Times New Roman" w:cs="Times New Roman" w:eastAsia="Times New Roman" w:hAnsi="Times New Roman"/>
          <w:sz w:val="21"/>
          <w:szCs w:val="21"/>
          <w:b w:val="1"/>
          <w:bCs w:val="1"/>
          <w:color w:val="auto"/>
        </w:rPr>
      </w:pPr>
    </w:p>
    <w:p>
      <w:pPr>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BY LAW, EACH PARTY WAIVES ANY RIGHT TO TRIAL BY JURY WITH RESPECT TO ANY PROCEEDING ARISING OUT OF OR RELATING TO THIS AGREEMENT.</w:t>
      </w:r>
    </w:p>
    <w:p>
      <w:pPr>
        <w:spacing w:after="0" w:line="166"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63" w:lineRule="auto"/>
        <w:tabs>
          <w:tab w:leader="none" w:pos="1864" w:val="left"/>
        </w:tabs>
        <w:numPr>
          <w:ilvl w:val="4"/>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1" w:right="339" w:bottom="1440" w:gutter="0" w:footer="0" w:header="0"/>
        </w:sectPr>
      </w:pPr>
    </w:p>
    <w:bookmarkStart w:id="83" w:name="page84"/>
    <w:bookmarkEnd w:id="83"/>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implement Section 10D of the Exchange Act and any applicable rules or regulations promulgated thereunder (including applicable rules and regulations of any national securities exchange on which the Common Stock at any point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5" w:lineRule="exact"/>
        <w:rPr>
          <w:sz w:val="20"/>
          <w:szCs w:val="20"/>
          <w:color w:val="auto"/>
        </w:rPr>
      </w:pPr>
    </w:p>
    <w:p>
      <w:pPr>
        <w:jc w:val="both"/>
        <w:ind w:left="640" w:firstLine="644"/>
        <w:spacing w:after="0" w:line="252" w:lineRule="auto"/>
        <w:tabs>
          <w:tab w:leader="none" w:pos="1788" w:val="left"/>
        </w:tabs>
        <w:numPr>
          <w:ilvl w:val="3"/>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88" w:lineRule="exact"/>
        <w:rPr>
          <w:rFonts w:ascii="Times New Roman" w:cs="Times New Roman" w:eastAsia="Times New Roman" w:hAnsi="Times New Roman"/>
          <w:sz w:val="22"/>
          <w:szCs w:val="22"/>
          <w:color w:val="auto"/>
        </w:rPr>
      </w:pPr>
    </w:p>
    <w:p>
      <w:pPr>
        <w:jc w:val="both"/>
        <w:ind w:firstLine="503"/>
        <w:spacing w:after="0" w:line="251" w:lineRule="auto"/>
        <w:tabs>
          <w:tab w:leader="none" w:pos="1012" w:val="left"/>
        </w:tabs>
        <w:numPr>
          <w:ilvl w:val="2"/>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those agreements and documents expressly referred to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referred to herein) embodies the complete and entire agreement and understanding between the parties hereto with respect to the subject matter hereof, and supersedes and preempts any and all prior promises, understandings, assurances, commitments, agreements, undertakings or representations, whether oral, written, electronic or otherwise, and whether express or implied, which may relate to the subject matter hereof (or any element thereof) in any way.</w:t>
      </w:r>
    </w:p>
    <w:p>
      <w:pPr>
        <w:spacing w:after="0" w:line="175" w:lineRule="exact"/>
        <w:rPr>
          <w:rFonts w:ascii="Times New Roman" w:cs="Times New Roman" w:eastAsia="Times New Roman" w:hAnsi="Times New Roman"/>
          <w:sz w:val="22"/>
          <w:szCs w:val="22"/>
          <w:b w:val="1"/>
          <w:bCs w:val="1"/>
          <w:color w:val="auto"/>
        </w:rPr>
      </w:pPr>
    </w:p>
    <w:p>
      <w:pPr>
        <w:jc w:val="both"/>
        <w:ind w:firstLine="440"/>
        <w:spacing w:after="0" w:line="283" w:lineRule="auto"/>
        <w:tabs>
          <w:tab w:leader="none" w:pos="972"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Prevailing Party Legal 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of litigation or dispute between the Company and the Grantee related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or this Agreement, the non-prevailing party in such litigation or dispute shall reimburse the prevailing party for any costs and expenses (including, without limitation, attorneys’ fees) reasonably incurred by the prevailing party in connection therewith.</w:t>
      </w:r>
    </w:p>
    <w:p>
      <w:pPr>
        <w:spacing w:after="0" w:line="144" w:lineRule="exact"/>
        <w:rPr>
          <w:rFonts w:ascii="Times New Roman" w:cs="Times New Roman" w:eastAsia="Times New Roman" w:hAnsi="Times New Roman"/>
          <w:sz w:val="21"/>
          <w:szCs w:val="21"/>
          <w:b w:val="1"/>
          <w:bCs w:val="1"/>
          <w:color w:val="auto"/>
        </w:rPr>
      </w:pPr>
    </w:p>
    <w:p>
      <w:pPr>
        <w:ind w:firstLine="458"/>
        <w:spacing w:after="0" w:line="275" w:lineRule="auto"/>
        <w:tabs>
          <w:tab w:leader="none" w:pos="945"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acknowledges that the Grantee (a) has had an opportunity to review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 understands the terms and conditions of this Agreement and (c) agrees to such terms and conditions.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84" w:name="page85"/>
    <w:bookmarkEnd w:id="84"/>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Jodi F. Robin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ectPr>
          <w:pgSz w:w="11900" w:h="16838" w:orient="portrait"/>
          <w:cols w:equalWidth="0" w:num="2">
            <w:col w:w="4220" w:space="720"/>
            <w:col w:w="6300"/>
          </w:cols>
          <w:pgMar w:left="320" w:top="1165"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1"/>
          <w:szCs w:val="21"/>
          <w:b w:val="1"/>
          <w:bCs w:val="1"/>
          <w:color w:val="auto"/>
        </w:rPr>
        <w:t>GRANTEE ACKNOWLEDGES AND AGREES THAT NOTHING IN THIS AGREEMENT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5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ACCEPTS THIS AWARD SUBJECT TO ALL OF THE TERMS AND PROVISIONS OF THIS AGREEMENT. GRANTEE HAS REVIEWED THIS AGREEMENT IN THEIR ENTIRETY. GRANTEE AGREES TO ACCEPT AS BINDING, CONCLUSIVE AND FINAL ALL DECISIONS OR INTERPRETATIONS OF THE COMMITTEE UPON ANY QUESTIONS ARISING UNDER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type w:val="continuous"/>
        </w:sectPr>
      </w:pPr>
    </w:p>
    <w:bookmarkStart w:id="85" w:name="page86"/>
    <w:bookmarkEnd w:id="85"/>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INDUCEMENT AWARD AGREEMENT</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30 days following written notice thereof from the Company; (c) Grantee’s willful failure or refusal to follow directions from the Board (or direct reporting executive) and failure to cure such breach within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207" w:lineRule="exact"/>
        <w:rPr>
          <w:sz w:val="20"/>
          <w:szCs w:val="20"/>
          <w:color w:val="auto"/>
        </w:rPr>
      </w:pPr>
    </w:p>
    <w:p>
      <w:pPr>
        <w:jc w:val="both"/>
        <w:ind w:left="100"/>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will be deemed to have occurred upon the occurrence (after the date of this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of any of the following events:</w:t>
      </w:r>
    </w:p>
    <w:p>
      <w:pPr>
        <w:spacing w:after="0" w:line="194" w:lineRule="exact"/>
        <w:rPr>
          <w:sz w:val="20"/>
          <w:szCs w:val="20"/>
          <w:color w:val="auto"/>
        </w:rPr>
      </w:pPr>
    </w:p>
    <w:p>
      <w:pPr>
        <w:jc w:val="both"/>
        <w:ind w:left="1400" w:hanging="644"/>
        <w:spacing w:after="0" w:line="265" w:lineRule="auto"/>
        <w:tabs>
          <w:tab w:leader="none" w:pos="136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entity, or group (within the meaning of Section 13(d)(3) or 14(d)(2) of the Exchange Act) (a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is or becomes the beneficial owner (within the meaning of Rule 13d-3 promulgated under the Exchange Act),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(i) of Section (c) of this definition;</w:t>
      </w:r>
    </w:p>
    <w:p>
      <w:pPr>
        <w:spacing w:after="0" w:line="195" w:lineRule="exact"/>
        <w:rPr>
          <w:rFonts w:ascii="Times New Roman" w:cs="Times New Roman" w:eastAsia="Times New Roman" w:hAnsi="Times New Roman"/>
          <w:sz w:val="21"/>
          <w:szCs w:val="21"/>
          <w:color w:val="auto"/>
        </w:rPr>
      </w:pPr>
    </w:p>
    <w:p>
      <w:pPr>
        <w:ind w:left="1400" w:hanging="644"/>
        <w:spacing w:after="0" w:line="260" w:lineRule="auto"/>
        <w:tabs>
          <w:tab w:leader="none" w:pos="122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members of the Board (each, a “</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 then serving on the Board: individuals who, on the Agreement Date, constitute the Board and any new Director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Stockholders was approved or recommended by a vote of at least two-thirds (2/3) of the Directors then still in office who either were Directors on the Agreement Date or whose appointment, election or nomination for election was previously so approved or recommended (the “</w:t>
      </w:r>
      <w:r>
        <w:rPr>
          <w:rFonts w:ascii="Times New Roman" w:cs="Times New Roman" w:eastAsia="Times New Roman" w:hAnsi="Times New Roman"/>
          <w:sz w:val="21"/>
          <w:szCs w:val="21"/>
          <w:b w:val="1"/>
          <w:bCs w:val="1"/>
          <w:i w:val="1"/>
          <w:iCs w:val="1"/>
          <w:color w:val="auto"/>
        </w:rPr>
        <w:t>Incumbent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(an “</w:t>
      </w:r>
      <w:r>
        <w:rPr>
          <w:rFonts w:ascii="Times New Roman" w:cs="Times New Roman" w:eastAsia="Times New Roman" w:hAnsi="Times New Roman"/>
          <w:sz w:val="21"/>
          <w:szCs w:val="21"/>
          <w:b w:val="1"/>
          <w:bCs w:val="1"/>
          <w:i w:val="1"/>
          <w:iCs w:val="1"/>
          <w:color w:val="auto"/>
        </w:rPr>
        <w:t>Election Contest</w:t>
      </w:r>
      <w:r>
        <w:rPr>
          <w:rFonts w:ascii="Times New Roman" w:cs="Times New Roman" w:eastAsia="Times New Roman" w:hAnsi="Times New Roman"/>
          <w:sz w:val="21"/>
          <w:szCs w:val="21"/>
          <w:color w:val="auto"/>
        </w:rPr>
        <w:t>”) or other actual or threatened solicitation of proxies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161" w:right="339" w:bottom="1440" w:gutter="0" w:footer="0" w:header="0"/>
        </w:sectPr>
      </w:pPr>
    </w:p>
    <w:bookmarkStart w:id="86" w:name="page87"/>
    <w:bookmarkEnd w:id="86"/>
    <w:p>
      <w:pPr>
        <w:ind w:left="644"/>
        <w:spacing w:after="0" w:line="276" w:lineRule="auto"/>
        <w:rPr>
          <w:sz w:val="20"/>
          <w:szCs w:val="20"/>
          <w:color w:val="auto"/>
        </w:rPr>
      </w:pPr>
      <w:r>
        <w:rPr>
          <w:rFonts w:ascii="Times New Roman" w:cs="Times New Roman" w:eastAsia="Times New Roman" w:hAnsi="Times New Roman"/>
          <w:sz w:val="22"/>
          <w:szCs w:val="22"/>
          <w:color w:val="auto"/>
        </w:rPr>
        <w:t>consents by or on behalf of a Person other than the Board (a “</w:t>
      </w:r>
      <w:r>
        <w:rPr>
          <w:rFonts w:ascii="Times New Roman" w:cs="Times New Roman" w:eastAsia="Times New Roman" w:hAnsi="Times New Roman"/>
          <w:sz w:val="22"/>
          <w:szCs w:val="22"/>
          <w:b w:val="1"/>
          <w:bCs w:val="1"/>
          <w:i w:val="1"/>
          <w:iCs w:val="1"/>
          <w:color w:val="auto"/>
        </w:rPr>
        <w:t>Proxy Contest</w:t>
      </w:r>
      <w:r>
        <w:rPr>
          <w:rFonts w:ascii="Times New Roman" w:cs="Times New Roman" w:eastAsia="Times New Roman" w:hAnsi="Times New Roman"/>
          <w:sz w:val="22"/>
          <w:szCs w:val="22"/>
          <w:color w:val="auto"/>
        </w:rPr>
        <w:t>”), including by reason of any agreement intended to avoid or settle any Election Contest or Proxy Contest;</w:t>
      </w:r>
    </w:p>
    <w:p>
      <w:pPr>
        <w:spacing w:after="0" w:line="180" w:lineRule="exact"/>
        <w:rPr>
          <w:sz w:val="20"/>
          <w:szCs w:val="20"/>
          <w:color w:val="auto"/>
        </w:rPr>
      </w:pPr>
    </w:p>
    <w:p>
      <w:pPr>
        <w:ind w:left="644" w:hanging="644"/>
        <w:spacing w:after="0" w:line="248" w:lineRule="auto"/>
        <w:tabs>
          <w:tab w:leader="none" w:pos="46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wind-up, reorganization or restructuring of the Company with or into any other entity, or a similar event or series of such events, other than (i) any such event or series of events which results in (A)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(B)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(ii)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209" w:lineRule="exact"/>
        <w:rPr>
          <w:rFonts w:ascii="Times New Roman" w:cs="Times New Roman" w:eastAsia="Times New Roman" w:hAnsi="Times New Roman"/>
          <w:sz w:val="22"/>
          <w:szCs w:val="22"/>
          <w:color w:val="auto"/>
        </w:rPr>
      </w:pPr>
    </w:p>
    <w:p>
      <w:pPr>
        <w:ind w:left="644" w:hanging="644"/>
        <w:spacing w:after="0" w:line="248" w:lineRule="auto"/>
        <w:tabs>
          <w:tab w:leader="none" w:pos="51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(i) at least 51% of the combined voting power of the voting securities of which are owned by Stockholders in substantially the same proportions as their ownership of the Company immediately prior to such sale or disposition and (ii) the majority of whose board of directors immediately following such sale or disposition consists of individuals who comprise the Board immediately prior thereto.</w:t>
      </w:r>
    </w:p>
    <w:p>
      <w:pPr>
        <w:spacing w:after="0" w:line="216"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22"/>
          <w:szCs w:val="22"/>
          <w:color w:val="auto"/>
        </w:rPr>
        <w:t>Notwithstanding the foregoing, (i)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584"/>
          </w:cols>
          <w:pgMar w:left="976" w:top="1159" w:right="339" w:bottom="1440" w:gutter="0" w:footer="0" w:header="0"/>
        </w:sectPr>
      </w:pPr>
    </w:p>
    <w:bookmarkStart w:id="87" w:name="page88"/>
    <w:bookmarkEnd w:id="87"/>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entity which owns all or substantially all of the assets of the Company immediately following such transaction or series of transactions and (ii) if required to avoid accelerated taxation and/or tax penalties under Section 409A of the Code, a “Change in Control” shall be deemed to have occurred only if the transaction or event qualifies as a Section 409A Change in Control.</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Grantee is unable to engage in any substantial activity due to medically determinable physical or medical impairment expected to result in death or to last for a continuous period of not less than 12 months, or (b) if due to any medically determinable physical or mental impairment expected to result in death or last for a continuous period not less than 12 months, Grantee has received income replacement benefits for a period of not less than three months under an accident and health plan sponsored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64" w:lineRule="exact"/>
        <w:rPr>
          <w:sz w:val="20"/>
          <w:szCs w:val="20"/>
          <w:color w:val="auto"/>
        </w:rPr>
      </w:pPr>
    </w:p>
    <w:p>
      <w:pPr>
        <w:ind w:left="1300" w:right="40" w:hanging="644"/>
        <w:spacing w:after="0" w:line="257" w:lineRule="auto"/>
        <w:tabs>
          <w:tab w:leader="none" w:pos="11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99" w:lineRule="exact"/>
        <w:rPr>
          <w:rFonts w:ascii="Times New Roman" w:cs="Times New Roman" w:eastAsia="Times New Roman" w:hAnsi="Times New Roman"/>
          <w:sz w:val="22"/>
          <w:szCs w:val="22"/>
          <w:color w:val="auto"/>
        </w:rPr>
      </w:pPr>
    </w:p>
    <w:p>
      <w:pPr>
        <w:ind w:left="1300" w:right="780" w:hanging="644"/>
        <w:spacing w:after="0" w:line="271" w:lineRule="auto"/>
        <w:tabs>
          <w:tab w:leader="none" w:pos="110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98"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11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Grantee to another primary office more than 50 miles from the current office location, which reassignment is not otherwise approved by the Board.</w:t>
      </w:r>
    </w:p>
    <w:p>
      <w:pPr>
        <w:spacing w:after="0" w:line="18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Value per Share</w:t>
      </w:r>
      <w:r>
        <w:rPr>
          <w:rFonts w:ascii="Times New Roman" w:cs="Times New Roman" w:eastAsia="Times New Roman" w:hAnsi="Times New Roman"/>
          <w:sz w:val="22"/>
          <w:szCs w:val="22"/>
          <w:color w:val="auto"/>
        </w:rPr>
        <w:t>”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this Agreement and is in compliance with the fair market value pricing rules set forth in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65" w:right="339" w:bottom="1440" w:gutter="0" w:footer="0" w:header="0"/>
        </w:sectPr>
      </w:pPr>
    </w:p>
    <w:bookmarkStart w:id="88" w:name="page89"/>
    <w:bookmarkEnd w:id="88"/>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and its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other than:</w:t>
      </w:r>
    </w:p>
    <w:p>
      <w:pPr>
        <w:spacing w:after="0" w:line="153" w:lineRule="exact"/>
        <w:rPr>
          <w:sz w:val="20"/>
          <w:szCs w:val="20"/>
          <w:color w:val="auto"/>
        </w:rPr>
      </w:pPr>
    </w:p>
    <w:p>
      <w:pPr>
        <w:ind w:left="1160" w:hanging="504"/>
        <w:spacing w:after="0"/>
        <w:tabs>
          <w:tab w:leader="none" w:pos="11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3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 Change in Control</w:t>
      </w:r>
      <w:r>
        <w:rPr>
          <w:rFonts w:ascii="Times New Roman" w:cs="Times New Roman" w:eastAsia="Times New Roman" w:hAnsi="Times New Roman"/>
          <w:sz w:val="22"/>
          <w:szCs w:val="22"/>
          <w:color w:val="auto"/>
        </w:rPr>
        <w:t>” means a “change in the ownership of the corporation,” a “change in effective control of the corporation” or a “change in the ownership of a substantial portion of the assets of the corporation,” within the meaning of Section 409A(a)(2)(A)(v) of the Code.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16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INDUCEMENT 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Potential 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California Addendum (“</w:t>
      </w:r>
      <w:r>
        <w:rPr>
          <w:rFonts w:ascii="Times New Roman" w:cs="Times New Roman" w:eastAsia="Times New Roman" w:hAnsi="Times New Roman"/>
          <w:sz w:val="22"/>
          <w:szCs w:val="22"/>
          <w:b w:val="1"/>
          <w:bCs w:val="1"/>
          <w:i w:val="1"/>
          <w:iCs w:val="1"/>
          <w:color w:val="auto"/>
        </w:rPr>
        <w:t>Addendum</w:t>
      </w:r>
      <w:r>
        <w:rPr>
          <w:rFonts w:ascii="Times New Roman" w:cs="Times New Roman" w:eastAsia="Times New Roman" w:hAnsi="Times New Roman"/>
          <w:sz w:val="22"/>
          <w:szCs w:val="22"/>
          <w:color w:val="auto"/>
        </w:rPr>
        <w:t>”) includes additional terms and conditions that govern the Restricted Stock Units granted to you under the Restricted Stock Units Inducement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These additional terms and conditions modify and amend the Agreement, to the extent provided for in this Addendum, during any period in which Grantee is employed and/or resides in California, or for which the Company determines that the application of the terms and conditions of this Addendum is necessary or advisable in order to comply with applicable law. Certain capitalized terms used but not defined in this Addendum have the meanings set forth in the Agreement that relates to Grantee’s Award. By accepting the Award, Grantee agrees to be bound by the terms and conditions contained in the paragraphs below, the Agreement, and the terms of any other document that may apply to Grantee and the Award.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60"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580" w:firstLine="724"/>
        <w:spacing w:after="0" w:line="253" w:lineRule="auto"/>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88" w:lineRule="exact"/>
        <w:rPr>
          <w:rFonts w:ascii="Times New Roman" w:cs="Times New Roman" w:eastAsia="Times New Roman" w:hAnsi="Times New Roman"/>
          <w:sz w:val="22"/>
          <w:szCs w:val="22"/>
          <w:color w:val="auto"/>
        </w:rPr>
      </w:pPr>
    </w:p>
    <w:p>
      <w:pPr>
        <w:jc w:val="both"/>
        <w:ind w:left="500" w:firstLine="804"/>
        <w:spacing w:after="0" w:line="248" w:lineRule="auto"/>
        <w:tabs>
          <w:tab w:leader="none" w:pos="18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or except as required in the reasonable performance of Grantee’s duties as an employee of the Company. Grantee agrees to notify the Company as soon as reasonably possible after being subpoenaed or otherwise requested by any third party to disclose any Confidential Information, except as required in the reasonable performance of Grantee’s duties as an employee of the Company. This Section II.B.3 shall not result in the forfeiture of Restricted Stock Units or any clawback or recoupment of the Award for the disclosure of a trade secret if that disclosure (i) is made in confidence to a federal, state or local government official or to an attorney for the sole purpose of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161" w:right="339" w:bottom="1440" w:gutter="0" w:footer="0" w:header="0"/>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21"/>
          <w:szCs w:val="21"/>
          <w:color w:val="auto"/>
        </w:rPr>
        <w:t>or investigating a suspected violation of law or (ii)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21"/>
          <w:szCs w:val="21"/>
          <w:b w:val="1"/>
          <w:bCs w:val="1"/>
          <w:i w:val="1"/>
          <w:iCs w:val="1"/>
          <w:color w:val="auto"/>
        </w:rPr>
        <w:t>Arrangements</w:t>
      </w:r>
      <w:r>
        <w:rPr>
          <w:rFonts w:ascii="Times New Roman" w:cs="Times New Roman" w:eastAsia="Times New Roman" w:hAnsi="Times New Roman"/>
          <w:sz w:val="21"/>
          <w:szCs w:val="21"/>
          <w:color w:val="auto"/>
        </w:rPr>
        <w:t>”)): (x) nothing in the Arrangements or otherwise limits Grantee’s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Grantee from discussing the terms and conditions of their employment with coworkers or union representatives or exercising protected rights under Section 7 of the National Labor Relations Act, or prevents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Grantee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2" w:lineRule="exact"/>
        <w:rPr>
          <w:sz w:val="20"/>
          <w:szCs w:val="20"/>
          <w:color w:val="auto"/>
        </w:rPr>
      </w:pPr>
    </w:p>
    <w:p>
      <w:pPr>
        <w:jc w:val="both"/>
        <w:ind w:firstLine="804"/>
        <w:spacing w:after="0" w:line="249" w:lineRule="auto"/>
        <w:tabs>
          <w:tab w:leader="none" w:pos="131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40"/>
          </w:cols>
          <w:pgMar w:left="820" w:top="1165" w:right="339" w:bottom="1440" w:gutter="0" w:footer="0" w:header="0"/>
        </w:sectPr>
      </w:pPr>
    </w:p>
    <w:bookmarkStart w:id="91" w:name="page92"/>
    <w:bookmarkEnd w:id="91"/>
    <w:p>
      <w:pPr>
        <w:jc w:val="both"/>
        <w:ind w:left="500" w:firstLine="804"/>
        <w:spacing w:after="0" w:line="253" w:lineRule="auto"/>
        <w:tabs>
          <w:tab w:leader="none" w:pos="185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8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7" w:lineRule="exact"/>
        <w:rPr>
          <w:rFonts w:ascii="Times New Roman" w:cs="Times New Roman" w:eastAsia="Times New Roman" w:hAnsi="Times New Roman"/>
          <w:sz w:val="22"/>
          <w:szCs w:val="22"/>
          <w:color w:val="auto"/>
        </w:rPr>
      </w:pPr>
    </w:p>
    <w:p>
      <w:pPr>
        <w:jc w:val="both"/>
        <w:ind w:left="1300" w:firstLine="622"/>
        <w:spacing w:after="0" w:line="251" w:lineRule="auto"/>
        <w:tabs>
          <w:tab w:leader="none" w:pos="240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2"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7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1" w:lineRule="exact"/>
        <w:rPr>
          <w:sz w:val="20"/>
          <w:szCs w:val="20"/>
          <w:color w:val="auto"/>
        </w:rPr>
      </w:pPr>
    </w:p>
    <w:p>
      <w:pPr>
        <w:ind w:left="640" w:firstLine="644"/>
        <w:spacing w:after="0" w:line="287" w:lineRule="auto"/>
        <w:tabs>
          <w:tab w:leader="none" w:pos="188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II.B.21 is added to the Agreement to read as follows:</w:t>
      </w:r>
    </w:p>
    <w:p>
      <w:pPr>
        <w:spacing w:after="0" w:line="247" w:lineRule="exact"/>
        <w:rPr>
          <w:sz w:val="20"/>
          <w:szCs w:val="20"/>
          <w:color w:val="auto"/>
        </w:rPr>
      </w:pPr>
    </w:p>
    <w:p>
      <w:pPr>
        <w:jc w:val="both"/>
        <w:ind w:firstLine="59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61" w:right="339" w:bottom="1440" w:gutter="0" w:footer="0" w:header="0"/>
        </w:sectPr>
      </w:pPr>
    </w:p>
    <w:bookmarkStart w:id="92" w:name="page93"/>
    <w:bookmarkEnd w:id="92"/>
    <w:p>
      <w:pPr>
        <w:spacing w:after="0" w:line="271" w:lineRule="auto"/>
        <w:rPr>
          <w:sz w:val="20"/>
          <w:szCs w:val="20"/>
          <w:color w:val="auto"/>
        </w:rPr>
      </w:pPr>
      <w:r>
        <w:rPr>
          <w:rFonts w:ascii="Times New Roman" w:cs="Times New Roman" w:eastAsia="Times New Roman" w:hAnsi="Times New Roman"/>
          <w:sz w:val="22"/>
          <w:szCs w:val="22"/>
          <w:color w:val="auto"/>
        </w:rPr>
        <w:t>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20" w:top="1165"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Inducement Stock Options Award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412"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Inducement NQ Stock Option Agreement</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Five-Year (Ratable) Vest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INDUCEMENT AWARD AGREEMENT</w:t>
      </w:r>
    </w:p>
    <w:p>
      <w:pPr>
        <w:spacing w:after="0" w:line="2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TriMas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as approved by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the Company and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has granted to the individual listed below (“</w:t>
      </w:r>
      <w:r>
        <w:rPr>
          <w:rFonts w:ascii="Times New Roman" w:cs="Times New Roman" w:eastAsia="Times New Roman" w:hAnsi="Times New Roman"/>
          <w:sz w:val="22"/>
          <w:szCs w:val="22"/>
          <w:b w:val="1"/>
          <w:bCs w:val="1"/>
          <w:i w:val="1"/>
          <w:iCs w:val="1"/>
          <w:color w:val="auto"/>
        </w:rPr>
        <w:t>Optionee</w:t>
      </w:r>
      <w:r>
        <w:rPr>
          <w:rFonts w:ascii="Times New Roman" w:cs="Times New Roman" w:eastAsia="Times New Roman" w:hAnsi="Times New Roman"/>
          <w:sz w:val="22"/>
          <w:szCs w:val="22"/>
          <w:color w:val="auto"/>
        </w:rPr>
        <w:t>”) a non-qualified stock option award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of non-qualified stock options to purchase common stock, par value $0.01 per share, of the Company (or any security into which such common stock may be changed by reason of any transaction or event of the type referred to in Section II.A.6 of this Agreement)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subject to the terms and conditions this Non-Qualified Stock Option Inducement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This Award is intended to be an inducement that is material to Optionee, who is entering into employment with the Company, and to encourage stock ownership by Optionee, thereby aligning Optionee’s interests with those of the stockholders of the Company (the “</w:t>
      </w:r>
      <w:r>
        <w:rPr>
          <w:rFonts w:ascii="Times New Roman" w:cs="Times New Roman" w:eastAsia="Times New Roman" w:hAnsi="Times New Roman"/>
          <w:sz w:val="22"/>
          <w:szCs w:val="22"/>
          <w:b w:val="1"/>
          <w:bCs w:val="1"/>
          <w:i w:val="1"/>
          <w:iCs w:val="1"/>
          <w:color w:val="auto"/>
        </w:rPr>
        <w:t>Stockholders</w:t>
      </w:r>
      <w:r>
        <w:rPr>
          <w:rFonts w:ascii="Times New Roman" w:cs="Times New Roman" w:eastAsia="Times New Roman" w:hAnsi="Times New Roman"/>
          <w:sz w:val="22"/>
          <w:szCs w:val="22"/>
          <w:color w:val="auto"/>
        </w:rPr>
        <w:t>”). This Agreement is intended to comply with Rule 5635(c)(4) of the Nasdaq Stock Market Listing Rules, which provide an exception to the Nasdaq Stock Market Listing Rules’ stockholder approval requirement for the issuance of securities regarding grants to certain employees of the Company as an inducement material to such individuals entering into employment with the Company, and shall be administered and interpreted consistent with such intent.</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Award and Agreement are not made pursuant to the TriMas Corporation 2023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AWARD (“</w:t>
      </w:r>
      <w:r>
        <w:rPr>
          <w:rFonts w:ascii="Times New Roman" w:cs="Times New Roman" w:eastAsia="Times New Roman" w:hAnsi="Times New Roman"/>
          <w:sz w:val="22"/>
          <w:szCs w:val="22"/>
          <w:b w:val="1"/>
          <w:bCs w:val="1"/>
          <w:i w:val="1"/>
          <w:iCs w:val="1"/>
          <w:u w:val="single" w:color="auto"/>
          <w:color w:val="auto"/>
        </w:rPr>
        <w:t>NOTICE OF GRANT</w:t>
      </w:r>
      <w:r>
        <w:rPr>
          <w:rFonts w:ascii="Times New Roman" w:cs="Times New Roman" w:eastAsia="Times New Roman" w:hAnsi="Times New Roman"/>
          <w:sz w:val="22"/>
          <w:szCs w:val="22"/>
          <w:b w:val="1"/>
          <w:bCs w:val="1"/>
          <w:u w:val="single" w:color="auto"/>
          <w:color w:val="auto"/>
        </w:rPr>
        <w:t>”)</w:t>
      </w:r>
    </w:p>
    <w:p>
      <w:pPr>
        <w:spacing w:after="0" w:line="24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Optionee:</w:t>
      </w:r>
      <w:r>
        <w:rPr>
          <w:sz w:val="20"/>
          <w:szCs w:val="20"/>
          <w:color w:val="auto"/>
        </w:rPr>
        <w:tab/>
      </w:r>
      <w:r>
        <w:rPr>
          <w:rFonts w:ascii="Times New Roman" w:cs="Times New Roman" w:eastAsia="Times New Roman" w:hAnsi="Times New Roman"/>
          <w:sz w:val="21"/>
          <w:szCs w:val="21"/>
          <w:color w:val="auto"/>
        </w:rPr>
        <w:t>Thomas Snyder</w:t>
      </w:r>
    </w:p>
    <w:p>
      <w:pPr>
        <w:spacing w:after="0" w:line="152"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Date of Agreement:</w:t>
      </w:r>
      <w:r>
        <w:rPr>
          <w:sz w:val="20"/>
          <w:szCs w:val="20"/>
          <w:color w:val="auto"/>
        </w:rPr>
        <w:tab/>
      </w:r>
      <w:r>
        <w:rPr>
          <w:rFonts w:ascii="Times New Roman" w:cs="Times New Roman" w:eastAsia="Times New Roman" w:hAnsi="Times New Roman"/>
          <w:sz w:val="21"/>
          <w:szCs w:val="21"/>
          <w:color w:val="auto"/>
        </w:rPr>
        <w:t>As of __________</w:t>
      </w:r>
    </w:p>
    <w:p>
      <w:pPr>
        <w:spacing w:after="0" w:line="150"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Grant Date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color w:val="auto"/>
        </w:rPr>
        <w:t>__________</w:t>
      </w:r>
    </w:p>
    <w:p>
      <w:pPr>
        <w:spacing w:after="0" w:line="154"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b w:val="1"/>
          <w:bCs w:val="1"/>
          <w:color w:val="auto"/>
        </w:rPr>
        <w:t>Vesting Commencement Date:</w:t>
      </w:r>
      <w:r>
        <w:rPr>
          <w:sz w:val="20"/>
          <w:szCs w:val="20"/>
          <w:color w:val="auto"/>
        </w:rPr>
        <w:tab/>
      </w:r>
      <w:r>
        <w:rPr>
          <w:rFonts w:ascii="Times New Roman" w:cs="Times New Roman" w:eastAsia="Times New Roman" w:hAnsi="Times New Roman"/>
          <w:sz w:val="21"/>
          <w:szCs w:val="21"/>
          <w:color w:val="auto"/>
        </w:rPr>
        <w:t>Date of Grant</w:t>
      </w:r>
    </w:p>
    <w:p>
      <w:pPr>
        <w:spacing w:after="0" w:line="150"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2"/>
          <w:szCs w:val="22"/>
          <w:b w:val="1"/>
          <w:bCs w:val="1"/>
          <w:color w:val="auto"/>
        </w:rPr>
        <w:t>Exercise Price (“</w:t>
      </w:r>
      <w:r>
        <w:rPr>
          <w:rFonts w:ascii="Times New Roman" w:cs="Times New Roman" w:eastAsia="Times New Roman" w:hAnsi="Times New Roman"/>
          <w:sz w:val="22"/>
          <w:szCs w:val="22"/>
          <w:b w:val="1"/>
          <w:bCs w:val="1"/>
          <w:i w:val="1"/>
          <w:iCs w:val="1"/>
          <w:color w:val="auto"/>
        </w:rPr>
        <w:t>Option Price</w:t>
      </w:r>
      <w:r>
        <w:rPr>
          <w:rFonts w:ascii="Times New Roman" w:cs="Times New Roman" w:eastAsia="Times New Roman" w:hAnsi="Times New Roman"/>
          <w:sz w:val="22"/>
          <w:szCs w:val="22"/>
          <w:b w:val="1"/>
          <w:bCs w:val="1"/>
          <w:color w:val="auto"/>
        </w:rPr>
        <w:t>”) per share</w:t>
      </w:r>
      <w:r>
        <w:rPr>
          <w:sz w:val="20"/>
          <w:szCs w:val="20"/>
          <w:color w:val="auto"/>
        </w:rPr>
        <w:tab/>
      </w:r>
      <w:r>
        <w:rPr>
          <w:rFonts w:ascii="Times New Roman" w:cs="Times New Roman" w:eastAsia="Times New Roman" w:hAnsi="Times New Roman"/>
          <w:sz w:val="21"/>
          <w:szCs w:val="21"/>
          <w:color w:val="auto"/>
        </w:rPr>
        <w:t>See Table 1 for the Option Price of each</w:t>
      </w:r>
    </w:p>
    <w:p>
      <w:pPr>
        <w:spacing w:after="0" w:line="3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of Common Stock:</w:t>
      </w:r>
      <w:r>
        <w:rPr>
          <w:sz w:val="20"/>
          <w:szCs w:val="20"/>
          <w:color w:val="auto"/>
        </w:rPr>
        <w:tab/>
      </w:r>
      <w:r>
        <w:rPr>
          <w:rFonts w:ascii="Times New Roman" w:cs="Times New Roman" w:eastAsia="Times New Roman" w:hAnsi="Times New Roman"/>
          <w:sz w:val="21"/>
          <w:szCs w:val="21"/>
          <w:color w:val="auto"/>
        </w:rPr>
        <w:t>each Tranche (as defined below)</w:t>
      </w:r>
    </w:p>
    <w:p>
      <w:pPr>
        <w:spacing w:after="0" w:line="124"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22"/>
          <w:szCs w:val="22"/>
          <w:b w:val="1"/>
          <w:bCs w:val="1"/>
          <w:color w:val="auto"/>
        </w:rPr>
        <w:t>Total Number of Shares Subject to Option:</w:t>
      </w:r>
      <w:r>
        <w:rPr>
          <w:sz w:val="20"/>
          <w:szCs w:val="20"/>
          <w:color w:val="auto"/>
        </w:rPr>
        <w:tab/>
      </w:r>
      <w:r>
        <w:rPr>
          <w:rFonts w:ascii="Times New Roman" w:cs="Times New Roman" w:eastAsia="Times New Roman" w:hAnsi="Times New Roman"/>
          <w:sz w:val="21"/>
          <w:szCs w:val="21"/>
          <w:color w:val="auto"/>
        </w:rPr>
        <w:t>900,000</w:t>
      </w:r>
    </w:p>
    <w:p>
      <w:pPr>
        <w:spacing w:after="0" w:line="152"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2"/>
          <w:szCs w:val="22"/>
          <w:b w:val="1"/>
          <w:bCs w:val="1"/>
          <w:color w:val="auto"/>
        </w:rPr>
        <w:t>Term/Expiration Date:</w:t>
      </w:r>
      <w:r>
        <w:rPr>
          <w:sz w:val="20"/>
          <w:szCs w:val="20"/>
          <w:color w:val="auto"/>
        </w:rPr>
        <w:tab/>
      </w:r>
      <w:r>
        <w:rPr>
          <w:rFonts w:ascii="Times New Roman" w:cs="Times New Roman" w:eastAsia="Times New Roman" w:hAnsi="Times New Roman"/>
          <w:sz w:val="21"/>
          <w:szCs w:val="21"/>
          <w:color w:val="auto"/>
        </w:rPr>
        <w:t>__________</w:t>
      </w:r>
    </w:p>
    <w:p>
      <w:pPr>
        <w:spacing w:after="0" w:line="13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b w:val="1"/>
          <w:bCs w:val="1"/>
          <w:color w:val="auto"/>
        </w:rPr>
        <w:t>Type of Option:</w:t>
      </w:r>
      <w:r>
        <w:rPr>
          <w:sz w:val="20"/>
          <w:szCs w:val="20"/>
          <w:color w:val="auto"/>
        </w:rPr>
        <w:tab/>
      </w:r>
      <w:r>
        <w:rPr>
          <w:rFonts w:ascii="Times New Roman" w:cs="Times New Roman" w:eastAsia="Times New Roman" w:hAnsi="Times New Roman"/>
          <w:sz w:val="21"/>
          <w:szCs w:val="21"/>
          <w:color w:val="auto"/>
        </w:rPr>
        <w:t>Non-Qualified Option</w:t>
      </w:r>
    </w:p>
    <w:p>
      <w:pPr>
        <w:sectPr>
          <w:pgSz w:w="11900" w:h="16838" w:orient="portrait"/>
          <w:cols w:equalWidth="0" w:num="1">
            <w:col w:w="11240"/>
          </w:cols>
          <w:pgMar w:left="320" w:top="1404" w:right="339" w:bottom="1440" w:gutter="0" w:footer="0" w:header="0"/>
        </w:sectPr>
      </w:pPr>
    </w:p>
    <w:bookmarkStart w:id="95" w:name="page96"/>
    <w:bookmarkEnd w:id="95"/>
    <w:p>
      <w:pPr>
        <w:ind w:left="500" w:hanging="492"/>
        <w:spacing w:after="0"/>
        <w:tabs>
          <w:tab w:leader="none" w:pos="5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46" w:lineRule="exact"/>
        <w:rPr>
          <w:rFonts w:ascii="Times New Roman" w:cs="Times New Roman" w:eastAsia="Times New Roman" w:hAnsi="Times New Roman"/>
          <w:sz w:val="22"/>
          <w:szCs w:val="22"/>
          <w:b w:val="1"/>
          <w:bCs w:val="1"/>
          <w:color w:val="auto"/>
        </w:rPr>
      </w:pPr>
    </w:p>
    <w:p>
      <w:pPr>
        <w:jc w:val="both"/>
        <w:ind w:firstLine="648"/>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The Company has granted to Optionee an Option to purchase the number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set forth in the Notice of Grant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at the Option Prices set forth on Table 1. As detailed in Table 1, below, the Option is divided into five tranches (each a “</w:t>
      </w:r>
      <w:r>
        <w:rPr>
          <w:rFonts w:ascii="Times New Roman" w:cs="Times New Roman" w:eastAsia="Times New Roman" w:hAnsi="Times New Roman"/>
          <w:sz w:val="22"/>
          <w:szCs w:val="22"/>
          <w:b w:val="1"/>
          <w:bCs w:val="1"/>
          <w:i w:val="1"/>
          <w:iCs w:val="1"/>
          <w:color w:val="auto"/>
        </w:rPr>
        <w:t>Tranche</w:t>
      </w:r>
      <w:r>
        <w:rPr>
          <w:rFonts w:ascii="Times New Roman" w:cs="Times New Roman" w:eastAsia="Times New Roman" w:hAnsi="Times New Roman"/>
          <w:sz w:val="22"/>
          <w:szCs w:val="22"/>
          <w:color w:val="auto"/>
        </w:rPr>
        <w:t>”), with each Tranche representing a portion of the Option covering the number of Shares specified for the applicable Tranche in Table 1 with the Option Price specified for the applicable Tranche, which Option Price must at least exceed the Market Value per Share on the Date of Grant (as applicable, the “</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The Option is not intended to constitute an incentive stock option under Section 422 of the Internal Revenue Code of 1986, as amended, and the regulations thereunder, as such law and regulations may be amended from time to time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1 – Option Prices</w:t>
      </w:r>
    </w:p>
    <w:p>
      <w:pPr>
        <w:spacing w:after="0" w:line="136" w:lineRule="exact"/>
        <w:rPr>
          <w:sz w:val="20"/>
          <w:szCs w:val="20"/>
          <w:color w:val="auto"/>
        </w:rPr>
      </w:pPr>
    </w:p>
    <w:tbl>
      <w:tblPr>
        <w:tblLayout w:type="fixed"/>
        <w:tblInd w:w="870" w:type="dxa"/>
        <w:tblCellMar>
          <w:top w:w="0" w:type="dxa"/>
          <w:left w:w="0" w:type="dxa"/>
          <w:bottom w:w="0" w:type="dxa"/>
          <w:right w:w="0" w:type="dxa"/>
        </w:tblCellMar>
      </w:tblPr>
      <w:tr>
        <w:trPr>
          <w:trHeight w:val="297"/>
        </w:trPr>
        <w:tc>
          <w:tcPr>
            <w:tcW w:w="2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Tranche #</w:t>
            </w:r>
          </w:p>
        </w:tc>
        <w:tc>
          <w:tcPr>
            <w:tcW w:w="3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Number of Shares of Common Stock</w:t>
            </w:r>
          </w:p>
        </w:tc>
        <w:tc>
          <w:tcPr>
            <w:tcW w:w="2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Exercise Price</w:t>
            </w:r>
          </w:p>
        </w:tc>
        <w:tc>
          <w:tcPr>
            <w:tcW w:w="0" w:type="dxa"/>
            <w:vAlign w:val="bottom"/>
          </w:tcPr>
          <w:p>
            <w:pPr>
              <w:spacing w:after="0"/>
              <w:rPr>
                <w:sz w:val="1"/>
                <w:szCs w:val="1"/>
                <w:color w:val="auto"/>
              </w:rPr>
            </w:pPr>
          </w:p>
        </w:tc>
      </w:tr>
      <w:tr>
        <w:trPr>
          <w:trHeight w:val="134"/>
        </w:trPr>
        <w:tc>
          <w:tcPr>
            <w:tcW w:w="2600" w:type="dxa"/>
            <w:vAlign w:val="bottom"/>
            <w:tcBorders>
              <w:left w:val="single" w:sz="8" w:color="auto"/>
              <w:right w:val="single" w:sz="8" w:color="auto"/>
            </w:tcBorders>
            <w:vMerge w:val="continue"/>
          </w:tcPr>
          <w:p>
            <w:pPr>
              <w:spacing w:after="0"/>
              <w:rPr>
                <w:sz w:val="11"/>
                <w:szCs w:val="11"/>
                <w:color w:val="auto"/>
              </w:rPr>
            </w:pPr>
          </w:p>
        </w:tc>
        <w:tc>
          <w:tcPr>
            <w:tcW w:w="3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Subject to Tranche</w:t>
            </w:r>
          </w:p>
        </w:tc>
        <w:tc>
          <w:tcPr>
            <w:tcW w:w="21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bottom w:val="single" w:sz="8" w:color="auto"/>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$30.00</w:t>
            </w:r>
          </w:p>
        </w:tc>
        <w:tc>
          <w:tcPr>
            <w:tcW w:w="0" w:type="dxa"/>
            <w:vAlign w:val="bottom"/>
          </w:tcPr>
          <w:p>
            <w:pPr>
              <w:spacing w:after="0"/>
              <w:rPr>
                <w:sz w:val="1"/>
                <w:szCs w:val="1"/>
                <w:color w:val="auto"/>
              </w:rPr>
            </w:pPr>
          </w:p>
        </w:tc>
      </w:tr>
      <w:tr>
        <w:trPr>
          <w:trHeight w:val="30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$35.00</w:t>
            </w:r>
          </w:p>
        </w:tc>
        <w:tc>
          <w:tcPr>
            <w:tcW w:w="0" w:type="dxa"/>
            <w:vAlign w:val="bottom"/>
          </w:tcPr>
          <w:p>
            <w:pPr>
              <w:spacing w:after="0"/>
              <w:rPr>
                <w:sz w:val="1"/>
                <w:szCs w:val="1"/>
                <w:color w:val="auto"/>
              </w:rPr>
            </w:pPr>
          </w:p>
        </w:tc>
      </w:tr>
      <w:tr>
        <w:trPr>
          <w:trHeight w:val="30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$40.00</w:t>
            </w:r>
          </w:p>
        </w:tc>
        <w:tc>
          <w:tcPr>
            <w:tcW w:w="0" w:type="dxa"/>
            <w:vAlign w:val="bottom"/>
          </w:tcPr>
          <w:p>
            <w:pPr>
              <w:spacing w:after="0"/>
              <w:rPr>
                <w:sz w:val="1"/>
                <w:szCs w:val="1"/>
                <w:color w:val="auto"/>
              </w:rPr>
            </w:pPr>
          </w:p>
        </w:tc>
      </w:tr>
      <w:tr>
        <w:trPr>
          <w:trHeight w:val="30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$45.00</w:t>
            </w:r>
          </w:p>
        </w:tc>
        <w:tc>
          <w:tcPr>
            <w:tcW w:w="0" w:type="dxa"/>
            <w:vAlign w:val="bottom"/>
          </w:tcPr>
          <w:p>
            <w:pPr>
              <w:spacing w:after="0"/>
              <w:rPr>
                <w:sz w:val="1"/>
                <w:szCs w:val="1"/>
                <w:color w:val="auto"/>
              </w:rPr>
            </w:pPr>
          </w:p>
        </w:tc>
      </w:tr>
      <w:tr>
        <w:trPr>
          <w:trHeight w:val="30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5</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340" w:firstLine="316"/>
        <w:spacing w:after="0" w:line="258" w:lineRule="auto"/>
        <w:tabs>
          <w:tab w:leader="none" w:pos="1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each Tranche of the Option (unless terminated as hereinafter provided)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and become exercisable ratably in substantially equal installments on each of the first five anniversaries of the Date of Grant (each,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subject generally to Optionee’s commencement of employment with the Company and continued status as a Service Provider through each such Vesting Date.</w:t>
      </w:r>
    </w:p>
    <w:p>
      <w:pPr>
        <w:spacing w:after="0" w:line="194"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46"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59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effect the anticipatory termination provisions, if applicable, in Section II.A.1(b)(iv)(A)(2), any portion of the Option that has not vested in accordance with Section II.A.1(a) shall be cancelled and forfeited as of the date Optionee voluntarily terminates as a Service Provider (other than for Good Reason as provided below), if Optionee’s status as a Service Provider is involuntarily terminated by the Company or a Subsidiary for Cause, or if Optionee violates the provisions of Section II.B.3 below. Notwithstanding the foregoing, no termination of Optionee’s employment shall qualify as a termination for Cause unless (x) the Company notifies Optionee in writing of the Company’s intention to terminate Optionee’s employment for Cause within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61" w:right="339" w:bottom="1440" w:gutter="0" w:footer="0" w:header="0"/>
        </w:sectPr>
      </w:pPr>
    </w:p>
    <w:bookmarkStart w:id="96" w:name="page97"/>
    <w:bookmarkEnd w:id="96"/>
    <w:p>
      <w:pPr>
        <w:jc w:val="both"/>
        <w:ind w:left="180"/>
        <w:spacing w:after="0" w:line="251" w:lineRule="auto"/>
        <w:rPr>
          <w:sz w:val="20"/>
          <w:szCs w:val="20"/>
          <w:color w:val="auto"/>
        </w:rPr>
      </w:pPr>
      <w:r>
        <w:rPr>
          <w:rFonts w:ascii="Times New Roman" w:cs="Times New Roman" w:eastAsia="Times New Roman" w:hAnsi="Times New Roman"/>
          <w:sz w:val="22"/>
          <w:szCs w:val="22"/>
          <w:color w:val="auto"/>
        </w:rPr>
        <w:t>days following the initial existence of the occurrence or event giving rise to Cause, (y) Optionee fails to cure such occurrence or event within 30 days after receipt of such notice from the Company and (z) the Company terminates Optionee’s employment within 45 days after the expiration of Optionee’s cure period in subsection (y). In the event that Optionee’s service with the Company is terminated by the Company for Cause, the Option shall terminate without consideration with respect to all Common Stock subject to the Option (whether vested or unvested) as of the start of business on the date of such termination.</w:t>
      </w:r>
    </w:p>
    <w:p>
      <w:pPr>
        <w:spacing w:after="0" w:line="177" w:lineRule="exact"/>
        <w:rPr>
          <w:sz w:val="20"/>
          <w:szCs w:val="20"/>
          <w:color w:val="auto"/>
        </w:rPr>
      </w:pPr>
    </w:p>
    <w:p>
      <w:pPr>
        <w:jc w:val="both"/>
        <w:ind w:left="180" w:firstLine="652"/>
        <w:spacing w:after="0" w:line="249" w:lineRule="auto"/>
        <w:tabs>
          <w:tab w:leader="none" w:pos="130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Optionee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Optionee’s death or Disability (a “</w:t>
      </w:r>
      <w:r>
        <w:rPr>
          <w:rFonts w:ascii="Times New Roman" w:cs="Times New Roman" w:eastAsia="Times New Roman" w:hAnsi="Times New Roman"/>
          <w:sz w:val="22"/>
          <w:szCs w:val="22"/>
          <w:b w:val="1"/>
          <w:bCs w:val="1"/>
          <w:i w:val="1"/>
          <w:iCs w:val="1"/>
          <w:color w:val="auto"/>
        </w:rPr>
        <w:t>Death/Disability Termination</w:t>
      </w:r>
      <w:r>
        <w:rPr>
          <w:rFonts w:ascii="Times New Roman" w:cs="Times New Roman" w:eastAsia="Times New Roman" w:hAnsi="Times New Roman"/>
          <w:sz w:val="22"/>
          <w:szCs w:val="22"/>
          <w:color w:val="auto"/>
        </w:rPr>
        <w:t>”), Optionee shall fully vest in an additional portion of each Tranche of the Option equal to the Pro-Rata Portion for such Tranche as of the date of such Death/Disability Termination. For purposes of this Section II.A.1(b)(ii), with respect to each such Tranche, the “</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will consist of the number of shares of Common Stock (rounded to the nearest whole share) subject to such Tranche equal to the product of (A) the quotient of (1) the number of shares of Common Stock subject to such Tranche, divided by (2) five, multiplied by (B) a fraction (not greater than one) (1) the numerator of which is the number of days from the Vesting Date immediately prior to the Death/Disability Termination until the date of such Death/Disability Termination, and (2) the denominator of which is the total number of days from the Vesting Date immediately prior to the Death/Disability Termination until the Vesting Date immediately subsequent to such Death/Disability Termination.</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60" w:lineRule="auto"/>
        <w:tabs>
          <w:tab w:leader="none" w:pos="142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Qualifying Termination Prior to a Change in Control</w:t>
      </w:r>
      <w:r>
        <w:rPr>
          <w:rFonts w:ascii="Times New Roman" w:cs="Times New Roman" w:eastAsia="Times New Roman" w:hAnsi="Times New Roman"/>
          <w:sz w:val="21"/>
          <w:szCs w:val="21"/>
          <w:color w:val="auto"/>
        </w:rPr>
        <w:t>. Subject, if applicable, to the anticipatory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provisions in Section II.A.1(b)(iv)(A)(2), if Optionee has a Qualifying Termination that occurs prior to (or more than two years after) a Change in Control and before the final Vesting Date (a “</w:t>
      </w:r>
      <w:r>
        <w:rPr>
          <w:rFonts w:ascii="Times New Roman" w:cs="Times New Roman" w:eastAsia="Times New Roman" w:hAnsi="Times New Roman"/>
          <w:sz w:val="21"/>
          <w:szCs w:val="21"/>
          <w:b w:val="1"/>
          <w:bCs w:val="1"/>
          <w:i w:val="1"/>
          <w:iCs w:val="1"/>
          <w:color w:val="auto"/>
        </w:rPr>
        <w:t>Pre-CIC Qualifying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Termination</w:t>
      </w:r>
      <w:r>
        <w:rPr>
          <w:rFonts w:ascii="Times New Roman" w:cs="Times New Roman" w:eastAsia="Times New Roman" w:hAnsi="Times New Roman"/>
          <w:sz w:val="21"/>
          <w:szCs w:val="21"/>
          <w:color w:val="auto"/>
        </w:rPr>
        <w:t>”), Optionee shall fully vest in an additional portion of each Tranche of the Option equal to the Pro-Rata Portion for such Tranche as of the date of such Pre-CIC Qualifying Termination. For purposes of this Section II.A.1(b)(iii), with respect to each such Tranche, the “</w:t>
      </w:r>
      <w:r>
        <w:rPr>
          <w:rFonts w:ascii="Times New Roman" w:cs="Times New Roman" w:eastAsia="Times New Roman" w:hAnsi="Times New Roman"/>
          <w:sz w:val="21"/>
          <w:szCs w:val="21"/>
          <w:b w:val="1"/>
          <w:bCs w:val="1"/>
          <w:i w:val="1"/>
          <w:iCs w:val="1"/>
          <w:color w:val="auto"/>
        </w:rPr>
        <w:t>Pro-Rata Portion</w:t>
      </w:r>
      <w:r>
        <w:rPr>
          <w:rFonts w:ascii="Times New Roman" w:cs="Times New Roman" w:eastAsia="Times New Roman" w:hAnsi="Times New Roman"/>
          <w:sz w:val="21"/>
          <w:szCs w:val="21"/>
          <w:color w:val="auto"/>
        </w:rPr>
        <w:t>” will consist of the number of shares of Common Stock (rounded to the nearest whole share) subject to such Tranche equal to the product of (A) the quotient of (1) the number of shares of Common Stock subject to such Tranche, divided by (2) five, multiplied by</w:t>
      </w:r>
    </w:p>
    <w:p>
      <w:pPr>
        <w:jc w:val="both"/>
        <w:ind w:left="180" w:firstLine="4"/>
        <w:spacing w:after="0" w:line="247" w:lineRule="auto"/>
        <w:tabs>
          <w:tab w:leader="none" w:pos="55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fraction (not greater than one) (1) the numerator of which is the number of days from the Vesting Date immediately prior to the Pre-CIC Qualifying Termination until the date of such Pre-CIC Qualifying Termination, and (2) the denominator of which is the total number of days from the Vesting Date immediately prior to the Pre-CIC Qualifying Termination until the Vesting Date immediately subsequent to such Pre-CIC Qualifying Termination.</w:t>
      </w:r>
    </w:p>
    <w:p>
      <w:pPr>
        <w:spacing w:after="0" w:line="182" w:lineRule="exact"/>
        <w:rPr>
          <w:rFonts w:ascii="Times New Roman" w:cs="Times New Roman" w:eastAsia="Times New Roman" w:hAnsi="Times New Roman"/>
          <w:sz w:val="22"/>
          <w:szCs w:val="22"/>
          <w:color w:val="auto"/>
        </w:rPr>
      </w:pPr>
    </w:p>
    <w:p>
      <w:pPr>
        <w:ind w:left="180" w:firstLine="652"/>
        <w:spacing w:after="0" w:line="287" w:lineRule="auto"/>
        <w:tabs>
          <w:tab w:leader="none" w:pos="145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Notwithstanding Section II.A.1(a), in the event of a Change in Control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occurs prior to the final Vesting Date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20"/>
          </w:cols>
          <w:pgMar w:left="1440" w:top="1165" w:right="339" w:bottom="1440" w:gutter="0" w:footer="0" w:header="0"/>
        </w:sectPr>
      </w:pPr>
    </w:p>
    <w:bookmarkStart w:id="97" w:name="page98"/>
    <w:bookmarkEnd w:id="97"/>
    <w:p>
      <w:pPr>
        <w:ind w:left="180"/>
        <w:spacing w:after="0" w:line="271" w:lineRule="auto"/>
        <w:rPr>
          <w:sz w:val="20"/>
          <w:szCs w:val="20"/>
          <w:color w:val="auto"/>
        </w:rPr>
      </w:pPr>
      <w:r>
        <w:rPr>
          <w:rFonts w:ascii="Times New Roman" w:cs="Times New Roman" w:eastAsia="Times New Roman" w:hAnsi="Times New Roman"/>
          <w:sz w:val="22"/>
          <w:szCs w:val="22"/>
          <w:color w:val="auto"/>
        </w:rPr>
        <w:t>forfeiture of the Option subject to this Award, such unvested Option shall vest and become exercisable in accordance with this Section II.A.1(b)(iv):</w:t>
      </w:r>
    </w:p>
    <w:p>
      <w:pPr>
        <w:spacing w:after="0" w:line="158" w:lineRule="exact"/>
        <w:rPr>
          <w:sz w:val="20"/>
          <w:szCs w:val="20"/>
          <w:color w:val="auto"/>
        </w:rPr>
      </w:pPr>
    </w:p>
    <w:p>
      <w:pPr>
        <w:jc w:val="both"/>
        <w:ind w:left="840" w:firstLine="640"/>
        <w:spacing w:after="0" w:line="250" w:lineRule="auto"/>
        <w:tabs>
          <w:tab w:leader="none" w:pos="209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before the vesting or forfeiture of all of the Option subject to this Award, a Change in Control occurs and (1) Optionee is still a Service Provider or (2) Optionee has experienced a Qualifying Termination within ninety (90) days prior to the Change in Control, then the Option will vest and become exercisable in its entirety (except, in the case where Optionee is still a Service Provider, to the extent that a Replacement Award is provided to Optionee in accordance with Section II.A.1(b)(iv)(B) to continue, replace or assume the Option covered by this Agreement (the “</w:t>
      </w:r>
      <w:r>
        <w:rPr>
          <w:rFonts w:ascii="Times New Roman" w:cs="Times New Roman" w:eastAsia="Times New Roman" w:hAnsi="Times New Roman"/>
          <w:sz w:val="22"/>
          <w:szCs w:val="22"/>
          <w:b w:val="1"/>
          <w:bCs w:val="1"/>
          <w:i w:val="1"/>
          <w:iCs w:val="1"/>
          <w:color w:val="auto"/>
        </w:rPr>
        <w:t>Replaced Award</w:t>
      </w:r>
      <w:r>
        <w:rPr>
          <w:rFonts w:ascii="Times New Roman" w:cs="Times New Roman" w:eastAsia="Times New Roman" w:hAnsi="Times New Roman"/>
          <w:sz w:val="22"/>
          <w:szCs w:val="22"/>
          <w:color w:val="auto"/>
        </w:rPr>
        <w:t>”)) immediately prior to the Change in Control. Any portion of the Option that vests in accordance with this Section II.A.1(b)(iv) will remain exercisable and will terminate as provided for in Section II.A.2 of this Agreement.</w:t>
      </w:r>
    </w:p>
    <w:p>
      <w:pPr>
        <w:spacing w:after="0" w:line="173" w:lineRule="exact"/>
        <w:rPr>
          <w:rFonts w:ascii="Times New Roman" w:cs="Times New Roman" w:eastAsia="Times New Roman" w:hAnsi="Times New Roman"/>
          <w:sz w:val="22"/>
          <w:szCs w:val="22"/>
          <w:color w:val="auto"/>
        </w:rPr>
      </w:pPr>
    </w:p>
    <w:p>
      <w:pPr>
        <w:jc w:val="both"/>
        <w:ind w:left="840" w:firstLine="640"/>
        <w:spacing w:after="0" w:line="260" w:lineRule="auto"/>
        <w:tabs>
          <w:tab w:leader="none" w:pos="207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w:t>
      </w:r>
      <w:r>
        <w:rPr>
          <w:rFonts w:ascii="Times New Roman" w:cs="Times New Roman" w:eastAsia="Times New Roman" w:hAnsi="Times New Roman"/>
          <w:sz w:val="21"/>
          <w:szCs w:val="21"/>
          <w:b w:val="1"/>
          <w:bCs w:val="1"/>
          <w:i w:val="1"/>
          <w:iCs w:val="1"/>
          <w:color w:val="auto"/>
        </w:rPr>
        <w:t>Replacement Award</w:t>
      </w:r>
      <w:r>
        <w:rPr>
          <w:rFonts w:ascii="Times New Roman" w:cs="Times New Roman" w:eastAsia="Times New Roman" w:hAnsi="Times New Roman"/>
          <w:sz w:val="21"/>
          <w:szCs w:val="21"/>
          <w:color w:val="auto"/>
        </w:rPr>
        <w:t>” means an award (1) of the same type (e.g., time-based stock options)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(4) if Optionee holding the Replaced Award is subject to U.S. federal income tax under the Code, the tax consequences of which to such Optionee under the Code are not less favorable to such Optionee than the tax consequences of the Replaced Award, and (5) the other terms and conditions of which are not less favorable to Optionee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II.A.1(b)(iv)(B) are satisfied will be made by the Committee, as constituted immediately before the Change in Control, in its sole discretion.</w:t>
      </w:r>
    </w:p>
    <w:p>
      <w:pPr>
        <w:spacing w:after="0" w:line="185" w:lineRule="exact"/>
        <w:rPr>
          <w:rFonts w:ascii="Times New Roman" w:cs="Times New Roman" w:eastAsia="Times New Roman" w:hAnsi="Times New Roman"/>
          <w:sz w:val="21"/>
          <w:szCs w:val="21"/>
          <w:color w:val="auto"/>
        </w:rPr>
      </w:pPr>
    </w:p>
    <w:p>
      <w:pPr>
        <w:jc w:val="both"/>
        <w:ind w:left="840" w:firstLine="640"/>
        <w:spacing w:after="0" w:line="250" w:lineRule="auto"/>
        <w:tabs>
          <w:tab w:leader="none" w:pos="19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Optionee experiences a Qualifying Termination with the Company and its Subsidiaries (or any of their successors) (as applicable, the “</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color w:val="auto"/>
        </w:rPr>
        <w:t>”), within a period of two years after the Change in Control and during the remaining vesting period for the Replacement Award, the Replacement Award shall become fully vested, exercisable and nonforfeitable with respect to the time-based options covered by such Replacement Award upon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20"/>
          </w:cols>
          <w:pgMar w:left="1440" w:top="1165" w:right="339" w:bottom="1440" w:gutter="0" w:footer="0" w:header="0"/>
        </w:sectPr>
      </w:pPr>
    </w:p>
    <w:bookmarkStart w:id="98" w:name="page99"/>
    <w:bookmarkEnd w:id="98"/>
    <w:p>
      <w:pPr>
        <w:jc w:val="both"/>
        <w:ind w:left="1960" w:firstLine="640"/>
        <w:spacing w:after="0" w:line="252" w:lineRule="auto"/>
        <w:tabs>
          <w:tab w:leader="none" w:pos="326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Option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Except as necessary to effect the anticipatory termination provisions, if applicable, in Section II.A.1(b)(iv)(A)(2), any portion of the Option that does not vest in accordance with Section II.A.1(a) or this Section II.A.1(b) shall be canceled and forfeited as of the date Optionee ceases to be a Service Provider</w:t>
      </w:r>
    </w:p>
    <w:p>
      <w:pPr>
        <w:spacing w:after="0" w:line="169" w:lineRule="exact"/>
        <w:rPr>
          <w:sz w:val="20"/>
          <w:szCs w:val="20"/>
          <w:color w:val="auto"/>
        </w:rPr>
      </w:pPr>
    </w:p>
    <w:p>
      <w:pPr>
        <w:ind w:left="1740" w:hanging="436"/>
        <w:spacing w:after="0"/>
        <w:tabs>
          <w:tab w:leader="none" w:pos="17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Option shall terminate on the earliest of the following dates:</w:t>
      </w:r>
    </w:p>
    <w:p>
      <w:pPr>
        <w:spacing w:after="0" w:line="32" w:lineRule="exact"/>
        <w:rPr>
          <w:sz w:val="20"/>
          <w:szCs w:val="20"/>
          <w:color w:val="auto"/>
        </w:rPr>
      </w:pPr>
    </w:p>
    <w:p>
      <w:pPr>
        <w:jc w:val="both"/>
        <w:ind w:left="660" w:firstLine="644"/>
        <w:spacing w:after="0" w:line="252" w:lineRule="auto"/>
        <w:tabs>
          <w:tab w:leader="none" w:pos="18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Ninety days after the termination of Optionee’s status as a Service Provider, unless such termination (i) is a result of Optionee’s death or Disability as described in Section II.A.2(b) or II.A.2(c), or (ii) by the Company or a Subsidiary for Cause;</w:t>
      </w:r>
    </w:p>
    <w:p>
      <w:pPr>
        <w:spacing w:after="0" w:line="205"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year after Optionee’s death, if such death occurs while Optionee is a Service Provider;</w:t>
      </w:r>
    </w:p>
    <w:p>
      <w:pPr>
        <w:spacing w:after="0" w:line="24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year after Optionee’s service with the Company is terminated due to Optionee’s Disability;</w:t>
      </w:r>
    </w:p>
    <w:p>
      <w:pPr>
        <w:spacing w:after="0" w:line="24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Optionee’s service with the Company is terminated for Cause; or</w:t>
      </w:r>
    </w:p>
    <w:p>
      <w:pPr>
        <w:spacing w:after="0" w:line="24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 provided in the Notice of Grant.</w:t>
      </w:r>
    </w:p>
    <w:p>
      <w:pPr>
        <w:spacing w:after="0" w:line="256" w:lineRule="exact"/>
        <w:rPr>
          <w:sz w:val="20"/>
          <w:szCs w:val="20"/>
          <w:color w:val="auto"/>
        </w:rPr>
      </w:pPr>
    </w:p>
    <w:p>
      <w:pPr>
        <w:ind w:left="1740" w:hanging="436"/>
        <w:spacing w:after="0"/>
        <w:tabs>
          <w:tab w:leader="none" w:pos="17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and Payment of Option</w:t>
      </w:r>
      <w:r>
        <w:rPr>
          <w:rFonts w:ascii="Times New Roman" w:cs="Times New Roman" w:eastAsia="Times New Roman" w:hAnsi="Times New Roman"/>
          <w:sz w:val="22"/>
          <w:szCs w:val="22"/>
          <w:color w:val="auto"/>
        </w:rPr>
        <w:t>. The Option is exercisable as follows:</w:t>
      </w:r>
    </w:p>
    <w:p>
      <w:pPr>
        <w:spacing w:after="0" w:line="251" w:lineRule="exact"/>
        <w:rPr>
          <w:sz w:val="20"/>
          <w:szCs w:val="20"/>
          <w:color w:val="auto"/>
        </w:rPr>
      </w:pPr>
    </w:p>
    <w:p>
      <w:pPr>
        <w:jc w:val="both"/>
        <w:ind w:left="580" w:firstLine="724"/>
        <w:spacing w:after="0" w:line="247" w:lineRule="auto"/>
        <w:tabs>
          <w:tab w:leader="none" w:pos="19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Option shall be exercisable by Optionee (or by Optionee’s guardian, legal representative, or estate, as applicable) cumulatively according to the vesting schedule referenced in the Notice of Grant and shall be exercisable in whole or in part from time to time by written notice (substantially in a form acceptable to the Company) (“</w:t>
      </w:r>
      <w:r>
        <w:rPr>
          <w:rFonts w:ascii="Times New Roman" w:cs="Times New Roman" w:eastAsia="Times New Roman" w:hAnsi="Times New Roman"/>
          <w:sz w:val="22"/>
          <w:szCs w:val="22"/>
          <w:b w:val="1"/>
          <w:bCs w:val="1"/>
          <w:i w:val="1"/>
          <w:iCs w:val="1"/>
          <w:color w:val="auto"/>
        </w:rPr>
        <w:t>Exercise Notice</w:t>
      </w:r>
      <w:r>
        <w:rPr>
          <w:rFonts w:ascii="Times New Roman" w:cs="Times New Roman" w:eastAsia="Times New Roman" w:hAnsi="Times New Roman"/>
          <w:sz w:val="22"/>
          <w:szCs w:val="22"/>
          <w:color w:val="auto"/>
        </w:rPr>
        <w:t xml:space="preserve">”). The Exercise Notice must state the number of Shares for which the Option is being exercised and contain such other representations and agreements with respect to such Shares as may be required by the Company. The Exercise Notice must be accompanied by payment of the Exercise Price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payment of any applicable withholding taxes. The Option shall be deemed to be exercised upon receipt by the Company of such Exercise Notice accompanied by the Exercise Price and payment of any applicable withholding taxes. For the avoidance of doubt, the Option may not be exercised for a fraction of a share of Common Stock and may be exercised at any time prior to the termination of the Option set forth in Section II.A.2.</w:t>
      </w:r>
    </w:p>
    <w:p>
      <w:pPr>
        <w:spacing w:after="0" w:line="231" w:lineRule="exact"/>
        <w:rPr>
          <w:rFonts w:ascii="Times New Roman" w:cs="Times New Roman" w:eastAsia="Times New Roman" w:hAnsi="Times New Roman"/>
          <w:sz w:val="22"/>
          <w:szCs w:val="22"/>
          <w:color w:val="auto"/>
        </w:rPr>
      </w:pPr>
    </w:p>
    <w:p>
      <w:pPr>
        <w:ind w:left="580" w:right="20" w:firstLine="724"/>
        <w:spacing w:after="0" w:line="271" w:lineRule="auto"/>
        <w:tabs>
          <w:tab w:leader="none" w:pos="183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Payment of the Exercise Price by Optionee shall be (i) in cash, by check acceptable to the Company or by wire transfer of immediately available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65" w:right="339" w:bottom="1440" w:gutter="0" w:footer="0" w:header="0"/>
        </w:sectPr>
      </w:pPr>
    </w:p>
    <w:bookmarkStart w:id="99" w:name="page100"/>
    <w:bookmarkEnd w:id="99"/>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funds, (ii) by the actual or constructive transfer to the Company of shares of Common Stock owned by the Optionee having a value at the time of exercise equal to the total Exercise Price, (iii) through a net exercise method substantially similar to that described in Section 4 of the Plan, or (iv) by any combination of the foregoing methods of payment. Optionee shall be solely responsible for any income or other tax consequences imposed on Optionee from any payment for shares of Common Stock with Optionee’s Common Stock.</w:t>
      </w:r>
    </w:p>
    <w:p>
      <w:pPr>
        <w:spacing w:after="0" w:line="206" w:lineRule="exact"/>
        <w:rPr>
          <w:sz w:val="20"/>
          <w:szCs w:val="20"/>
          <w:color w:val="auto"/>
        </w:rPr>
      </w:pPr>
    </w:p>
    <w:p>
      <w:pPr>
        <w:jc w:val="both"/>
        <w:ind w:left="580" w:firstLine="724"/>
        <w:spacing w:after="0" w:line="248" w:lineRule="auto"/>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Transfer Records</w:t>
      </w:r>
      <w:r>
        <w:rPr>
          <w:rFonts w:ascii="Times New Roman" w:cs="Times New Roman" w:eastAsia="Times New Roman" w:hAnsi="Times New Roman"/>
          <w:sz w:val="22"/>
          <w:szCs w:val="22"/>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Common Stock purchased, and the Company shall deliver to Optionee book entry ownership or one or more duly issued stock certificates evidencing such ownership. All requisite original issue or transfer documentary stamp taxes shall be paid by the Company. Shares of Common Stock purchased pursuant to exercise hereunder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212" w:lineRule="exact"/>
        <w:rPr>
          <w:rFonts w:ascii="Times New Roman" w:cs="Times New Roman" w:eastAsia="Times New Roman" w:hAnsi="Times New Roman"/>
          <w:sz w:val="22"/>
          <w:szCs w:val="22"/>
          <w:color w:val="auto"/>
        </w:rPr>
      </w:pPr>
    </w:p>
    <w:p>
      <w:pPr>
        <w:jc w:val="both"/>
        <w:ind w:left="580" w:firstLine="724"/>
        <w:spacing w:after="0" w:line="256" w:lineRule="auto"/>
        <w:tabs>
          <w:tab w:leader="none" w:pos="188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Exercise</w:t>
      </w:r>
      <w:r>
        <w:rPr>
          <w:rFonts w:ascii="Times New Roman" w:cs="Times New Roman" w:eastAsia="Times New Roman" w:hAnsi="Times New Roman"/>
          <w:sz w:val="22"/>
          <w:szCs w:val="22"/>
          <w:color w:val="auto"/>
        </w:rPr>
        <w:t>. If the issuance of Common Stock upon exercise or if the method of payment for such Shares would constitute a violation of any applicable federal or state securities or other law or regulation, the Option may not be exercised. The Company may require Optionee to make any representation and warranty to the Company as may be required by any applicable law or regulation before allowing the Option to be exercised.</w:t>
      </w:r>
    </w:p>
    <w:p>
      <w:pPr>
        <w:spacing w:after="0" w:line="199" w:lineRule="exact"/>
        <w:rPr>
          <w:sz w:val="20"/>
          <w:szCs w:val="20"/>
          <w:color w:val="auto"/>
        </w:rPr>
      </w:pPr>
    </w:p>
    <w:p>
      <w:pPr>
        <w:jc w:val="both"/>
        <w:ind w:firstLine="1304"/>
        <w:spacing w:after="0" w:line="265" w:lineRule="auto"/>
        <w:tabs>
          <w:tab w:leader="none" w:pos="189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Shares</w:t>
      </w:r>
      <w:r>
        <w:rPr>
          <w:rFonts w:ascii="Times New Roman" w:cs="Times New Roman" w:eastAsia="Times New Roman" w:hAnsi="Times New Roman"/>
          <w:sz w:val="22"/>
          <w:szCs w:val="22"/>
          <w:color w:val="auto"/>
        </w:rPr>
        <w:t>. Optionee hereby agrees that any and all Common Stock purchased upon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the Option shall be subject to the terms and conditions set forth in the Exercise Notice, and Optionee further agrees to be bound by the terms of such Exercise Notice with respect to all such Common Stock.</w:t>
      </w:r>
    </w:p>
    <w:p>
      <w:pPr>
        <w:spacing w:after="0" w:line="188" w:lineRule="exact"/>
        <w:rPr>
          <w:rFonts w:ascii="Times New Roman" w:cs="Times New Roman" w:eastAsia="Times New Roman" w:hAnsi="Times New Roman"/>
          <w:sz w:val="22"/>
          <w:szCs w:val="22"/>
          <w:color w:val="auto"/>
        </w:rPr>
      </w:pPr>
    </w:p>
    <w:p>
      <w:pPr>
        <w:ind w:firstLine="1304"/>
        <w:spacing w:after="0" w:line="275" w:lineRule="auto"/>
        <w:tabs>
          <w:tab w:leader="none" w:pos="15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Dividend Equivalent Rights</w:t>
      </w:r>
      <w:r>
        <w:rPr>
          <w:rFonts w:ascii="Times New Roman" w:cs="Times New Roman" w:eastAsia="Times New Roman" w:hAnsi="Times New Roman"/>
          <w:sz w:val="22"/>
          <w:szCs w:val="22"/>
          <w:color w:val="auto"/>
        </w:rPr>
        <w:t>. Optionee shall not be entitled to dividend equivalents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or the Common Stock underlying the Option.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6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Committee shall make or provide for such adjustments in the number of and kind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covered by the Option, in the Option Prices provided for the Option, and in the other Award terms as the Committee, in its sole discretion, exercised in good faith, determines is equitably required to prevent dilution or enlargement of the rights of Optionee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the Option such alternative consideration (including cash), if any, as it, in good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5" w:right="339" w:bottom="1440" w:gutter="0" w:footer="0" w:header="0"/>
        </w:sectPr>
      </w:pPr>
    </w:p>
    <w:bookmarkStart w:id="100" w:name="page101"/>
    <w:bookmarkEnd w:id="100"/>
    <w:p>
      <w:pPr>
        <w:jc w:val="both"/>
        <w:spacing w:after="0" w:line="252" w:lineRule="auto"/>
        <w:rPr>
          <w:sz w:val="20"/>
          <w:szCs w:val="20"/>
          <w:color w:val="auto"/>
        </w:rPr>
      </w:pPr>
      <w:r>
        <w:rPr>
          <w:rFonts w:ascii="Times New Roman" w:cs="Times New Roman" w:eastAsia="Times New Roman" w:hAnsi="Times New Roman"/>
          <w:sz w:val="22"/>
          <w:szCs w:val="22"/>
          <w:color w:val="auto"/>
        </w:rPr>
        <w:t>faith, may determine to be equitable in the circumstances and shall require in connection therewith the surrender of the Award so replaced in a manner that complies with Section 409A of the Code. In addition, to the extent that an Option Price for the Option is greater than the consideration offered in connection with any such transaction or event or Change in Control, the Committee may in its discretion elect to cancel such applicable portion of the Option without any payment to the Optionee.</w:t>
      </w:r>
    </w:p>
    <w:p>
      <w:pPr>
        <w:spacing w:after="0" w:line="216" w:lineRule="exact"/>
        <w:rPr>
          <w:sz w:val="20"/>
          <w:szCs w:val="20"/>
          <w:color w:val="auto"/>
        </w:rPr>
      </w:pPr>
    </w:p>
    <w:p>
      <w:pPr>
        <w:ind w:firstLine="1304"/>
        <w:spacing w:after="0" w:line="275" w:lineRule="auto"/>
        <w:tabs>
          <w:tab w:leader="none" w:pos="1755" w:val="left"/>
        </w:tabs>
        <w:numPr>
          <w:ilvl w:val="4"/>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Optionee will not have any rights of a stockholder (including voting and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with respect to the Option covered by this Award.</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2"/>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p>
    <w:p>
      <w:pPr>
        <w:spacing w:after="0" w:line="246"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741" w:val="left"/>
        </w:tabs>
        <w:numPr>
          <w:ilvl w:val="4"/>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Section 409A, this Award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subject to this Award may not be sold, pledged, assigned, hypothecated, transferred, or disposed of in any manner other than by will or by the laws of descent or distribution. The terms of this Award are binding on the executors, administrators, heirs, successors and assigns of Optionee.</w:t>
      </w:r>
    </w:p>
    <w:p>
      <w:pPr>
        <w:spacing w:after="0" w:line="194"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55" w:val="left"/>
        </w:tabs>
        <w:numPr>
          <w:ilvl w:val="4"/>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that the Company is required to withhold federal, state, local or foreign taxes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amounts in connection with any payment made or benefit realized by Optionee under this Agreement, and the amounts available to the Company for such withholding are insufficient, it shall be a condition to the receipt of such payment or the realization of such benefit that Optionee make arrangements satisfactory to the Company for payment of the balance of such taxes or other amounts required to be withheld. If Optionee’s benefit is to be received in the form of shares of Common Stock, then (a) if Optionee is subject to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Optionee agrees that the Company will withhold shares of Common Stock having a value equal to the amount required to be withheld, and</w:t>
      </w:r>
    </w:p>
    <w:p>
      <w:pPr>
        <w:spacing w:after="0" w:line="5" w:lineRule="exact"/>
        <w:rPr>
          <w:rFonts w:ascii="Times New Roman" w:cs="Times New Roman" w:eastAsia="Times New Roman" w:hAnsi="Times New Roman"/>
          <w:sz w:val="21"/>
          <w:szCs w:val="21"/>
          <w:color w:val="auto"/>
        </w:rPr>
      </w:pPr>
    </w:p>
    <w:p>
      <w:pPr>
        <w:jc w:val="both"/>
        <w:ind w:firstLine="8"/>
        <w:spacing w:after="0" w:line="259" w:lineRule="auto"/>
        <w:tabs>
          <w:tab w:leader="none" w:pos="32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Optionee is not subject to Section 16 of the Exchange Act, Optionee may elect that all or any part of such withholding requirement be satisfied by the retention by the Company a portion of the Common Stock to be delivered to Optionee, by delivering to the Company other Common Stock held by Optionee, or by tendering sufficient funds in cash or cash equivalent to the Company. The shares of Common Stock used for tax or other withholding will be valued at an amount equal to the fair market value of such shares of Common Stock on the date the benefit is to be included in Optionee’s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2" w:lineRule="exact"/>
        <w:rPr>
          <w:rFonts w:ascii="Times New Roman" w:cs="Times New Roman" w:eastAsia="Times New Roman" w:hAnsi="Times New Roman"/>
          <w:sz w:val="21"/>
          <w:szCs w:val="21"/>
          <w:color w:val="auto"/>
        </w:rPr>
      </w:pPr>
    </w:p>
    <w:p>
      <w:pPr>
        <w:ind w:left="820" w:hanging="380"/>
        <w:spacing w:after="0"/>
        <w:tabs>
          <w:tab w:leader="none" w:pos="820"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jc w:val="both"/>
        <w:ind w:left="660" w:firstLine="246"/>
        <w:spacing w:after="0" w:line="259" w:lineRule="auto"/>
        <w:tabs>
          <w:tab w:leader="none" w:pos="1399" w:val="left"/>
        </w:tabs>
        <w:numPr>
          <w:ilvl w:val="3"/>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the Option or Common Stock to Optionee without Optionee’s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Optionee has with the Company and the relationships and confidential and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01" w:name="page102"/>
    <w:bookmarkEnd w:id="101"/>
    <w:p>
      <w:pPr>
        <w:jc w:val="both"/>
        <w:ind w:left="4"/>
        <w:spacing w:after="0" w:line="261" w:lineRule="auto"/>
        <w:rPr>
          <w:sz w:val="20"/>
          <w:szCs w:val="20"/>
          <w:color w:val="auto"/>
        </w:rPr>
      </w:pPr>
      <w:r>
        <w:rPr>
          <w:rFonts w:ascii="Times New Roman" w:cs="Times New Roman" w:eastAsia="Times New Roman" w:hAnsi="Times New Roman"/>
          <w:sz w:val="21"/>
          <w:szCs w:val="21"/>
          <w:color w:val="auto"/>
        </w:rPr>
        <w:t>information that Optionee has been and will be exposed to because of Optionee’s position. Notwithstanding anything herein to the contrary, if Optionee is subject to the restrictive covenants set forth in Section 7 (or any successor provision) of the TriMas Corporation Executive Severance/Change in Control Policy (or any successor policy) or the restrictive covenants set forth in a separate, stand-alone severance agreement (or any successor agreement) with the Company, then</w:t>
      </w:r>
    </w:p>
    <w:p>
      <w:pPr>
        <w:spacing w:after="0" w:line="2" w:lineRule="exact"/>
        <w:rPr>
          <w:sz w:val="20"/>
          <w:szCs w:val="20"/>
          <w:color w:val="auto"/>
        </w:rPr>
      </w:pPr>
    </w:p>
    <w:p>
      <w:pPr>
        <w:ind w:left="264" w:hanging="264"/>
        <w:spacing w:after="0"/>
        <w:tabs>
          <w:tab w:leader="none" w:pos="26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restrictive covenants, rather than the restrictive covenants in this Section II.B.3, shall apply to Optionee, and</w:t>
      </w:r>
    </w:p>
    <w:p>
      <w:pPr>
        <w:spacing w:after="0" w:line="26" w:lineRule="exact"/>
        <w:rPr>
          <w:rFonts w:ascii="Times New Roman" w:cs="Times New Roman" w:eastAsia="Times New Roman" w:hAnsi="Times New Roman"/>
          <w:sz w:val="21"/>
          <w:szCs w:val="21"/>
          <w:color w:val="auto"/>
        </w:rPr>
      </w:pPr>
    </w:p>
    <w:p>
      <w:pPr>
        <w:ind w:left="4" w:hanging="4"/>
        <w:spacing w:after="0" w:line="248" w:lineRule="auto"/>
        <w:tabs>
          <w:tab w:leader="none" w:pos="3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Optionee’s violation of such other restrictive covenants shall be treated as a violation of the restrictive covenants in this Section II.B.3 for purposes of this Agreement.</w:t>
      </w:r>
    </w:p>
    <w:p>
      <w:pPr>
        <w:spacing w:after="0" w:line="178" w:lineRule="exact"/>
        <w:rPr>
          <w:rFonts w:ascii="Times New Roman" w:cs="Times New Roman" w:eastAsia="Times New Roman" w:hAnsi="Times New Roman"/>
          <w:sz w:val="22"/>
          <w:szCs w:val="22"/>
          <w:color w:val="auto"/>
        </w:rPr>
      </w:pPr>
    </w:p>
    <w:p>
      <w:pPr>
        <w:jc w:val="both"/>
        <w:ind w:left="4" w:firstLine="306"/>
        <w:spacing w:after="0" w:line="259" w:lineRule="auto"/>
        <w:tabs>
          <w:tab w:leader="none" w:pos="877"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Recognizing Optionee’s fiduciary duties to the Company, as a condition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to the extent specifically required to be disclosed by applicable law, or except as required in the reasonable performance of Optionee’s duties as an employee of the Company. Optionee agrees to notify the Company as soon as reasonably possible after being subpoenaed or otherwise requested by any third party to disclose any Confidential Information, except as required in the reasonable performance of Optionee’s duties as an employee of the Company. This Section II.B.3 shall not result in the forfeiture of the Option or any clawback or recoupment of the Award for the disclosure of a trade secret if that disclosure (i) 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Optionee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21"/>
          <w:szCs w:val="21"/>
          <w:b w:val="1"/>
          <w:bCs w:val="1"/>
          <w:i w:val="1"/>
          <w:iCs w:val="1"/>
          <w:color w:val="auto"/>
        </w:rPr>
        <w:t>Arrangements</w:t>
      </w:r>
      <w:r>
        <w:rPr>
          <w:rFonts w:ascii="Times New Roman" w:cs="Times New Roman" w:eastAsia="Times New Roman" w:hAnsi="Times New Roman"/>
          <w:sz w:val="21"/>
          <w:szCs w:val="21"/>
          <w:color w:val="auto"/>
        </w:rPr>
        <w:t>”)): (x) nothing in the Arrangements or otherwise limits Optionee’s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165" w:right="339" w:bottom="1440" w:gutter="0" w:footer="0" w:header="0"/>
        </w:sectPr>
      </w:pPr>
    </w:p>
    <w:bookmarkStart w:id="102" w:name="page103"/>
    <w:bookmarkEnd w:id="102"/>
    <w:p>
      <w:pPr>
        <w:jc w:val="both"/>
        <w:spacing w:after="0" w:line="249" w:lineRule="auto"/>
        <w:rPr>
          <w:sz w:val="20"/>
          <w:szCs w:val="20"/>
          <w:color w:val="auto"/>
        </w:rPr>
      </w:pPr>
      <w:r>
        <w:rPr>
          <w:rFonts w:ascii="Times New Roman" w:cs="Times New Roman" w:eastAsia="Times New Roman" w:hAnsi="Times New Roman"/>
          <w:sz w:val="22"/>
          <w:szCs w:val="22"/>
          <w:color w:val="auto"/>
        </w:rPr>
        <w:t>restrict or impede Optionee from discussing the terms and conditions of their employment with coworkers or union representatives or exercising protected rights under Section 7 of the National Labor Relations Act, or prevents Optionee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Optionee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78" w:lineRule="exact"/>
        <w:rPr>
          <w:sz w:val="20"/>
          <w:szCs w:val="20"/>
          <w:color w:val="auto"/>
        </w:rPr>
      </w:pPr>
    </w:p>
    <w:p>
      <w:pPr>
        <w:ind w:left="660" w:hanging="448"/>
        <w:spacing w:after="0"/>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0" w:hanging="204"/>
        <w:spacing w:after="0" w:line="249" w:lineRule="auto"/>
        <w:tabs>
          <w:tab w:leader="none" w:pos="85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 agrees that, while Optionee is employed by the Company, and for 12 months thereafter, Optionee shall not engage, either directly or indirectly, as a principal for Optionee’s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Optionee was involved and/or oversaw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provided that nothing herein shall prevent Optionee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3" w:lineRule="exact"/>
        <w:rPr>
          <w:rFonts w:ascii="Times New Roman" w:cs="Times New Roman" w:eastAsia="Times New Roman" w:hAnsi="Times New Roman"/>
          <w:sz w:val="22"/>
          <w:szCs w:val="22"/>
          <w:color w:val="auto"/>
        </w:rPr>
      </w:pPr>
    </w:p>
    <w:p>
      <w:pPr>
        <w:jc w:val="both"/>
        <w:ind w:left="640" w:firstLine="300"/>
        <w:spacing w:after="0" w:line="250" w:lineRule="auto"/>
        <w:tabs>
          <w:tab w:leader="none" w:pos="1496" w:val="left"/>
        </w:tabs>
        <w:numPr>
          <w:ilvl w:val="3"/>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 further understands and agrees that while Optionee is employed by the Company and for 12 months thereafter Optionee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Optionee performed services for the Company, unless such entity shall have ceased to have been such a customer for a period of at least six months as of the time of such solicitation.</w:t>
      </w:r>
    </w:p>
    <w:p>
      <w:pPr>
        <w:spacing w:after="0" w:line="193" w:lineRule="exact"/>
        <w:rPr>
          <w:rFonts w:ascii="Times New Roman" w:cs="Times New Roman" w:eastAsia="Times New Roman" w:hAnsi="Times New Roman"/>
          <w:sz w:val="22"/>
          <w:szCs w:val="22"/>
          <w:color w:val="auto"/>
        </w:rPr>
      </w:pPr>
    </w:p>
    <w:p>
      <w:pPr>
        <w:jc w:val="both"/>
        <w:ind w:left="640" w:hanging="173"/>
        <w:spacing w:after="0" w:line="251" w:lineRule="auto"/>
        <w:tabs>
          <w:tab w:leader="none" w:pos="1022"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 further understands and agrees that while Optionee is employed by the Company and for 12 months thereafter Optionee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980" w:top="1165" w:right="339" w:bottom="1440" w:gutter="0" w:footer="0" w:header="0"/>
        </w:sectPr>
      </w:pPr>
    </w:p>
    <w:bookmarkStart w:id="103" w:name="page104"/>
    <w:bookmarkEnd w:id="103"/>
    <w:p>
      <w:pPr>
        <w:ind w:left="428"/>
        <w:spacing w:after="0" w:line="271" w:lineRule="auto"/>
        <w:rPr>
          <w:sz w:val="20"/>
          <w:szCs w:val="20"/>
          <w:color w:val="auto"/>
        </w:rPr>
      </w:pPr>
      <w:r>
        <w:rPr>
          <w:rFonts w:ascii="Times New Roman" w:cs="Times New Roman" w:eastAsia="Times New Roman" w:hAnsi="Times New Roman"/>
          <w:sz w:val="22"/>
          <w:szCs w:val="22"/>
          <w:color w:val="auto"/>
        </w:rPr>
        <w:t>general, non-targeted recruitment efforts such as advertisements and job listings, or directly or indirectly induce any employee of the Company to leave the Company, or assist in any of the foregoing.</w:t>
      </w:r>
    </w:p>
    <w:p>
      <w:pPr>
        <w:spacing w:after="0" w:line="154" w:lineRule="exact"/>
        <w:rPr>
          <w:sz w:val="20"/>
          <w:szCs w:val="20"/>
          <w:color w:val="auto"/>
        </w:rPr>
      </w:pPr>
    </w:p>
    <w:p>
      <w:pPr>
        <w:jc w:val="both"/>
        <w:ind w:left="-212" w:firstLine="333"/>
        <w:spacing w:after="0" w:line="258" w:lineRule="auto"/>
        <w:tabs>
          <w:tab w:leader="none" w:pos="7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Optionee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Optionee’s actions are or will be in violation of this Section II.B.3. Optionee may request in writing from the Board an advance determination as to whether Optionee’s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448" w:hanging="448"/>
        <w:spacing w:after="0"/>
        <w:tabs>
          <w:tab w:leader="none" w:pos="44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7" w:lineRule="exact"/>
        <w:rPr>
          <w:rFonts w:ascii="Times New Roman" w:cs="Times New Roman" w:eastAsia="Times New Roman" w:hAnsi="Times New Roman"/>
          <w:sz w:val="22"/>
          <w:szCs w:val="22"/>
          <w:color w:val="auto"/>
        </w:rPr>
      </w:pPr>
    </w:p>
    <w:p>
      <w:pPr>
        <w:jc w:val="both"/>
        <w:ind w:left="428" w:firstLine="622"/>
        <w:spacing w:after="0" w:line="251" w:lineRule="auto"/>
        <w:tabs>
          <w:tab w:leader="none" w:pos="1507"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(A) during the Optionee’s employment with the Company, the Company and any and all direct and indirect subsidiary, parent, affiliated or related companies of the Company for which the Optionee has worked or had responsibility during the Optionee’s employment with the Company, and (B) after the Optionee’s termination of employment with the Company, the Company and any and all direct and indirect subsidiary, parent, affiliated or related companies of the Company for which Optionee worked or had responsibility at the time of the Optionee’s termination of employment and at any time during the one-year period prior to such termination of employment.</w:t>
      </w:r>
    </w:p>
    <w:p>
      <w:pPr>
        <w:spacing w:after="0" w:line="172" w:lineRule="exact"/>
        <w:rPr>
          <w:rFonts w:ascii="Times New Roman" w:cs="Times New Roman" w:eastAsia="Times New Roman" w:hAnsi="Times New Roman"/>
          <w:sz w:val="22"/>
          <w:szCs w:val="22"/>
          <w:color w:val="auto"/>
        </w:rPr>
      </w:pPr>
    </w:p>
    <w:p>
      <w:pPr>
        <w:jc w:val="both"/>
        <w:ind w:left="428" w:firstLine="622"/>
        <w:spacing w:after="0" w:line="258" w:lineRule="auto"/>
        <w:tabs>
          <w:tab w:leader="none" w:pos="1621"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67" w:lineRule="exact"/>
        <w:rPr>
          <w:rFonts w:ascii="Times New Roman" w:cs="Times New Roman" w:eastAsia="Times New Roman" w:hAnsi="Times New Roman"/>
          <w:sz w:val="22"/>
          <w:szCs w:val="22"/>
          <w:color w:val="auto"/>
        </w:rPr>
      </w:pPr>
    </w:p>
    <w:p>
      <w:pPr>
        <w:jc w:val="both"/>
        <w:ind w:left="428" w:firstLine="622"/>
        <w:spacing w:after="0" w:line="248" w:lineRule="auto"/>
        <w:tabs>
          <w:tab w:leader="none" w:pos="1748"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Optionee can establish was already in the public domain at the time of disclosure through no fault of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8"/>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68"/>
          </w:cols>
          <w:pgMar w:left="1192" w:top="1165" w:right="339" w:bottom="1440" w:gutter="0" w:footer="0" w:header="0"/>
        </w:sectPr>
      </w:pPr>
    </w:p>
    <w:bookmarkStart w:id="104" w:name="page105"/>
    <w:bookmarkEnd w:id="104"/>
    <w:p>
      <w:pPr>
        <w:jc w:val="both"/>
        <w:ind w:left="640" w:firstLine="644"/>
        <w:spacing w:after="0" w:line="253" w:lineRule="auto"/>
        <w:tabs>
          <w:tab w:leader="none" w:pos="1710" w:val="left"/>
        </w:tabs>
        <w:numPr>
          <w:ilvl w:val="3"/>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Optionee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Optionee has continued to violate such protective covenants.</w:t>
      </w:r>
    </w:p>
    <w:p>
      <w:pPr>
        <w:spacing w:after="0" w:line="188"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2003" w:val="left"/>
        </w:tabs>
        <w:numPr>
          <w:ilvl w:val="3"/>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Optionee acknowledges that the covenants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reasonable and necessary to protect the legitimate interests of the Company and that any breach or threatened breach of any such covenants will cause irreparable injury to the Company for which money damages would not provide an adequate remedy. If Optionee breaches, or threatens to commit a breach of, any of the provisions of this Agreement, the Company shall have the right to seek appropriate equitable relief, including a permanent injunction or similar court order enjoining Optionee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w:t>
      </w:r>
    </w:p>
    <w:p>
      <w:pPr>
        <w:spacing w:after="0" w:line="184" w:lineRule="exact"/>
        <w:rPr>
          <w:rFonts w:ascii="Times New Roman" w:cs="Times New Roman" w:eastAsia="Times New Roman" w:hAnsi="Times New Roman"/>
          <w:sz w:val="22"/>
          <w:szCs w:val="22"/>
          <w:color w:val="auto"/>
        </w:rPr>
      </w:pPr>
    </w:p>
    <w:p>
      <w:pPr>
        <w:ind w:left="640" w:firstLine="644"/>
        <w:spacing w:after="0" w:line="275" w:lineRule="auto"/>
        <w:tabs>
          <w:tab w:leader="none" w:pos="1908" w:val="left"/>
        </w:tabs>
        <w:numPr>
          <w:ilvl w:val="3"/>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Optionee.</w:t>
      </w:r>
    </w:p>
    <w:p>
      <w:pPr>
        <w:spacing w:after="0" w:line="149" w:lineRule="exact"/>
        <w:rPr>
          <w:rFonts w:ascii="Times New Roman" w:cs="Times New Roman" w:eastAsia="Times New Roman" w:hAnsi="Times New Roman"/>
          <w:sz w:val="22"/>
          <w:szCs w:val="22"/>
          <w:color w:val="auto"/>
        </w:rPr>
      </w:pPr>
    </w:p>
    <w:p>
      <w:pPr>
        <w:jc w:val="both"/>
        <w:ind w:firstLine="476"/>
        <w:spacing w:after="0" w:line="254" w:lineRule="auto"/>
        <w:tabs>
          <w:tab w:leader="none" w:pos="86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comply with or be exempt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Section 409A of the Code. This Agreement shall be administered in a manner consistent with this intent, and any provision that would cause this Agreement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Optionee).</w:t>
      </w:r>
    </w:p>
    <w:p>
      <w:pPr>
        <w:spacing w:after="0" w:line="173" w:lineRule="exact"/>
        <w:rPr>
          <w:rFonts w:ascii="Times New Roman" w:cs="Times New Roman" w:eastAsia="Times New Roman" w:hAnsi="Times New Roman"/>
          <w:sz w:val="22"/>
          <w:szCs w:val="22"/>
          <w:b w:val="1"/>
          <w:bCs w:val="1"/>
          <w:color w:val="auto"/>
        </w:rPr>
      </w:pPr>
    </w:p>
    <w:p>
      <w:pPr>
        <w:jc w:val="both"/>
        <w:ind w:firstLine="512"/>
        <w:spacing w:after="0" w:line="254" w:lineRule="auto"/>
        <w:tabs>
          <w:tab w:leader="none" w:pos="918" w:val="left"/>
        </w:tabs>
        <w:numPr>
          <w:ilvl w:val="1"/>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confers on Optionee any right to continue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Provider, or interferes with or restricts in any way the rights of the Company or any Subsidiary or affiliate of the Company, which are hereby expressly reserved, to discharge Optionee at any time for any reason whatsoever, with or without Cause, except to the extent expressly provided otherwise in a written employment agreement between Optionee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firstLine="611"/>
        <w:spacing w:after="0" w:line="258" w:lineRule="auto"/>
        <w:tabs>
          <w:tab w:leader="none" w:pos="1066" w:val="left"/>
        </w:tabs>
        <w:numPr>
          <w:ilvl w:val="2"/>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Option or any other payment or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61" w:right="339" w:bottom="1440" w:gutter="0" w:footer="0" w:header="0"/>
        </w:sectPr>
      </w:pPr>
    </w:p>
    <w:bookmarkStart w:id="105" w:name="page106"/>
    <w:bookmarkEnd w:id="105"/>
    <w:p>
      <w:pPr>
        <w:jc w:val="both"/>
        <w:ind w:firstLine="534"/>
        <w:spacing w:after="0" w:line="259" w:lineRule="auto"/>
        <w:tabs>
          <w:tab w:leader="none" w:pos="945"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Optionee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firstLine="467"/>
        <w:spacing w:after="0" w:line="265" w:lineRule="auto"/>
        <w:tabs>
          <w:tab w:leader="none" w:pos="85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Optionee, as a holder of Option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 Company. The Option represent an unfunded and unsecured obligation of the Company, subject to the terms and conditions of this Agreement.</w:t>
      </w:r>
    </w:p>
    <w:p>
      <w:pPr>
        <w:spacing w:after="0" w:line="161" w:lineRule="exact"/>
        <w:rPr>
          <w:rFonts w:ascii="Times New Roman" w:cs="Times New Roman" w:eastAsia="Times New Roman" w:hAnsi="Times New Roman"/>
          <w:sz w:val="22"/>
          <w:szCs w:val="22"/>
          <w:b w:val="1"/>
          <w:bCs w:val="1"/>
          <w:color w:val="auto"/>
        </w:rPr>
      </w:pPr>
    </w:p>
    <w:p>
      <w:pPr>
        <w:jc w:val="both"/>
        <w:ind w:firstLine="746"/>
        <w:spacing w:after="0" w:line="253" w:lineRule="auto"/>
        <w:tabs>
          <w:tab w:leader="none" w:pos="1269" w:val="left"/>
        </w:tabs>
        <w:numPr>
          <w:ilvl w:val="2"/>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9" w:lineRule="exact"/>
        <w:rPr>
          <w:sz w:val="20"/>
          <w:szCs w:val="20"/>
          <w:color w:val="auto"/>
        </w:rPr>
      </w:pPr>
    </w:p>
    <w:p>
      <w:pPr>
        <w:jc w:val="both"/>
        <w:ind w:firstLine="480"/>
        <w:spacing w:after="0" w:line="253" w:lineRule="auto"/>
        <w:tabs>
          <w:tab w:leader="none" w:pos="985"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Option, or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that may be granted, by electronic means. Optionee hereby consents to receive such documents by electronic delivery and, if requested, agrees to participate through an on-line or electronic system established and maintained by the Company or another third party designated by the Company.</w:t>
      </w:r>
    </w:p>
    <w:p>
      <w:pPr>
        <w:spacing w:after="0" w:line="175"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Optionee acknowledges that:</w:t>
      </w:r>
    </w:p>
    <w:p>
      <w:pPr>
        <w:spacing w:after="0" w:line="237" w:lineRule="exact"/>
        <w:rPr>
          <w:rFonts w:ascii="Times New Roman" w:cs="Times New Roman" w:eastAsia="Times New Roman" w:hAnsi="Times New Roman"/>
          <w:sz w:val="22"/>
          <w:szCs w:val="22"/>
          <w:b w:val="1"/>
          <w:bCs w:val="1"/>
          <w:color w:val="auto"/>
        </w:rPr>
      </w:pPr>
    </w:p>
    <w:p>
      <w:pPr>
        <w:jc w:val="both"/>
        <w:ind w:left="660" w:firstLine="246"/>
        <w:spacing w:after="0" w:line="257" w:lineRule="auto"/>
        <w:tabs>
          <w:tab w:leader="none" w:pos="1400" w:val="left"/>
        </w:tabs>
        <w:numPr>
          <w:ilvl w:val="3"/>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discretionary award being made on a one-time basis and does not create any contractual or other right to receive future grants of stock options, or benefits in lieu of stock options, even if stock options have been granted repeatedly in the past;</w:t>
      </w:r>
    </w:p>
    <w:p>
      <w:pPr>
        <w:spacing w:after="0" w:line="172"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stock option grants, if any, will be at the sole discretion of the Committee;</w:t>
      </w:r>
    </w:p>
    <w:p>
      <w:pPr>
        <w:spacing w:after="0" w:line="219" w:lineRule="exact"/>
        <w:rPr>
          <w:rFonts w:ascii="Times New Roman" w:cs="Times New Roman" w:eastAsia="Times New Roman" w:hAnsi="Times New Roman"/>
          <w:sz w:val="22"/>
          <w:szCs w:val="22"/>
          <w:color w:val="auto"/>
        </w:rPr>
      </w:pPr>
    </w:p>
    <w:p>
      <w:pPr>
        <w:jc w:val="both"/>
        <w:ind w:left="660" w:firstLine="333"/>
        <w:spacing w:after="0" w:line="263" w:lineRule="auto"/>
        <w:tabs>
          <w:tab w:leader="none" w:pos="1574" w:val="left"/>
        </w:tabs>
        <w:numPr>
          <w:ilvl w:val="4"/>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Common Stock subject to the Option are an extraordinary item that does not constitute compensation of any kind for services of any kind rendered to the Company or Optionee’s employer, and which is outside the scope of Optionee’s employment contract, if any;</w:t>
      </w:r>
    </w:p>
    <w:p>
      <w:pPr>
        <w:spacing w:after="0" w:line="167" w:lineRule="exact"/>
        <w:rPr>
          <w:rFonts w:ascii="Times New Roman" w:cs="Times New Roman" w:eastAsia="Times New Roman" w:hAnsi="Times New Roman"/>
          <w:sz w:val="22"/>
          <w:szCs w:val="22"/>
          <w:color w:val="auto"/>
        </w:rPr>
      </w:pPr>
    </w:p>
    <w:p>
      <w:pPr>
        <w:ind w:left="660" w:firstLine="337"/>
        <w:spacing w:after="0" w:line="271" w:lineRule="auto"/>
        <w:tabs>
          <w:tab w:leader="none" w:pos="1593" w:val="left"/>
        </w:tabs>
        <w:numPr>
          <w:ilvl w:val="4"/>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the Common Stock subject to the Option are not intended to replace any pension rights or compensation;</w:t>
      </w:r>
    </w:p>
    <w:p>
      <w:pPr>
        <w:spacing w:after="0" w:line="158" w:lineRule="exact"/>
        <w:rPr>
          <w:sz w:val="20"/>
          <w:szCs w:val="20"/>
          <w:color w:val="auto"/>
        </w:rPr>
      </w:pPr>
    </w:p>
    <w:p>
      <w:pPr>
        <w:ind w:left="1320" w:hanging="448"/>
        <w:spacing w:after="0"/>
        <w:tabs>
          <w:tab w:leader="none" w:pos="13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660" w:firstLine="292"/>
        <w:spacing w:after="0" w:line="263" w:lineRule="auto"/>
        <w:tabs>
          <w:tab w:leader="none" w:pos="146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1" w:right="339" w:bottom="1440" w:gutter="0" w:footer="0" w:header="0"/>
        </w:sectPr>
      </w:pPr>
    </w:p>
    <w:bookmarkStart w:id="106" w:name="page107"/>
    <w:bookmarkEnd w:id="106"/>
    <w:p>
      <w:pPr>
        <w:jc w:val="both"/>
        <w:ind w:left="660" w:firstLine="245"/>
        <w:spacing w:after="0" w:line="253" w:lineRule="auto"/>
        <w:tabs>
          <w:tab w:leader="none" w:pos="1410" w:val="left"/>
        </w:tabs>
        <w:numPr>
          <w:ilvl w:val="4"/>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Option, no claim or entitlement to compensation or damages shall arise from forfeiture of the Option resulting from termination of Optionee’s employment with the Company or Optionee’s employer and Optionee irrevocably releases the Company and Optionee’s employer from any such claim that may arise; if, notwithstanding the foregoing, any such claim is found by a court of competent jurisdiction to have arisen, Optionee shall be deemed irrevocably to have waived any entitlement to pursue such claim; and</w:t>
      </w:r>
    </w:p>
    <w:p>
      <w:pPr>
        <w:spacing w:after="0" w:line="178" w:lineRule="exact"/>
        <w:rPr>
          <w:rFonts w:ascii="Times New Roman" w:cs="Times New Roman" w:eastAsia="Times New Roman" w:hAnsi="Times New Roman"/>
          <w:sz w:val="22"/>
          <w:szCs w:val="22"/>
          <w:color w:val="auto"/>
        </w:rPr>
      </w:pPr>
    </w:p>
    <w:p>
      <w:pPr>
        <w:jc w:val="both"/>
        <w:ind w:left="660" w:firstLine="221"/>
        <w:spacing w:after="0" w:line="250" w:lineRule="auto"/>
        <w:tabs>
          <w:tab w:leader="none" w:pos="1361" w:val="left"/>
        </w:tabs>
        <w:numPr>
          <w:ilvl w:val="3"/>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in the event Optionee ceases to be a Service Provider, Optionee’s right to vest in the Option under this Agreement, if any, will terminate effective as of the date that Optionee is no longer a Service Provider and will not be extended by any notice period mandated under local law (e.g., active service would not include a period of “garden leave” or similar period pursuant to local law); the Committee shall have the exclusive discretion to determine when Optionee is no longer a Service Provider for purposes of the Option.</w:t>
      </w:r>
    </w:p>
    <w:p>
      <w:pPr>
        <w:spacing w:after="0" w:line="190" w:lineRule="exact"/>
        <w:rPr>
          <w:rFonts w:ascii="Times New Roman" w:cs="Times New Roman" w:eastAsia="Times New Roman" w:hAnsi="Times New Roman"/>
          <w:sz w:val="22"/>
          <w:szCs w:val="22"/>
          <w:color w:val="auto"/>
        </w:rPr>
      </w:pPr>
    </w:p>
    <w:p>
      <w:pPr>
        <w:jc w:val="both"/>
        <w:ind w:firstLine="467"/>
        <w:spacing w:after="0" w:line="252" w:lineRule="auto"/>
        <w:tabs>
          <w:tab w:leader="none" w:pos="958"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California Addenda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provisions in this Agreement, the Option and this Agreement shall also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special terms and conditions set forth in the California Addendum attached as Appendix B to this Agreement (which modifies and amends this Agreement to the extent provided for in Appendix B) during any period in which Optionee is employed and/or resides in California, or for which the Company determines that the application of the terms and conditions of Appendix B is necessary or advisable in order to comply with applicable law. The California Addendum attached hereto as Appendix B constitutes part of this Agreement.</w:t>
      </w:r>
    </w:p>
    <w:p>
      <w:pPr>
        <w:spacing w:after="0" w:line="174" w:lineRule="exact"/>
        <w:rPr>
          <w:rFonts w:ascii="Times New Roman" w:cs="Times New Roman" w:eastAsia="Times New Roman" w:hAnsi="Times New Roman"/>
          <w:sz w:val="22"/>
          <w:szCs w:val="22"/>
          <w:b w:val="1"/>
          <w:bCs w:val="1"/>
          <w:color w:val="auto"/>
        </w:rPr>
      </w:pPr>
    </w:p>
    <w:p>
      <w:pPr>
        <w:jc w:val="both"/>
        <w:ind w:firstLine="512"/>
        <w:spacing w:after="0" w:line="250" w:lineRule="auto"/>
        <w:tabs>
          <w:tab w:leader="none" w:pos="1026" w:val="left"/>
        </w:tabs>
        <w:numPr>
          <w:ilvl w:val="2"/>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be administered by the Committee. The interpretation and construction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of any provision of this Agreement and any determination by the Committee pursuant to any provision of this Agreement or of any notification or document related hereto will be final and conclusive. No member of the Committee shall be liable for any such action or determination made in good faith. In addition, subject to Section II.A.5, the Committee is authorized to take any action it determines in its sole discretion to be appropriate subject only to the express limitations contained or referenced in this Agreement, and no authorization in any section or other provision of this Agreement is intended or may be deemed to constitute a limitation on the authority of the Committee.</w:t>
      </w:r>
    </w:p>
    <w:p>
      <w:pPr>
        <w:spacing w:after="0" w:line="180"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60" w:firstLine="644"/>
        <w:spacing w:after="0" w:line="250" w:lineRule="auto"/>
        <w:tabs>
          <w:tab w:leader="none" w:pos="1788" w:val="left"/>
        </w:tabs>
        <w:numPr>
          <w:ilvl w:val="5"/>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at any time and from time to time amend this Agreement in whole or in part; provided, however, that if an amendment to this Agreement requires approval by the Stockholders of the Company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 provided further, that no amendment shall adversely affect Optionee’s rights under this Agreement without Optionee’s written consent. Notwithstanding the foregoing, Optionee’s consent shall not be required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107" w:name="page108"/>
    <w:bookmarkEnd w:id="107"/>
    <w:p>
      <w:pPr>
        <w:ind w:left="660"/>
        <w:spacing w:after="0" w:line="271" w:lineRule="auto"/>
        <w:rPr>
          <w:sz w:val="20"/>
          <w:szCs w:val="20"/>
          <w:color w:val="auto"/>
        </w:rPr>
      </w:pPr>
      <w:r>
        <w:rPr>
          <w:rFonts w:ascii="Times New Roman" w:cs="Times New Roman" w:eastAsia="Times New Roman" w:hAnsi="Times New Roman"/>
          <w:sz w:val="22"/>
          <w:szCs w:val="22"/>
          <w:color w:val="auto"/>
        </w:rPr>
        <w:t>amendment that is deemed necessary by the Company to ensure compliance with Section 409A of the Code or Section 10D of the Exchange Act.</w:t>
      </w:r>
    </w:p>
    <w:p>
      <w:pPr>
        <w:spacing w:after="0" w:line="158" w:lineRule="exact"/>
        <w:rPr>
          <w:sz w:val="20"/>
          <w:szCs w:val="20"/>
          <w:color w:val="auto"/>
        </w:rPr>
      </w:pPr>
    </w:p>
    <w:p>
      <w:pPr>
        <w:jc w:val="both"/>
        <w:ind w:left="660" w:firstLine="644"/>
        <w:spacing w:after="0" w:line="263" w:lineRule="auto"/>
        <w:tabs>
          <w:tab w:leader="none" w:pos="1819" w:val="left"/>
        </w:tabs>
        <w:numPr>
          <w:ilvl w:val="3"/>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except in connection with a corporate transaction or event described in Section II.A.6 of this Agreement or in connection with a Change in Control, the terms of this Agreement may not be amended to reduce the Exercise Price of the Option, or cancel the Option if it is outstanding and “underwater” in exchange for cash, other awards or Option Rights with an Option Price that is less than the Exercise Price of Optionee’s original Option, without Stockholder approval. This Section 14 is intended to prohibit the repricing of “underwater” Option Rights and will not be construed to prohibit the kinds of adjustments described in Section 11 of the Plan. Notwithstanding any provision of this Agreement to the contrary, this Section 14 may not be amended without approval by the Stockholders.</w:t>
      </w:r>
    </w:p>
    <w:p>
      <w:pPr>
        <w:spacing w:after="0" w:line="168" w:lineRule="exact"/>
        <w:rPr>
          <w:rFonts w:ascii="Times New Roman" w:cs="Times New Roman" w:eastAsia="Times New Roman" w:hAnsi="Times New Roman"/>
          <w:sz w:val="21"/>
          <w:szCs w:val="21"/>
          <w:color w:val="auto"/>
        </w:rPr>
      </w:pPr>
    </w:p>
    <w:p>
      <w:pPr>
        <w:ind w:right="20" w:firstLine="620"/>
        <w:spacing w:after="0" w:line="287" w:lineRule="auto"/>
        <w:tabs>
          <w:tab w:leader="none" w:pos="1188"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awarded pursuant to the Plan. For the avoidance of doubt, the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limitations and share counting and recycling rules set forth in the Plan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with respect to the Award.</w:t>
      </w:r>
    </w:p>
    <w:p>
      <w:pPr>
        <w:spacing w:after="0" w:line="137" w:lineRule="exact"/>
        <w:rPr>
          <w:rFonts w:ascii="Times New Roman" w:cs="Times New Roman" w:eastAsia="Times New Roman" w:hAnsi="Times New Roman"/>
          <w:sz w:val="22"/>
          <w:szCs w:val="22"/>
          <w:b w:val="1"/>
          <w:bCs w:val="1"/>
          <w:color w:val="auto"/>
        </w:rPr>
      </w:pPr>
    </w:p>
    <w:p>
      <w:pPr>
        <w:jc w:val="both"/>
        <w:ind w:firstLine="449"/>
        <w:spacing w:after="0" w:line="259" w:lineRule="auto"/>
        <w:tabs>
          <w:tab w:leader="none" w:pos="931"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Optionee further agrees that any action by Optionee to challenge the enforceability of this Agreement must be brought or litigated exclusively in the appropriate state or federal court located in the State of Michigan. Optionee and the Company also agree that any action by the Company to enforce this Agreement, as well as any related disputes or litigation related to this Agreement, must be brought in the appropriate state or federal court located in the State of Michigan. Optionee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OPTIONEE AND THE COMPANY AGREE THAT, TO THE FULLEST EXTENT PERMITTED</w:t>
      </w:r>
    </w:p>
    <w:p>
      <w:pPr>
        <w:spacing w:after="0" w:line="6" w:lineRule="exact"/>
        <w:rPr>
          <w:rFonts w:ascii="Times New Roman" w:cs="Times New Roman" w:eastAsia="Times New Roman" w:hAnsi="Times New Roman"/>
          <w:sz w:val="21"/>
          <w:szCs w:val="21"/>
          <w:b w:val="1"/>
          <w:bCs w:val="1"/>
          <w:color w:val="auto"/>
        </w:rPr>
      </w:pPr>
    </w:p>
    <w:p>
      <w:pPr>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BY LAW, EACH PARTY WAIVES ANY RIGHT TO TRIAL BY JURY WITH RESPECT TO ANY PROCEEDING ARISING OUT OF OR RELATING TO THIS AGREEMENT.</w:t>
      </w:r>
    </w:p>
    <w:p>
      <w:pPr>
        <w:spacing w:after="0" w:line="166"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50" w:lineRule="auto"/>
        <w:tabs>
          <w:tab w:leader="none" w:pos="1839"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Optionee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Optionee (i) consents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sectPr>
      </w:pPr>
    </w:p>
    <w:bookmarkStart w:id="108" w:name="page109"/>
    <w:bookmarkEnd w:id="108"/>
    <w:p>
      <w:pPr>
        <w:jc w:val="both"/>
        <w:spacing w:after="0" w:line="247" w:lineRule="auto"/>
        <w:rPr>
          <w:sz w:val="20"/>
          <w:szCs w:val="20"/>
          <w:color w:val="auto"/>
        </w:rPr>
      </w:pPr>
      <w:r>
        <w:rPr>
          <w:rFonts w:ascii="Times New Roman" w:cs="Times New Roman" w:eastAsia="Times New Roman" w:hAnsi="Times New Roman"/>
          <w:sz w:val="22"/>
          <w:szCs w:val="22"/>
          <w:color w:val="auto"/>
        </w:rPr>
        <w:t>the terms of the Compensation Recovery Policy, as applicable, (ii) agrees and acknowledges that Optionee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Optionee of any such amounts, including from Optionee’s accounts or from any other compensation, to the extent permissible under Section 409A of the Code.</w:t>
      </w:r>
    </w:p>
    <w:p>
      <w:pPr>
        <w:spacing w:after="0" w:line="204" w:lineRule="exact"/>
        <w:rPr>
          <w:sz w:val="20"/>
          <w:szCs w:val="20"/>
          <w:color w:val="auto"/>
        </w:rPr>
      </w:pPr>
    </w:p>
    <w:p>
      <w:pPr>
        <w:jc w:val="both"/>
        <w:ind w:firstLine="644"/>
        <w:spacing w:after="0" w:line="257" w:lineRule="auto"/>
        <w:tabs>
          <w:tab w:leader="none" w:pos="114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Option, and clawback and recoupment of any shares of Common Stock issued or transferred to Optionee in settlement of the Option.</w:t>
      </w:r>
    </w:p>
    <w:p>
      <w:pPr>
        <w:spacing w:after="0" w:line="168" w:lineRule="exact"/>
        <w:rPr>
          <w:rFonts w:ascii="Times New Roman" w:cs="Times New Roman" w:eastAsia="Times New Roman" w:hAnsi="Times New Roman"/>
          <w:sz w:val="22"/>
          <w:szCs w:val="22"/>
          <w:color w:val="auto"/>
        </w:rPr>
      </w:pPr>
    </w:p>
    <w:p>
      <w:pPr>
        <w:jc w:val="both"/>
        <w:ind w:left="20" w:firstLine="491"/>
        <w:spacing w:after="0" w:line="252" w:lineRule="auto"/>
        <w:tabs>
          <w:tab w:leader="none" w:pos="1032"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those agreements and documents expressly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for the purposes referred to herein) embodies the complete and entire agreement and understanding between the parties hereto with respect to the subject matter hereof, and supersedes and preempts any and all prior promises, understandings, assurances, commitments, agreements, undertakings or representations, whether oral, written, electronic or otherwise, and whether express or implied, which may relate to the subject matter hereof (or any element thereof) in any way.</w:t>
      </w:r>
    </w:p>
    <w:p>
      <w:pPr>
        <w:spacing w:after="0" w:line="201" w:lineRule="exact"/>
        <w:rPr>
          <w:rFonts w:ascii="Times New Roman" w:cs="Times New Roman" w:eastAsia="Times New Roman" w:hAnsi="Times New Roman"/>
          <w:sz w:val="22"/>
          <w:szCs w:val="22"/>
          <w:b w:val="1"/>
          <w:bCs w:val="1"/>
          <w:color w:val="auto"/>
        </w:rPr>
      </w:pPr>
    </w:p>
    <w:p>
      <w:pPr>
        <w:jc w:val="both"/>
        <w:ind w:left="20" w:firstLine="1292"/>
        <w:spacing w:after="0" w:line="258" w:lineRule="auto"/>
        <w:tabs>
          <w:tab w:leader="none" w:pos="1964" w:val="left"/>
        </w:tabs>
        <w:numPr>
          <w:ilvl w:val="2"/>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Prevailing Party Legal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litigation or dispute between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 related to the Award or this Agreement, the non-prevailing party in such litigation or dispute shall reimburse the prevailing party for any costs and expenses (including, without limitation, attorneys’ fees) reasonably incurred by the prevailing party in connection therewith.</w:t>
      </w:r>
    </w:p>
    <w:p>
      <w:pPr>
        <w:spacing w:after="0" w:line="194" w:lineRule="exact"/>
        <w:rPr>
          <w:rFonts w:ascii="Times New Roman" w:cs="Times New Roman" w:eastAsia="Times New Roman" w:hAnsi="Times New Roman"/>
          <w:sz w:val="22"/>
          <w:szCs w:val="22"/>
          <w:b w:val="1"/>
          <w:bCs w:val="1"/>
          <w:color w:val="auto"/>
        </w:rPr>
      </w:pPr>
    </w:p>
    <w:p>
      <w:pPr>
        <w:jc w:val="both"/>
        <w:ind w:left="20" w:firstLine="1292"/>
        <w:spacing w:after="0" w:line="259" w:lineRule="auto"/>
        <w:tabs>
          <w:tab w:leader="none" w:pos="1964" w:val="left"/>
        </w:tabs>
        <w:numPr>
          <w:ilvl w:val="2"/>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Optionee acknowledges that the Optionee (a) has had an opportunity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the terms of this Agreement, (b) understands the terms and conditions of this Agreement and (c) agrees to such terms and conditions.</w:t>
      </w:r>
    </w:p>
    <w:p>
      <w:pPr>
        <w:spacing w:after="0" w:line="2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00"/>
          </w:cols>
          <w:pgMar w:left="960" w:top="1165" w:right="339" w:bottom="1440" w:gutter="0" w:footer="0" w:header="0"/>
        </w:sectPr>
      </w:pPr>
    </w:p>
    <w:bookmarkStart w:id="109" w:name="page110"/>
    <w:bookmarkEnd w:id="109"/>
    <w:p>
      <w:pPr>
        <w:ind w:right="480" w:firstLine="1296"/>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165" w:right="339" w:bottom="1440"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__________</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Jodi F. Robin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ectPr>
          <w:pgSz w:w="11900" w:h="16838" w:orient="portrait"/>
          <w:cols w:equalWidth="0" w:num="2">
            <w:col w:w="4220" w:space="720"/>
            <w:col w:w="6300"/>
          </w:cols>
          <w:pgMar w:left="320" w:top="11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1"/>
          <w:szCs w:val="21"/>
          <w:b w:val="1"/>
          <w:bCs w:val="1"/>
          <w:color w:val="auto"/>
        </w:rPr>
        <w:t>OPTIONEE ACKNOWLEDGES AND AGREES THAT NOTHING IN THIS AGREEMENT CONFERS ON OPTIONEE ANY RIGHT WITH RESPECT TO CONTINUATION AS A SERVICE PROVIDER OF THE COMPANY OR ANY PARENT OR SUBSIDIARY, NOR INTERFERES IN ANY WAY WITH OPTIONEE’S RIGHT OR THE COMPANY’S RIGHT TO TERMINATE OPTIONEE’S SERVICE PROVIDER RELATIONSHIP AT ANY TIME, WITH OR WITHOUT CAUSE AND WITH OR WITHOUT PRIOR NOTICE.</w:t>
      </w:r>
    </w:p>
    <w:p>
      <w:pPr>
        <w:spacing w:after="0" w:line="15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2"/>
          <w:szCs w:val="22"/>
          <w:b w:val="1"/>
          <w:bCs w:val="1"/>
          <w:color w:val="auto"/>
        </w:rPr>
        <w:t>BY CLICKING THE “ACCEPT” BUTTON BELOW, OPTIONEE ACCEPTS THIS AWARD SUBJECT TO ALL OF THE TERMS AND PROVISIONS OF THIS AGREEMENT. OPTIONEE HAS REVIEWED THIS AGREEMENT IN THEIR ENTIRETY. OPTIONEE AGREES TO ACCEPT AS BINDING, CONCLUSIVE AND FINAL ALL DECISIONS OR INTERPRETATIONS OF THE COMMITTEE UPON ANY QUESTIONS ARISING UNDER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65" w:right="339" w:bottom="1440" w:gutter="0" w:footer="0" w:header="0"/>
          <w:type w:val="continuous"/>
        </w:sectPr>
      </w:pPr>
    </w:p>
    <w:bookmarkStart w:id="110" w:name="page111"/>
    <w:bookmarkEnd w:id="11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NON-QUALIFIED STOCK OPTION INDUCEMENT AWARD AGREEMENT</w:t>
      </w: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Optionee’s conviction of or plea of guilty or nolo contendere to a crime constituting a felony under the laws of the United States or any State thereof or any other jurisdiction in which the Company or its Subsidiaries conduct business; (b) Optionee’s willful misconduct in the performance of his or her duties to the Company or its Subsidiaries and failure to cure such breach within 30 days following written notice thereof from the Company; (c) Optionee’s willful failure or refusal to follow directions from the Board (or direct reporting executive) and failure to cure such breach within 30 days following written notice thereof from the Board; or (d) Optionee’s breach of fiduciary duty to the Company or its Subsidiaries for personal profit. Any failure by the Company or a Subsidiary of the Company to notify Optionee after the first occurrence of an event constituting Cause shall not preclude any subsequent occurrences of such event (or a similar event) from constituting Cause.</w:t>
      </w:r>
    </w:p>
    <w:p>
      <w:pPr>
        <w:spacing w:after="0" w:line="190" w:lineRule="exact"/>
        <w:rPr>
          <w:sz w:val="20"/>
          <w:szCs w:val="20"/>
          <w:color w:val="auto"/>
        </w:rPr>
      </w:pPr>
    </w:p>
    <w:p>
      <w:pPr>
        <w:jc w:val="both"/>
        <w:ind w:left="100"/>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will be deemed to have occurred upon the occurrence (after the date of this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of any of the following events:</w:t>
      </w:r>
    </w:p>
    <w:p>
      <w:pPr>
        <w:spacing w:after="0" w:line="194" w:lineRule="exact"/>
        <w:rPr>
          <w:sz w:val="20"/>
          <w:szCs w:val="20"/>
          <w:color w:val="auto"/>
        </w:rPr>
      </w:pPr>
    </w:p>
    <w:p>
      <w:pPr>
        <w:jc w:val="both"/>
        <w:ind w:left="1400" w:hanging="644"/>
        <w:spacing w:after="0" w:line="265" w:lineRule="auto"/>
        <w:tabs>
          <w:tab w:leader="none" w:pos="136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entity, or group (within the meaning of Section 13(d)(3) or 14(d)(2) of the Exchange Act) (a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is or becomes the beneficial owner (within the meaning of Rule 13d-3 promulgated under the Exchange Act),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(i) of Section (c) of this definition;</w:t>
      </w:r>
    </w:p>
    <w:p>
      <w:pPr>
        <w:spacing w:after="0" w:line="195" w:lineRule="exact"/>
        <w:rPr>
          <w:rFonts w:ascii="Times New Roman" w:cs="Times New Roman" w:eastAsia="Times New Roman" w:hAnsi="Times New Roman"/>
          <w:sz w:val="21"/>
          <w:szCs w:val="21"/>
          <w:color w:val="auto"/>
        </w:rPr>
      </w:pPr>
    </w:p>
    <w:p>
      <w:pPr>
        <w:ind w:left="1400" w:hanging="644"/>
        <w:spacing w:after="0" w:line="260" w:lineRule="auto"/>
        <w:tabs>
          <w:tab w:leader="none" w:pos="122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members of the Board (each, a “</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 then serving on the Board: individuals who, on the Agreement Date, constitute the Board and any new Director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Stockholders was approved or recommended by a vote of at least two-thirds (2/3) of the Directors then still in office who either were Directors on the Agreement Date or whose appointment, election or nomination for election was previously so approved or recommended (the “</w:t>
      </w:r>
      <w:r>
        <w:rPr>
          <w:rFonts w:ascii="Times New Roman" w:cs="Times New Roman" w:eastAsia="Times New Roman" w:hAnsi="Times New Roman"/>
          <w:sz w:val="21"/>
          <w:szCs w:val="21"/>
          <w:b w:val="1"/>
          <w:bCs w:val="1"/>
          <w:i w:val="1"/>
          <w:iCs w:val="1"/>
          <w:color w:val="auto"/>
        </w:rPr>
        <w:t>Incumbent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(an “</w:t>
      </w:r>
      <w:r>
        <w:rPr>
          <w:rFonts w:ascii="Times New Roman" w:cs="Times New Roman" w:eastAsia="Times New Roman" w:hAnsi="Times New Roman"/>
          <w:sz w:val="21"/>
          <w:szCs w:val="21"/>
          <w:b w:val="1"/>
          <w:bCs w:val="1"/>
          <w:i w:val="1"/>
          <w:iCs w:val="1"/>
          <w:color w:val="auto"/>
        </w:rPr>
        <w:t>Election Contest</w:t>
      </w:r>
      <w:r>
        <w:rPr>
          <w:rFonts w:ascii="Times New Roman" w:cs="Times New Roman" w:eastAsia="Times New Roman" w:hAnsi="Times New Roman"/>
          <w:sz w:val="21"/>
          <w:szCs w:val="21"/>
          <w:color w:val="auto"/>
        </w:rPr>
        <w:t>”) or other actual or threatened solicitation of proxies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20" w:top="1161" w:right="339" w:bottom="1440" w:gutter="0" w:footer="0" w:header="0"/>
        </w:sectPr>
      </w:pPr>
    </w:p>
    <w:bookmarkStart w:id="111" w:name="page112"/>
    <w:bookmarkEnd w:id="111"/>
    <w:p>
      <w:pPr>
        <w:ind w:left="644"/>
        <w:spacing w:after="0" w:line="276" w:lineRule="auto"/>
        <w:rPr>
          <w:sz w:val="20"/>
          <w:szCs w:val="20"/>
          <w:color w:val="auto"/>
        </w:rPr>
      </w:pPr>
      <w:r>
        <w:rPr>
          <w:rFonts w:ascii="Times New Roman" w:cs="Times New Roman" w:eastAsia="Times New Roman" w:hAnsi="Times New Roman"/>
          <w:sz w:val="22"/>
          <w:szCs w:val="22"/>
          <w:color w:val="auto"/>
        </w:rPr>
        <w:t>consents by or on behalf of a Person other than the Board (a “</w:t>
      </w:r>
      <w:r>
        <w:rPr>
          <w:rFonts w:ascii="Times New Roman" w:cs="Times New Roman" w:eastAsia="Times New Roman" w:hAnsi="Times New Roman"/>
          <w:sz w:val="22"/>
          <w:szCs w:val="22"/>
          <w:b w:val="1"/>
          <w:bCs w:val="1"/>
          <w:i w:val="1"/>
          <w:iCs w:val="1"/>
          <w:color w:val="auto"/>
        </w:rPr>
        <w:t>Proxy Contest</w:t>
      </w:r>
      <w:r>
        <w:rPr>
          <w:rFonts w:ascii="Times New Roman" w:cs="Times New Roman" w:eastAsia="Times New Roman" w:hAnsi="Times New Roman"/>
          <w:sz w:val="22"/>
          <w:szCs w:val="22"/>
          <w:color w:val="auto"/>
        </w:rPr>
        <w:t>”), including by reason of any agreement intended to avoid or settle any Election Contest or Proxy Contest;</w:t>
      </w:r>
    </w:p>
    <w:p>
      <w:pPr>
        <w:spacing w:after="0" w:line="180" w:lineRule="exact"/>
        <w:rPr>
          <w:sz w:val="20"/>
          <w:szCs w:val="20"/>
          <w:color w:val="auto"/>
        </w:rPr>
      </w:pPr>
    </w:p>
    <w:p>
      <w:pPr>
        <w:ind w:left="644" w:hanging="644"/>
        <w:spacing w:after="0" w:line="248" w:lineRule="auto"/>
        <w:tabs>
          <w:tab w:leader="none" w:pos="46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wind-up, reorganization or restructuring of the Company with or into any other entity, or a similar event or series of such events, other than (i) any such event or series of events which results in (A)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(B)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(ii)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209" w:lineRule="exact"/>
        <w:rPr>
          <w:rFonts w:ascii="Times New Roman" w:cs="Times New Roman" w:eastAsia="Times New Roman" w:hAnsi="Times New Roman"/>
          <w:sz w:val="22"/>
          <w:szCs w:val="22"/>
          <w:color w:val="auto"/>
        </w:rPr>
      </w:pPr>
    </w:p>
    <w:p>
      <w:pPr>
        <w:ind w:left="644" w:hanging="644"/>
        <w:spacing w:after="0" w:line="248" w:lineRule="auto"/>
        <w:tabs>
          <w:tab w:leader="none" w:pos="51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(i) at least 51% of the combined voting power of the voting securities of which are owned by Stockholders in substantially the same proportions as their ownership of the Company immediately prior to such sale or disposition and (ii) the majority of whose board of directors immediately following such sale or disposition consists of individuals who comprise the Board immediately prior thereto.</w:t>
      </w:r>
    </w:p>
    <w:p>
      <w:pPr>
        <w:spacing w:after="0" w:line="216"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22"/>
          <w:szCs w:val="22"/>
          <w:color w:val="auto"/>
        </w:rPr>
        <w:t>Notwithstanding the foregoing, (i)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584"/>
          </w:cols>
          <w:pgMar w:left="976" w:top="1159" w:right="339" w:bottom="1440" w:gutter="0" w:footer="0" w:header="0"/>
        </w:sectPr>
      </w:pPr>
    </w:p>
    <w:bookmarkStart w:id="112" w:name="page113"/>
    <w:bookmarkEnd w:id="112"/>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entity which owns all or substantially all of the assets of the Company immediately following such transaction or series of transactions and (ii) if required to avoid accelerated taxation and/or tax penalties under Section 409A of the Code, a “Change in Control” shall be deemed to have occurred only if the transaction or event qualifies as a Section 409A Change in Control.</w:t>
      </w:r>
    </w:p>
    <w:p>
      <w:pPr>
        <w:spacing w:after="0" w:line="200" w:lineRule="exact"/>
        <w:rPr>
          <w:sz w:val="20"/>
          <w:szCs w:val="20"/>
          <w:color w:val="auto"/>
        </w:rPr>
      </w:pPr>
    </w:p>
    <w:p>
      <w:pPr>
        <w:spacing w:after="0" w:line="2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Optionee is unable to engage in any substantial activity due to medically determinable physical or medical impairment expected to result in death or to last for a continuous period of not less than 12 months, or (b) if due to any medically determinable physical or mental impairment expected to result in death or last for a continuous period not less than 12 months, Optionee has received income replacement benefits for a period of not less than three months under an accident and health plan sponsored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64" w:lineRule="exact"/>
        <w:rPr>
          <w:sz w:val="20"/>
          <w:szCs w:val="20"/>
          <w:color w:val="auto"/>
        </w:rPr>
      </w:pPr>
    </w:p>
    <w:p>
      <w:pPr>
        <w:jc w:val="both"/>
        <w:ind w:left="1300" w:hanging="644"/>
        <w:spacing w:after="0" w:line="257" w:lineRule="auto"/>
        <w:tabs>
          <w:tab w:leader="none" w:pos="132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Optionee’s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99" w:lineRule="exact"/>
        <w:rPr>
          <w:rFonts w:ascii="Times New Roman" w:cs="Times New Roman" w:eastAsia="Times New Roman" w:hAnsi="Times New Roman"/>
          <w:sz w:val="22"/>
          <w:szCs w:val="22"/>
          <w:color w:val="auto"/>
        </w:rPr>
      </w:pPr>
    </w:p>
    <w:p>
      <w:pPr>
        <w:ind w:left="1300" w:hanging="644"/>
        <w:spacing w:after="0" w:line="271" w:lineRule="auto"/>
        <w:tabs>
          <w:tab w:leader="none" w:pos="123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Optionee by the Company; or</w:t>
      </w:r>
    </w:p>
    <w:p>
      <w:pPr>
        <w:spacing w:after="0" w:line="198"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Optionee to another primary office more than 50 miles from the current office location, which reassignment is not otherwise approved by the Board.</w:t>
      </w:r>
    </w:p>
    <w:p>
      <w:pPr>
        <w:spacing w:after="0" w:line="18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Optionee must notify the Company of Optionee’s intention to invoke termination for Good Reason within 90 days after Optionee has knowledge of such event and provide the Company 30 days’ opportunity for cure, and Optionee must actually terminate Optionee’s employment with the Company prior to the 365th day following such occurrence or such event shall not constitute Good Reason. Optionee may not invoke termination for Good Reason if Cause exists or Optionee has violated Section II.B.3 of the Agreement at the time of such termination.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Value per Share</w:t>
      </w:r>
      <w:r>
        <w:rPr>
          <w:rFonts w:ascii="Times New Roman" w:cs="Times New Roman" w:eastAsia="Times New Roman" w:hAnsi="Times New Roman"/>
          <w:sz w:val="22"/>
          <w:szCs w:val="22"/>
          <w:color w:val="auto"/>
        </w:rPr>
        <w:t>”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this Agreement and is in compliance with the fair market value pricing rules set forth in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6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Optionee’s status as a Service Provider with the Company and 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for any reason other than:</w:t>
      </w:r>
    </w:p>
    <w:p>
      <w:pPr>
        <w:spacing w:after="0" w:line="196" w:lineRule="exact"/>
        <w:rPr>
          <w:sz w:val="20"/>
          <w:szCs w:val="20"/>
          <w:color w:val="auto"/>
        </w:rPr>
      </w:pPr>
    </w:p>
    <w:p>
      <w:pPr>
        <w:ind w:left="1160" w:hanging="504"/>
        <w:spacing w:after="0"/>
        <w:tabs>
          <w:tab w:leader="none" w:pos="11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3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Optionee without Good Reason.</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 Change in Control</w:t>
      </w:r>
      <w:r>
        <w:rPr>
          <w:rFonts w:ascii="Times New Roman" w:cs="Times New Roman" w:eastAsia="Times New Roman" w:hAnsi="Times New Roman"/>
          <w:sz w:val="22"/>
          <w:szCs w:val="22"/>
          <w:color w:val="auto"/>
        </w:rPr>
        <w:t>” means a “change in the ownership of the corporation,” a “change in effective control of the corporation” or a “change in the ownership of a substantial portion of the assets of the corporation,” within the meaning of Section 409A(a)(2)(A)(v) of the Code.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16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INDUCEMENT 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Potential 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California Addendum (“</w:t>
      </w:r>
      <w:r>
        <w:rPr>
          <w:rFonts w:ascii="Times New Roman" w:cs="Times New Roman" w:eastAsia="Times New Roman" w:hAnsi="Times New Roman"/>
          <w:sz w:val="22"/>
          <w:szCs w:val="22"/>
          <w:b w:val="1"/>
          <w:bCs w:val="1"/>
          <w:i w:val="1"/>
          <w:iCs w:val="1"/>
          <w:color w:val="auto"/>
        </w:rPr>
        <w:t>Addendum</w:t>
      </w:r>
      <w:r>
        <w:rPr>
          <w:rFonts w:ascii="Times New Roman" w:cs="Times New Roman" w:eastAsia="Times New Roman" w:hAnsi="Times New Roman"/>
          <w:sz w:val="22"/>
          <w:szCs w:val="22"/>
          <w:color w:val="auto"/>
        </w:rPr>
        <w:t>”) includes additional terms and conditions that govern the Option granted to you under the Non-Qualified Stock Option Inducement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These additional terms and conditions modify and amend the Agreement, to the extent provided for in this Addendum, during any period in which Optionee is employed and/or resides in California, or for which the Company determines that the application of the terms and conditions of this Addendum is necessary or advisable in order to comply with applicable law. Certain capitalized terms used but not defined in this Addendum have the meanings set forth in the Agreement that relates to Optionee’s Award. By accepting the Award, Optionee agrees to be bound by the terms and conditions contained in the paragraphs below, the Agreement, and the terms of any other document that may apply to Optionee and the Award.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60"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3" w:lineRule="auto"/>
        <w:tabs>
          <w:tab w:leader="none" w:pos="174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Option or Common Stock to Optionee without Optionee’s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Optionee has with the Company and the relationships and confidential and trade secret information that Optionee has been and will be exposed to because of Optionee’s position.</w:t>
      </w:r>
    </w:p>
    <w:p>
      <w:pPr>
        <w:spacing w:after="0" w:line="188" w:lineRule="exact"/>
        <w:rPr>
          <w:rFonts w:ascii="Times New Roman" w:cs="Times New Roman" w:eastAsia="Times New Roman" w:hAnsi="Times New Roman"/>
          <w:sz w:val="22"/>
          <w:szCs w:val="22"/>
          <w:color w:val="auto"/>
        </w:rPr>
      </w:pPr>
    </w:p>
    <w:p>
      <w:pPr>
        <w:jc w:val="both"/>
        <w:ind w:left="640" w:firstLine="644"/>
        <w:spacing w:after="0" w:line="247" w:lineRule="auto"/>
        <w:tabs>
          <w:tab w:leader="none" w:pos="1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Optionee’s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to the extent specifically required to be disclosed by applicable law, or except as required in the reasonable performance of Optionee’s duties as an employee of the Company. Optionee agrees to notify the Company as soon as reasonably possible after being subpoenaed or otherwise requested by any third party to disclose any Confidential Information, except as required in the reasonable performance of Optionee’s duties as an employee of the Company. This Section II.B.3 shall not result in the forfeiture of the Option or any clawback or recoupment of the Award for the disclosure of a trade secret if that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161" w:right="339" w:bottom="1440" w:gutter="0" w:footer="0" w:header="0"/>
        </w:sectPr>
      </w:pPr>
    </w:p>
    <w:bookmarkStart w:id="115" w:name="page116"/>
    <w:bookmarkEnd w:id="115"/>
    <w:p>
      <w:pPr>
        <w:jc w:val="both"/>
        <w:ind w:left="-6" w:firstLine="6"/>
        <w:spacing w:after="0" w:line="246" w:lineRule="auto"/>
        <w:tabs>
          <w:tab w:leader="none" w:pos="25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confidence to a federal, state or local government official or to an attorney for the sole purpose of reporting or investigating a suspected violation of law or (ii) is made in a complaint or other document filed in a lawsuit or other proceeding, if such filing is made under seal. Pursuant to 18 U.S.C. § 1833(b), and as set forth fully therein, notice is hereby given that Optionee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22"/>
          <w:szCs w:val="22"/>
          <w:b w:val="1"/>
          <w:bCs w:val="1"/>
          <w:i w:val="1"/>
          <w:iCs w:val="1"/>
          <w:color w:val="auto"/>
        </w:rPr>
        <w:t>Arrangements</w:t>
      </w:r>
      <w:r>
        <w:rPr>
          <w:rFonts w:ascii="Times New Roman" w:cs="Times New Roman" w:eastAsia="Times New Roman" w:hAnsi="Times New Roman"/>
          <w:sz w:val="22"/>
          <w:szCs w:val="22"/>
          <w:color w:val="auto"/>
        </w:rPr>
        <w:t>”)): (x) nothing in the Arrangements or otherwise limits Optionee’s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(y) nothing in the Arrangements or otherwise prohibits or is intended to restrict or impede Optionee from discussing the terms and conditions of their employment with coworkers or union representatives or exercising protected rights under Section 7 of the National Labor Relations Act, or prevents Optionee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Optionee is not prohibited from providing information (including documents) voluntarily to the Securities and Exchange Commission pursuant to Section 21F of the Exchange Act). The Company nonetheless asserts and does not waive its attorney-client privilege over any information (including documents) appropriately protected by privilege.</w:t>
      </w:r>
    </w:p>
    <w:p>
      <w:pPr>
        <w:spacing w:after="0" w:line="195" w:lineRule="exact"/>
        <w:rPr>
          <w:rFonts w:ascii="Times New Roman" w:cs="Times New Roman" w:eastAsia="Times New Roman" w:hAnsi="Times New Roman"/>
          <w:sz w:val="22"/>
          <w:szCs w:val="22"/>
          <w:color w:val="auto"/>
        </w:rPr>
      </w:pPr>
    </w:p>
    <w:p>
      <w:pPr>
        <w:jc w:val="both"/>
        <w:ind w:left="-6" w:firstLine="644"/>
        <w:spacing w:after="0" w:line="250" w:lineRule="auto"/>
        <w:tabs>
          <w:tab w:leader="none" w:pos="108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Optionee further understands and agrees that while Optionee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Optionee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594"/>
          </w:cols>
          <w:pgMar w:left="966" w:top="1165" w:right="339"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22"/>
          <w:szCs w:val="22"/>
          <w:color w:val="auto"/>
        </w:rPr>
        <w:t>period prior to the date of employment termination and with which Optionee was involved and/or oversaw.</w:t>
      </w:r>
    </w:p>
    <w:p>
      <w:pPr>
        <w:spacing w:after="0" w:line="216" w:lineRule="exact"/>
        <w:rPr>
          <w:sz w:val="20"/>
          <w:szCs w:val="20"/>
          <w:color w:val="auto"/>
        </w:rPr>
      </w:pPr>
    </w:p>
    <w:p>
      <w:pPr>
        <w:jc w:val="both"/>
        <w:ind w:left="640" w:firstLine="644"/>
        <w:spacing w:after="0" w:line="258" w:lineRule="auto"/>
        <w:tabs>
          <w:tab w:leader="none" w:pos="18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Optionee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Optionee’s actions are or will be in violation of this Section II.B.3. Optionee may request in writing from the Board an advance determination as to whether Optionee’s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740" w:hanging="456"/>
        <w:spacing w:after="0"/>
        <w:tabs>
          <w:tab w:leader="none" w:pos="17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7" w:lineRule="exact"/>
        <w:rPr>
          <w:rFonts w:ascii="Times New Roman" w:cs="Times New Roman" w:eastAsia="Times New Roman" w:hAnsi="Times New Roman"/>
          <w:sz w:val="22"/>
          <w:szCs w:val="22"/>
          <w:color w:val="auto"/>
        </w:rPr>
      </w:pPr>
    </w:p>
    <w:p>
      <w:pPr>
        <w:jc w:val="both"/>
        <w:ind w:left="1300" w:firstLine="622"/>
        <w:spacing w:after="0" w:line="251" w:lineRule="auto"/>
        <w:tabs>
          <w:tab w:leader="none" w:pos="2379"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(A) during the Optionee’s employment with the Company, the Company and any and all direct and indirect subsidiary, parent, affiliated or related companies of the Company for which the Optionee has worked or had responsibility during the Optionee’s employment with the Company, and (B) after the Optionee’s termination of employment with the Company, the Company and any and all direct and indirect subsidiary, parent, affiliated or related companies of the Company for which Optionee worked or had responsibility at the time of the Optionee’s termination of employment and at any time during the one-year period prior to such termination of employment.</w:t>
      </w:r>
    </w:p>
    <w:p>
      <w:pPr>
        <w:spacing w:after="0" w:line="172"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7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Optionee can establish was already in the public domain at the time of disclosure through no fault of Optionee.</w:t>
      </w:r>
    </w:p>
    <w:p>
      <w:pPr>
        <w:spacing w:after="0" w:line="194"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Optionee.”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II.B.21 is added to the Agreement to read as follows:</w:t>
      </w:r>
    </w:p>
    <w:p>
      <w:pPr>
        <w:spacing w:after="0" w:line="247" w:lineRule="exact"/>
        <w:rPr>
          <w:sz w:val="20"/>
          <w:szCs w:val="20"/>
          <w:color w:val="auto"/>
        </w:rPr>
      </w:pPr>
    </w:p>
    <w:p>
      <w:pPr>
        <w:ind w:firstLine="52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Optionee’s privacy. In order to administer Optionee’s equity award, the Company collects and uses certain personal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65" w:right="3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about Optionee, including Optionee’s prior equity grant information where applicable. If Optionee is a California resident, Optionee should refer to the Company’s California Consumer Privacy Act Notice for more information about the personal information the Company collects about Optionee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165"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Severance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412"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__________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w:t>
      </w:r>
    </w:p>
    <w:p>
      <w:pPr>
        <w:spacing w:after="0" w:line="2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entered into by and between TriMas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Thomas J. Snyder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is an executive of the Company and is expected to make major contributions to the growth and financial strength of the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desires to provide additional inducement for the Executive to continue to remain in the employ of the Company by providing certain severance benefits in the event of certain terminations of the Executive’s employment by the Company outside of a Change in Control (as defined below);</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also recognizes that the possibility of a Change in Control exists and that such possibility, and the uncertainty it may create among management, may result in the distraction or departure of management personnel, to the detriment of the Company and its stockholders;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help assure itself of the continuity of management and desires to establish certain minimum severance benefits for certain of its executives, including the Executive, applicable including in the event of a Change in Control; and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wishes to help ensure that its executives are not unduly distracted by the circumstances attendant to the possibility of a Change in Control and to encourage the continued attention and dedication of such executives, including the Executive, to their assigned duties with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agree as follows:</w:t>
      </w:r>
    </w:p>
    <w:p>
      <w:pPr>
        <w:spacing w:after="0" w:line="206" w:lineRule="exact"/>
        <w:rPr>
          <w:sz w:val="20"/>
          <w:szCs w:val="20"/>
          <w:color w:val="auto"/>
        </w:rPr>
      </w:pPr>
    </w:p>
    <w:p>
      <w:pPr>
        <w:ind w:firstLine="656"/>
        <w:spacing w:after="0" w:line="236" w:lineRule="auto"/>
        <w:tabs>
          <w:tab w:leader="none" w:pos="129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In addition to terms defined elsewhere herein, the following terms have the following meanings when used in this Agreement with initial capital letters:</w:t>
      </w:r>
    </w:p>
    <w:p>
      <w:pPr>
        <w:spacing w:after="0" w:line="177" w:lineRule="exact"/>
        <w:rPr>
          <w:sz w:val="20"/>
          <w:szCs w:val="20"/>
          <w:color w:val="auto"/>
        </w:rPr>
      </w:pPr>
    </w:p>
    <w:p>
      <w:pPr>
        <w:ind w:left="1120" w:hanging="464"/>
        <w:spacing w:after="0"/>
        <w:tabs>
          <w:tab w:leader="none" w:pos="11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Rule 12b-2 promulgated under Section 12 of the Exchange Act.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have the meaning set forth in Rule 13d-3 under the Exchange Act.</w:t>
      </w:r>
    </w:p>
    <w:p>
      <w:pPr>
        <w:sectPr>
          <w:pgSz w:w="11900" w:h="16838" w:orient="portrait"/>
          <w:cols w:equalWidth="0" w:num="1">
            <w:col w:w="11240"/>
          </w:cols>
          <w:pgMar w:left="320" w:top="1404" w:right="339" w:bottom="1440" w:gutter="0" w:footer="0" w:header="0"/>
        </w:sectPr>
      </w:pPr>
    </w:p>
    <w:bookmarkStart w:id="120" w:name="page121"/>
    <w:bookmarkEnd w:id="120"/>
    <w:p>
      <w:pPr>
        <w:spacing w:after="0" w:line="185" w:lineRule="exact"/>
        <w:rPr>
          <w:sz w:val="20"/>
          <w:szCs w:val="20"/>
          <w:color w:val="auto"/>
        </w:rPr>
      </w:pPr>
    </w:p>
    <w:p>
      <w:pPr>
        <w:ind w:left="464" w:hanging="464"/>
        <w:spacing w:after="0"/>
        <w:tabs>
          <w:tab w:leader="none" w:pos="46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215"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11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crime constituting a felony under the laws of the United States or any State thereof or any other jurisdiction in which the Company or its subsidiaries conduct business;</w:t>
      </w:r>
    </w:p>
    <w:p>
      <w:pPr>
        <w:spacing w:after="0" w:line="183" w:lineRule="exact"/>
        <w:rPr>
          <w:rFonts w:ascii="Times New Roman" w:cs="Times New Roman" w:eastAsia="Times New Roman" w:hAnsi="Times New Roman"/>
          <w:sz w:val="22"/>
          <w:szCs w:val="22"/>
          <w:color w:val="auto"/>
        </w:rPr>
      </w:pPr>
    </w:p>
    <w:p>
      <w:pPr>
        <w:ind w:left="4" w:firstLine="644"/>
        <w:spacing w:after="0" w:line="271" w:lineRule="auto"/>
        <w:tabs>
          <w:tab w:leader="none" w:pos="118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misconduct in the performance of his duties to the Company or its subsidiaries and failure to cure such breach within 30 days following written notice thereof from the Company;</w:t>
      </w:r>
    </w:p>
    <w:p>
      <w:pPr>
        <w:spacing w:after="0" w:line="157"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25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or refusal to follow directions from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failure to cure such breach within 30 days following written notice thereof from the Board; or</w:t>
      </w:r>
    </w:p>
    <w:p>
      <w:pPr>
        <w:spacing w:after="0" w:line="157"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breach of fiduciary duty to the Company or its subsidiaries for personal profit.</w:t>
      </w:r>
    </w:p>
    <w:p>
      <w:pPr>
        <w:spacing w:after="0" w:line="220" w:lineRule="exact"/>
        <w:rPr>
          <w:sz w:val="20"/>
          <w:szCs w:val="20"/>
          <w:color w:val="auto"/>
        </w:rPr>
      </w:pPr>
    </w:p>
    <w:p>
      <w:pPr>
        <w:jc w:val="both"/>
        <w:ind w:left="4"/>
        <w:spacing w:after="0" w:line="284" w:lineRule="auto"/>
        <w:rPr>
          <w:sz w:val="20"/>
          <w:szCs w:val="20"/>
          <w:color w:val="auto"/>
        </w:rPr>
      </w:pPr>
      <w:r>
        <w:rPr>
          <w:rFonts w:ascii="Times New Roman" w:cs="Times New Roman" w:eastAsia="Times New Roman" w:hAnsi="Times New Roman"/>
          <w:sz w:val="22"/>
          <w:szCs w:val="22"/>
          <w:color w:val="auto"/>
        </w:rPr>
        <w:t>Any failure by the Company or a subsidiary to notify the Executive after the first occurrence of an event constituting Cause shall not preclude any subsequent occurrences of such event (or a similar event) from constituting Cause.</w:t>
      </w:r>
    </w:p>
    <w:p>
      <w:pPr>
        <w:spacing w:after="0" w:line="144"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Notwithstanding the foregoing, no termination of the Executive’s employment shall qualify as a termination for Cause unless (x) the Company notifies the Executive in writing of the Company’s intention to terminate the Executive’s employment for Cause within 90 days following the initial existence of such occurrence or event, (y) the Executive fails to cure such occurrence or event within 30 days after receipt of such notice from the Company and (z) the Company terminates the Executive’s employment within 45 days after the expiration of the Executive’s cure period in subsection</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(y).</w:t>
      </w:r>
    </w:p>
    <w:p>
      <w:pPr>
        <w:spacing w:after="0" w:line="196" w:lineRule="exact"/>
        <w:rPr>
          <w:sz w:val="20"/>
          <w:szCs w:val="20"/>
          <w:color w:val="auto"/>
        </w:rPr>
      </w:pPr>
    </w:p>
    <w:p>
      <w:pPr>
        <w:ind w:left="464" w:hanging="464"/>
        <w:spacing w:after="0"/>
        <w:tabs>
          <w:tab w:leader="none" w:pos="46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8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178" w:lineRule="exact"/>
        <w:rPr>
          <w:rFonts w:ascii="Times New Roman" w:cs="Times New Roman" w:eastAsia="Times New Roman" w:hAnsi="Times New Roman"/>
          <w:sz w:val="22"/>
          <w:szCs w:val="22"/>
          <w:color w:val="auto"/>
        </w:rPr>
      </w:pPr>
    </w:p>
    <w:p>
      <w:pPr>
        <w:jc w:val="both"/>
        <w:ind w:left="-76" w:firstLine="724"/>
        <w:spacing w:after="0" w:line="251" w:lineRule="auto"/>
        <w:tabs>
          <w:tab w:leader="none" w:pos="12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on the Board: individuals who, on the date hereof, constitute the Board and any new member of the Board (a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Company’s stockholders was approved or recommended by a vote of at least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440" w:right="339" w:bottom="144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22"/>
          <w:szCs w:val="22"/>
          <w:color w:val="auto"/>
        </w:rPr>
        <w:t>thirds of the Directors then still in office who either were Directors on the date of this Agreement or whose appointment, election or nomination for election was previously so approved or recommended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shall be considered a member of the Incumbent Board if such individual initially assumed office as a result of either an actual or threatened election contest (an “</w:t>
      </w:r>
      <w:r>
        <w:rPr>
          <w:rFonts w:ascii="Times New Roman" w:cs="Times New Roman" w:eastAsia="Times New Roman" w:hAnsi="Times New Roman"/>
          <w:sz w:val="22"/>
          <w:szCs w:val="22"/>
          <w:u w:val="single" w:color="auto"/>
          <w:color w:val="auto"/>
        </w:rPr>
        <w:t>Election Contest</w:t>
      </w:r>
      <w:r>
        <w:rPr>
          <w:rFonts w:ascii="Times New Roman" w:cs="Times New Roman" w:eastAsia="Times New Roman" w:hAnsi="Times New Roman"/>
          <w:sz w:val="22"/>
          <w:szCs w:val="22"/>
          <w:color w:val="auto"/>
        </w:rPr>
        <w:t>”) or other actual or threatened solicitation of proxies or consents by or on behalf of a Person other than the Board (a “</w:t>
      </w:r>
      <w:r>
        <w:rPr>
          <w:rFonts w:ascii="Times New Roman" w:cs="Times New Roman" w:eastAsia="Times New Roman" w:hAnsi="Times New Roman"/>
          <w:sz w:val="22"/>
          <w:szCs w:val="22"/>
          <w:u w:val="single" w:color="auto"/>
          <w:color w:val="auto"/>
        </w:rPr>
        <w:t>Proxy Contest</w:t>
      </w:r>
      <w:r>
        <w:rPr>
          <w:rFonts w:ascii="Times New Roman" w:cs="Times New Roman" w:eastAsia="Times New Roman" w:hAnsi="Times New Roman"/>
          <w:sz w:val="22"/>
          <w:szCs w:val="22"/>
          <w:color w:val="auto"/>
        </w:rPr>
        <w:t>”), including by reason of any agreement intended to avoid or settle any Election Contest or Proxy Contest;</w:t>
      </w:r>
    </w:p>
    <w:p>
      <w:pPr>
        <w:spacing w:after="0" w:line="181" w:lineRule="exact"/>
        <w:rPr>
          <w:sz w:val="20"/>
          <w:szCs w:val="20"/>
          <w:color w:val="auto"/>
        </w:rPr>
      </w:pPr>
    </w:p>
    <w:p>
      <w:pPr>
        <w:jc w:val="both"/>
        <w:ind w:left="80" w:firstLine="644"/>
        <w:spacing w:after="0" w:line="260" w:lineRule="auto"/>
        <w:tabs>
          <w:tab w:leader="none" w:pos="1373"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85" w:lineRule="exact"/>
        <w:rPr>
          <w:rFonts w:ascii="Times New Roman" w:cs="Times New Roman" w:eastAsia="Times New Roman" w:hAnsi="Times New Roman"/>
          <w:sz w:val="21"/>
          <w:szCs w:val="21"/>
          <w:color w:val="auto"/>
        </w:rPr>
      </w:pPr>
    </w:p>
    <w:p>
      <w:pPr>
        <w:jc w:val="both"/>
        <w:ind w:left="80" w:firstLine="644"/>
        <w:spacing w:after="0" w:line="247" w:lineRule="auto"/>
        <w:tabs>
          <w:tab w:leader="none" w:pos="130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01" w:lineRule="exact"/>
        <w:rPr>
          <w:sz w:val="20"/>
          <w:szCs w:val="20"/>
          <w:color w:val="auto"/>
        </w:rPr>
      </w:pPr>
    </w:p>
    <w:p>
      <w:pPr>
        <w:ind w:left="80"/>
        <w:spacing w:after="0" w:line="271" w:lineRule="auto"/>
        <w:rPr>
          <w:sz w:val="20"/>
          <w:szCs w:val="20"/>
          <w:color w:val="auto"/>
        </w:rPr>
      </w:pPr>
      <w:r>
        <w:rPr>
          <w:rFonts w:ascii="Times New Roman" w:cs="Times New Roman" w:eastAsia="Times New Roman" w:hAnsi="Times New Roman"/>
          <w:sz w:val="22"/>
          <w:szCs w:val="22"/>
          <w:color w:val="auto"/>
        </w:rPr>
        <w:t>Notwithstanding the foregoing, (x) a “Change in Control” shall not be deemed to have occurred by virtue of the consummation of any transaction or series of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900" w:top="1165" w:right="339" w:bottom="1440" w:gutter="0" w:footer="0" w:header="0"/>
        </w:sectPr>
      </w:pPr>
    </w:p>
    <w:bookmarkStart w:id="122" w:name="page123"/>
    <w:bookmarkEnd w:id="122"/>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if required to avoid accelerated taxation and/or tax penalties under Section 409A of the Code, a “Change in Control” shall be deemed to have occurred only if the transaction or event qualifies as a Section 409A Change in Control.</w:t>
      </w:r>
    </w:p>
    <w:p>
      <w:pPr>
        <w:spacing w:after="0" w:line="181" w:lineRule="exact"/>
        <w:rPr>
          <w:sz w:val="20"/>
          <w:szCs w:val="20"/>
          <w:color w:val="auto"/>
        </w:rPr>
      </w:pPr>
    </w:p>
    <w:p>
      <w:pPr>
        <w:ind w:left="1120" w:hanging="464"/>
        <w:spacing w:after="0"/>
        <w:tabs>
          <w:tab w:leader="none" w:pos="11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Multiplier</w:t>
      </w:r>
      <w:r>
        <w:rPr>
          <w:rFonts w:ascii="Times New Roman" w:cs="Times New Roman" w:eastAsia="Times New Roman" w:hAnsi="Times New Roman"/>
          <w:sz w:val="22"/>
          <w:szCs w:val="22"/>
          <w:color w:val="auto"/>
        </w:rPr>
        <w:t>” means 2.0.</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0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24-month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(i) the Executive is unable to engage in any substantial activity due to medically determinable physical or medical impairment expected to result in death or to last for a continuous period of not less than 12 months, or (ii) if due to any medically determinable physical or mental impairment expected to result in death or last for a continuous period not less than 12 months, the Executive has received income replacement benefits for a period of not less than three months under an accident and health plan sponsored by the Company.</w:t>
      </w:r>
    </w:p>
    <w:p>
      <w:pPr>
        <w:spacing w:after="0" w:line="178" w:lineRule="exact"/>
        <w:rPr>
          <w:rFonts w:ascii="Times New Roman" w:cs="Times New Roman" w:eastAsia="Times New Roman" w:hAnsi="Times New Roman"/>
          <w:sz w:val="22"/>
          <w:szCs w:val="22"/>
          <w:color w:val="auto"/>
        </w:rPr>
      </w:pPr>
    </w:p>
    <w:p>
      <w:pPr>
        <w:ind w:right="20" w:firstLine="656"/>
        <w:spacing w:after="0" w:line="284" w:lineRule="auto"/>
        <w:tabs>
          <w:tab w:leader="none" w:pos="126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thereunder, as such law, rules and regulations may be amended from time to time.</w:t>
      </w:r>
    </w:p>
    <w:p>
      <w:pPr>
        <w:spacing w:after="0" w:line="14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6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the Executive’s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the Executive by the Company; or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the Executive to another primary office more than 50 miles from the current office location, which reassignment is not otherwise approved by the Board.</w:t>
      </w:r>
    </w:p>
    <w:p>
      <w:pPr>
        <w:spacing w:after="0" w:line="1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The Executive must notify the Company of the Executive’s intention to invoke termination for Good Reason within 90 days after the Executive has knowledge of such event and provide the Company 30 days’ opportunity for cure, and the Executive must actually terminate the Executive’s employment with the Company prior to the 365th day following such occurrence or such event shall not constitute Good Reason. The Executive may not invoke termination for Good Reason if Cause exists or the Executive has violated Section 10 of the Agreement at the time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65" w:right="339" w:bottom="1440" w:gutter="0" w:footer="0" w:header="0"/>
        </w:sectPr>
      </w:pPr>
    </w:p>
    <w:bookmarkStart w:id="123" w:name="page124"/>
    <w:bookmarkEnd w:id="123"/>
    <w:p>
      <w:pPr>
        <w:ind w:left="1080" w:hanging="424"/>
        <w:spacing w:after="0"/>
        <w:tabs>
          <w:tab w:leader="none" w:pos="10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Multiplier</w:t>
      </w:r>
      <w:r>
        <w:rPr>
          <w:rFonts w:ascii="Times New Roman" w:cs="Times New Roman" w:eastAsia="Times New Roman" w:hAnsi="Times New Roman"/>
          <w:sz w:val="22"/>
          <w:szCs w:val="22"/>
          <w:color w:val="auto"/>
        </w:rPr>
        <w:t>” means 1.0.</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14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12-month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06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Term</w:t>
      </w:r>
      <w:r>
        <w:rPr>
          <w:rFonts w:ascii="Times New Roman" w:cs="Times New Roman" w:eastAsia="Times New Roman" w:hAnsi="Times New Roman"/>
          <w:sz w:val="22"/>
          <w:szCs w:val="22"/>
          <w:color w:val="auto"/>
        </w:rPr>
        <w:t xml:space="preserve">” shall mean (i) the Non-CIC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(ii) the 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(iii) 24 months following the termination of the Executive’s employment with the Company if the Executive’s employment has terminated in any other manner.</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8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propositions as their ownership of stock of the Company.</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24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shall be defined for purposes of this Agreement as a termination of the Executive’s employment with the Company for any reason other than:</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(as defined in this Agreement);</w:t>
      </w:r>
    </w:p>
    <w:p>
      <w:pPr>
        <w:spacing w:after="0" w:line="21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(as defined in this Agreement); or</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by the Executive without Good Reason (as defined in this Agreement).</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Section 409A Change in Control</w:t>
      </w:r>
      <w:r>
        <w:rPr>
          <w:rFonts w:ascii="Times New Roman" w:cs="Times New Roman" w:eastAsia="Times New Roman" w:hAnsi="Times New Roman"/>
          <w:sz w:val="22"/>
          <w:szCs w:val="22"/>
          <w:color w:val="auto"/>
        </w:rPr>
        <w:t>” means a “change in the ownership of the corporation,” a “change in effective control of the corporation” or a “change in the ownership of a substantial portion of the assets of the corporation,” within the meaning of Section 409A(a)(2)(A)(v) of the Code.</w:t>
      </w:r>
    </w:p>
    <w:p>
      <w:pPr>
        <w:spacing w:after="0" w:line="167" w:lineRule="exact"/>
        <w:rPr>
          <w:sz w:val="20"/>
          <w:szCs w:val="20"/>
          <w:color w:val="auto"/>
        </w:rPr>
      </w:pPr>
    </w:p>
    <w:p>
      <w:pPr>
        <w:jc w:val="both"/>
        <w:ind w:firstLine="656"/>
        <w:spacing w:after="0" w:line="248"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Effective Date and expire on the five-year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provided, however, that: (a) on the five-year anniversary of the Effective Date and each one-year anniversary thereafter (each such one-year period, an “</w:t>
      </w:r>
      <w:r>
        <w:rPr>
          <w:rFonts w:ascii="Times New Roman" w:cs="Times New Roman" w:eastAsia="Times New Roman" w:hAnsi="Times New Roman"/>
          <w:sz w:val="22"/>
          <w:szCs w:val="22"/>
          <w:u w:val="single" w:color="auto"/>
          <w:color w:val="auto"/>
        </w:rPr>
        <w:t>Additional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will automatically be extended for an additional year unless, not later than 90 days prior to end of the Term, the Company or the Executive shall have given notice to the other that it or the Executive, as applicable, does not wish to have the Term so extended; (b) if, prior to a Change in Control, the Executive ceases for any reason to be an employee of the Company or any Affiliate of the Company, thereupon without further action the Term shall be deemed to have expired and this Agreement will immediately terminate and be of no further effect (but subject to satisfaction of the terms and conditions of this Agreement regarding such termination, including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65" w:right="339" w:bottom="1440" w:gutter="0" w:footer="0" w:header="0"/>
        </w:sectPr>
      </w:pPr>
    </w:p>
    <w:bookmarkStart w:id="124" w:name="page125"/>
    <w:bookmarkEnd w:id="124"/>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any Anticipatory Termination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Agreement);]and (c) notwithstanding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after a Change in Control, this Agreement may not be terminated or amended in any manner prior to the fifth business day following the two-year anniversary of the Change in Control without the prior written consent of the Executive.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Executive shall not be deemed to have ceased to be an employee of the Company and any Affiliate of the Company by reason of the transfer of the Executive’s employment between the Company and any Affiliate of the Company, or among any Affiliates of the Company.</w:t>
      </w:r>
    </w:p>
    <w:p>
      <w:pPr>
        <w:spacing w:after="0" w:line="181" w:lineRule="exact"/>
        <w:rPr>
          <w:sz w:val="20"/>
          <w:szCs w:val="20"/>
          <w:color w:val="auto"/>
        </w:rPr>
      </w:pPr>
    </w:p>
    <w:p>
      <w:pPr>
        <w:jc w:val="both"/>
        <w:ind w:firstLine="656"/>
        <w:spacing w:after="0" w:line="253"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for Good Reason Prior to a Change in Control (and Absent Anticipatory Termination)</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if the Executive’s employment is involuntarily terminated by the Company for any reason other than Cause, Disability or death, or if the Executive’s employment is terminated by the Executive for Good Reason, then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79" w:lineRule="exact"/>
        <w:rPr>
          <w:sz w:val="20"/>
          <w:szCs w:val="20"/>
          <w:color w:val="auto"/>
        </w:rPr>
      </w:pPr>
    </w:p>
    <w:p>
      <w:pPr>
        <w:jc w:val="both"/>
        <w:ind w:firstLine="656"/>
        <w:spacing w:after="0" w:line="262" w:lineRule="auto"/>
        <w:tabs>
          <w:tab w:leader="none" w:pos="12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an amount equal to the product of (i) the Non-CIC Multiplier, multiplied by (ii) the sum of (A) the Executive’s annual base salary in effect on the date of termination (without regard to any reduction giving rise to Good Reason) and (B) the Executive’s target Short-Term Incentive Plan (as in effect from time to time, the “</w:t>
      </w:r>
      <w:r>
        <w:rPr>
          <w:rFonts w:ascii="Times New Roman" w:cs="Times New Roman" w:eastAsia="Times New Roman" w:hAnsi="Times New Roman"/>
          <w:sz w:val="21"/>
          <w:szCs w:val="21"/>
          <w:u w:val="single" w:color="auto"/>
          <w:color w:val="auto"/>
        </w:rPr>
        <w:t>Short-Term Incentive Plan</w:t>
      </w:r>
      <w:r>
        <w:rPr>
          <w:rFonts w:ascii="Times New Roman" w:cs="Times New Roman" w:eastAsia="Times New Roman" w:hAnsi="Times New Roman"/>
          <w:sz w:val="21"/>
          <w:szCs w:val="21"/>
          <w:color w:val="auto"/>
        </w:rPr>
        <w:t>”) bonus for the full year of termination at the level in effect immediately prior to the date of termination (without regard to any reduction giving rise to Good Reason), payable in equal installments in accordance with the Company’s payroll practices as in effect from time to time, commencing on the 60th day following the date of termination and ending on the last payroll date of the Company in the last month of the Non-CIC Period, provided that the first such payment shall include all amounts that would have been paid to the Executive in accordance with the Company’s payroll practices if such payments had begun on the date of termination;</w:t>
      </w:r>
    </w:p>
    <w:p>
      <w:pPr>
        <w:spacing w:after="0" w:line="172" w:lineRule="exact"/>
        <w:rPr>
          <w:rFonts w:ascii="Times New Roman" w:cs="Times New Roman" w:eastAsia="Times New Roman" w:hAnsi="Times New Roman"/>
          <w:sz w:val="21"/>
          <w:szCs w:val="21"/>
          <w:color w:val="auto"/>
        </w:rPr>
      </w:pPr>
    </w:p>
    <w:p>
      <w:pPr>
        <w:ind w:firstLine="656"/>
        <w:spacing w:after="0" w:line="284" w:lineRule="auto"/>
        <w:tabs>
          <w:tab w:leader="none" w:pos="112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(i) accrued but unpaid base salary through the date of termination and (ii) earned but unused vacation through the date of termination, payable by the next payroll date following termination of employment;</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paid, payable in accordance with the terms of the Short-Term Incentive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33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through the Executive’s employment termination date, payable in accordance with the terms of the Short-Term Incentive Plan;</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3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elects to continue group health care coverage under the Consolidated 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subject to the Company’s COBRA policies, the Company will reimburse the Executive for the employer’s portion of premiums for continued group health coverage under COBRA until the earliest of (i) the termination of the Executive’s COBRA period, (ii) the expiration of the Non-CIC Period, or (iii) the date on which the Executive becomes eligible to receive any medical benefits under any plan or program of any other employer. The Executive will be responsible for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65"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COBRA premium and will be reimbursed by the Company for the portion of the premium that the Company would have paid if the Executive had continued to be an employee of the Company. If the COBRA period expires before the applicable Non-CIC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Non-CIC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will be treated as taxable to the Executive;</w:t>
      </w:r>
    </w:p>
    <w:p>
      <w:pPr>
        <w:spacing w:after="0" w:line="182" w:lineRule="exact"/>
        <w:rPr>
          <w:sz w:val="20"/>
          <w:szCs w:val="20"/>
          <w:color w:val="auto"/>
        </w:rPr>
      </w:pPr>
    </w:p>
    <w:p>
      <w:pPr>
        <w:jc w:val="both"/>
        <w:ind w:firstLine="656"/>
        <w:spacing w:after="0" w:line="256" w:lineRule="auto"/>
        <w:tabs>
          <w:tab w:leader="none" w:pos="111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the applicable portion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and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6" w:lineRule="exact"/>
        <w:rPr>
          <w:sz w:val="20"/>
          <w:szCs w:val="20"/>
          <w:color w:val="auto"/>
        </w:rPr>
      </w:pPr>
    </w:p>
    <w:p>
      <w:pPr>
        <w:jc w:val="both"/>
        <w:ind w:firstLine="656"/>
        <w:spacing w:after="0" w:line="251"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Following a Change in Control (or Anticipatory Termination)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if the Executive’s employment with the Company terminates by reason of a Qualifying Termination within two years after a Change in Control (or within ninety (90) days prior to a Change in Control (such termination occurring within ninety (90) days prior to a Change in Control, “Anticipatory Termination”)), then, in place of any other severance payments, benefits or other consideration, pursuant to this Agreement, and subject to all legal requirements,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81" w:lineRule="exact"/>
        <w:rPr>
          <w:sz w:val="20"/>
          <w:szCs w:val="20"/>
          <w:color w:val="auto"/>
        </w:rPr>
      </w:pPr>
    </w:p>
    <w:p>
      <w:pPr>
        <w:jc w:val="both"/>
        <w:ind w:firstLine="656"/>
        <w:spacing w:after="0" w:line="251" w:lineRule="auto"/>
        <w:tabs>
          <w:tab w:leader="none" w:pos="111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a Section 409A Change in Control (but not in the case of any Anticipatory Termination), a lump sum payment payable on the 60th day following the date of the Executive’s termination,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immediately prior to the date of termination (without regard to any reduction giving rise to Good Reason);</w:t>
      </w:r>
    </w:p>
    <w:p>
      <w:pPr>
        <w:spacing w:after="0" w:line="181" w:lineRule="exact"/>
        <w:rPr>
          <w:rFonts w:ascii="Times New Roman" w:cs="Times New Roman" w:eastAsia="Times New Roman" w:hAnsi="Times New Roman"/>
          <w:sz w:val="22"/>
          <w:szCs w:val="22"/>
          <w:color w:val="auto"/>
        </w:rPr>
      </w:pPr>
    </w:p>
    <w:p>
      <w:pPr>
        <w:jc w:val="both"/>
        <w:ind w:firstLine="656"/>
        <w:spacing w:after="0" w:line="264" w:lineRule="auto"/>
        <w:tabs>
          <w:tab w:leader="none" w:pos="113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Change in Control is not a Section 409A Change in Control (or in the event of any Anticipatory Termination), an amount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on the date of termination (without regard to any reduction giving rise to Good Reason), payable in equal installments in accordance with the Company’s payroll practices as in effect from time to time, commencing on the 60th day following the date of termination, and ending on the expiration of the CIC Period, provided that the first such payment shall include all amounts that would have been paid to the Executive in accordance with the Company’s payroll practices if such payments had begun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26" w:name="page127"/>
    <w:bookmarkEnd w:id="126"/>
    <w:p>
      <w:pPr>
        <w:jc w:val="both"/>
        <w:ind w:firstLine="656"/>
        <w:spacing w:after="0" w:line="252" w:lineRule="auto"/>
        <w:tabs>
          <w:tab w:leader="none" w:pos="111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yet paid, payable at the time set forth in the Short-Term Incentive Plan, provided that in no event will the Company be permitted to exercise any negative discretion with respect to the amount of such Short-Term Incentive Plan bonus;</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33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the Executive’s employment termination date, payable in accordance with the terms of the Short-Term Incentive Plan, provided that in no event will the Company be permitted to exercise any negative discretion with respect to the amount of such Short-Term Incentive Plan bonus (the “</w:t>
      </w:r>
      <w:r>
        <w:rPr>
          <w:rFonts w:ascii="Times New Roman" w:cs="Times New Roman" w:eastAsia="Times New Roman" w:hAnsi="Times New Roman"/>
          <w:sz w:val="22"/>
          <w:szCs w:val="22"/>
          <w:u w:val="single" w:color="auto"/>
          <w:color w:val="auto"/>
        </w:rPr>
        <w:t>Prorated 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13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 timely elects to continue group health care coverage under COBRA, and subject to the Company’s COBRA policies, the Company will reimburse the Executive for the employer’s portion of premiums for continued group health coverage under COBRA until the earliest of (i) the termination of the Executive’s COBRA period, (ii) the expiration of the 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will be treated as taxable to the Executive;</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and specifically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9" w:lineRule="exact"/>
        <w:rPr>
          <w:sz w:val="20"/>
          <w:szCs w:val="20"/>
          <w:color w:val="auto"/>
        </w:rPr>
      </w:pPr>
    </w:p>
    <w:p>
      <w:pPr>
        <w:jc w:val="both"/>
        <w:ind w:firstLine="656"/>
        <w:spacing w:after="0" w:line="250"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by the Executive</w:t>
      </w:r>
      <w:r>
        <w:rPr>
          <w:rFonts w:ascii="Times New Roman" w:cs="Times New Roman" w:eastAsia="Times New Roman" w:hAnsi="Times New Roman"/>
          <w:sz w:val="22"/>
          <w:szCs w:val="22"/>
          <w:color w:val="auto"/>
        </w:rPr>
        <w:t xml:space="preserve">. If the Executive voluntarily terminates employment with the Company without Good Reason, the Company shall pay the Executive his (a) accrued but unpaid base salary through the date of termination, (b) earned but unused vacation through the date of termination and (c) Short-Term Incentive Plan bonus payment for the most recently completed bonus term if a bonus has been earned by the Executive under the Short-Term Incentive Plan for such year but not paid. The accrued salary and vacation time shall be payable by the next normal payroll date following the date of the Executive’s termination of employment, and the Short-Term Incentive Plan award shall be payable in accordance with the terms of the Short-Term Incentive Plan. Except for the benefits stated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Executive’s participation in all benefit plans, programs and arrangements of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65" w:right="339" w:bottom="1440" w:gutter="0" w:footer="0" w:header="0"/>
        </w:sectPr>
      </w:pPr>
    </w:p>
    <w:bookmarkStart w:id="127" w:name="page128"/>
    <w:bookmarkEnd w:id="127"/>
    <w:p>
      <w:pPr>
        <w:ind w:right="20"/>
        <w:spacing w:after="0" w:line="271" w:lineRule="auto"/>
        <w:rPr>
          <w:sz w:val="20"/>
          <w:szCs w:val="20"/>
          <w:color w:val="auto"/>
        </w:rPr>
      </w:pPr>
      <w:r>
        <w:rPr>
          <w:rFonts w:ascii="Times New Roman" w:cs="Times New Roman" w:eastAsia="Times New Roman" w:hAnsi="Times New Roman"/>
          <w:sz w:val="22"/>
          <w:szCs w:val="22"/>
          <w:color w:val="auto"/>
        </w:rPr>
        <w:t>cease as of the date of the Executive’s termination of employment and otherwise be governed by the terms of the plans, programs or arrangements, if any, governing such benefits.</w:t>
      </w:r>
    </w:p>
    <w:p>
      <w:pPr>
        <w:spacing w:after="0" w:line="158" w:lineRule="exact"/>
        <w:rPr>
          <w:sz w:val="20"/>
          <w:szCs w:val="20"/>
          <w:color w:val="auto"/>
        </w:rPr>
      </w:pPr>
    </w:p>
    <w:p>
      <w:pPr>
        <w:jc w:val="both"/>
        <w:ind w:firstLine="656"/>
        <w:spacing w:after="0" w:line="249"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If the Company terminates the Executive with Cause, the Company shall pay the Executive his (a) accrued but unpaid base salary through the date of termination, and (b) earned but unused vacation through the date of termination payable by the next normal payroll date following the date of the Executive’s termination of employment. The Executive shall not be entitled to payment of any Short-Term Incentive Plan award, whether declared and unpaid for any prior year, relating to any portion of the year in which the termination occurs or otherwise. Except for the benefits stated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9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Disability</w:t>
      </w:r>
      <w:r>
        <w:rPr>
          <w:rFonts w:ascii="Times New Roman" w:cs="Times New Roman" w:eastAsia="Times New Roman" w:hAnsi="Times New Roman"/>
          <w:sz w:val="22"/>
          <w:szCs w:val="22"/>
          <w:color w:val="auto"/>
        </w:rPr>
        <w:t>. If the Executive’s employment is terminated after it is determined that the Executive is Disabled, then all obligations of the Company to make any further payments under this Agreement, except for earned but unpaid base salary and accrued but unpaid Short-Term Incentive Plan bonus awards, shall terminate on the first to occur of (a) the date that is 6 months after such termination or (b) the date the Executive becomes entitled to benefits under a Company-provided long-term disability program. The earned but unpaid base salary shall be paid by the next normal payroll payment date following termination of the Executive’s employment, and the Short-Term Incentive Plan award shall be paid in accordance with the terms of such plan. The Company may only terminate the Executive on account of Disability after giving due consideration to whether reasonable accommodations can be made under which the Executive is able to fulfill the Executive’s job related duties. The commencement date and expected duration of any physical or mental condition that prevents the Executive from performing job related duties shall be determined by a medical doctor selected by the Company and reasonably acceptable to the Executive. The Company may, in its discretion, require written confirmation from a physician of Disability during any extended absence. Except for the benefits stated above, the Executive’s participation in all other Company benefits shall cease as of the date above on which the Company’s obligation to make payments ceases and otherwise be governed by the terms of the plans, if any, applicable to such benefits.</w:t>
      </w:r>
    </w:p>
    <w:p>
      <w:pPr>
        <w:spacing w:after="0" w:line="18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Executive’s employment terminates due to the Executive’s death, all obligations of the Company to make any further payments under this Agreement, other than an obligation to pay any accrued but unpaid base salary to the date of death and any accrued but unpaid bonuses under the Short-Term Incentive Plan to the date of death, shall terminate upon the Executive’s death. The accrued but unpaid base salary shall be paid by the next normal payroll date following termination of employment, and the accrued but unpaid Short-Term Incentive Plan award shall be paid in accordance with the terms of such plan. In accordance with Company guidelines, the Executive’s qualified dependents shall be reimbursed for the employer portion of COBRA premiums for the Company group medical benefits (including health, dental, vision, EAP and prescription plans), as defined by the plan documents, for a period not to exceed 36 months; provided a timely election to continue health care coverage under COBRA is made and subject to the Company’s COBRA policies. Except for the benefits stated above, the Executive’s participation in all other Company benefits shall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6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as of the date of death and otherwise be governed by the terms of the plans, if any, applicable to such benefits.</w:t>
      </w:r>
    </w:p>
    <w:p>
      <w:pPr>
        <w:spacing w:after="0" w:line="193"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Certain Payments and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56"/>
        <w:spacing w:after="0" w:line="247" w:lineRule="auto"/>
        <w:tabs>
          <w:tab w:leader="none" w:pos="110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Rules</w:t>
      </w:r>
      <w:r>
        <w:rPr>
          <w:rFonts w:ascii="Times New Roman" w:cs="Times New Roman" w:eastAsia="Times New Roman" w:hAnsi="Times New Roman"/>
          <w:sz w:val="22"/>
          <w:szCs w:val="22"/>
          <w:color w:val="auto"/>
        </w:rPr>
        <w:t>. Notwithstanding any provision of this Agreement to the contrary, if any payment or benefit to be paid or provided hereunder or under any other plan or agreement would be an “Excess Parachute Payment,” within the meaning of Section 280G of the Internal Revenue Code of 1986, as amended, and the regulations thereunder, as such law and regulations may be amended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thereto, but for the application of this sentence, then the payments and benefits to be paid or provided hereunder or thereunder (as applicable) shall be reduced to the minimum extent necessary (but in no event to less than zero) so that no portion of any such payment or benefit, as so reduced, constitutes an Excess Parachute Payment; provided, however, that the foregoing reduction shall be made only if and to the extent that such reduction would result in an increase in the aggregate payments and benefits to be provided, determined on an after-tax basis (taking into account the excise tax imposed pursuant to Section 4999 of the Internal Revenue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Executive or the Company, by the Company’s independent accountants or a nationally recognized law firm chosen by the Company. The fact that the Executive’s right to payments or benefits may be reduced by reason of the limitations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of itself limit or otherwise affect any other rights of the Executive under this Agreement. In the event that any payment or benefit is required to be reduced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then the reduction will be made in accordance with Section 409A of the Code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Times New Roman" w:cs="Times New Roman" w:eastAsia="Times New Roman" w:hAnsi="Times New Roman"/>
          <w:sz w:val="22"/>
          <w:szCs w:val="22"/>
          <w:u w:val="single" w:color="auto"/>
          <w:color w:val="auto"/>
        </w:rPr>
        <w:t>280G Regulations</w:t>
      </w:r>
      <w:r>
        <w:rPr>
          <w:rFonts w:ascii="Times New Roman" w:cs="Times New Roman" w:eastAsia="Times New Roman" w:hAnsi="Times New Roman"/>
          <w:sz w:val="22"/>
          <w:szCs w:val="22"/>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w:t>
      </w:r>
    </w:p>
    <w:p>
      <w:pPr>
        <w:spacing w:after="0" w:line="185" w:lineRule="exact"/>
        <w:rPr>
          <w:rFonts w:ascii="Times New Roman" w:cs="Times New Roman" w:eastAsia="Times New Roman" w:hAnsi="Times New Roman"/>
          <w:sz w:val="22"/>
          <w:szCs w:val="22"/>
          <w:color w:val="auto"/>
        </w:rPr>
      </w:pPr>
    </w:p>
    <w:p>
      <w:pPr>
        <w:ind w:firstLine="656"/>
        <w:spacing w:after="0" w:line="271" w:lineRule="auto"/>
        <w:tabs>
          <w:tab w:leader="none" w:pos="122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Repeal</w:t>
      </w:r>
      <w:r>
        <w:rPr>
          <w:rFonts w:ascii="Times New Roman" w:cs="Times New Roman" w:eastAsia="Times New Roman" w:hAnsi="Times New Roman"/>
          <w:sz w:val="22"/>
          <w:szCs w:val="22"/>
          <w:color w:val="auto"/>
        </w:rPr>
        <w:t xml:space="preserve">. In the event that the provisions of Sections 280G and 4999 of the Code are repealed without succession,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of no further force or effect.</w:t>
      </w:r>
    </w:p>
    <w:p>
      <w:pPr>
        <w:spacing w:after="0" w:line="131"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Confidentiality; Release of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Company’s entry into this Agreement with the Executive, the Executive shall comply with the following:</w:t>
      </w:r>
    </w:p>
    <w:p>
      <w:pPr>
        <w:spacing w:after="0" w:line="245" w:lineRule="exact"/>
        <w:rPr>
          <w:sz w:val="20"/>
          <w:szCs w:val="20"/>
          <w:color w:val="auto"/>
        </w:rPr>
      </w:pPr>
    </w:p>
    <w:p>
      <w:pPr>
        <w:ind w:firstLine="656"/>
        <w:spacing w:after="0" w:line="271" w:lineRule="auto"/>
        <w:tabs>
          <w:tab w:leader="none" w:pos="115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this Agreement and performance relative to this Agreement are not in violation of any restrictions or covenants under the terms of any other agreements to which the Executive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65" w:right="339" w:bottom="1440" w:gutter="0" w:footer="0" w:header="0"/>
        </w:sectPr>
      </w:pPr>
    </w:p>
    <w:bookmarkStart w:id="129" w:name="page130"/>
    <w:bookmarkEnd w:id="129"/>
    <w:p>
      <w:pPr>
        <w:jc w:val="both"/>
        <w:ind w:firstLine="656"/>
        <w:spacing w:after="0" w:line="248" w:lineRule="auto"/>
        <w:tabs>
          <w:tab w:leader="none" w:pos="121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recognizes the highly competitive nature of the business of the Company and accordingly agrees that, in consideration of this Agreement, the rights conferred hereunder, and any payment hereunder, while the Executive is employed by the Company and for the duration of the Non-Compete Term, the Executive shall not engage, either directly or indirectly, as a principal for the Executive’s own account or jointly with others, or as a stockholder in any corporation or joint stock association, or as a partner or member of a general or limited liability entity, or as an employee, officer, director, agent, consultant or in any other advisory capacity in any business other than the Company or its subsidiaries which designs, develops, manufactures, distributes, sells or markets the type of products or services sold, distributed or provided by the Company or its subsidiaries during the one year period prior to the date of employment termination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provided that nothing herein shall prevent the Executive from owning, directly or indirectly, not more than five percent of the outstanding shares of, or any other equity interest in, any entity engaged in the Business and listed or traded on a national securities exchanges or in an over-the-counter securities market.</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Non-Compete Term, the Executive shall not (i) directly or indirectly employ or solicit, or receive or accept the performance of services by, any active employee of the Company or any of its subsidiaries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80" w:lineRule="exact"/>
        <w:rPr>
          <w:rFonts w:ascii="Times New Roman" w:cs="Times New Roman" w:eastAsia="Times New Roman" w:hAnsi="Times New Roman"/>
          <w:sz w:val="22"/>
          <w:szCs w:val="22"/>
          <w:color w:val="auto"/>
        </w:rPr>
      </w:pPr>
    </w:p>
    <w:p>
      <w:pPr>
        <w:jc w:val="both"/>
        <w:ind w:firstLine="656"/>
        <w:spacing w:after="0" w:line="247" w:lineRule="auto"/>
        <w:tabs>
          <w:tab w:leader="none" w:pos="113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at any time (whether during or after his employment with the Company) disclose or use for the Executive’s own benefit or purposes or the benefit or purposes of any other person, firm, partnership, joint venture, association, corporation or other business organization, entity or enterprise other than the Company and any of its subsidiaries, any trade secrets, information, data, or other confidential information of the Company, including but not limited to, information relating to customers, development programs, costs, marketing, trading, investment, sales activities, promotion, credit and financial data, financing methods, plans or the business and affairs of the Company generally, or of any subsidiary of the Company, unless required to do so by applicable law or court order, subpoena or decree or otherwise required by law, with reasonable evidence of such determination promptly provided to the Company, or except as required in the reasonable performance of the Executive’s duties as an employee of the Company. The preceding sentence of this paragraph (d) shall not apply to information which is not unique to the Company or which is generally known to the industry or the public other than as a result of the Executive’s breach of this covenant. The Executive agrees that upon termination of employment with the Company for any reason, the Executive will return to the Company immediately all memoranda, books, papers, plans, information, letters and other data, and all copies of these materials, in any way relating to the business of the Company and its subsidiaries, except that the Executive may retain personal notes, notebooks and diaries. The Executive further agrees that the Executive will not retain or use for the Executive’s account at any time any trade names, trademark or other proprietary business designation used or owned in connection with the business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65" w:right="339" w:bottom="1440" w:gutter="0" w:footer="0" w:header="0"/>
        </w:sectPr>
      </w:pPr>
    </w:p>
    <w:bookmarkStart w:id="130" w:name="page131"/>
    <w:bookmarkEnd w:id="130"/>
    <w:p>
      <w:pPr>
        <w:jc w:val="both"/>
        <w:ind w:firstLine="656"/>
        <w:spacing w:after="0" w:line="250" w:lineRule="auto"/>
        <w:tabs>
          <w:tab w:leader="none" w:pos="11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Executive and the Company consider the restrictions contained in this Agreement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08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the Company will have no obligation to make any payments or provide any benefits under this Agreement that are not otherwise required to be paid or provided to the Executive pursuant to applicable law unless (i) within 60 days, or such shorter period as designated by the Company, following the date of termination of the Executive’s employment, the Executive executes and delivers to the Company a waiver and release agreement in a reasonable form approved by the Company from time to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(ii) any applicable revocation period has expired during such 60-day period without the Executive revoking such Release.</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Executive’s termination of employment, or at any other time as requested by the Company, the Executive will be required to surrender to the Company all correspondence, documents, supplies, files, equipment, checks, and all other materials and records of any kind that are the property of the Company or any of its subsidiaries or affiliates that are in the possession or under control of the Executive.</w:t>
      </w:r>
    </w:p>
    <w:p>
      <w:pPr>
        <w:spacing w:after="0" w:line="17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otherwise) (i) limits the Executive’s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(ii) prevents the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the Executive shall prevent the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192" w:lineRule="exact"/>
        <w:rPr>
          <w:rFonts w:ascii="Times New Roman" w:cs="Times New Roman" w:eastAsia="Times New Roman" w:hAnsi="Times New Roman"/>
          <w:sz w:val="22"/>
          <w:szCs w:val="22"/>
          <w:color w:val="auto"/>
        </w:rPr>
      </w:pPr>
    </w:p>
    <w:p>
      <w:pPr>
        <w:jc w:val="both"/>
        <w:ind w:firstLine="656"/>
        <w:spacing w:after="0" w:line="281" w:lineRule="auto"/>
        <w:tabs>
          <w:tab w:leader="none" w:pos="1153"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provisions in this Agreement, during any period in which the Executive is employed and/or resides in California, or for which the Company determines that the application of the terms and conditions of this </w:t>
      </w:r>
      <w:r>
        <w:rPr>
          <w:rFonts w:ascii="Times New Roman" w:cs="Times New Roman" w:eastAsia="Times New Roman" w:hAnsi="Times New Roman"/>
          <w:sz w:val="21"/>
          <w:szCs w:val="21"/>
          <w:u w:val="single" w:color="auto"/>
          <w:color w:val="auto"/>
        </w:rPr>
        <w:t>Section 10(i)</w:t>
      </w:r>
      <w:r>
        <w:rPr>
          <w:rFonts w:ascii="Times New Roman" w:cs="Times New Roman" w:eastAsia="Times New Roman" w:hAnsi="Times New Roman"/>
          <w:sz w:val="21"/>
          <w:szCs w:val="21"/>
          <w:color w:val="auto"/>
        </w:rPr>
        <w:t xml:space="preserve"> is necessary or advisable in order to comply with applicable law, during Executive’s employment with the Company and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5" w:right="339" w:bottom="1440" w:gutter="0" w:footer="0" w:header="0"/>
        </w:sectPr>
      </w:pPr>
    </w:p>
    <w:bookmarkStart w:id="131" w:name="page132"/>
    <w:bookmarkEnd w:id="131"/>
    <w:p>
      <w:pPr>
        <w:spacing w:after="0" w:line="271" w:lineRule="auto"/>
        <w:rPr>
          <w:sz w:val="20"/>
          <w:szCs w:val="20"/>
          <w:color w:val="auto"/>
        </w:rPr>
      </w:pPr>
      <w:r>
        <w:rPr>
          <w:rFonts w:ascii="Times New Roman" w:cs="Times New Roman" w:eastAsia="Times New Roman" w:hAnsi="Times New Roman"/>
          <w:sz w:val="22"/>
          <w:szCs w:val="22"/>
          <w:color w:val="auto"/>
        </w:rPr>
        <w:t xml:space="preserve">Executive’s termination of employment with the Company for any reason the covenants contained in </w:t>
      </w:r>
      <w:r>
        <w:rPr>
          <w:rFonts w:ascii="Times New Roman" w:cs="Times New Roman" w:eastAsia="Times New Roman" w:hAnsi="Times New Roman"/>
          <w:sz w:val="22"/>
          <w:szCs w:val="22"/>
          <w:u w:val="single" w:color="auto"/>
          <w:color w:val="auto"/>
        </w:rPr>
        <w:t>Sections 10(b)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10(c)(ii)</w:t>
      </w:r>
      <w:r>
        <w:rPr>
          <w:rFonts w:ascii="Times New Roman" w:cs="Times New Roman" w:eastAsia="Times New Roman" w:hAnsi="Times New Roman"/>
          <w:sz w:val="22"/>
          <w:szCs w:val="22"/>
          <w:color w:val="auto"/>
        </w:rPr>
        <w:t xml:space="preserve"> shall not apply to Executive.</w:t>
      </w:r>
    </w:p>
    <w:p>
      <w:pPr>
        <w:spacing w:after="0" w:line="131"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56"/>
        <w:spacing w:after="0" w:line="263" w:lineRule="auto"/>
        <w:tabs>
          <w:tab w:leader="none" w:pos="116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Company’s entry into this Agreement, the Executive will devote his full business time and efforts to the performance of his duties and responsibilities for the Company; provided, that such requirement does not preclude the Executive from engaging in charitable and community affairs or managing any passive investment (i.e., an investment with respect to which the Executive is in no way involved with the management or operation of the entity in which the Executive has invested) to the extent that such activities do not conflict with the Executive duties; and further provided, that,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of this Agreement, the Executive shall not, without the prior approval of the Board, serve as a director or trustee of any other corporation, association or entity, or own more than five percent of the equity of any publicly traded entity.</w:t>
      </w:r>
    </w:p>
    <w:p>
      <w:pPr>
        <w:spacing w:after="0" w:line="172" w:lineRule="exact"/>
        <w:rPr>
          <w:rFonts w:ascii="Times New Roman" w:cs="Times New Roman" w:eastAsia="Times New Roman" w:hAnsi="Times New Roman"/>
          <w:sz w:val="21"/>
          <w:szCs w:val="21"/>
          <w:color w:val="auto"/>
        </w:rPr>
      </w:pPr>
    </w:p>
    <w:p>
      <w:pPr>
        <w:jc w:val="both"/>
        <w:ind w:firstLine="656"/>
        <w:spacing w:after="0" w:line="253" w:lineRule="auto"/>
        <w:tabs>
          <w:tab w:leader="none" w:pos="115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Not Compensation</w:t>
      </w:r>
      <w:r>
        <w:rPr>
          <w:rFonts w:ascii="Times New Roman" w:cs="Times New Roman" w:eastAsia="Times New Roman" w:hAnsi="Times New Roman"/>
          <w:sz w:val="22"/>
          <w:szCs w:val="22"/>
          <w:color w:val="auto"/>
        </w:rPr>
        <w:t>. Any participation by the Executive in, and any terminating distributions and vesting rights (other than previously defined) under, the Company 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53"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it is intended that this Agreement comply with or be exempt from the provisions of Section 409A of the Code, so that the income inclusion provisions of Section 409A(a)(1) of the Code do not apply to the Executive. Consistent with that intent, and to the extent required under Section 409A of the Code, for benefits that are to be paid in connection with a termination of employment, “termination of employment” or any similar term shall be limited to such a termination that constitutes a “separation from service” under Section 409A of the Code.</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0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if the Executive is a “specified employee,” determined pursuant to procedures adopted by the Company in compliance with Section 409A of the Code, on the date of his separation from service (within the meaning of Treasury Regulation section 1.409A-1(h)) and if any portion of the payments or benefits to be received by the Executive upon his termination of employment would constitute a “deferral of compensation” subject to Section 409A of the Code, then to the extent necessary to comply with Section 409A of the Code, amounts that would otherwise be payable pursuant to this Agreement during the six-month period immediately following the Executive’s termination of employment will instead be paid or made available on the earlier of (A) the first business day of the seventh month after the date of the Executive’s termination of employment, or (B) the Executive’s death.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132" w:name="page133"/>
    <w:bookmarkEnd w:id="132"/>
    <w:p>
      <w:pPr>
        <w:ind w:left="660"/>
        <w:spacing w:after="0" w:line="271" w:lineRule="auto"/>
        <w:rPr>
          <w:sz w:val="20"/>
          <w:szCs w:val="20"/>
          <w:color w:val="auto"/>
        </w:rPr>
      </w:pPr>
      <w:r>
        <w:rPr>
          <w:rFonts w:ascii="Times New Roman" w:cs="Times New Roman" w:eastAsia="Times New Roman" w:hAnsi="Times New Roman"/>
          <w:sz w:val="22"/>
          <w:szCs w:val="22"/>
          <w:color w:val="auto"/>
        </w:rPr>
        <w:t>purposes of application of Section 409A of the Code, to the extent applicable, each payment made under this Agreement shall be treated as a separate payment.</w:t>
      </w:r>
    </w:p>
    <w:p>
      <w:pPr>
        <w:spacing w:after="0" w:line="158" w:lineRule="exact"/>
        <w:rPr>
          <w:sz w:val="20"/>
          <w:szCs w:val="20"/>
          <w:color w:val="auto"/>
        </w:rPr>
      </w:pPr>
    </w:p>
    <w:p>
      <w:pPr>
        <w:jc w:val="both"/>
        <w:ind w:left="660" w:firstLine="644"/>
        <w:spacing w:after="0" w:line="250" w:lineRule="auto"/>
        <w:tabs>
          <w:tab w:leader="none" w:pos="1848"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to the extent any reimbursement or in-kind benefit provided under this Agreement is nonqualified deferred compensation within the meaning of Section 409A of the Code: (A) the amount of expenses eligible for reimbursement, or in-kind benefits provided, during a calendar year may not affect the expenses eligible for reimbursement, or in-kind benefits to be provided, in any other taxable year; (B) the reimbursement of an eligible expense must be made on or before the last day of the calendar year following the calendar year in which the expense was incurred; and (C) the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2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however, shall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or any other provisions of this Agreement be construed to require the Company to provide any gross-up for the tax consequences under Section 409A of the Code of any provisions of, or payments under, this Agreement and the Company shall have no responsibility for tax consequences under Section 409A of the Code to the Executive resulting from the terms or operation of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Process and Taxation Requirements</w:t>
      </w:r>
      <w:r>
        <w:rPr>
          <w:rFonts w:ascii="Times New Roman" w:cs="Times New Roman" w:eastAsia="Times New Roman" w:hAnsi="Times New Roman"/>
          <w:sz w:val="22"/>
          <w:szCs w:val="22"/>
          <w:color w:val="auto"/>
        </w:rPr>
        <w:t>. The Company may withhold from any amounts payable hereunder all federal, state, city or other taxes as shall be required to be withheld pursuant to any law or government regulation or ruling. Notwithstanding any other provision of this Agreement, the Company shall not be obligated to guarantee any particular tax result for the Executive with respect to any payment or benefit provided to the Executive hereunder, and the Executive shall be responsible for any taxes imposed on the Executive with respect to any such payment or benefit.</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communications hereunder shall be in writing, addressed as follows: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Company: TriMas Corporation</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38505 Woodward Ave., Suite 200</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Bloomfield Hills, MI 48304</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Executive: To the most recent address on file in the Company’s records for the Executive.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Any such notice or communication shall be delivered by hand or by courier or sent certified or registered mail, return receipt requested, postage prepaid, addressed as above (or to such other address as such party may designate in a notice duly delivered as described above), and the third business day after the actual date of mailing shall constitute the time at which notice was given.</w:t>
      </w:r>
    </w:p>
    <w:p>
      <w:pPr>
        <w:spacing w:after="0" w:line="151" w:lineRule="exact"/>
        <w:rPr>
          <w:sz w:val="20"/>
          <w:szCs w:val="20"/>
          <w:color w:val="auto"/>
        </w:rPr>
      </w:pPr>
    </w:p>
    <w:p>
      <w:pPr>
        <w:jc w:val="both"/>
        <w:ind w:firstLine="656"/>
        <w:spacing w:after="0" w:line="257" w:lineRule="auto"/>
        <w:tabs>
          <w:tab w:leader="none" w:pos="117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Separability; Legal Fees</w:t>
      </w:r>
      <w:r>
        <w:rPr>
          <w:rFonts w:ascii="Times New Roman" w:cs="Times New Roman" w:eastAsia="Times New Roman" w:hAnsi="Times New Roman"/>
          <w:sz w:val="22"/>
          <w:szCs w:val="22"/>
          <w:color w:val="auto"/>
        </w:rPr>
        <w:t>. If any provision of this Agreement shall be declared to be invalid or unenforceable, in whole or in part, such invalidity or unenforceability shall not affect the remaining provisions which shall remain in full force and effect. In the event of a dispute by the Company, the Executive or others as to the validity or enforceability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sectPr>
      </w:pPr>
    </w:p>
    <w:bookmarkStart w:id="133" w:name="page134"/>
    <w:bookmarkEnd w:id="133"/>
    <w:p>
      <w:pPr>
        <w:jc w:val="both"/>
        <w:spacing w:after="0" w:line="251" w:lineRule="auto"/>
        <w:rPr>
          <w:sz w:val="20"/>
          <w:szCs w:val="20"/>
          <w:color w:val="auto"/>
        </w:rPr>
      </w:pPr>
      <w:r>
        <w:rPr>
          <w:rFonts w:ascii="Times New Roman" w:cs="Times New Roman" w:eastAsia="Times New Roman" w:hAnsi="Times New Roman"/>
          <w:sz w:val="22"/>
          <w:szCs w:val="22"/>
          <w:color w:val="auto"/>
        </w:rPr>
        <w:t>liability under, any provision of this Agreement prior to a Change in Control, the Company shall reimburse the Executive for all reasonable legal fees and expenses incurred by the Executive if the Executive prevails in the dispute resolution process, and if the Executive does not prevail, the Executive and the Company shall be responsible for their respective legal fees and expenses. In the event of any such dispute on or after a Change in Control, the Company shall reimburse the Executive for all reasonable legal fees and expenses incurred by the Executive regardless of the outcome thereof unless the finder of fact in such action determines that the Executive’s position was frivolous or maintained in bad faith.</w:t>
      </w:r>
    </w:p>
    <w:p>
      <w:pPr>
        <w:spacing w:after="0" w:line="181" w:lineRule="exact"/>
        <w:rPr>
          <w:sz w:val="20"/>
          <w:szCs w:val="20"/>
          <w:color w:val="auto"/>
        </w:rPr>
      </w:pPr>
    </w:p>
    <w:p>
      <w:pPr>
        <w:jc w:val="both"/>
        <w:ind w:firstLine="656"/>
        <w:spacing w:after="0" w:line="257" w:lineRule="auto"/>
        <w:tabs>
          <w:tab w:leader="none" w:pos="112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Rights</w:t>
      </w:r>
      <w:r>
        <w:rPr>
          <w:rFonts w:ascii="Times New Roman" w:cs="Times New Roman" w:eastAsia="Times New Roman" w:hAnsi="Times New Roman"/>
          <w:sz w:val="22"/>
          <w:szCs w:val="22"/>
          <w:color w:val="auto"/>
        </w:rPr>
        <w:t>. Nothing expressed or implied in this Agreement will change the at-will status of the Executive or create any right or duty on the part of the Company or the Executive to have the Executive remain in the employment of the Company or any Affiliate of the Company.</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will be governed by and construed in accordance with the substantive laws of the State of Michigan, without giving effect to the principles of conflict of laws of such State. Further, any litigation arising out of this Agreement shall be venued in a court of competent jurisdiction located in Oakland County, Michigan. In executing this Agreement, the Executive acknowledges that the Executive has purposefully availed himself of the benefits and privileges of the jurisdictions of such courts, that the Executive waives any objections of the basis of forum, venue, and/or jurisdiction, and that the Executive willfully and knowingly submits himself to the jurisdiction of such courts.</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w:t>
      </w:r>
    </w:p>
    <w:p>
      <w:pPr>
        <w:spacing w:after="0" w:line="178" w:lineRule="exact"/>
        <w:rPr>
          <w:rFonts w:ascii="Times New Roman" w:cs="Times New Roman" w:eastAsia="Times New Roman" w:hAnsi="Times New Roman"/>
          <w:sz w:val="22"/>
          <w:szCs w:val="22"/>
          <w:color w:val="auto"/>
        </w:rPr>
      </w:pPr>
    </w:p>
    <w:p>
      <w:pPr>
        <w:jc w:val="both"/>
        <w:ind w:firstLine="656"/>
        <w:spacing w:after="0" w:line="265" w:lineRule="auto"/>
        <w:tabs>
          <w:tab w:leader="none" w:pos="106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(including, without limitation, any term sheet or offer letter), which may have related to the subject matter hereof in any way. Notwithstanding the foregoing, this Agreement does not supersede or in any way limit or otherwise affect restrictive covenants in any other types of agreements between the Company and the Executive to which the Executive may be bound, such as restricted stock unit or other applicable award agreements.</w:t>
      </w:r>
    </w:p>
    <w:p>
      <w:pPr>
        <w:spacing w:after="0" w:line="168" w:lineRule="exact"/>
        <w:rPr>
          <w:rFonts w:ascii="Times New Roman" w:cs="Times New Roman" w:eastAsia="Times New Roman" w:hAnsi="Times New Roman"/>
          <w:sz w:val="21"/>
          <w:szCs w:val="21"/>
          <w:color w:val="auto"/>
        </w:rPr>
      </w:pPr>
    </w:p>
    <w:p>
      <w:pPr>
        <w:jc w:val="both"/>
        <w:ind w:firstLine="656"/>
        <w:spacing w:after="0" w:line="251" w:lineRule="auto"/>
        <w:tabs>
          <w:tab w:leader="none" w:pos="119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also inure to the benefit of and be binding upon the Company and its successors and assigns. As used in this Agreement, “Company” shall mean the Company as hereinbefore defined and any successor to its business and/or assets as aforesaid which assumes and agrees to perform this Agreement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65" w:right="339" w:bottom="1440" w:gutter="0" w:footer="0" w:header="0"/>
        </w:sectPr>
      </w:pPr>
    </w:p>
    <w:bookmarkStart w:id="134" w:name="page135"/>
    <w:bookmarkEnd w:id="134"/>
    <w:p>
      <w:pPr>
        <w:jc w:val="both"/>
        <w:ind w:firstLine="656"/>
        <w:spacing w:after="0" w:line="247" w:lineRule="auto"/>
        <w:tabs>
          <w:tab w:leader="none" w:pos="128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Notwithstanding anything in this Agreement to the contrary, the Executive acknowledges and agrees that this Agreement and any compensation described herein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Company’s common stock may be traded) (the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such Agreement or compensation, applicable terms of this Agreement will be (if necessary) deemed superseded by and subject to the terms and conditions of the Compensation Recovery Policy from and after the effective date thereof. Further, by entering into this Agreement, the Executive (i) consents to be bound by the terms of the Compensation Recovery Policy, as applicable, (ii) agrees and acknowledges that the Executive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Executive of any such amounts, including from the Executive’s accounts or from any other compensation, to the extent permissible under Section 409A of the Code.</w:t>
      </w:r>
    </w:p>
    <w:p>
      <w:pPr>
        <w:spacing w:after="0" w:line="187" w:lineRule="exact"/>
        <w:rPr>
          <w:rFonts w:ascii="Times New Roman" w:cs="Times New Roman" w:eastAsia="Times New Roman" w:hAnsi="Times New Roman"/>
          <w:sz w:val="22"/>
          <w:szCs w:val="22"/>
          <w:color w:val="auto"/>
        </w:rPr>
      </w:pPr>
    </w:p>
    <w:p>
      <w:pPr>
        <w:ind w:firstLine="656"/>
        <w:spacing w:after="0" w:line="271" w:lineRule="auto"/>
        <w:tabs>
          <w:tab w:leader="none" w:pos="121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65" w:right="339" w:bottom="1440" w:gutter="0" w:footer="0" w:header="0"/>
        </w:sectPr>
      </w:pPr>
    </w:p>
    <w:bookmarkStart w:id="135" w:name="page136"/>
    <w:bookmarkEnd w:id="13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as of the date first above written.</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-13970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Jodi F. Robin</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749935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Thomas J. Snyder</w:t>
      </w:r>
    </w:p>
    <w:p>
      <w:pPr>
        <w:sectPr>
          <w:pgSz w:w="11900" w:h="16838" w:orient="portrait"/>
          <w:cols w:equalWidth="0" w:num="1">
            <w:col w:w="11000"/>
          </w:cols>
          <w:pgMar w:left="320" w:top="1165" w:right="57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0"/>
          <w:szCs w:val="20"/>
          <w:b w:val="1"/>
          <w:bCs w:val="1"/>
          <w:color w:val="auto"/>
        </w:rPr>
        <w:t>EXHIBIT 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Indemnification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See attached.</w:t>
      </w:r>
    </w:p>
    <w:p>
      <w:pPr>
        <w:sectPr>
          <w:pgSz w:w="11900" w:h="16838" w:orient="portrait"/>
          <w:cols w:equalWidth="0" w:num="1">
            <w:col w:w="9019"/>
          </w:cols>
          <w:pgMar w:left="1440" w:top="1412" w:right="1440" w:bottom="1440" w:gutter="0" w:footer="0" w:header="0"/>
        </w:sectPr>
      </w:pPr>
    </w:p>
    <w:bookmarkStart w:id="137" w:name="page138"/>
    <w:bookmarkEnd w:id="137"/>
    <w:p>
      <w:pPr>
        <w:jc w:val="center"/>
        <w:ind w:right="-79"/>
        <w:spacing w:after="0"/>
        <w:rPr>
          <w:sz w:val="20"/>
          <w:szCs w:val="20"/>
          <w:color w:val="auto"/>
        </w:rPr>
      </w:pPr>
      <w:r>
        <w:rPr>
          <w:rFonts w:ascii="Times New Roman" w:cs="Times New Roman" w:eastAsia="Times New Roman" w:hAnsi="Times New Roman"/>
          <w:sz w:val="22"/>
          <w:szCs w:val="22"/>
          <w:color w:val="auto"/>
        </w:rPr>
        <w:t>INDEMNIFICATION AGREEMENT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INDEMNIFICATION AGREEMENT (the “Agreement”) is effective as of __________, by and between TriMas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a Delaware corporation (the “Company”), and Thomas J. Snyder (the “Indemnitee”).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Indemnitee is serving the Company in a “Corporate Status,” as defined herein;</w:t>
      </w:r>
    </w:p>
    <w:p>
      <w:pPr>
        <w:spacing w:after="0" w:line="260" w:lineRule="exact"/>
        <w:rPr>
          <w:sz w:val="20"/>
          <w:szCs w:val="20"/>
          <w:color w:val="auto"/>
        </w:rPr>
      </w:pPr>
    </w:p>
    <w:p>
      <w:pPr>
        <w:jc w:val="both"/>
        <w:ind w:right="360" w:firstLine="212"/>
        <w:spacing w:after="0" w:line="257"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persons serving it in a Corporate Status to the fullest extent permitted by applicable law so that they will serve or continue to serve in such status free from undue concern that they will not be so indemnified;</w:t>
      </w:r>
    </w:p>
    <w:p>
      <w:pPr>
        <w:spacing w:after="0" w:line="200" w:lineRule="exact"/>
        <w:rPr>
          <w:sz w:val="20"/>
          <w:szCs w:val="20"/>
          <w:color w:val="auto"/>
        </w:rPr>
      </w:pPr>
    </w:p>
    <w:p>
      <w:pPr>
        <w:ind w:right="80" w:firstLine="212"/>
        <w:spacing w:after="0" w:line="271" w:lineRule="auto"/>
        <w:rPr>
          <w:sz w:val="20"/>
          <w:szCs w:val="20"/>
          <w:color w:val="auto"/>
        </w:rPr>
      </w:pPr>
      <w:r>
        <w:rPr>
          <w:rFonts w:ascii="Times New Roman" w:cs="Times New Roman" w:eastAsia="Times New Roman" w:hAnsi="Times New Roman"/>
          <w:sz w:val="22"/>
          <w:szCs w:val="22"/>
          <w:color w:val="auto"/>
        </w:rPr>
        <w:t>WHEREAS, the Indemnitee is willing to serve and continue to serve the Company in a Corporate Status on the condition that he be so indemnified; and</w:t>
      </w:r>
    </w:p>
    <w:p>
      <w:pPr>
        <w:spacing w:after="0" w:line="185" w:lineRule="exact"/>
        <w:rPr>
          <w:sz w:val="20"/>
          <w:szCs w:val="20"/>
          <w:color w:val="auto"/>
        </w:rPr>
      </w:pPr>
    </w:p>
    <w:p>
      <w:pPr>
        <w:jc w:val="both"/>
        <w:ind w:right="200" w:firstLine="212"/>
        <w:spacing w:after="0" w:line="281" w:lineRule="auto"/>
        <w:rPr>
          <w:sz w:val="20"/>
          <w:szCs w:val="20"/>
          <w:color w:val="auto"/>
        </w:rPr>
      </w:pPr>
      <w:r>
        <w:rPr>
          <w:rFonts w:ascii="Times New Roman" w:cs="Times New Roman" w:eastAsia="Times New Roman" w:hAnsi="Times New Roman"/>
          <w:sz w:val="21"/>
          <w:szCs w:val="21"/>
          <w:color w:val="auto"/>
        </w:rPr>
        <w:t>WHEREAS, this Agreement is in addition to the provisions of the Amended and Restated Certificate of Incorporation of the Company (the “Certificate”) and the provisions of the Bylaws of the Company (the “Bylaws”) or resolutions adopted pursuant thereto, and shall not be deemed a substitute therefore, nor to diminish or abrogate any rights of the Indemnitee thereunder.</w:t>
      </w:r>
    </w:p>
    <w:p>
      <w:pPr>
        <w:spacing w:after="0" w:line="178" w:lineRule="exact"/>
        <w:rPr>
          <w:sz w:val="20"/>
          <w:szCs w:val="20"/>
          <w:color w:val="auto"/>
        </w:rPr>
      </w:pPr>
    </w:p>
    <w:p>
      <w:pPr>
        <w:jc w:val="both"/>
        <w:ind w:right="180" w:firstLine="21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the Indemnitee do hereby covenant and agree as follows: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1. Services by the Indemnitee. The Indemnitee agrees to continue to serve the Company in a Corporate Status.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the Indemnitee may at any time and for any reason resign from any such position.</w:t>
      </w:r>
    </w:p>
    <w:p>
      <w:pPr>
        <w:spacing w:after="0" w:line="234"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22"/>
          <w:szCs w:val="22"/>
          <w:color w:val="auto"/>
        </w:rPr>
        <w:t>Section 2. Indemnification – General. The Company shall indemnify, and advance Expenses (as hereinafter defined) to, the Indemnitee as provided in this Agreement and to the fullest extent permitted by applicable law in effect on the date hereof and to such greater extent as applicable law may thereafter from time to time permit. The rights of the Indemnitee provided under the preceding sentence shall include, but shall not be limited to, the rights set forth in the other Sections of this Agreement.</w:t>
      </w:r>
    </w:p>
    <w:p>
      <w:pPr>
        <w:spacing w:after="0" w:line="22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3. Proceeding Other Than Proceedings by or in the Right of the Company. The Indemnitee shall be entitled to the rights of indemnification provided in this Section 3 if, by reason of his Corporate Status (as hereinafter defined) or any Covered Actions and Inactions (as hereinafter defined), he is, or is threatened to be made, a party to or participant in any threatened, pending or completed Proceeding (as hereinafter defined), other than a Proceeding by or in the right of the Company. Pursuant to this Section 3, the Company shall indemnify the Indemnitee against any and all Expenses, judgments, penalties, fines, damages and amounts paid in settlement, and all interest and other charges in connection with the foregoing (as and to the fullest extent permitted hereunder), resulting from, arising out of or relating to such Proceeding or any claim, issue or matter therein, if he acted in good faith and in a manner he reasonably</w:t>
      </w:r>
    </w:p>
    <w:p>
      <w:pPr>
        <w:sectPr>
          <w:pgSz w:w="11900" w:h="16838" w:orient="portrait"/>
          <w:cols w:equalWidth="0" w:num="1">
            <w:col w:w="11160"/>
          </w:cols>
          <w:pgMar w:left="320" w:top="1408" w:right="419" w:bottom="1440" w:gutter="0" w:footer="0" w:header="0"/>
        </w:sectPr>
      </w:pPr>
    </w:p>
    <w:bookmarkStart w:id="138" w:name="page139"/>
    <w:bookmarkEnd w:id="138"/>
    <w:p>
      <w:pPr>
        <w:ind w:right="40"/>
        <w:spacing w:after="0" w:line="271" w:lineRule="auto"/>
        <w:rPr>
          <w:sz w:val="20"/>
          <w:szCs w:val="20"/>
          <w:color w:val="auto"/>
        </w:rPr>
      </w:pPr>
      <w:r>
        <w:rPr>
          <w:rFonts w:ascii="Times New Roman" w:cs="Times New Roman" w:eastAsia="Times New Roman" w:hAnsi="Times New Roman"/>
          <w:sz w:val="22"/>
          <w:szCs w:val="22"/>
          <w:color w:val="auto"/>
        </w:rPr>
        <w:t>believed to be in or not opposed to the best interests of the Company, and, with respect to any criminal Proceeding, if he also had no reasonable cause to believe his conduct was unlawful.</w:t>
      </w:r>
    </w:p>
    <w:p>
      <w:pPr>
        <w:spacing w:after="0" w:line="185" w:lineRule="exact"/>
        <w:rPr>
          <w:sz w:val="20"/>
          <w:szCs w:val="20"/>
          <w:color w:val="auto"/>
        </w:rPr>
      </w:pPr>
    </w:p>
    <w:p>
      <w:pPr>
        <w:ind w:right="60" w:firstLine="216"/>
        <w:spacing w:after="0" w:line="249" w:lineRule="auto"/>
        <w:rPr>
          <w:sz w:val="20"/>
          <w:szCs w:val="20"/>
          <w:color w:val="auto"/>
        </w:rPr>
      </w:pPr>
      <w:r>
        <w:rPr>
          <w:rFonts w:ascii="Times New Roman" w:cs="Times New Roman" w:eastAsia="Times New Roman" w:hAnsi="Times New Roman"/>
          <w:sz w:val="22"/>
          <w:szCs w:val="22"/>
          <w:color w:val="auto"/>
        </w:rPr>
        <w:t>Section 4. Proceedings by or in the Right of the Company. The Indemnitee shall be entitled to the rights of indemnification provided in this Section 4 if, by reason of his Corporate Status or any Covered Actions and Inactions, he is, or is threatened to be made, a party to or participant in any threatened, pending or completed Proceeding brought by or in the right of the Company to procure a judgment in its favor. Pursuant to this Section 4, the Company shall indemnify the Indemnitee against any and all Expenses resulting from, arising out of or relating to such Proceeding if he acted in good faith and in a manner he reasonably believed to be in or not opposed to the best interest of the Company. Notwithstanding the foregoing, no indemnification against such Expenses shall be made in respect of any claim, issue or matter in such Proceeding as to which the law prohibits such indemnification; provided, however, that if applicable law so permits, indemnification against Expenses shall nevertheless be made by the Company in such event if and to the extent that the court, administrative body or other dispute resolution body in which such Proceeding shall have been brought or is pending shall so determine.</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5. Indemnification for Expenses of a Party Who is Wholly or Partly Successful.</w:t>
      </w:r>
    </w:p>
    <w:p>
      <w:pPr>
        <w:spacing w:after="0" w:line="247" w:lineRule="exact"/>
        <w:rPr>
          <w:sz w:val="20"/>
          <w:szCs w:val="20"/>
          <w:color w:val="auto"/>
        </w:rPr>
      </w:pPr>
    </w:p>
    <w:p>
      <w:pPr>
        <w:ind w:firstLine="1304"/>
        <w:spacing w:after="0" w:line="247" w:lineRule="auto"/>
        <w:tabs>
          <w:tab w:leader="none" w:pos="174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Indemnitee is, by reason of his Corporate Status or any Covered Actions and Inactions, a party to and is successful, on the merits or otherwise, in any Proceeding, the Company shall indemnify the Indemnitee against any and all Expenses resulting from, arising out of or relating to such Proceeding. If the Indemnitee is not wholly successful in defense of any Proceeding but is successful, on the merits or otherwise, as to one or more but less than all claims, issues or matters in such Proceeding, the Company shall indemnify the Indemnitee against any and all Expenses resulting from, arising out of or relating to each such claim, issue or matter as to which the Indemnitee is successful, on the merits or otherwise. For purposes of this Section 5(a), the term “successful, on the merits or otherwise,” shall include, but shall not be limited to, (i) the termination of any claim, issue or matter in a Proceeding by withdrawal or dismissal, with or without prejudice, (ii) termination of any claim, issue or matter in a Proceeding by any other means without any express finding of liability or guilt against the Indemnitee, with or without prejudice, (iii) the expiration of 120 days after the making of a claim or threat of a Proceeding without the institution of the same and without any promise or payment made to induce a settlement or (iv) the settlement of any claim, issue or matter in a Proceeding pursuant to which the Indemnitee pays less than $200,000. The provisions of this Section 5(a) are subject to Section 5(b) below.</w:t>
      </w:r>
    </w:p>
    <w:p>
      <w:pPr>
        <w:spacing w:after="0" w:line="233" w:lineRule="exact"/>
        <w:rPr>
          <w:rFonts w:ascii="Times New Roman" w:cs="Times New Roman" w:eastAsia="Times New Roman" w:hAnsi="Times New Roman"/>
          <w:sz w:val="22"/>
          <w:szCs w:val="22"/>
          <w:color w:val="auto"/>
        </w:rPr>
      </w:pPr>
    </w:p>
    <w:p>
      <w:pPr>
        <w:ind w:right="360" w:firstLine="1304"/>
        <w:spacing w:after="0" w:line="271" w:lineRule="auto"/>
        <w:tabs>
          <w:tab w:leader="none" w:pos="17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Indemnitee be entitled to indemnification under Section 5(a) above with respect to a claim, issue or matter to the extent applicable law prohibits such indemnification.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Section 6. Indemnification for Expenses as a Witness. Notwithstanding any provisions herein to the contrary, to the extent that the Indemnitee is, by reason of his Corporate Status or any Covered Actions and Inactions, a witness in any Proceeding, the Company shall indemnify the Indemnitee against any and all Expenses resulting from, arising out of or relating to such Proceeding.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165" w:right="379" w:bottom="1440" w:gutter="0" w:footer="0" w:header="0"/>
        </w:sectPr>
      </w:pPr>
    </w:p>
    <w:bookmarkStart w:id="139" w:name="page140"/>
    <w:bookmarkEnd w:id="139"/>
    <w:p>
      <w:pPr>
        <w:ind w:left="180"/>
        <w:spacing w:after="0"/>
        <w:rPr>
          <w:sz w:val="20"/>
          <w:szCs w:val="20"/>
          <w:color w:val="auto"/>
        </w:rPr>
      </w:pPr>
      <w:r>
        <w:rPr>
          <w:rFonts w:ascii="Times New Roman" w:cs="Times New Roman" w:eastAsia="Times New Roman" w:hAnsi="Times New Roman"/>
          <w:sz w:val="22"/>
          <w:szCs w:val="22"/>
          <w:color w:val="auto"/>
        </w:rPr>
        <w:t>Section 7. Advancement of Expenses.</w:t>
      </w:r>
    </w:p>
    <w:p>
      <w:pPr>
        <w:spacing w:after="0" w:line="247" w:lineRule="exact"/>
        <w:rPr>
          <w:sz w:val="20"/>
          <w:szCs w:val="20"/>
          <w:color w:val="auto"/>
        </w:rPr>
      </w:pPr>
    </w:p>
    <w:p>
      <w:pPr>
        <w:ind w:left="-40" w:right="20" w:firstLine="1304"/>
        <w:spacing w:after="0" w:line="247" w:lineRule="auto"/>
        <w:tabs>
          <w:tab w:leader="none" w:pos="170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advance all reasonable Expenses paid or incurred by or on behalf of the Indemnitee or which the Indemnitee determines are reasonably likely to be paid or incurred by the Indemnitee in connection with any Proceeding within 10 days after the receipt by the Company of a statement or statements from the Indemnitee requesting such advance or advances from time to time, whether prior to or after the final disposition of such Proceeding; provided, however, that the Indemnitee shall return, without interest, any such advance of Expenses (or portion thereof) which remains unspent at the final disposition of the claim to which the advance related. The Indemnitee’s right to such advancement is not subject to the satisfaction of any standard of conduct and is not conditioned upon any prior determination that the Indemnitee is entitled to indemnification under this Agreement with respect to such Proceeding or the absence of any prior determination to the contrary. All amounts advanced to the Indemnitee by the Company pursuant to this Section 7 shall be without interest. The Company shall make all advances pursuant to this Section 7 without regard to the financial ability of the Indemnitee to make repayment, without bond or other security and without regard to the prospect of whether the Indemnitee may ultimately be found to be entitled to indemnification under the provisions of this Agreement. Any required reimbursement of Expenses by the Indemnitee shall be made by the Indemnitee to the Company with 10 days following the entry of the final, non-appealable adjudication or arbitration decision pursuant to which it is determined that the Indemnitee is not entitled to be indemnified against such Expenses. In connection with any such advancement, payment or reimbursement, if delivery of an undertaking is a legally required condition precedent to such payment, advance or reimbursement, the Indemnitee shall execute and deliver to the Company an undertaking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(subject to Indemnitee filling in the blanks therein and selecting from among the bracketed alternatives therein). In no event shall the Indemnitee’s right to the payment, advancement or reimbursement of Expenses pursuant to this Section 7(a) be conditioned upon any undertaking that is less favorable to the Indemnitee than, or that is in addition to, the undertaking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0" w:firstLine="1304"/>
        <w:spacing w:after="0" w:line="261" w:lineRule="auto"/>
        <w:tabs>
          <w:tab w:leader="none" w:pos="17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or effect of the foregoing, the Company shall indemnify and hold harmless the Indemnitee against and, if requested by Indemnitee, shall reimburse the Indemnitee for, or advance to the Indemnitee, within 10 days after the receipt by the Company of a statement or statements from the Indemnitee requesting such reimbursement or advancement, all reasonable Expenses paid or incurred by or on behalf of the Indemnitee or which the Indemnitee determines are reasonably likely to be paid or incurred by the Indemnitee in connection with any claim made, instituted or conducted by the Indemnitee, in each case to the fullest extent permitted by applicable law in effect on the date hereof and to such greater extent as applicable law may thereafter from time to time permit, for (i) indemnification or payment, advancement or reimbursement of Expenses by the Company under any provision of this Agreement, or under any other agreement or provision of the Certificate or Bylaws now or hereafter in effect, and/or (ii) recovery under any directors’ and officers’ liability insurance policies maintained by the Company; provided, however, that the Indemnitee shall return, without interest, any such advance of Expenses (or portion thereof) which remains unspent at the final disposition of the claim to which the advance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60" w:top="1408" w:right="379" w:bottom="1440" w:gutter="0" w:footer="0" w:header="0"/>
        </w:sectPr>
      </w:pPr>
    </w:p>
    <w:bookmarkStart w:id="140" w:name="page141"/>
    <w:bookmarkEnd w:id="140"/>
    <w:p>
      <w:pPr>
        <w:ind w:left="200"/>
        <w:spacing w:after="0"/>
        <w:rPr>
          <w:sz w:val="20"/>
          <w:szCs w:val="20"/>
          <w:color w:val="auto"/>
        </w:rPr>
      </w:pPr>
      <w:r>
        <w:rPr>
          <w:rFonts w:ascii="Times New Roman" w:cs="Times New Roman" w:eastAsia="Times New Roman" w:hAnsi="Times New Roman"/>
          <w:sz w:val="22"/>
          <w:szCs w:val="22"/>
          <w:color w:val="auto"/>
        </w:rPr>
        <w:t>Section 8. Procedure for Determination of Entitlement to Indemnification.</w:t>
      </w:r>
    </w:p>
    <w:p>
      <w:pPr>
        <w:spacing w:after="0" w:line="247" w:lineRule="exact"/>
        <w:rPr>
          <w:sz w:val="20"/>
          <w:szCs w:val="20"/>
          <w:color w:val="auto"/>
        </w:rPr>
      </w:pPr>
    </w:p>
    <w:p>
      <w:pPr>
        <w:ind w:left="-20" w:right="140" w:firstLine="1304"/>
        <w:spacing w:after="0" w:line="247" w:lineRule="auto"/>
        <w:tabs>
          <w:tab w:leader="none" w:pos="172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under this Agreement, the Indemnitee shall submit to the Company a written request therefore, along with such documentation and information as is reasonably available to the Indemnitee and reasonably necessary to determine whether and to what extent the Indemnitee is entitled to indemnification. The Secretary of the Company shall, promptly upon receipt of such a request for indemnification, advise the Chairman of the Board or the Audit Committee in writing that the Indemnitee has requested indemnification. If, at the time of the receipt of such request, the Company has directors’ and officers’ liability insurance in effect under which coverage for the requested indemnification is potentially available, the Company shall give prompt written notice of such requested indemnification to the applicable insurers in accordance with the procedures set forth in the applicable policies. The Company shall provide to the Indemnitee a copy of such notice delivered to the applicable insurers, and copies of all subsequent correspondence between the Company and such insurers regarding the requested indemnification, in each case substantially concurrently with the delivery or receipt thereof by the Company. The failure by Indemnitee to timely request indemnification shall not relieve the Company from any liability hereunder unless, and only to the extent that, the Company did not otherwise learn of the subject matter of such indemnification and such failure results in forfeiture by the Company of substantial defenses, rights or insurance coverage.</w:t>
      </w:r>
    </w:p>
    <w:p>
      <w:pPr>
        <w:spacing w:after="0" w:line="219" w:lineRule="exact"/>
        <w:rPr>
          <w:rFonts w:ascii="Times New Roman" w:cs="Times New Roman" w:eastAsia="Times New Roman" w:hAnsi="Times New Roman"/>
          <w:sz w:val="22"/>
          <w:szCs w:val="22"/>
          <w:color w:val="auto"/>
        </w:rPr>
      </w:pPr>
    </w:p>
    <w:p>
      <w:pPr>
        <w:ind w:left="-20" w:firstLine="1304"/>
        <w:spacing w:after="0" w:line="248" w:lineRule="auto"/>
        <w:tabs>
          <w:tab w:leader="none" w:pos="17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the Indemnitee for indemnification pursuant to the first sentence of Section 8(a) hereof, a determination, if required by applicable law, with respect to the Indemnitee’s entitlement thereto shall be made in the specific case: (i) by the Board by a majority vote of a quorum consisting of Disinterested Directors (as hereinafter defined); or (ii) if a quorum of the Board consisting of Disinterested Directors is not obtainable or, even if obtainable, such quorum of Disinterested Directors so direct, by Independent Counsel (as hereinafter defined), as selected pursuant to Section 8(d), in a written opinion to the Board (which opinion may be a “more likely than not” opinion), a copy of which shall be delivered to the Indemnitee. If it is so determined that the Indemnitee is entitled to indemnification, the Company shall make payment to the Indemnitee within 10 days after such determination. The Indemnitee shall cooperate with the Person or Persons making such determination with respect to the Indemnitee’s entitlement to indemnification, including providing to such Person or Persons upon reasonable advance request any documentation or information which is not privileged or otherwise protected from disclosure and which is reasonably available to the Indemnitee and reasonably necessary to such determination. Subject to the provisions of Section 10 hereof, any costs or expenses (including reasonable attorneys’ fees and disbursements) incurred by the Indemnitee in so cooperating with the Person or Persons making such determination shall be borne by the Company, and the Company hereby agrees to indemnify and hold the Indemnitee harmless therefrom.</w:t>
      </w:r>
    </w:p>
    <w:p>
      <w:pPr>
        <w:spacing w:after="0" w:line="214" w:lineRule="exact"/>
        <w:rPr>
          <w:rFonts w:ascii="Times New Roman" w:cs="Times New Roman" w:eastAsia="Times New Roman" w:hAnsi="Times New Roman"/>
          <w:sz w:val="22"/>
          <w:szCs w:val="22"/>
          <w:color w:val="auto"/>
        </w:rPr>
      </w:pPr>
    </w:p>
    <w:p>
      <w:pPr>
        <w:ind w:left="-20" w:right="340" w:firstLine="1304"/>
        <w:spacing w:after="0" w:line="256" w:lineRule="auto"/>
        <w:tabs>
          <w:tab w:leader="none" w:pos="173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 Change of Control has occurred, the Indemnitee may require a determination with respect to the Indemnitee’s entitlement to indemnification to be made by Independent Counsel, as selected pursuant to Section 8(d), in a written opinion to the Board (which opinion may be a “more likely than not” opinion), a copy of which shall be delivered to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40" w:top="1165" w:right="339" w:bottom="1440" w:gutter="0" w:footer="0" w:header="0"/>
        </w:sectPr>
      </w:pPr>
    </w:p>
    <w:bookmarkStart w:id="141" w:name="page142"/>
    <w:bookmarkEnd w:id="141"/>
    <w:p>
      <w:pPr>
        <w:ind w:left="-20" w:firstLine="1304"/>
        <w:spacing w:after="0" w:line="247" w:lineRule="auto"/>
        <w:tabs>
          <w:tab w:leader="none" w:pos="17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determination of entitlement to indemnification is to be made by Independent Counsel pursuant to Section 8(b) or (c) hereof, the Independent Counsel shall be selected as provided in this Section 8(d). If a Change of Control shall not have occurred, the Independent Counsel shall be selected by the Board (including a vote of a majority of the Disinterested Directors if obtainable), and the Company shall give written notice to the Indemnitee advising him of the identity of the Independent Counsel so selected. If a Change of Control shall have occurred, the Independent Counsel shall be selected by the Indemnitee unless the Indemnitee shall request that such selection be made by the Board, in which event the preceding sentence shall apply), and approved by the Company (which approval shall not be unreasonably withheld). If (i) an Independent Counsel is to make the determination of entitlement pursuant to Section 8(b) or (c) and (ii) within 20 days after submission by the Indemnitee of a written request for indemnification pursuant to Section 8(a) hereof, no Independent Counsel shall have been selected, either the Company of the Indemnitee may petition the appropriate court of the State (as hereafter defined) or other court of competent jurisdiction for the appointment as Independent Counsel of a Person selected by such court or by such other Person as such court shall designate. The Company shall pay any and all reasonable fees and expenses of Independent Counsel incurred by such Independent Counsel in connection with acting pursuant to Section 8(b) or (c) hereof, and the Company shall pay all reasonable fees and expenses incident to the procedures of this Section 8(d), regardless of the commencement of any judicial proceeding or arbitration pursuant to Section 10(a)(iv) of this Agreement, Independent Counsel shall be discharged and relieved of any further responsibility in such capacity (subject to the applicable standards of professional conduct then prevailing).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Section 9. Presumptions and Effect of Certain Proceedings; Construction of Certain Phrases.</w:t>
      </w:r>
    </w:p>
    <w:p>
      <w:pPr>
        <w:spacing w:after="0" w:line="247" w:lineRule="exact"/>
        <w:rPr>
          <w:sz w:val="20"/>
          <w:szCs w:val="20"/>
          <w:color w:val="auto"/>
        </w:rPr>
      </w:pPr>
    </w:p>
    <w:p>
      <w:pPr>
        <w:ind w:left="-20" w:right="240" w:firstLine="1304"/>
        <w:spacing w:after="0" w:line="256" w:lineRule="auto"/>
        <w:tabs>
          <w:tab w:leader="none" w:pos="173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whether the Indemnitee is entitled to indemnification hereunder, the Reviewing Party making such determination shall presume that the Indemnitee is entitled to indemnification under this Agreement, and anyone seeking to overcome this presumption shall have the burden of proof and the burden of persuasion, by clear and convincing evidence.</w:t>
      </w:r>
    </w:p>
    <w:p>
      <w:pPr>
        <w:spacing w:after="0" w:line="203" w:lineRule="exact"/>
        <w:rPr>
          <w:rFonts w:ascii="Times New Roman" w:cs="Times New Roman" w:eastAsia="Times New Roman" w:hAnsi="Times New Roman"/>
          <w:sz w:val="22"/>
          <w:szCs w:val="22"/>
          <w:color w:val="auto"/>
        </w:rPr>
      </w:pPr>
    </w:p>
    <w:p>
      <w:pPr>
        <w:ind w:left="-20" w:right="40" w:firstLine="1385"/>
        <w:spacing w:after="0" w:line="251" w:lineRule="auto"/>
        <w:tabs>
          <w:tab w:leader="none" w:pos="1825"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Section 16 below, the termination of any Proceeding or of any claim, issue or matter therein, by judgment, order, settlement or conviction, or upon a plea of nolo contendere or its equivalent, shall not (except as otherwise expressly provided in this Agreement)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208" w:lineRule="exact"/>
        <w:rPr>
          <w:sz w:val="20"/>
          <w:szCs w:val="20"/>
          <w:color w:val="auto"/>
        </w:rPr>
      </w:pPr>
    </w:p>
    <w:p>
      <w:pPr>
        <w:ind w:left="-20" w:right="80" w:firstLine="1304"/>
        <w:spacing w:after="0" w:line="253" w:lineRule="auto"/>
        <w:tabs>
          <w:tab w:leader="none" w:pos="173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the Indemnitee’s entitlement to indemnification under this Agreement or otherwise, the Indemnitee shall be deemed to have acted in good faith and in a manner he reasonably believed to be in or not opposed to the best interests of the Company, and, with respect to a criminal Proceeding, to have also had no reasonable cause to believe his conduct was unlawful, if the Indemnitee’s action is based on the records or books of account of the Company or another enterprise, including financial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40" w:top="1165" w:right="359" w:bottom="1440" w:gutter="0" w:footer="0" w:header="0"/>
        </w:sectPr>
      </w:pPr>
    </w:p>
    <w:bookmarkStart w:id="142" w:name="page143"/>
    <w:bookmarkEnd w:id="142"/>
    <w:p>
      <w:pPr>
        <w:spacing w:after="0" w:line="247" w:lineRule="auto"/>
        <w:rPr>
          <w:sz w:val="20"/>
          <w:szCs w:val="20"/>
          <w:color w:val="auto"/>
        </w:rPr>
      </w:pPr>
      <w:r>
        <w:rPr>
          <w:rFonts w:ascii="Times New Roman" w:cs="Times New Roman" w:eastAsia="Times New Roman" w:hAnsi="Times New Roman"/>
          <w:sz w:val="22"/>
          <w:szCs w:val="22"/>
          <w:color w:val="auto"/>
        </w:rPr>
        <w:t>statements, or on information supplied to the Indemnitee by the officers of the Company or another enterprise in the course of their duties or on the advice of legal or financial counsel for the Company or the Board (or any committee thereof) or for another enterprise or its board of directors (or any committee thereof), or on information or records given or reports made by an independent certified public accountant or by an appraiser or other expert selected by the Company or the Board (or any committee thereof) or by another enterprise or its board of directors (or any committee thereof). For purposes of this Section 9(c), the term “another enterprise” means any other corporation, partnership, limited liability company, joint venture, trust, employee benefit plan or other enterprise of which the Indemnitee is or was serving at the request of the Company as a director, officer, employee or agent. The provisions of this Section 9(c) shall not be deemed to be exclusive or to limit in any way the other circumstances in which the Indemnitee may be deemed or found to have met the applicable standard of conduct set forth in this Agreement. In addition, the knowledge and/or actions, or failure to act, of any other director, trustee, partner, managing member, fiduciary, officer, agent or employee of the Company shall not be imputed to the Indemnitee for purposes of determining the right to indemnification under this Agreement. Whether or not the foregoing provisions of this Section 9(c) are satisfied, it shall in any event be presumed that the Indemnitee has acted in good faith and in a manner he reasonably believed to be in or not opposed to the best interests of the Company, and, with respect to a criminal Proceeding, that he also had no reasonable cause to believe his conduct was unlawful. Anyone seeking to overcome this presumption shall have the burden of proof and the burden of persuasion, by clear and convincing evidence.</w:t>
      </w:r>
    </w:p>
    <w:p>
      <w:pPr>
        <w:spacing w:after="0" w:line="222" w:lineRule="exact"/>
        <w:rPr>
          <w:sz w:val="20"/>
          <w:szCs w:val="20"/>
          <w:color w:val="auto"/>
        </w:rPr>
      </w:pPr>
    </w:p>
    <w:p>
      <w:pPr>
        <w:ind w:firstLine="1304"/>
        <w:spacing w:after="0" w:line="261" w:lineRule="auto"/>
        <w:tabs>
          <w:tab w:leader="none" w:pos="1764"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reference to “fines” shall include any excise taxes or penalties assessed on the Indemnitee with respect to an employee benefit plan; references to “serving at the request of the Company” shall include, but shall not be limited to, any service as a director, officer, employee or agent of (i) any Affiliate controlled, directly or indirectly, by the Company and (ii) the Company or any such Affiliate which imposes duties on, or involves services by, the Indemnitee with respect to an employee benefit plan, its participants or its beneficiaries; and if the Indemnitee has acted in good faith and in a manner he reasonably believed to be in the interest of the participants and beneficiaries of an employee benefit plan, he shall be deemed to have acted in a manner “not opposed to the best interests of the Company” as used in this Agreement. The provisions of this Section 9(d) shall not be deemed to be exclusive or to limit in any way the other circumstances in which the Indemnitee may be deemed or found to have met the applicable standard of conduct set forth in this Agreement.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 Remedies of the Indemnitee.</w:t>
      </w:r>
    </w:p>
    <w:p>
      <w:pPr>
        <w:spacing w:after="0" w:line="260" w:lineRule="exact"/>
        <w:rPr>
          <w:sz w:val="20"/>
          <w:szCs w:val="20"/>
          <w:color w:val="auto"/>
        </w:rPr>
      </w:pPr>
    </w:p>
    <w:p>
      <w:pPr>
        <w:ind w:right="260" w:firstLine="1304"/>
        <w:spacing w:after="0" w:line="249" w:lineRule="auto"/>
        <w:tabs>
          <w:tab w:leader="none" w:pos="1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a determination is made pursuant to Section 8 of this Agreement that the Indemnitee is not entitled to indemnification under this Agreement, (ii) advancement, payment or reimbursement of Expenses is not timely made pursuant to Section 7 of this Agreement, (iii) the determination of entitlement to indemnification is to be made by the Board pursuant to Section 8(b) of this Agreement and such determination shall not have been made and delivered to the Indemnitee in writing within twenty (20) days after receipt by the Company of the request for indemnification, (iv) the determination of entitlement to indemnification is to be made by Independent Counsel pursuant to Section 8(b) or (c) of this Agreement and such determination shall not have been made in a written opinion to the Board and a copy delivered to the Indemnitee within forty-five (45) days after receipt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65" w:right="359" w:bottom="1440" w:gutter="0" w:footer="0" w:header="0"/>
        </w:sectPr>
      </w:pPr>
    </w:p>
    <w:bookmarkStart w:id="143" w:name="page144"/>
    <w:bookmarkEnd w:id="143"/>
    <w:p>
      <w:pPr>
        <w:spacing w:after="0" w:line="247" w:lineRule="auto"/>
        <w:rPr>
          <w:sz w:val="20"/>
          <w:szCs w:val="20"/>
          <w:color w:val="auto"/>
        </w:rPr>
      </w:pPr>
      <w:r>
        <w:rPr>
          <w:rFonts w:ascii="Times New Roman" w:cs="Times New Roman" w:eastAsia="Times New Roman" w:hAnsi="Times New Roman"/>
          <w:sz w:val="22"/>
          <w:szCs w:val="22"/>
          <w:color w:val="auto"/>
        </w:rPr>
        <w:t>of the request for indemnification, (v) payment of indemnification is not made pursuant to Section 6 of this Agreement within 10 days after receipt by the Company of a written request therefore or (vi) payment of indemnification is not made within 10 days after a determination has been made that the Indemnitee is entitled to indemnification or such determination is deemed to have been made pursuant to Section 8 or 9 of this Agreement, the Indemnitee shall be entitled to an adjudication in an appropriate court of the State of his entitlement to such indemnification or advancement, payment or reimbursement of Expenses. Alternatively, the Indemnitee, at his sole option, may seek and award in arbitration to be conducted by a single arbitrator pursuant to the rules of the American Arbitration Association. The Indemnitee shall commence such Proceeding seeking an adjudication or an award in arbitration within 180 days following the date on which the Indemnitee first has the right to commence such Proceeding pursuant to this Section 10(a); provided, however, that the foregoing clause shall not apply in respect of a Proceeding brought by the Indemnitee to enforce his rights under Section 5 of this Agreement.</w:t>
      </w:r>
    </w:p>
    <w:p>
      <w:pPr>
        <w:spacing w:after="0" w:line="231" w:lineRule="exact"/>
        <w:rPr>
          <w:sz w:val="20"/>
          <w:szCs w:val="20"/>
          <w:color w:val="auto"/>
        </w:rPr>
      </w:pPr>
    </w:p>
    <w:p>
      <w:pPr>
        <w:ind w:right="20" w:firstLine="1304"/>
        <w:spacing w:after="0" w:line="251" w:lineRule="auto"/>
        <w:tabs>
          <w:tab w:leader="none" w:pos="176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is made pursuant to Section 8 of this Agreement that the Indemnitee is not entitled to indemnification (an “Adverse Determination”), any judicial proceeding or arbitration commenced pursuant to this Section 10 shall be conducted in all respects as a de novo trial or a de novo arbitration (as applicable) on the merits, and the Indemnitee shall not be prejudiced by reason of that Adverse Determination. In any judicial proceeding or arbitration commenced pursuant to this Section 10, the Company shall have the burden of proving that the Indemnitee is not entitled to the relief sought, and the Company shall be precluded from referring to or offering into evidence any Adverse Determination.</w:t>
      </w:r>
    </w:p>
    <w:p>
      <w:pPr>
        <w:spacing w:after="0" w:line="208" w:lineRule="exact"/>
        <w:rPr>
          <w:rFonts w:ascii="Times New Roman" w:cs="Times New Roman" w:eastAsia="Times New Roman" w:hAnsi="Times New Roman"/>
          <w:sz w:val="22"/>
          <w:szCs w:val="22"/>
          <w:color w:val="auto"/>
        </w:rPr>
      </w:pPr>
    </w:p>
    <w:p>
      <w:pPr>
        <w:ind w:right="80" w:firstLine="1304"/>
        <w:spacing w:after="0" w:line="268" w:lineRule="auto"/>
        <w:tabs>
          <w:tab w:leader="none" w:pos="175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determination is made or deemed to have been made pursuant to Section 8 of this Agreement that the Indemnitee is entitled to indemnification, such determination shall be final and binding in all respects, including with respect to any judicial proceeding or arbitration commenced pursuant to this Section 10, absent (i) a misstatement by the Indemnitee of a material fact, or an omission by the Indemnitee of a material fact necessary to make the Indemnitee’s statement not materially misleading, in connection with the request for indemnification, or (ii) a prohibition of such indemnification under applicable law.</w:t>
      </w:r>
    </w:p>
    <w:p>
      <w:pPr>
        <w:spacing w:after="0" w:line="190" w:lineRule="exact"/>
        <w:rPr>
          <w:rFonts w:ascii="Times New Roman" w:cs="Times New Roman" w:eastAsia="Times New Roman" w:hAnsi="Times New Roman"/>
          <w:sz w:val="21"/>
          <w:szCs w:val="21"/>
          <w:color w:val="auto"/>
        </w:rPr>
      </w:pPr>
    </w:p>
    <w:p>
      <w:pPr>
        <w:ind w:right="340" w:firstLine="1304"/>
        <w:spacing w:after="0" w:line="252" w:lineRule="auto"/>
        <w:tabs>
          <w:tab w:leader="none" w:pos="17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of the provisions of this Agreement.</w:t>
      </w:r>
    </w:p>
    <w:p>
      <w:pPr>
        <w:spacing w:after="0" w:line="206" w:lineRule="exact"/>
        <w:rPr>
          <w:rFonts w:ascii="Times New Roman" w:cs="Times New Roman" w:eastAsia="Times New Roman" w:hAnsi="Times New Roman"/>
          <w:sz w:val="22"/>
          <w:szCs w:val="22"/>
          <w:color w:val="auto"/>
        </w:rPr>
      </w:pPr>
    </w:p>
    <w:p>
      <w:pPr>
        <w:ind w:right="60" w:firstLine="1304"/>
        <w:spacing w:after="0" w:line="250" w:lineRule="auto"/>
        <w:tabs>
          <w:tab w:leader="none" w:pos="1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Indemnitee, pursuant to this Section 10, seeks a judicial adjudication or an award in arbitration to enforce his rights under, or to recover damages for breach of, this Agreement, the Indemnitee shall be entitled to recover from the Company, and shall be indemnified by the Company against, any and all Expenses actually and reasonably incurred by him in such judicial adjudication or arbitration, unless the court or arbitrator determines that each of the Indemnitee’s claims in such Proceeding were made in bad faith or were frivolous. In the event that a Proceeding is commenced by or in the right of the Company against the Indemnitee to enforce or interpret any of the terms of this Agreement, the Indemnitee shall be entitled to recover from the Company, and shall be indemnified by the Company against, any and all Expenses actually and reasonably incurred by him in such Proceeding (including with respect to any counter-claims or cross-claims made by the Indemnitee against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5" w:right="339" w:bottom="1440" w:gutter="0" w:footer="0" w:header="0"/>
        </w:sectPr>
      </w:pPr>
    </w:p>
    <w:bookmarkStart w:id="144" w:name="page145"/>
    <w:bookmarkEnd w:id="144"/>
    <w:p>
      <w:pPr>
        <w:ind w:right="380"/>
        <w:spacing w:after="0" w:line="271" w:lineRule="auto"/>
        <w:rPr>
          <w:sz w:val="20"/>
          <w:szCs w:val="20"/>
          <w:color w:val="auto"/>
        </w:rPr>
      </w:pPr>
      <w:r>
        <w:rPr>
          <w:rFonts w:ascii="Times New Roman" w:cs="Times New Roman" w:eastAsia="Times New Roman" w:hAnsi="Times New Roman"/>
          <w:sz w:val="22"/>
          <w:szCs w:val="22"/>
          <w:color w:val="auto"/>
        </w:rPr>
        <w:t>such Proceeding), unless the court or arbitrator determines that each of the Indemnitee’s material defenses in such Proceeding were made in bad faith or were frivolous.</w:t>
      </w:r>
    </w:p>
    <w:p>
      <w:pPr>
        <w:spacing w:after="0" w:line="18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Any judicial adjudication or arbitration determined under this Section 10 shall be final and binding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36" w:lineRule="exact"/>
        <w:rPr>
          <w:sz w:val="20"/>
          <w:szCs w:val="20"/>
          <w:color w:val="auto"/>
        </w:rPr>
      </w:pPr>
    </w:p>
    <w:p>
      <w:pPr>
        <w:ind w:right="160" w:firstLine="1304"/>
        <w:spacing w:after="0" w:line="257" w:lineRule="auto"/>
        <w:tabs>
          <w:tab w:leader="none" w:pos="175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to the Indemnitee under this Agreement that is not paid by the Company by the date on which it is due will accrue interest at the maximum legal rate under Delaware law from the date on which such amount is due to the date on which such amount is paid to the Indemnitee.</w:t>
      </w:r>
    </w:p>
    <w:p>
      <w:pPr>
        <w:spacing w:after="0" w:line="20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Section 11. Defense of Certain Proceedings. In the event the Company shall be obligated under this Agreement to pay the Expenses of any Proceeding against the Indemnitee in which the Company is a co-defendant with the Indemnitee, the Company shall be entitled to assume the defense of such Proceeding, with counsel approved by the Indemnitee, which approval shall not be unreasonably withheld, upon the delivery to the Indemnitee of written notice of its election to do so. After delivery of such notice, approval of such counsel by the Indemnitee and the retention of such counsel by the Company, the Indemnitee shall nevertheless be entitled to employ or continue to employ his own counsel in such Proceeding. Employment of such counsel by the Indemnitee shall be at the cost and expense of the Company unless and until the Company shall have demonstrated to the reasonable satisfaction of the Indemnitee and the Indemnitee’s counsel that there is complete identity of issues and defenses and no conflict of interest between the Company and the Indemnitee in such Proceeding, after which time further employment of such counsel by the Indemnitee shall be at the cost and expense of the Indemnitee. In all events, if the Company shall not, in fact, have timely employed counsel to assume the defense of such Proceeding, then the fees and Expenses of the Indemnitee’s counsel shall be at the cost and expense of the Company.</w:t>
      </w:r>
    </w:p>
    <w:p>
      <w:pPr>
        <w:spacing w:after="0" w:line="21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12. Exception to Right of Indemnification or Advancement of Expenses. Notwithstanding any other provision of this Agreement, the Indemnitee shall not be entitled to indemnification or advancement, payment or reimbursement of Expenses under this Agreement with respect to any Proceeding, or any claim therein, brought or made by the Indemnitee against the Company, except for (a) any claim or Proceeding in respect of this Agreement and/or the Indemnitee’s rights hereunder, (b) any claim or Proceeding to establish or enforce a right to indemnification under the Certificate, the Bylaws, any agreement, any statute, any law or any policy of insurance, (c) any counter-claim or cross-claim brought or made by him against the Company in any Proceeding brought against him, and (d) any claim or Proceeding approved by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 Contribution.</w:t>
      </w:r>
    </w:p>
    <w:p>
      <w:pPr>
        <w:spacing w:after="0" w:line="247" w:lineRule="exact"/>
        <w:rPr>
          <w:sz w:val="20"/>
          <w:szCs w:val="20"/>
          <w:color w:val="auto"/>
        </w:rPr>
      </w:pPr>
    </w:p>
    <w:p>
      <w:pPr>
        <w:ind w:right="80" w:firstLine="1304"/>
        <w:spacing w:after="0" w:line="253" w:lineRule="auto"/>
        <w:tabs>
          <w:tab w:leader="none" w:pos="175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Proceeding, the indemnification provided for in this Agreement is held by a court of competent jurisdiction to be unavailable to the Indemnitee for any reason other than that the Indemnitee did not act in good faith and in a manner he reasonably believed to be in or not opposed to the best interests of the Company or, with respect to a criminal Proceeding, that the Indemnitee had reasonable cause to believe his conduct was unlawful, the Company shall contribute to the amount of Expenses, judgments, penalties, fines,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65" w:right="339" w:bottom="1440" w:gutter="0" w:footer="0" w:header="0"/>
        </w:sectPr>
      </w:pPr>
    </w:p>
    <w:bookmarkStart w:id="145" w:name="page146"/>
    <w:bookmarkEnd w:id="145"/>
    <w:p>
      <w:pPr>
        <w:ind w:right="220"/>
        <w:spacing w:after="0" w:line="253" w:lineRule="auto"/>
        <w:rPr>
          <w:sz w:val="20"/>
          <w:szCs w:val="20"/>
          <w:color w:val="auto"/>
        </w:rPr>
      </w:pPr>
      <w:r>
        <w:rPr>
          <w:rFonts w:ascii="Times New Roman" w:cs="Times New Roman" w:eastAsia="Times New Roman" w:hAnsi="Times New Roman"/>
          <w:sz w:val="22"/>
          <w:szCs w:val="22"/>
          <w:color w:val="auto"/>
        </w:rPr>
        <w:t>damages and amounts paid in settlement, and all interest and other charges in connection with the foregoing, resulting from, arising out of or relating to such Proceeding or any claim, issue or matter therein, in such proportion as is appropriate to reflect the relative benefits received by the Indemnitee and the relative fault of the Indemnitee versus the Company in connection with the action or inaction which resulted in such Expenses, judgments, penalties, fines, damages, amounts paid in settlement and interest or other charges, as well as any other relevant equitable considerations.</w:t>
      </w:r>
    </w:p>
    <w:p>
      <w:pPr>
        <w:spacing w:after="0" w:line="206" w:lineRule="exact"/>
        <w:rPr>
          <w:sz w:val="20"/>
          <w:szCs w:val="20"/>
          <w:color w:val="auto"/>
        </w:rPr>
      </w:pPr>
    </w:p>
    <w:p>
      <w:pPr>
        <w:ind w:firstLine="1304"/>
        <w:spacing w:after="0" w:line="257" w:lineRule="auto"/>
        <w:tabs>
          <w:tab w:leader="none" w:pos="1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Indemnitee agree that it would not be just and equitable if contribution pursuant to this Section 13 were determined by pro rata or per capita allocation or by any other method of allocation which does not take into account the equitable considerations referred to in Section 13(a) above.</w:t>
      </w:r>
    </w:p>
    <w:p>
      <w:pPr>
        <w:spacing w:after="0" w:line="199" w:lineRule="exact"/>
        <w:rPr>
          <w:rFonts w:ascii="Times New Roman" w:cs="Times New Roman" w:eastAsia="Times New Roman" w:hAnsi="Times New Roman"/>
          <w:sz w:val="22"/>
          <w:szCs w:val="22"/>
          <w:color w:val="auto"/>
        </w:rPr>
      </w:pPr>
    </w:p>
    <w:p>
      <w:pPr>
        <w:ind w:right="20" w:firstLine="1304"/>
        <w:spacing w:after="0" w:line="295" w:lineRule="auto"/>
        <w:tabs>
          <w:tab w:leader="none" w:pos="1752"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found guilty of fraudulent misrepresentation (within the meaning of Section 11(f) of the Securities Act of 1933) shall be entitled to contribution from any Person who was not found guilty of such fraudulent misrepresentation.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 Officer and Director Liability Insurance.</w:t>
      </w:r>
    </w:p>
    <w:p>
      <w:pPr>
        <w:spacing w:after="0" w:line="247" w:lineRule="exact"/>
        <w:rPr>
          <w:sz w:val="20"/>
          <w:szCs w:val="20"/>
          <w:color w:val="auto"/>
        </w:rPr>
      </w:pPr>
    </w:p>
    <w:p>
      <w:pPr>
        <w:ind w:right="20" w:firstLine="1304"/>
        <w:spacing w:after="0" w:line="248" w:lineRule="auto"/>
        <w:tabs>
          <w:tab w:leader="none" w:pos="174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all commercially reasonable efforts to obtain and maintain in effect during the entire period for which the Company is obligated to indemnify the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 all such insurance policies, the Indemnitee shall be named as an insured in such a manner as to provide the Indemnitee with the same rights and benefits as are accorded to the most favorably insured of the Company’s directors and officers. Notwithstanding the foregoing, the Company shall have no obligation to obtain or maintain such insurance if the Company determines in good faith that the Indmnitee is covered by insurance maintained by a subsidiary or parent of the Company under which the Indemnitee is named as an insured and is provided rights and benefits that are no less favorable than the rights and benefits accorded to the most favorably insured of the Company’s directors and officers insured under any policy of insurance maintained by the Company.</w:t>
      </w:r>
    </w:p>
    <w:p>
      <w:pPr>
        <w:spacing w:after="0" w:line="215" w:lineRule="exact"/>
        <w:rPr>
          <w:rFonts w:ascii="Times New Roman" w:cs="Times New Roman" w:eastAsia="Times New Roman" w:hAnsi="Times New Roman"/>
          <w:sz w:val="22"/>
          <w:szCs w:val="22"/>
          <w:color w:val="auto"/>
        </w:rPr>
      </w:pPr>
    </w:p>
    <w:p>
      <w:pPr>
        <w:ind w:right="40" w:firstLine="1304"/>
        <w:spacing w:after="0" w:line="253" w:lineRule="auto"/>
        <w:tabs>
          <w:tab w:leader="none" w:pos="17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or officers of any other corporation, partnership, limited liability company, joint venture, trust, employee benefit plan or other enterprise which the Indemnitee serves at the request of the Company, the Indemnitee shall be named as an insured under and shall be covered by such policy or policies in accordance with its or their terms to the maximum extent of the coverage available for the most favorably insured director or officer under such policy or policies.</w:t>
      </w:r>
    </w:p>
    <w:p>
      <w:pPr>
        <w:spacing w:after="0" w:line="205" w:lineRule="exact"/>
        <w:rPr>
          <w:rFonts w:ascii="Times New Roman" w:cs="Times New Roman" w:eastAsia="Times New Roman" w:hAnsi="Times New Roman"/>
          <w:sz w:val="22"/>
          <w:szCs w:val="22"/>
          <w:color w:val="auto"/>
        </w:rPr>
      </w:pPr>
    </w:p>
    <w:p>
      <w:pPr>
        <w:jc w:val="both"/>
        <w:ind w:right="20" w:firstLine="1304"/>
        <w:spacing w:after="0" w:line="275" w:lineRule="auto"/>
        <w:tabs>
          <w:tab w:leader="none" w:pos="175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is named insured under any policy or policies of insurance referenced in either Section 14(a) or (b) above, the Company hereby covenants and agrees that it will not settle any claims or Proceeding that may be covered by such policy or policies of insurance and in which the Indemnitee has or may incur Expenses, judgments,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65"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penalties, fines, damages and amounts paid in settlement without the prior written consent of the Indemnitee.</w:t>
      </w:r>
    </w:p>
    <w:p>
      <w:pPr>
        <w:spacing w:after="0" w:line="247"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22"/>
          <w:szCs w:val="22"/>
          <w:color w:val="auto"/>
        </w:rPr>
        <w:t>Section 15. Security. Upon reasonable request by the Indemnitee, the Company shall provide security to the Indemnitee for the Company’s obligations hereunder through an irrevocable bank letter of credit, funded trust or other similar collateral. Any such security, once provided to the Indemnitee, may not be revoked or released without the prior written consent of the Indemnitee, which consent may be granted or withheld at the Indemnitee’s sole and absolute discretion.</w:t>
      </w:r>
    </w:p>
    <w:p>
      <w:pPr>
        <w:spacing w:after="0" w:line="203"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16. Settlement of Claims. The Company shall not be liable to indemnify the Indemnitee under this Agreement for any amounts paid in settlement of any Proceeding effected without the Company’s written consent, which consent shall not be unreasonably withheld.</w:t>
      </w:r>
    </w:p>
    <w:p>
      <w:pPr>
        <w:spacing w:after="0" w:line="20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17. Duration of Agreement. This Agreement shall be unaffected by the termination of the Corporate Status of the Indemnitee and shall continue for so long as the Indemnitee may have any liability or potential liability by virtue of his Corporate Status or for any Covered Actions and Inactions, including, without limitation, the final termination of all pending Proceedings in respect of which the Indemnitee is granted rights of indemnification or advancement of Expenses hereunder and of any Proceeding commenced by the Indemnitee pursuant to Section 10 of this Agreement relating thereto, whether or not he is acting or serving in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10" w:lineRule="exact"/>
        <w:rPr>
          <w:sz w:val="20"/>
          <w:szCs w:val="20"/>
          <w:color w:val="auto"/>
        </w:rPr>
      </w:pPr>
    </w:p>
    <w:p>
      <w:pPr>
        <w:ind w:right="240" w:firstLine="216"/>
        <w:spacing w:after="0" w:line="256" w:lineRule="auto"/>
        <w:rPr>
          <w:sz w:val="20"/>
          <w:szCs w:val="20"/>
          <w:color w:val="auto"/>
        </w:rPr>
      </w:pPr>
      <w:r>
        <w:rPr>
          <w:rFonts w:ascii="Times New Roman" w:cs="Times New Roman" w:eastAsia="Times New Roman" w:hAnsi="Times New Roman"/>
          <w:sz w:val="22"/>
          <w:szCs w:val="22"/>
          <w:color w:val="auto"/>
        </w:rPr>
        <w:t>Section 18. Remedies of the Company. The Company hereby covenants and agrees to submit any and all disputes relating to this Agreement that the parties are unable to resolve between themselves to binding arbitration pursuant to the rules of the American Arbitration Association and waives all rights to judicial adjudication of any matter or dispute relating to this Agreement except where judicial adjudication is requested or required by the Indemnitee.</w:t>
      </w:r>
    </w:p>
    <w:p>
      <w:pPr>
        <w:spacing w:after="0" w:line="203" w:lineRule="exact"/>
        <w:rPr>
          <w:sz w:val="20"/>
          <w:szCs w:val="20"/>
          <w:color w:val="auto"/>
        </w:rPr>
      </w:pPr>
    </w:p>
    <w:p>
      <w:pPr>
        <w:ind w:right="100" w:firstLine="216"/>
        <w:spacing w:after="0" w:line="251" w:lineRule="auto"/>
        <w:rPr>
          <w:sz w:val="20"/>
          <w:szCs w:val="20"/>
          <w:color w:val="auto"/>
        </w:rPr>
      </w:pPr>
      <w:r>
        <w:rPr>
          <w:rFonts w:ascii="Times New Roman" w:cs="Times New Roman" w:eastAsia="Times New Roman" w:hAnsi="Times New Roman"/>
          <w:sz w:val="22"/>
          <w:szCs w:val="22"/>
          <w:color w:val="auto"/>
        </w:rPr>
        <w:t>Section 19. Covenant Not to Sue, Limitation of Actions and Release of Claims. No legal action shall be brought and no cause of action shall be asserted by or on behalf of the Company (or any of its subsidiaries) against the Indemnitee, his spouse, heirs, executors, personal representatives or administrators after the expiration of two (2) years from the date on which the Corporate Status of the Indemnitee is terminated (for any reason); provided, however, that the foregoing shall not apply to any action or cause of action brought or asserted by the Company pursuant to or in respect of this Agreement and shall not constitute a waiver or release of any of the Company’s rights under this Agreement.</w:t>
      </w:r>
    </w:p>
    <w:p>
      <w:pPr>
        <w:spacing w:after="0" w:line="208"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20. Subrogation. In the event of any payment under this Agreement, the Company shall be subrogated to the extent of such payment to all of the rights of recovery of the Indemnitee, who shall execute all papers required and take all action necessary to secure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65"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rights, including execution of such documents as are necessary to enable the Company to bring suit to enforce such rights.</w:t>
      </w:r>
    </w:p>
    <w:p>
      <w:pPr>
        <w:spacing w:after="0" w:line="24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22"/>
          <w:szCs w:val="22"/>
          <w:color w:val="auto"/>
        </w:rPr>
        <w:t>Section 21. No Multiple Recovery. The Company shall not be liable under this Agreement to make any payment of amounts otherwise indemnifiable hereunder if and to the extent that the Indemnitee has otherwise actually received and is entitled to retain such payment under any insurance policy, contract, agreement or otherwise.</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22. Definitions. For purposes of this Agreement:</w:t>
      </w:r>
    </w:p>
    <w:p>
      <w:pPr>
        <w:spacing w:after="0" w:line="247" w:lineRule="exact"/>
        <w:rPr>
          <w:sz w:val="20"/>
          <w:szCs w:val="20"/>
          <w:color w:val="auto"/>
        </w:rPr>
      </w:pPr>
    </w:p>
    <w:p>
      <w:pPr>
        <w:ind w:right="200" w:firstLine="1304"/>
        <w:spacing w:after="0" w:line="252" w:lineRule="auto"/>
        <w:tabs>
          <w:tab w:leader="none" w:pos="17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any other Person directly or indirectly controlling, controlled by or under common control with such Person. For purposes hereof, “control” (including, with correlative meaning, the terms “controlling”, “controlled by” and “under common control with”) means the possession, directly or indirectly, of the power to direct or cause the direction of management and policies of such Person, by contract or otherwise.</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6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shall be deemed to have occurred upon the first of the following events to occur:</w:t>
      </w:r>
    </w:p>
    <w:p>
      <w:pPr>
        <w:spacing w:after="0" w:line="247" w:lineRule="exact"/>
        <w:rPr>
          <w:sz w:val="20"/>
          <w:szCs w:val="20"/>
          <w:color w:val="auto"/>
        </w:rPr>
      </w:pPr>
    </w:p>
    <w:p>
      <w:pPr>
        <w:ind w:left="660" w:right="60" w:firstLine="644"/>
        <w:spacing w:after="0" w:line="251" w:lineRule="auto"/>
        <w:tabs>
          <w:tab w:leader="none" w:pos="156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(as defined in Rule 13d-3 under the Securities Exchange Act of 1934, as amended from time to time),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208" w:lineRule="exact"/>
        <w:rPr>
          <w:rFonts w:ascii="Times New Roman" w:cs="Times New Roman" w:eastAsia="Times New Roman" w:hAnsi="Times New Roman"/>
          <w:sz w:val="22"/>
          <w:szCs w:val="22"/>
          <w:color w:val="auto"/>
        </w:rPr>
      </w:pPr>
    </w:p>
    <w:p>
      <w:pPr>
        <w:ind w:left="660" w:firstLine="644"/>
        <w:spacing w:after="0" w:line="261" w:lineRule="auto"/>
        <w:tabs>
          <w:tab w:leader="none" w:pos="1626"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165" w:right="379" w:bottom="1440" w:gutter="0" w:footer="0" w:header="0"/>
        </w:sectPr>
      </w:pPr>
    </w:p>
    <w:bookmarkStart w:id="148" w:name="page149"/>
    <w:bookmarkEnd w:id="148"/>
    <w:p>
      <w:pPr>
        <w:ind w:right="40" w:firstLine="644"/>
        <w:spacing w:after="0" w:line="260" w:lineRule="auto"/>
        <w:tabs>
          <w:tab w:leader="none" w:pos="1026"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8" w:lineRule="exact"/>
        <w:rPr>
          <w:rFonts w:ascii="Times New Roman" w:cs="Times New Roman" w:eastAsia="Times New Roman" w:hAnsi="Times New Roman"/>
          <w:sz w:val="21"/>
          <w:szCs w:val="21"/>
          <w:color w:val="auto"/>
        </w:rPr>
      </w:pPr>
    </w:p>
    <w:p>
      <w:pPr>
        <w:ind w:firstLine="644"/>
        <w:spacing w:after="0" w:line="248" w:lineRule="auto"/>
        <w:tabs>
          <w:tab w:leader="none" w:pos="101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21"/>
          <w:szCs w:val="21"/>
          <w:color w:val="auto"/>
        </w:rPr>
        <w:t>Notwithstanding the foregoing, (A)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(B) if required to avoid accelerated taxation and/or tax penalties under Section 409A of the Internal Revenue Code of 1986, as amended, a “Change of Control” shall be deemed to have occurred only if the transaction or event qualifies as a Section 409A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980" w:top="1165" w:right="359" w:bottom="1440" w:gutter="0" w:footer="0" w:header="0"/>
        </w:sectPr>
      </w:pPr>
    </w:p>
    <w:bookmarkStart w:id="149" w:name="page150"/>
    <w:bookmarkEnd w:id="149"/>
    <w:p>
      <w:pPr>
        <w:ind w:left="1780" w:hanging="476"/>
        <w:spacing w:after="0"/>
        <w:tabs>
          <w:tab w:leader="none" w:pos="1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TriMas Corporation, a Delaware corporation.</w:t>
      </w:r>
    </w:p>
    <w:p>
      <w:pPr>
        <w:spacing w:after="0" w:line="246" w:lineRule="exact"/>
        <w:rPr>
          <w:rFonts w:ascii="Times New Roman" w:cs="Times New Roman" w:eastAsia="Times New Roman" w:hAnsi="Times New Roman"/>
          <w:sz w:val="22"/>
          <w:szCs w:val="22"/>
          <w:color w:val="auto"/>
        </w:rPr>
      </w:pPr>
    </w:p>
    <w:p>
      <w:pPr>
        <w:jc w:val="both"/>
        <w:ind w:right="120" w:firstLine="1304"/>
        <w:spacing w:after="0" w:line="257" w:lineRule="auto"/>
        <w:tabs>
          <w:tab w:leader="none" w:pos="175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an individual who is or was an officer or director of the Company, or is or was serving at the request of the Company as an officer, director, employee or agent of another corporation, partnership, limited liability company, joint venture, trust, employee benefit plan or other enterprise.</w:t>
      </w:r>
    </w:p>
    <w:p>
      <w:pPr>
        <w:spacing w:after="0" w:line="213" w:lineRule="exact"/>
        <w:rPr>
          <w:rFonts w:ascii="Times New Roman" w:cs="Times New Roman" w:eastAsia="Times New Roman" w:hAnsi="Times New Roman"/>
          <w:sz w:val="22"/>
          <w:szCs w:val="22"/>
          <w:color w:val="auto"/>
        </w:rPr>
      </w:pPr>
    </w:p>
    <w:p>
      <w:pPr>
        <w:ind w:firstLine="1304"/>
        <w:spacing w:after="0" w:line="252" w:lineRule="auto"/>
        <w:tabs>
          <w:tab w:leader="none" w:pos="17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Actions and Inactions” means (i) any actual, alleged or suspected act or failure to act by the Indemnitee in his or her Corporate Status and (ii) any actual, alleged or suspected act or failure to act by the Indemnitee in respect of any business, transaction, communication, filing, disclosure or other activity of the Company or any other entity or enterprise referred to in the above definition of Corporate Status.</w:t>
      </w:r>
    </w:p>
    <w:p>
      <w:pPr>
        <w:spacing w:after="0" w:line="206" w:lineRule="exact"/>
        <w:rPr>
          <w:rFonts w:ascii="Times New Roman" w:cs="Times New Roman" w:eastAsia="Times New Roman" w:hAnsi="Times New Roman"/>
          <w:sz w:val="22"/>
          <w:szCs w:val="22"/>
          <w:color w:val="auto"/>
        </w:rPr>
      </w:pPr>
    </w:p>
    <w:p>
      <w:pPr>
        <w:ind w:right="340" w:firstLine="1304"/>
        <w:spacing w:after="0" w:line="271" w:lineRule="auto"/>
        <w:tabs>
          <w:tab w:leader="none" w:pos="176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or otherwise involved in, the Proceeding for which indemnification is sought by the Indemnitee.</w:t>
      </w:r>
    </w:p>
    <w:p>
      <w:pPr>
        <w:spacing w:after="0" w:line="19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46" w:lineRule="exact"/>
        <w:rPr>
          <w:rFonts w:ascii="Times New Roman" w:cs="Times New Roman" w:eastAsia="Times New Roman" w:hAnsi="Times New Roman"/>
          <w:sz w:val="22"/>
          <w:szCs w:val="22"/>
          <w:color w:val="auto"/>
        </w:rPr>
      </w:pPr>
    </w:p>
    <w:p>
      <w:pPr>
        <w:ind w:right="60" w:firstLine="1304"/>
        <w:spacing w:after="0" w:line="252" w:lineRule="auto"/>
        <w:tabs>
          <w:tab w:leader="none" w:pos="171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219" w:lineRule="exact"/>
        <w:rPr>
          <w:rFonts w:ascii="Times New Roman" w:cs="Times New Roman" w:eastAsia="Times New Roman" w:hAnsi="Times New Roman"/>
          <w:sz w:val="22"/>
          <w:szCs w:val="22"/>
          <w:color w:val="auto"/>
        </w:rPr>
      </w:pPr>
    </w:p>
    <w:p>
      <w:pPr>
        <w:ind w:right="60" w:firstLine="1304"/>
        <w:spacing w:after="0" w:line="251" w:lineRule="auto"/>
        <w:tabs>
          <w:tab w:leader="none" w:pos="171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Counsel” means a law firm or a member of a law firm that is experienced in matters of corporation law and neither presently is, nor in the past five (5) years has been, retained to represent: (i) the Company or the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of the Indemnitee in an action to determine the Indemnitee’s rights under this Agreement.</w:t>
      </w:r>
    </w:p>
    <w:p>
      <w:pPr>
        <w:spacing w:after="0" w:line="208" w:lineRule="exact"/>
        <w:rPr>
          <w:rFonts w:ascii="Times New Roman" w:cs="Times New Roman" w:eastAsia="Times New Roman" w:hAnsi="Times New Roman"/>
          <w:sz w:val="22"/>
          <w:szCs w:val="22"/>
          <w:color w:val="auto"/>
        </w:rPr>
      </w:pPr>
    </w:p>
    <w:p>
      <w:pPr>
        <w:ind w:right="100" w:firstLine="1304"/>
        <w:spacing w:after="0" w:line="271" w:lineRule="auto"/>
        <w:tabs>
          <w:tab w:leader="none" w:pos="176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means a natural person, firm, partnership, joint venture, association, corporation, company, limited liability company, trust, business trust, estate or other entity.</w:t>
      </w:r>
    </w:p>
    <w:p>
      <w:pPr>
        <w:spacing w:after="0" w:line="184" w:lineRule="exact"/>
        <w:rPr>
          <w:rFonts w:ascii="Times New Roman" w:cs="Times New Roman" w:eastAsia="Times New Roman" w:hAnsi="Times New Roman"/>
          <w:sz w:val="22"/>
          <w:szCs w:val="22"/>
          <w:color w:val="auto"/>
        </w:rPr>
      </w:pPr>
    </w:p>
    <w:p>
      <w:pPr>
        <w:ind w:right="440" w:firstLine="1304"/>
        <w:spacing w:after="0" w:line="271" w:lineRule="auto"/>
        <w:tabs>
          <w:tab w:leader="none" w:pos="171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includes any action, suit, arbitration, alternate dispute resolution mechanism, investigation, administrative hearing or any other proceeding whether civil, criminal, administrative or investigative.</w:t>
      </w:r>
    </w:p>
    <w:p>
      <w:pPr>
        <w:spacing w:after="0" w:line="184"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Party” shall mean the Person or Persons making the determination pursuant to Section 8(b)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p>
    <w:p>
      <w:pPr>
        <w:spacing w:after="0" w:line="23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means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5" w:right="339" w:bottom="1440" w:gutter="0" w:footer="0" w:header="0"/>
        </w:sectPr>
      </w:pPr>
    </w:p>
    <w:bookmarkStart w:id="150" w:name="page151"/>
    <w:bookmarkEnd w:id="150"/>
    <w:p>
      <w:pPr>
        <w:jc w:val="both"/>
        <w:ind w:right="140" w:firstLine="216"/>
        <w:spacing w:after="0" w:line="275" w:lineRule="auto"/>
        <w:rPr>
          <w:sz w:val="20"/>
          <w:szCs w:val="20"/>
          <w:color w:val="auto"/>
        </w:rPr>
      </w:pPr>
      <w:r>
        <w:rPr>
          <w:rFonts w:ascii="Times New Roman" w:cs="Times New Roman" w:eastAsia="Times New Roman" w:hAnsi="Times New Roman"/>
          <w:sz w:val="21"/>
          <w:szCs w:val="21"/>
          <w:color w:val="auto"/>
        </w:rPr>
        <w:t>Section 23. Non-Exclusivity. The Indemnitee’s rights of indemnification and to receive advancement of Expenses as provided by this Agreement shall not be deemed exclusive of any other rights to which the Indemnitee may at any time be entitled under applicable law, the Certificate, the Bylaws, any agreement, a vote of stockholders, a resolution of director or otherwise.</w:t>
      </w:r>
    </w:p>
    <w:p>
      <w:pPr>
        <w:spacing w:after="0" w:line="182"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Section 24. Remedies Not Exclusive. No right or remedy herein conferred upon the Indemnitee is intended to be exclusive of any other right or remedy, and every other right or remedy shall be cumulative of and in addition to the rights and remedies given hereunder or now or hereafter existing at law or in equity or otherwise. The assertion or employment of any right or remedy of the Indemnitee hereunder or otherwise shall not be deemed an election of remedies on the part of the Indemnitee and shall not prevent the concurrent assertion or employment of any other right or remedy by the Indemnitee.</w:t>
      </w:r>
    </w:p>
    <w:p>
      <w:pPr>
        <w:spacing w:after="0" w:line="206"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Section 25. Changes in Law. In the event that a change in applicable law after the date of this Agreement, whether by statute, rule or judicial decision, expands or otherwise increases the right or ability of a Delaware corporation to indemnify a member of its board of directors or an officer, the Indemnitee shall, by this Agreement, enjoy the greater benefits so afforded by such change. In the event that a change in applicable law after the date of this Agreement, whether by statute, rule or judicial decision, narrows or otherwise reduces the right or ability of a Delaware corporation to indemnify a member of its board or directors or an officer, such change shall have no effect on this Agreement or any of the Indemnitee’s rights hereunder, except and only to the extent required by law.</w:t>
      </w:r>
    </w:p>
    <w:p>
      <w:pPr>
        <w:spacing w:after="0" w:line="221"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22"/>
          <w:szCs w:val="22"/>
          <w:color w:val="auto"/>
        </w:rPr>
        <w:t>Section 26. Interpretation of Agreement. The Company and the Indemnitee acknowledge and agree that it is their intention that this Agreement be interpreted and enforced so as to provide indemnification to the Indemnitee to the fullest extent now or hereafter permitted by law.</w:t>
      </w:r>
    </w:p>
    <w:p>
      <w:pPr>
        <w:spacing w:after="0" w:line="200" w:lineRule="exact"/>
        <w:rPr>
          <w:sz w:val="20"/>
          <w:szCs w:val="20"/>
          <w:color w:val="auto"/>
        </w:rPr>
      </w:pPr>
    </w:p>
    <w:p>
      <w:pPr>
        <w:ind w:right="60" w:firstLine="216"/>
        <w:spacing w:after="0" w:line="250" w:lineRule="auto"/>
        <w:rPr>
          <w:sz w:val="20"/>
          <w:szCs w:val="20"/>
          <w:color w:val="auto"/>
        </w:rPr>
      </w:pPr>
      <w:r>
        <w:rPr>
          <w:rFonts w:ascii="Times New Roman" w:cs="Times New Roman" w:eastAsia="Times New Roman" w:hAnsi="Times New Roman"/>
          <w:sz w:val="22"/>
          <w:szCs w:val="22"/>
          <w:color w:val="auto"/>
        </w:rPr>
        <w:t>Section 27. Severability.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shall not in any way be affected or impaired thereby; (b) such provision or provisions will be deemed reformed to the extent necessary to conform to applicable law and to give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by the provision or provisions held invalid, illegal or unenforceable.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28. Governing Law; Jurisdiction and Venue; Specific Performance.</w:t>
      </w:r>
    </w:p>
    <w:p>
      <w:pPr>
        <w:spacing w:after="0" w:line="247" w:lineRule="exact"/>
        <w:rPr>
          <w:sz w:val="20"/>
          <w:szCs w:val="20"/>
          <w:color w:val="auto"/>
        </w:rPr>
      </w:pPr>
    </w:p>
    <w:p>
      <w:pPr>
        <w:jc w:val="both"/>
        <w:ind w:right="160" w:firstLine="1304"/>
        <w:spacing w:after="0" w:line="257" w:lineRule="auto"/>
        <w:tabs>
          <w:tab w:leader="none" w:pos="174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this Agreement shall be governed by, and construed and enforced in accordance with, the internal laws of the State of Delaware without giving effect to any choice or conflict of law provision or rule (whether of the State of Delaware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6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jurisdiction) that would cause the application of the laws of any jurisdiction other than the State of Delaware.</w:t>
      </w:r>
    </w:p>
    <w:p>
      <w:pPr>
        <w:spacing w:after="0" w:line="247" w:lineRule="exact"/>
        <w:rPr>
          <w:sz w:val="20"/>
          <w:szCs w:val="20"/>
          <w:color w:val="auto"/>
        </w:rPr>
      </w:pPr>
    </w:p>
    <w:p>
      <w:pPr>
        <w:ind w:right="100" w:firstLine="1304"/>
        <w:spacing w:after="0" w:line="247" w:lineRule="auto"/>
        <w:tabs>
          <w:tab w:leader="none" w:pos="175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(AS SUCH TERM IS DEFINED BELOW) ARISING OUT OF OR RELATING TO THIS AGREEMENT SHALL BE FILED IN AND LITIGATED OR ARBITRATED SOLELY BEFORE THE COURTS LOCATED IN OR ARBITRATORS SITTING IN THE STATE OF DELAWARE, AND EACH PARTY TO THIS AGREEMENT: (i) GENERALLY AND UNCONDITIONALLY ACCEPTS THE EXCLUSIVE JURISDICTION OF THE AFORESAID COURTS AND ARBITRATORS AND VENUE THEREIN, AND WAIVES TO THE FULLEST EXTENT PROVIDED BY LAW ANY DEFENSE OR OBJECTION TO SUCH JURISDICTION AND VENUE BASED UPON THE DOCTRINE OF “FORUM NON CONVENIENS;” AND (ii) GENERALLY AND UNCONDITIONALLY CONSENTS TO SERVICE OF PROCESS IN ANY SUCH ACTION OR PROCEEDING BY DELIVERY OF CERTIFIED OR REGISTERED MAILING OF THE SUMMONS AND COMPLAINT IN ACCORDANCE WITH THE NOTICE PROVISIONS OF THIS AGREEMENT. FOR PURPOSES OF THIS SECTION, THE TERM “ACTION OR PROCEEDING” IS DEFINED AS ANY AND ALL CLAIMS, SUITS, ACTIONS, HEARINGS, ARBITRATIONS OR OTHER SIMILAR PROCEEDINGS, INCLUDING APPEALS AND PETITIONS THEREFROM, WHETHER FORMAL OR INFORMAL, GOVERNMENTAL OR NON-GOVERNMENTAL, OR CIVIL OR CRIMINIAL.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221" w:lineRule="exact"/>
        <w:rPr>
          <w:rFonts w:ascii="Times New Roman" w:cs="Times New Roman" w:eastAsia="Times New Roman" w:hAnsi="Times New Roman"/>
          <w:sz w:val="22"/>
          <w:szCs w:val="22"/>
          <w:color w:val="auto"/>
        </w:rPr>
      </w:pPr>
    </w:p>
    <w:p>
      <w:pPr>
        <w:ind w:firstLine="1304"/>
        <w:spacing w:after="0" w:line="259" w:lineRule="auto"/>
        <w:tabs>
          <w:tab w:leader="none" w:pos="1748"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the Indemnitee may, as a result of the Company’s breach of its covenants and obligations under this Agreement, sustain immediate and long-term substantial and irreparable injury and damage which cannot be reasonably or adequately compensated by damages at law. Consequently, the Company agrees that the Indemnitee shall be entitled, in the event of the Company’s breach or threatened breach of its covenants and obligations hereunder, to obtain equitable relief from a court of competent jurisdiction, including enforcement of each provision of this Agreement by specific performance and/or temporary, preliminary and/or permanent injunctions enforcing any of the Indemnitee’s rights, requiring performance by the Company, or enjoining any breach by the Company, all without proof of any actual damages that have been or may be caused to the Indemnitee by such breach or threatened breach and without the posting of bond or other security in connection therewith. The Company waives the claim or defense therein that the Indemnitee has an adequate remedy at law, and the Company shall not allege or otherwise assert the legal position that any such remedy at law exists. The Company agrees and acknowledges that: (i) the terms of this Section 28(c) are fair, reasonable and necessary to protect the legitimate interests of the Indemnitee; (ii) this waiver is a material inducement to the Indemnitee to enter into the transactions contemplated hereby; and</w:t>
      </w:r>
    </w:p>
    <w:p>
      <w:pPr>
        <w:spacing w:after="0" w:line="1" w:lineRule="exact"/>
        <w:rPr>
          <w:rFonts w:ascii="Times New Roman" w:cs="Times New Roman" w:eastAsia="Times New Roman" w:hAnsi="Times New Roman"/>
          <w:sz w:val="21"/>
          <w:szCs w:val="21"/>
          <w:color w:val="auto"/>
        </w:rPr>
      </w:pPr>
    </w:p>
    <w:p>
      <w:pPr>
        <w:ind w:right="140" w:firstLine="8"/>
        <w:spacing w:after="0" w:line="249" w:lineRule="auto"/>
        <w:tabs>
          <w:tab w:leader="none" w:pos="3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 relied upon this waiver in entering into this Agreement and will continue to rely on this waiver in its future dealings with the Company. The Company represents and warrants that it has reviewed this provision with its legal counsel, and that it has knowingly and voluntarily waived its rights referenced in this Section 28 following consultation with such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65" w:right="359" w:bottom="1440" w:gutter="0" w:footer="0" w:header="0"/>
        </w:sectPr>
      </w:pPr>
    </w:p>
    <w:bookmarkStart w:id="152" w:name="page153"/>
    <w:bookmarkEnd w:id="152"/>
    <w:p>
      <w:pPr>
        <w:ind w:right="40" w:firstLine="216"/>
        <w:spacing w:after="0" w:line="265" w:lineRule="auto"/>
        <w:rPr>
          <w:sz w:val="20"/>
          <w:szCs w:val="20"/>
          <w:color w:val="auto"/>
        </w:rPr>
      </w:pPr>
      <w:r>
        <w:rPr>
          <w:rFonts w:ascii="Times New Roman" w:cs="Times New Roman" w:eastAsia="Times New Roman" w:hAnsi="Times New Roman"/>
          <w:sz w:val="21"/>
          <w:szCs w:val="21"/>
          <w:color w:val="auto"/>
        </w:rPr>
        <w:t>Section 29. Nondisclosure of Payments. Except as expressly required by federal securities laws or regulations, or stock exchange rules applicable to the Company, the Company shall not disclose any payments under this Agreement without the prior written consent of the Indemnitee. Any payments to the Indemnitee that must be disclosed shall, unless otherwise required by law, be described only in the Company proxy or information statements relating to special and/or annual meetings of the Company’s shareholders, and the Company shall afford the Indemnitee a reasonable opportunity to review all such disclosures and, if requested by the Indemnitee, to explain in such statement any mitigating circumstances regarding the events reported.</w:t>
      </w:r>
    </w:p>
    <w:p>
      <w:pPr>
        <w:spacing w:after="0" w:line="196" w:lineRule="exact"/>
        <w:rPr>
          <w:sz w:val="20"/>
          <w:szCs w:val="20"/>
          <w:color w:val="auto"/>
        </w:rPr>
      </w:pPr>
    </w:p>
    <w:p>
      <w:pPr>
        <w:ind w:right="280" w:firstLine="216"/>
        <w:spacing w:after="0" w:line="257" w:lineRule="auto"/>
        <w:rPr>
          <w:sz w:val="20"/>
          <w:szCs w:val="20"/>
          <w:color w:val="auto"/>
        </w:rPr>
      </w:pPr>
      <w:r>
        <w:rPr>
          <w:rFonts w:ascii="Times New Roman" w:cs="Times New Roman" w:eastAsia="Times New Roman" w:hAnsi="Times New Roman"/>
          <w:sz w:val="22"/>
          <w:szCs w:val="22"/>
          <w:color w:val="auto"/>
        </w:rPr>
        <w:t>Section 30. Notice by the Indemnitee. The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w:t>
      </w:r>
    </w:p>
    <w:p>
      <w:pPr>
        <w:spacing w:after="0" w:line="20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Section 31. Notices. All notices, requests, demands and other communications hereunder shall be in writing and shall be deemed to have been duly given if (a) delivered by hand and received for by the party to whom said notice or other communication shall have been directed, or (b) mailed by U.S. certified or registered mail with postage prepaid, on the third business day after the date on which it is so mailed: (i) If to the Company: TriMas Corporation, 38505 Woodward Avenue, Suite 200, Bloomfield Hills, Michigan 48304, Attention: General Counsel; and (ii) if to any other party hereto, including the Indemnitee, to the address of such party set forth on the signature page hereof; or to such other address as may have been furnished by any party to the other(s), in accordance with this Section 31.</w:t>
      </w:r>
    </w:p>
    <w:p>
      <w:pPr>
        <w:spacing w:after="0" w:line="206"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Section 32. Modification and Waiver. No supplement, modification or amendment of this Agreement or any provision hereof shall limit or restrict in any way any right of the Indemnitee under this Agreement with respect to any action taken or omitted by the Indemnitee in his Corporate Status prior to such supplement, modification or amendment. No supplement, modification or amendment of this Agreement or any provision hereof shall be binding unless executed in writing by both of the Company and the Indemnitee. No waiver of any provision of this Agreement shall be deemed or shall constitute a waiver of any other provision hereof (whether or not similar) nor shall such waiver constitute a continuing waiver.</w:t>
      </w:r>
    </w:p>
    <w:p>
      <w:pPr>
        <w:spacing w:after="0" w:line="208" w:lineRule="exact"/>
        <w:rPr>
          <w:sz w:val="20"/>
          <w:szCs w:val="20"/>
          <w:color w:val="auto"/>
        </w:rPr>
      </w:pPr>
    </w:p>
    <w:p>
      <w:pPr>
        <w:ind w:right="100" w:firstLine="216"/>
        <w:spacing w:after="0" w:line="251" w:lineRule="auto"/>
        <w:rPr>
          <w:sz w:val="20"/>
          <w:szCs w:val="20"/>
          <w:color w:val="auto"/>
        </w:rPr>
      </w:pPr>
      <w:r>
        <w:rPr>
          <w:rFonts w:ascii="Times New Roman" w:cs="Times New Roman" w:eastAsia="Times New Roman" w:hAnsi="Times New Roman"/>
          <w:sz w:val="22"/>
          <w:szCs w:val="22"/>
          <w:color w:val="auto"/>
        </w:rPr>
        <w:t>Section 33. Prior Agreements. This Agreement supersedes and replaces all written agreements heretofore made or existing by and between the Indemnitee, on the one hand, and the Company or any of its subsidiaries, on the other hand, that principally pertain to the subject matter of this Agreement. For the avoidance of doubt, the Indemnitee’s rights to indemnification and advancement set forth herein shall not be affected by whether (a) the Indemnitee’s Corporate Status existed prior to, on or after the date hereof or (b) any Covered Actions and Inactions actually, allegedly or are suspected to have occurred or failed to occur prior to, on or after the date hereof.</w:t>
      </w:r>
    </w:p>
    <w:p>
      <w:pPr>
        <w:spacing w:after="0" w:line="208" w:lineRule="exact"/>
        <w:rPr>
          <w:sz w:val="20"/>
          <w:szCs w:val="20"/>
          <w:color w:val="auto"/>
        </w:rPr>
      </w:pPr>
    </w:p>
    <w:p>
      <w:pPr>
        <w:ind w:right="360" w:firstLine="216"/>
        <w:spacing w:after="0" w:line="271" w:lineRule="auto"/>
        <w:rPr>
          <w:sz w:val="20"/>
          <w:szCs w:val="20"/>
          <w:color w:val="auto"/>
        </w:rPr>
      </w:pPr>
      <w:r>
        <w:rPr>
          <w:rFonts w:ascii="Times New Roman" w:cs="Times New Roman" w:eastAsia="Times New Roman" w:hAnsi="Times New Roman"/>
          <w:sz w:val="22"/>
          <w:szCs w:val="22"/>
          <w:color w:val="auto"/>
        </w:rPr>
        <w:t>Section 34. Headings. The headings of the Sections or paragraphs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165" w:right="399" w:bottom="1440" w:gutter="0" w:footer="0" w:header="0"/>
        </w:sectPr>
      </w:pPr>
    </w:p>
    <w:bookmarkStart w:id="153" w:name="page154"/>
    <w:bookmarkEnd w:id="153"/>
    <w:p>
      <w:pPr>
        <w:ind w:right="20" w:firstLine="216"/>
        <w:spacing w:after="0" w:line="271" w:lineRule="auto"/>
        <w:rPr>
          <w:sz w:val="20"/>
          <w:szCs w:val="20"/>
          <w:color w:val="auto"/>
        </w:rPr>
      </w:pPr>
      <w:r>
        <w:rPr>
          <w:rFonts w:ascii="Times New Roman" w:cs="Times New Roman" w:eastAsia="Times New Roman" w:hAnsi="Times New Roman"/>
          <w:sz w:val="22"/>
          <w:szCs w:val="22"/>
          <w:color w:val="auto"/>
        </w:rPr>
        <w:t>Section 35. Gender. Use of the masculine pronoun in this Agreement shall be deemed to include usage of the feminine pronoun where appropriate.</w:t>
      </w:r>
    </w:p>
    <w:p>
      <w:pPr>
        <w:spacing w:after="0" w:line="18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22"/>
          <w:szCs w:val="22"/>
          <w:color w:val="auto"/>
        </w:rPr>
        <w:t>Section 36. Identical Counterparts. This Agreement may be executed in one or more counterparts (whether by original, photocopy or facsimile signature), each of which shall for all purposes be deemed to be an original, but all of which together shall constitute one and the same Agreement. Only one such counterpart executed by the party against whom enforcement is sought must be produced to evidence the existence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6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color w:val="auto"/>
        </w:rPr>
        <w:t>IN WITNESS WHEREOF, the parties hereto have entered into this Agreement effective as of the date first above written.</w:t>
      </w:r>
    </w:p>
    <w:p>
      <w:pPr>
        <w:sectPr>
          <w:pgSz w:w="11900" w:h="16838" w:orient="portrait"/>
          <w:cols w:equalWidth="0" w:num="1">
            <w:col w:w="10500"/>
          </w:cols>
          <w:pgMar w:left="980" w:top="1408" w:right="419" w:bottom="1440" w:gutter="0" w:footer="0" w:header="0"/>
        </w:sect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Printed Name: Jodi F. Robin</w:t>
      </w:r>
    </w:p>
    <w:p>
      <w:pPr>
        <w:spacing w:after="0" w:line="2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General Counsel &amp; Secretary</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Address: 38505 Woodward Ave., Ste. 200</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Bloomfield Hills, Michigan 48304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Indemnitee: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__________________________________________</w:t>
      </w: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Printed Name: Thomas J. Snyder</w:t>
      </w:r>
    </w:p>
    <w:p>
      <w:pPr>
        <w:spacing w:after="0" w:line="2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00"/>
          </w:cols>
          <w:pgMar w:left="980" w:top="1408" w:right="419" w:bottom="1440" w:gutter="0" w:footer="0" w:header="0"/>
          <w:type w:val="continuous"/>
        </w:sectPr>
      </w:pPr>
    </w:p>
    <w:bookmarkStart w:id="155" w:name="page156"/>
    <w:bookmarkEnd w:id="155"/>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UNDERTAKING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Undertaking is submitted pursuant to the Indemnification Agreement, dated as of ___________ ___, ____ (the</w:t>
      </w:r>
    </w:p>
    <w:p>
      <w:pPr>
        <w:spacing w:after="0" w:line="28"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2"/>
          <w:szCs w:val="22"/>
          <w:color w:val="auto"/>
        </w:rPr>
        <w:t>“Indemnification Agreement”), between TriMas Corporation, a Delaware corporation (the “Company”), and the undersigned. Capitalized terms used and not otherwise defined herein have the meanings ascribed to such terms in the Indemnification Agreement.</w:t>
      </w:r>
    </w:p>
    <w:p>
      <w:pPr>
        <w:spacing w:after="0" w:line="205"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The undersigned hereby requests [payment], [advancement], [reimbursement] by the Company of Expenses which the undersigned [has incurred] [reasonably expects to incur] in connection with ______________________ (the “Proceeding”).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The undersigned hereby undertakes to repay the [payment], [advancement], [reimbursement] of Expenses made by the Company to or on behalf of the undersigned in response to the foregoing request to the extent it is determined, following the final disposition of the Proceeding and in accordance with Section 8 of the Indemnification Agreement, that the undersigned is not entitled to indemnification by the Company under the Indemnification Agreement with respect to the Proceeding.</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WITNESS WHEREOF, the undersigned has executed this Undertaking as of this _____ day of 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[Indemnitee]</w:t>
      </w:r>
    </w:p>
    <w:p>
      <w:pPr>
        <w:sectPr>
          <w:pgSz w:w="11900" w:h="16838" w:orient="portrait"/>
          <w:cols w:equalWidth="0" w:num="1">
            <w:col w:w="11200"/>
          </w:cols>
          <w:pgMar w:left="320" w:top="1165" w:right="37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23,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 entered into by and between TriMas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Thomas J. Snyder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is an executive of the Company and is expected to make major contributions to the growth and financial strength of the Company;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provide additional inducement for the Executive to continue to remain in the employ of the Company by providing certain severance benefits in the event of certain terminations of the Executive’s employment by the Company outside of a Change in Control (as defined below);</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also recognizes that the possibility of a Change in Control exists and that such possibility, and the uncertainty it may create among management, may result in the distraction or departure of management personnel, to the detriment of the Company and its stockholders;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help assure itself of the continuity of management and desires to establish certain minimum severance benefits for certain of its executives, including the Executive, applicable including in the event of a Change in Control; and</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wishes to help ensure that its executives are not unduly distracted by the circumstances attendant to the possibility of a Change in Control and to encourage the continued attention and dedication of such executives, including the Executive, to their assigned duties with the Company.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agree as follows:</w:t>
      </w:r>
    </w:p>
    <w:p>
      <w:pPr>
        <w:spacing w:after="0" w:line="193" w:lineRule="exact"/>
        <w:rPr>
          <w:sz w:val="20"/>
          <w:szCs w:val="20"/>
          <w:color w:val="auto"/>
        </w:rPr>
      </w:pPr>
    </w:p>
    <w:p>
      <w:pPr>
        <w:ind w:firstLine="656"/>
        <w:spacing w:after="0" w:line="236"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In addition to terms defined elsewhere herein, the following terms have the following meanings when used in this Agreement with initial capital letters:</w:t>
      </w:r>
    </w:p>
    <w:p>
      <w:pPr>
        <w:spacing w:after="0" w:line="177"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Rule 12b-2 promulgated under Section 12 of the Exchange Act.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have the meaning set forth in Rule 13d-3 under the Exchange Act.</w:t>
      </w:r>
    </w:p>
    <w:p>
      <w:pPr>
        <w:sectPr>
          <w:pgSz w:w="11900" w:h="16838" w:orient="portrait"/>
          <w:cols w:equalWidth="0" w:num="1">
            <w:col w:w="11240"/>
          </w:cols>
          <w:pgMar w:left="320" w:top="365" w:right="339" w:bottom="1440" w:gutter="0" w:footer="0" w:header="0"/>
        </w:sectPr>
      </w:pPr>
    </w:p>
    <w:bookmarkStart w:id="157" w:name="page158"/>
    <w:bookmarkEnd w:id="157"/>
    <w:p>
      <w:pPr>
        <w:ind w:left="644" w:hanging="644"/>
        <w:spacing w:after="0"/>
        <w:tabs>
          <w:tab w:leader="none" w:pos="64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215" w:lineRule="exact"/>
        <w:rPr>
          <w:rFonts w:ascii="Times New Roman" w:cs="Times New Roman" w:eastAsia="Times New Roman" w:hAnsi="Times New Roman"/>
          <w:sz w:val="22"/>
          <w:szCs w:val="22"/>
          <w:color w:val="auto"/>
        </w:rPr>
      </w:pPr>
    </w:p>
    <w:p>
      <w:pPr>
        <w:jc w:val="both"/>
        <w:ind w:left="4" w:firstLine="644"/>
        <w:spacing w:after="0" w:line="265" w:lineRule="auto"/>
        <w:tabs>
          <w:tab w:leader="none" w:pos="1288"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crime constituting a felony under the laws of the United States or any State thereof or any other jurisdiction in which the Company or its subsidiaries conduct business;</w:t>
      </w:r>
    </w:p>
    <w:p>
      <w:pPr>
        <w:spacing w:after="0" w:line="165" w:lineRule="exact"/>
        <w:rPr>
          <w:rFonts w:ascii="Times New Roman" w:cs="Times New Roman" w:eastAsia="Times New Roman" w:hAnsi="Times New Roman"/>
          <w:sz w:val="22"/>
          <w:szCs w:val="22"/>
          <w:color w:val="auto"/>
        </w:rPr>
      </w:pPr>
    </w:p>
    <w:p>
      <w:pPr>
        <w:ind w:left="4" w:firstLine="644"/>
        <w:spacing w:after="0" w:line="271" w:lineRule="auto"/>
        <w:tabs>
          <w:tab w:leader="none" w:pos="129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misconduct in the performance of his duties to the Company or its subsidiaries and failure to cure such breach within 30 days following written notice thereof from the Company;</w:t>
      </w:r>
    </w:p>
    <w:p>
      <w:pPr>
        <w:spacing w:after="0" w:line="157"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30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or refusal to follow directions from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failure to cure such breach within 30 days following written notice thereof from the Board; or</w:t>
      </w:r>
    </w:p>
    <w:p>
      <w:pPr>
        <w:spacing w:after="0" w:line="171"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breach of fiduciary duty to the Company or its subsidiaries for personal profit.</w:t>
      </w:r>
    </w:p>
    <w:p>
      <w:pPr>
        <w:spacing w:after="0" w:line="220"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22"/>
          <w:szCs w:val="22"/>
          <w:color w:val="auto"/>
        </w:rPr>
        <w:t>Any failure by the Company or a subsidiary to notify the Executive after the first occurrence of an event constituting Cause shall not preclude any subsequent occurrences of such event (or a similar event) from constituting Cause.</w:t>
      </w:r>
    </w:p>
    <w:p>
      <w:pPr>
        <w:spacing w:after="0" w:line="15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2"/>
          <w:szCs w:val="22"/>
          <w:color w:val="auto"/>
        </w:rPr>
        <w:t>Notwithstanding the foregoing, no termination of the Executive’s employment shall qualify as a termination for Cause unless (x) the Company notifies the Executive in writing of the Company’s intention to terminate the Executive’s employment for Cause within 90 days following the initial existence of such occurrence or event, (y) the Executive fails to cure such occurrence or event within 30 days after receipt of such notice from the Company and (z) the Company terminates the Executive’s employment within 45 days after the expiration of the Executive’s cure period in subsection (y).</w:t>
      </w:r>
    </w:p>
    <w:p>
      <w:pPr>
        <w:spacing w:after="0" w:line="181" w:lineRule="exact"/>
        <w:rPr>
          <w:sz w:val="20"/>
          <w:szCs w:val="20"/>
          <w:color w:val="auto"/>
        </w:rPr>
      </w:pPr>
    </w:p>
    <w:p>
      <w:pPr>
        <w:ind w:left="644" w:hanging="644"/>
        <w:spacing w:after="0"/>
        <w:tabs>
          <w:tab w:leader="none" w:pos="6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28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294"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on the Board: individuals who, on the date hereof, constitute the Board and any new member of the Board (a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(other than a Director whose initial assumption of office is in connection with an actual or threatened election contest, including but not limited to a consent solicitation, relating to the election of Directors) whose appointment or election by the Board or nomination for election by the Company’s stockholders was approved or recommended by a vote of at least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22" w:right="339" w:bottom="1440" w:gutter="0" w:footer="0" w:header="0"/>
        </w:sectPr>
      </w:pPr>
    </w:p>
    <w:bookmarkStart w:id="158" w:name="page159"/>
    <w:bookmarkEnd w:id="158"/>
    <w:p>
      <w:pPr>
        <w:jc w:val="both"/>
        <w:spacing w:after="0" w:line="251" w:lineRule="auto"/>
        <w:rPr>
          <w:sz w:val="20"/>
          <w:szCs w:val="20"/>
          <w:color w:val="auto"/>
        </w:rPr>
      </w:pPr>
      <w:r>
        <w:rPr>
          <w:rFonts w:ascii="Times New Roman" w:cs="Times New Roman" w:eastAsia="Times New Roman" w:hAnsi="Times New Roman"/>
          <w:sz w:val="22"/>
          <w:szCs w:val="22"/>
          <w:color w:val="auto"/>
        </w:rPr>
        <w:t>thirds of the Directors then still in office who either were Directors on the date of this Agreement or whose appointment, election or nomination for election was previously so approved or recommended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shall be considered a member of the Incumbent Board if such individual initially assumed office as a result of either an actual or threatened election contest (an “</w:t>
      </w:r>
      <w:r>
        <w:rPr>
          <w:rFonts w:ascii="Times New Roman" w:cs="Times New Roman" w:eastAsia="Times New Roman" w:hAnsi="Times New Roman"/>
          <w:sz w:val="22"/>
          <w:szCs w:val="22"/>
          <w:u w:val="single" w:color="auto"/>
          <w:color w:val="auto"/>
        </w:rPr>
        <w:t>Election Contest</w:t>
      </w:r>
      <w:r>
        <w:rPr>
          <w:rFonts w:ascii="Times New Roman" w:cs="Times New Roman" w:eastAsia="Times New Roman" w:hAnsi="Times New Roman"/>
          <w:sz w:val="22"/>
          <w:szCs w:val="22"/>
          <w:color w:val="auto"/>
        </w:rPr>
        <w:t>”) or other actual or threatened solicitation of proxies or consents by or on behalf of a Person other than the Board (a “</w:t>
      </w:r>
      <w:r>
        <w:rPr>
          <w:rFonts w:ascii="Times New Roman" w:cs="Times New Roman" w:eastAsia="Times New Roman" w:hAnsi="Times New Roman"/>
          <w:sz w:val="22"/>
          <w:szCs w:val="22"/>
          <w:u w:val="single" w:color="auto"/>
          <w:color w:val="auto"/>
        </w:rPr>
        <w:t>Proxy Contest</w:t>
      </w:r>
      <w:r>
        <w:rPr>
          <w:rFonts w:ascii="Times New Roman" w:cs="Times New Roman" w:eastAsia="Times New Roman" w:hAnsi="Times New Roman"/>
          <w:sz w:val="22"/>
          <w:szCs w:val="22"/>
          <w:color w:val="auto"/>
        </w:rPr>
        <w:t>”), including by reason of any agreement intended to avoid or settle any Election Contest or Proxy Contest;</w:t>
      </w:r>
    </w:p>
    <w:p>
      <w:pPr>
        <w:spacing w:after="0" w:line="181" w:lineRule="exact"/>
        <w:rPr>
          <w:sz w:val="20"/>
          <w:szCs w:val="20"/>
          <w:color w:val="auto"/>
        </w:rPr>
      </w:pPr>
    </w:p>
    <w:p>
      <w:pPr>
        <w:jc w:val="both"/>
        <w:ind w:firstLine="644"/>
        <w:spacing w:after="0" w:line="261" w:lineRule="auto"/>
        <w:tabs>
          <w:tab w:leader="none" w:pos="129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70" w:lineRule="exact"/>
        <w:rPr>
          <w:rFonts w:ascii="Times New Roman" w:cs="Times New Roman" w:eastAsia="Times New Roman" w:hAnsi="Times New Roman"/>
          <w:sz w:val="21"/>
          <w:szCs w:val="21"/>
          <w:color w:val="auto"/>
        </w:rPr>
      </w:pPr>
    </w:p>
    <w:p>
      <w:pPr>
        <w:jc w:val="both"/>
        <w:ind w:firstLine="644"/>
        <w:spacing w:after="0" w:line="248" w:lineRule="auto"/>
        <w:tabs>
          <w:tab w:leader="none" w:pos="128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 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22" w:right="339" w:bottom="1440" w:gutter="0" w:footer="0" w:header="0"/>
        </w:sectPr>
      </w:pPr>
    </w:p>
    <w:bookmarkStart w:id="159" w:name="page160"/>
    <w:bookmarkEnd w:id="159"/>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Notwithstanding the foregoing, (x)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if required to avoid accelerated taxation and/or tax penalties under Section 409A of the Code, a “Change in Control” shall be deemed to have occurred only if the transaction or event qualifies as a Section 409A Change in Control.</w:t>
      </w:r>
    </w:p>
    <w:p>
      <w:pPr>
        <w:spacing w:after="0" w:line="180" w:lineRule="exact"/>
        <w:rPr>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Multiplier</w:t>
      </w:r>
      <w:r>
        <w:rPr>
          <w:rFonts w:ascii="Times New Roman" w:cs="Times New Roman" w:eastAsia="Times New Roman" w:hAnsi="Times New Roman"/>
          <w:sz w:val="22"/>
          <w:szCs w:val="22"/>
          <w:color w:val="auto"/>
        </w:rPr>
        <w:t>” means 2.0.</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24-month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(i) the Executive is unable to engage in any substantial activity due to medically determinable physical or medical impairment expected to result in death or to last for a continuous period of not less than 12 months, or (ii) if due to any medically determinable physical or mental impairment expected to result in death or last for a continuous period not less than 12 months, the Executive has received income replacement benefits for a period of not less than three months under an accident and health plan sponsored by the Company.</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thereunder, as such law, rules and regulations may be amended from time to time.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the Executive’s duties or responsibilities, other than any such diminution resulting from events or circumstances reasonably impacting the duties or responsibilities of substantially all other Company executive officers having primarily Company-wide duties or responsibilities;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the Executive by the Company; or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reassignment of the Executive to another primary office more than 50 miles from the current office location, which reassignment is not otherwise approved by the Board.</w:t>
      </w:r>
    </w:p>
    <w:p>
      <w:pPr>
        <w:spacing w:after="0" w:line="17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 Executive must notify the Company of the Executive’s intention to invoke termination for Good Reason within 90 days after the Executive has knowledge of such event and provide the Company 30 days’ opportunity for cure, and the Executive must actually terminate the Executive’s employment with the Company prior to the 365th day following such occurrence or such event shall not constitute Good Reason.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60" w:name="page161"/>
    <w:bookmarkEnd w:id="160"/>
    <w:p>
      <w:pPr>
        <w:ind w:left="660" w:right="20"/>
        <w:spacing w:after="0" w:line="271" w:lineRule="auto"/>
        <w:rPr>
          <w:sz w:val="20"/>
          <w:szCs w:val="20"/>
          <w:color w:val="auto"/>
        </w:rPr>
      </w:pPr>
      <w:r>
        <w:rPr>
          <w:rFonts w:ascii="Times New Roman" w:cs="Times New Roman" w:eastAsia="Times New Roman" w:hAnsi="Times New Roman"/>
          <w:sz w:val="22"/>
          <w:szCs w:val="22"/>
          <w:color w:val="auto"/>
        </w:rPr>
        <w:t>may not invoke termination for Good Reason if Cause exists or the Executive has violated Section 10 of the Agreement at the time of such termination.</w:t>
      </w:r>
    </w:p>
    <w:p>
      <w:pPr>
        <w:spacing w:after="0" w:line="158"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Multiplier</w:t>
      </w:r>
      <w:r>
        <w:rPr>
          <w:rFonts w:ascii="Times New Roman" w:cs="Times New Roman" w:eastAsia="Times New Roman" w:hAnsi="Times New Roman"/>
          <w:sz w:val="22"/>
          <w:szCs w:val="22"/>
          <w:color w:val="auto"/>
        </w:rPr>
        <w:t>” means 1.0.</w:t>
      </w:r>
    </w:p>
    <w:p>
      <w:pPr>
        <w:spacing w:after="0" w:line="233"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Non-CIC Period</w:t>
      </w:r>
      <w:r>
        <w:rPr>
          <w:rFonts w:ascii="Times New Roman" w:cs="Times New Roman" w:eastAsia="Times New Roman" w:hAnsi="Times New Roman"/>
          <w:sz w:val="22"/>
          <w:szCs w:val="22"/>
          <w:color w:val="auto"/>
        </w:rPr>
        <w:t>” means the period that begins on the date of the Executive’s termination of employment with the Company and ends on the 12-month anniversary of the date of the Executive’s termination.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8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Term</w:t>
      </w:r>
      <w:r>
        <w:rPr>
          <w:rFonts w:ascii="Times New Roman" w:cs="Times New Roman" w:eastAsia="Times New Roman" w:hAnsi="Times New Roman"/>
          <w:sz w:val="22"/>
          <w:szCs w:val="22"/>
          <w:color w:val="auto"/>
        </w:rPr>
        <w:t xml:space="preserve">” shall mean (i) the Non-CIC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(ii) the CIC Period if the Executive is terminated in a manner that gives rise to severance benefits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(iii) 24 months following the termination of the Executive’s employment with the Company if the Executive’s employment has terminated in any other manner.</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propositions as their ownership of stock of the Company.</w:t>
      </w:r>
    </w:p>
    <w:p>
      <w:pPr>
        <w:spacing w:after="0" w:line="167" w:lineRule="exact"/>
        <w:rPr>
          <w:rFonts w:ascii="Times New Roman" w:cs="Times New Roman" w:eastAsia="Times New Roman" w:hAnsi="Times New Roman"/>
          <w:sz w:val="22"/>
          <w:szCs w:val="22"/>
          <w:color w:val="auto"/>
        </w:rPr>
      </w:pPr>
    </w:p>
    <w:p>
      <w:pPr>
        <w:ind w:firstLine="656"/>
        <w:spacing w:after="0" w:line="236" w:lineRule="auto"/>
        <w:tabs>
          <w:tab w:leader="none" w:pos="135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shall be defined for purposes of this Agreement as a termination of the Executive’s employment with the Company for any reason other than: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(as defined in this Agreement);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(as defined in this Agreement);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by the Executive without Good Reason (as defined in this Agreement).</w:t>
      </w:r>
    </w:p>
    <w:p>
      <w:pPr>
        <w:spacing w:after="0" w:line="20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Section 409A Change in Control</w:t>
      </w:r>
      <w:r>
        <w:rPr>
          <w:rFonts w:ascii="Times New Roman" w:cs="Times New Roman" w:eastAsia="Times New Roman" w:hAnsi="Times New Roman"/>
          <w:sz w:val="22"/>
          <w:szCs w:val="22"/>
          <w:color w:val="auto"/>
        </w:rPr>
        <w:t>” means a “change in the ownership of the corporation,” a “change in effective control of the corporation” or a “change in the ownership of a substantial portion of the assets of the corporation,” within the meaning of Section 409A(a)(2)(A)(v) of the Code.</w:t>
      </w:r>
    </w:p>
    <w:p>
      <w:pPr>
        <w:spacing w:after="0" w:line="173" w:lineRule="exact"/>
        <w:rPr>
          <w:sz w:val="20"/>
          <w:szCs w:val="20"/>
          <w:color w:val="auto"/>
        </w:rPr>
      </w:pPr>
    </w:p>
    <w:p>
      <w:pPr>
        <w:jc w:val="both"/>
        <w:ind w:firstLine="656"/>
        <w:spacing w:after="0" w:line="250" w:lineRule="auto"/>
        <w:tabs>
          <w:tab w:leader="none" w:pos="129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Effective Date and expire on the five-year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provided, however, that: (a) on the five-year anniversary of the Effective Date and each one-year anniversary thereafter (each such one-year period, an “</w:t>
      </w:r>
      <w:r>
        <w:rPr>
          <w:rFonts w:ascii="Times New Roman" w:cs="Times New Roman" w:eastAsia="Times New Roman" w:hAnsi="Times New Roman"/>
          <w:sz w:val="22"/>
          <w:szCs w:val="22"/>
          <w:u w:val="single" w:color="auto"/>
          <w:color w:val="auto"/>
        </w:rPr>
        <w:t>Additional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will automatically be extended for an additional year unless, not later than 90 days prior to end of the Term, the Company or the Executive shall have given notice to the other that it or the Executive, as applicable, does not wish to have the Term so extended; (b) if, prior to a Change in Control, the Executive ceases for any reason to be an employee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of the Company, thereupon without further action the Term shall be deemed to have expired and this Agreement will immediately terminate and be of no further effect (but subject to satisfaction of the terms and conditions of this Agreement regarding such termination, including the terms of any Anticipatory Termination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Agreement);]and (c) notwithstanding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after a Change in Control, this Agreement may not be terminated or amended in any manner prior to the fifth business day following the two-year anniversary of the Change in Control without the prior written consent of the Executive.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Executive shall not be deemed to have ceased to be an employee of the Company and any Affiliate of the Company by reason of the transfer of the Executive’s employment between the Company and any Affiliate of the Company, or among any Affiliates of the Company.</w:t>
      </w:r>
    </w:p>
    <w:p>
      <w:pPr>
        <w:spacing w:after="0" w:line="195" w:lineRule="exact"/>
        <w:rPr>
          <w:sz w:val="20"/>
          <w:szCs w:val="20"/>
          <w:color w:val="auto"/>
        </w:rPr>
      </w:pPr>
    </w:p>
    <w:p>
      <w:pPr>
        <w:jc w:val="both"/>
        <w:ind w:firstLine="656"/>
        <w:spacing w:after="0" w:line="250" w:lineRule="auto"/>
        <w:tabs>
          <w:tab w:leader="none" w:pos="12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for Good Reason Prior to a Change in Control (and Absent Anticipatory Termination)</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if the Executive’s employment is involuntarily terminated by the Company for any reason other than Cause, Disability or death, or if the Executive’s employment is terminated by the Executive for Good Reason, then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81" w:lineRule="exact"/>
        <w:rPr>
          <w:sz w:val="20"/>
          <w:szCs w:val="20"/>
          <w:color w:val="auto"/>
        </w:rPr>
      </w:pPr>
    </w:p>
    <w:p>
      <w:pPr>
        <w:jc w:val="both"/>
        <w:ind w:firstLine="656"/>
        <w:spacing w:after="0" w:line="264" w:lineRule="auto"/>
        <w:tabs>
          <w:tab w:leader="none" w:pos="129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an amount equal to the product of (i) the Non-CIC Multiplier, multiplied by (ii) the sum of (A) the Executive’s annual base salary in effect on the date of termination (without regard to any reduction giving rise to Good Reason) and (B) the Executive’s target Short-Term Incentive Plan (as in effect from time to time, the “</w:t>
      </w:r>
      <w:r>
        <w:rPr>
          <w:rFonts w:ascii="Times New Roman" w:cs="Times New Roman" w:eastAsia="Times New Roman" w:hAnsi="Times New Roman"/>
          <w:sz w:val="21"/>
          <w:szCs w:val="21"/>
          <w:u w:val="single" w:color="auto"/>
          <w:color w:val="auto"/>
        </w:rPr>
        <w:t>Short-Term Incentive Plan</w:t>
      </w:r>
      <w:r>
        <w:rPr>
          <w:rFonts w:ascii="Times New Roman" w:cs="Times New Roman" w:eastAsia="Times New Roman" w:hAnsi="Times New Roman"/>
          <w:sz w:val="21"/>
          <w:szCs w:val="21"/>
          <w:color w:val="auto"/>
        </w:rPr>
        <w:t>”) bonus for the full year of termination at the level in effect immediately prior to the date of termination (without regard to any reduction giving rise to Good Reason), payable in equal installments in accordance with the Company’s payroll practices as in effect from time to time, commencing on the 60th day following the date of termination and ending on the last payroll date of the Company in the last month of the Non-CIC Period, provided that the first such payment shall include all amounts that would have been paid to the Executive in accordance with the Company’s payroll practices if such payments had begun on the date of termination;</w:t>
      </w:r>
    </w:p>
    <w:p>
      <w:pPr>
        <w:spacing w:after="0" w:line="169"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all (i) accrued but unpaid base salary through the date of termination and (ii) earned but unused vacation through the date of termination, payable by the next payroll date following termination of employment;</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paid, payable in accordance with the terms of the Short-Term Incentive Plan;</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through the Executive’s employment termination date, payable in accordance with the terms of the Short-Term Incentive Plan;</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29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elects to continue group health care coverage under the Consolidated 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62" w:name="page163"/>
    <w:bookmarkEnd w:id="16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Company’s COBRA policies, the Company will reimburse the Executive for the employer’s portion of premiums for continued group health coverage under COBRA until the earliest of (i) the termination of the Executive’s COBRA period, (ii) the expiration of the Non-CIC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Non-CIC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Non-CIC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will be treated as taxable to the Executive;</w:t>
      </w:r>
    </w:p>
    <w:p>
      <w:pPr>
        <w:spacing w:after="0" w:line="184" w:lineRule="exact"/>
        <w:rPr>
          <w:sz w:val="20"/>
          <w:szCs w:val="20"/>
          <w:color w:val="auto"/>
        </w:rPr>
      </w:pPr>
    </w:p>
    <w:p>
      <w:pPr>
        <w:jc w:val="both"/>
        <w:ind w:firstLine="656"/>
        <w:spacing w:after="0" w:line="256" w:lineRule="auto"/>
        <w:tabs>
          <w:tab w:leader="none" w:pos="129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the applicable portion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and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6" w:lineRule="exact"/>
        <w:rPr>
          <w:sz w:val="20"/>
          <w:szCs w:val="20"/>
          <w:color w:val="auto"/>
        </w:rPr>
      </w:pPr>
    </w:p>
    <w:p>
      <w:pPr>
        <w:jc w:val="both"/>
        <w:ind w:firstLine="656"/>
        <w:spacing w:after="0" w:line="251" w:lineRule="auto"/>
        <w:tabs>
          <w:tab w:leader="none" w:pos="129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Following a Change in Control (or Anticipatory Termination)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if the Executive’s employment with the Company terminates by reason of a Qualifying Termination within two years after a Change in Control (or within ninety (90) days prior to a Change in Control (such termination occurring within ninety (90) days prior to a Change in Control, “Anticipatory Termination”)), then, in place of any other severance payments, benefits or other consideration, pursuant to this Agreement, and subject to all legal requirements, the Company shall, subject to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provide the Executive the following severance benefits:</w:t>
      </w:r>
    </w:p>
    <w:p>
      <w:pPr>
        <w:spacing w:after="0" w:line="181" w:lineRule="exact"/>
        <w:rPr>
          <w:sz w:val="20"/>
          <w:szCs w:val="20"/>
          <w:color w:val="auto"/>
        </w:rPr>
      </w:pPr>
    </w:p>
    <w:p>
      <w:pPr>
        <w:jc w:val="both"/>
        <w:ind w:firstLine="656"/>
        <w:spacing w:after="0" w:line="251" w:lineRule="auto"/>
        <w:tabs>
          <w:tab w:leader="none" w:pos="129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a Section 409A Change in Control (but not in the case of any Anticipatory Termination), a lump sum payment payable on the 60th day following the date of the Executive’s termination, equal to the product of (i) the CIC Multiplier, multiplied by (ii) the sum of (A) the Executive’s annual base salary rate in effect on the date of termination (without regard to any reduction giving rise to Good Reason) and (B) the Executive’s Short-Term Incentive Plan target bonus for the full year of termination at the level in effect immediately prior to the date of termination (without regard to any reduction giving rise to Good Reason);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is not a Section 409A Change in Control (or in the event of any Anticipatory Termination), an amount equal to the product of (i) the CIC Multiplier, multiplied by (ii) the sum of (A) the Executive’s annual base salary rate in effect on the date of termination (without regard to any reduction giving rise to Good Reason)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68" w:lineRule="auto"/>
        <w:rPr>
          <w:sz w:val="20"/>
          <w:szCs w:val="20"/>
          <w:color w:val="auto"/>
        </w:rPr>
      </w:pPr>
      <w:r>
        <w:rPr>
          <w:rFonts w:ascii="Times New Roman" w:cs="Times New Roman" w:eastAsia="Times New Roman" w:hAnsi="Times New Roman"/>
          <w:sz w:val="21"/>
          <w:szCs w:val="21"/>
          <w:color w:val="auto"/>
        </w:rPr>
        <w:t>Executive’s Short-Term Incentive Plan target bonus for the full year of termination at the level in effect on the date of termination (without regard to any reduction giving rise to Good Reason), payable in equal installments in accordance with the Company’s payroll practices as in effect from time to time, commencing on the 60th day following the date of termination, and ending on the expiration of the CIC Period, provided that the first such payment shall include all amounts that would have been paid to the Executive in accordance with the Company’s payroll practices if such payments had begun on the date of termination;</w:t>
      </w:r>
    </w:p>
    <w:p>
      <w:pPr>
        <w:spacing w:after="0" w:line="164" w:lineRule="exact"/>
        <w:rPr>
          <w:sz w:val="20"/>
          <w:szCs w:val="20"/>
          <w:color w:val="auto"/>
        </w:rPr>
      </w:pPr>
    </w:p>
    <w:p>
      <w:pPr>
        <w:jc w:val="both"/>
        <w:ind w:firstLine="656"/>
        <w:spacing w:after="0" w:line="256" w:lineRule="auto"/>
        <w:tabs>
          <w:tab w:leader="none" w:pos="129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payment for the most recently completed bonus term if a bonus has been earned by the Executive under the Short-Term Incentive Plan for such year but not yet paid, payable at the time set forth in the Short-Term Incentive Plan, provided that in no event will the Company be permitted to exercise any negative discretion with respect to the amount of such Short-Term Incentive Plan bonus;</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Executive’s Short-Term Incentive Plan bonus for the year of termination, based on actual performance results for the full year and prorated the Executive’s employment termination date, payable in accordance with the terms of the Short-Term Incentive Plan, provided that in no event will the Company be permitted to exercise any negative discretion with respect to the amount of such Short-Term Incentive Plan bonus (the “</w:t>
      </w:r>
      <w:r>
        <w:rPr>
          <w:rFonts w:ascii="Times New Roman" w:cs="Times New Roman" w:eastAsia="Times New Roman" w:hAnsi="Times New Roman"/>
          <w:sz w:val="22"/>
          <w:szCs w:val="22"/>
          <w:u w:val="single" w:color="auto"/>
          <w:color w:val="auto"/>
        </w:rPr>
        <w:t>Prorated 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 timely elects to continue group health care coverage under COBRA, and subject to the Company’s COBRA policies, the Company will reimburse the Executive for the employer’s portion of premiums for continued group health coverage under COBRA until the earliest of (i) the termination of the Executive’s COBRA period, (ii) the expiration of the CIC Period, or (iii) the date on which the Executive becomes eligible to receive any medical benefits under any plan or program of any other employer. The Executive will be responsible for payment of the COBRA premium and will be reimbursed by the Company for the portion of the premium that the Company would have paid if the Executive had continued to be an employee of the Company. If the COBRA period expires before the applicable CIC Period has elapsed following the Executive’s termination of employment, the Company shall pay the Executive a monthly amount equal to the monthly contribution that the Company would have paid for the Executive’s coverage under the applicable group health plan of the Company if the Executive had continued as an employee of the Company until the earlier of (x) the expiration of the applicable CIC period or (y) the date on which the Executive becomes eligible to receive any medical benefits under any plan or program of any other employer. Any such reimbursements or payments provided to the Executive pursuant to this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will be treated as taxable to the Executive;</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benefits stated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and specifically subject to the terms of this Agreement regarding Anticipatory Termination,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64" w:name="page165"/>
    <w:bookmarkEnd w:id="164"/>
    <w:p>
      <w:pPr>
        <w:jc w:val="both"/>
        <w:ind w:firstLine="656"/>
        <w:spacing w:after="0" w:line="250" w:lineRule="auto"/>
        <w:tabs>
          <w:tab w:leader="none" w:pos="129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by the Executive</w:t>
      </w:r>
      <w:r>
        <w:rPr>
          <w:rFonts w:ascii="Times New Roman" w:cs="Times New Roman" w:eastAsia="Times New Roman" w:hAnsi="Times New Roman"/>
          <w:sz w:val="22"/>
          <w:szCs w:val="22"/>
          <w:color w:val="auto"/>
        </w:rPr>
        <w:t xml:space="preserve">. If the Executive voluntarily terminates employment with the Company without Good Reason, the Company shall pay the Executive his (a) accrued but unpaid base salary through the date of termination, (b) earned but unused vacation through the date of termination and (c) Short-Term Incentive Plan bonus payment for the most recently completed bonus term if a bonus has been earned by the Executive under the Short-Term Incentive Plan for such year but not paid. The accrued salary and vacation time shall be payable by the next normal payroll date following the date of the Executive’s termination of employment, and the Short-Term Incentive Plan award shall be payable in accordance with the terms of the Short-Term Incentive Plan. Except for the benefits stated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If the Company terminates the Executive with Cause, the Company shall pay the Executive his (a) accrued but unpaid base salary through the date of termination, and (b) earned but unused vacation through the date of termination payable by the next normal payroll date following the date of the Executive’s termination of employment. The Executive shall not be entitled to payment of any Short-Term Incentive Plan award, whether declared and unpaid for any prior year, relating to any portion of the year in which the termination occurs or otherwise. Except for the benefits stated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the Executive’s participation in all benefit plans, programs and arrangements of the Company shall cease as of the date of the Executive’s termination of employment and otherwise be governed by the terms of the plans, programs or arrangements, if any, governing such benefits.</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Disability</w:t>
      </w:r>
      <w:r>
        <w:rPr>
          <w:rFonts w:ascii="Times New Roman" w:cs="Times New Roman" w:eastAsia="Times New Roman" w:hAnsi="Times New Roman"/>
          <w:sz w:val="22"/>
          <w:szCs w:val="22"/>
          <w:color w:val="auto"/>
        </w:rPr>
        <w:t>. If the Executive’s employment is terminated after it is determined that the Executive is Disabled, then all obligations of the Company to make any further payments under this Agreement, except for earned but unpaid base salary and accrued but unpaid Short-Term Incentive Plan bonus awards, shall terminate on the first to occur of (a) the date that is 6 months after such termination or (b) the date the Executive becomes entitled to benefits under a Company-provided long-term disability program. The earned but unpaid base salary shall be paid by the next normal payroll payment date following termination of the Executive’s employment, and the Short-Term Incentive Plan award shall be paid in accordance with the terms of such plan. The Company may only terminate the Executive on account of Disability after giving due consideration to whether reasonable accommodations can be made under which the Executive is able to fulfill the Executive’s job related duties. The commencement date and expected duration of any physical or mental condition that prevents the Executive from performing job related duties shall be determined by a medical doctor selected by the Company and reasonably acceptable to the Executive. The Company may, in its discretion, require written confirmation from a physician of Disability during any extended absence. Except for the benefits stated above, the Executive’s participation in all other Company benefits shall cease as of the date above on which the Company’s obligation to make payments ceases and otherwise be governed by the terms of the plans, if any, applicable to such benefits.</w:t>
      </w:r>
    </w:p>
    <w:p>
      <w:pPr>
        <w:spacing w:after="0" w:line="18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Executive’s employment terminates due to the Executive’s death, all obligations of the Company to make any further payments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49" w:lineRule="auto"/>
        <w:rPr>
          <w:sz w:val="20"/>
          <w:szCs w:val="20"/>
          <w:color w:val="auto"/>
        </w:rPr>
      </w:pPr>
      <w:r>
        <w:rPr>
          <w:rFonts w:ascii="Times New Roman" w:cs="Times New Roman" w:eastAsia="Times New Roman" w:hAnsi="Times New Roman"/>
          <w:sz w:val="22"/>
          <w:szCs w:val="22"/>
          <w:color w:val="auto"/>
        </w:rPr>
        <w:t>Agreement, other than an obligation to pay any accrued but unpaid base salary to the date of death and any accrued but unpaid bonuses under the Short-Term Incentive Plan to the date of death, shall terminate upon the Executive’s death. The accrued but unpaid base salary shall be paid by the next normal payroll date following termination of employment, and the accrued but unpaid Short-Term Incentive Plan award shall be paid in accordance with the terms of such plan. In accordance with Company guidelines, the Executive’s qualified dependents shall be reimbursed for the employer portion of COBRA premiums for the Company group medical benefits (including health, dental, vision, EAP and prescription plans), as defined by the plan documents, for a period not to exceed 36 months; provided a timely election to continue health care coverage under COBRA is made and subject to the Company’s COBRA policies. Except for the benefits stated above, the Executive’s participation in all other Company benefits shall cease as of the date of death and otherwise be governed by the terms of the plans, if any, applicable to such benefits.</w:t>
      </w:r>
    </w:p>
    <w:p>
      <w:pPr>
        <w:spacing w:after="0" w:line="156" w:lineRule="exact"/>
        <w:rPr>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Certain Payments and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56"/>
        <w:spacing w:after="0" w:line="247" w:lineRule="auto"/>
        <w:tabs>
          <w:tab w:leader="none" w:pos="129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Rules</w:t>
      </w:r>
      <w:r>
        <w:rPr>
          <w:rFonts w:ascii="Times New Roman" w:cs="Times New Roman" w:eastAsia="Times New Roman" w:hAnsi="Times New Roman"/>
          <w:sz w:val="22"/>
          <w:szCs w:val="22"/>
          <w:color w:val="auto"/>
        </w:rPr>
        <w:t>. Notwithstanding any provision of this Agreement to the contrary, if any payment or benefit to be paid or provided hereunder or under any other plan or agreement would be an “Excess Parachute Payment,” within the meaning of Section 280G of the Internal Revenue Code of 1986, as amended, and the regulations thereunder, as such law and regulations may be amended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thereto, but for the application of this sentence, then the payments and benefits to be paid or provided hereunder or thereunder (as applicable) shall be reduced to the minimum extent necessary (but in no event to less than zero) so that no portion of any such payment or benefit, as so reduced, constitutes an Excess Parachute Payment; provided, however, that the foregoing reduction shall be made only if and to the extent that such reduction would result in an increase in the aggregate payments and benefits to be provided, determined on an after-tax basis (taking into account the excise tax imposed pursuant to Section 4999 of the Internal Revenue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Executive or the Company, by the Company’s independent accountants or a nationally recognized law firm chosen by the Company. The fact that the Executive’s right to payments or benefits may be reduced by reason of the limitations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of itself limit or otherwise affect any other rights of the Executive under this Agreement. In the event that any payment or benefit is required to be reduced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then the reduction will be made in accordance with Section 409A of the Code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Times New Roman" w:cs="Times New Roman" w:eastAsia="Times New Roman" w:hAnsi="Times New Roman"/>
          <w:sz w:val="22"/>
          <w:szCs w:val="22"/>
          <w:u w:val="single" w:color="auto"/>
          <w:color w:val="auto"/>
        </w:rPr>
        <w:t>280G Regulations</w:t>
      </w:r>
      <w:r>
        <w:rPr>
          <w:rFonts w:ascii="Times New Roman" w:cs="Times New Roman" w:eastAsia="Times New Roman" w:hAnsi="Times New Roman"/>
          <w:sz w:val="22"/>
          <w:szCs w:val="22"/>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66" w:name="page167"/>
    <w:bookmarkEnd w:id="166"/>
    <w:p>
      <w:pPr>
        <w:ind w:firstLine="656"/>
        <w:spacing w:after="0" w:line="271"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Repeal</w:t>
      </w:r>
      <w:r>
        <w:rPr>
          <w:rFonts w:ascii="Times New Roman" w:cs="Times New Roman" w:eastAsia="Times New Roman" w:hAnsi="Times New Roman"/>
          <w:sz w:val="22"/>
          <w:szCs w:val="22"/>
          <w:color w:val="auto"/>
        </w:rPr>
        <w:t xml:space="preserve">. In the event that the provisions of Sections 280G and 4999 of the Code are repealed without succession,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of no further force or effect.</w:t>
      </w:r>
    </w:p>
    <w:p>
      <w:pPr>
        <w:spacing w:after="0" w:line="158" w:lineRule="exact"/>
        <w:rPr>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Confidentiality; Release of Claims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Company’s entry into this Agreement with the Executive, the Executive shall comply with the following:</w:t>
      </w:r>
    </w:p>
    <w:p>
      <w:pPr>
        <w:spacing w:after="0" w:line="231" w:lineRule="exact"/>
        <w:rPr>
          <w:sz w:val="20"/>
          <w:szCs w:val="20"/>
          <w:color w:val="auto"/>
        </w:rPr>
      </w:pPr>
    </w:p>
    <w:p>
      <w:pPr>
        <w:ind w:firstLine="656"/>
        <w:spacing w:after="0" w:line="271" w:lineRule="auto"/>
        <w:tabs>
          <w:tab w:leader="none" w:pos="129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this Agreement and performance relative to this Agreement are not in violation of any restrictions or covenants under the terms of any other agreements to which the Executive is a party.</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recognizes the highly competitive nature of the business of the Company and accordingly agrees that, in consideration of this Agreement, the rights conferred hereunder, and any payment hereunder, while the Executive is employed by the Company and for the duration of the Non-Compete Term, the Executive shall not engage, either directly or indirectly, as a principal for the Executive’s own account or jointly with others, or as a stockholder in any corporation or joint stock association, or as a partner or member of a general or limited liability entity, or as an employee, officer, director, agent, consultant or in any other advisory capacity in any business other than the Company or its subsidiaries which designs, develops, manufactures, distributes, sells or markets the type of products or services sold, distributed or provided by the Company or its subsidiaries during the one year period prior to the date of employment termination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provided that nothing herein shall prevent the Executive from owning, directly or indirectly, not more than five percent of the outstanding shares of, or any other equity interest in, any entity engaged in the Business and listed or traded on a national securities exchanges or in an over-the-counter securities market.</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Non-Compete Term, the Executive shall not (i) directly or indirectly employ or solicit, or receive or accept the performance of services by, any active employee of the Company or any of its subsidiaries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at any time (whether during or after his employment with the Company) disclose or use for the Executive’s own benefit or purposes or the benefit or purposes of any other person, firm, partnership, joint venture, association, corporation or other business organization, entity or enterprise other than the Company and any of its subsidiaries, any trade secrets, information, data, or other confidential information of the Company, including but not limited to, information relating to customers, development programs, costs, marketing, trading, investment, sales activities, promotion, credit and financial data, financing methods, plans or the business and affairs of the Company generally, or of any subsidiary of the Company, unless required to do so by applicable law or court order, subpoena or decree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0" w:lineRule="auto"/>
        <w:rPr>
          <w:sz w:val="20"/>
          <w:szCs w:val="20"/>
          <w:color w:val="auto"/>
        </w:rPr>
      </w:pPr>
      <w:r>
        <w:rPr>
          <w:rFonts w:ascii="Times New Roman" w:cs="Times New Roman" w:eastAsia="Times New Roman" w:hAnsi="Times New Roman"/>
          <w:sz w:val="22"/>
          <w:szCs w:val="22"/>
          <w:color w:val="auto"/>
        </w:rPr>
        <w:t>required by law, with reasonable evidence of such determination promptly provided to the Company, or except as required in the reasonable performance of the Executive’s duties as an employee of the Company. The preceding sentence of this paragraph (d) shall not apply to information which is not unique to the Company or which is generally known to the industry or the public other than as a result of the Executive’s breach of this covenant. The Executive agrees that upon termination of employment with the Company for any reason, the Executive will return to the Company immediately all memoranda, books, papers, plans, information, letters and other data, and all copies of these materials, in any way relating to the business of the Company and its subsidiaries, except that the Executive may retain personal notes, notebooks and diaries. The Executive further agrees that the Executive will not retain or use for the Executive’s account at any time any trade names, trademark or other proprietary business designation used or owned in connection with the business of the Company or its subsidiaries.</w:t>
      </w:r>
    </w:p>
    <w:p>
      <w:pPr>
        <w:spacing w:after="0" w:line="180" w:lineRule="exact"/>
        <w:rPr>
          <w:sz w:val="20"/>
          <w:szCs w:val="20"/>
          <w:color w:val="auto"/>
        </w:rPr>
      </w:pPr>
    </w:p>
    <w:p>
      <w:pPr>
        <w:jc w:val="both"/>
        <w:ind w:firstLine="656"/>
        <w:spacing w:after="0" w:line="250" w:lineRule="auto"/>
        <w:tabs>
          <w:tab w:leader="none" w:pos="129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Executive and the Company consider the restrictions contained in this Agreement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tribunal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the Company will have no obligation to make any payments or provide any benefits under this Agreement that are not otherwise required to be paid or provided to the Executive pursuant to applicable law unless (i) within 60 days, or such shorter period as designated by the Company, following the date of termination of the Executive’s employment, the Executive executes and delivers to the Company a waiver and release agreement in a reasonable form approved by the Company from time to time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(ii) any applicable revocation period has expired during such 60-day period without the Executive revoking such Release.</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Executive’s termination of employment, or at any other time as requested by the Company, the Executive will be required to surrender to the Company all correspondence, documents, supplies, files, equipment, checks, and all other materials and records of any kind that are the property of the Company or any of its subsidiaries or affiliates that are in the possession or under control of the Executive.</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otherwise) (i) limits the Executive’s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(ii) prevents the Executive from providing, without prior notice to the Company, information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68" w:name="page169"/>
    <w:bookmarkEnd w:id="168"/>
    <w:p>
      <w:pPr>
        <w:jc w:val="both"/>
        <w:spacing w:after="0" w:line="249" w:lineRule="auto"/>
        <w:rPr>
          <w:sz w:val="20"/>
          <w:szCs w:val="20"/>
          <w:color w:val="auto"/>
        </w:rPr>
      </w:pPr>
      <w:r>
        <w:rPr>
          <w:rFonts w:ascii="Times New Roman" w:cs="Times New Roman" w:eastAsia="Times New Roman" w:hAnsi="Times New Roman"/>
          <w:sz w:val="22"/>
          <w:szCs w:val="22"/>
          <w:color w:val="auto"/>
        </w:rPr>
        <w:t>regarding possible legal violations or otherwise testifying or participating in any investigation or proceeding by any governmental authorities regarding possible legal violations. Furthermore, no Company policy or individual agreement between the Company and the Executive shall prevent the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p>
      <w:pPr>
        <w:spacing w:after="0" w:line="195" w:lineRule="exact"/>
        <w:rPr>
          <w:sz w:val="20"/>
          <w:szCs w:val="20"/>
          <w:color w:val="auto"/>
        </w:rPr>
      </w:pPr>
    </w:p>
    <w:p>
      <w:pPr>
        <w:jc w:val="both"/>
        <w:ind w:firstLine="656"/>
        <w:spacing w:after="0" w:line="250" w:lineRule="auto"/>
        <w:tabs>
          <w:tab w:leader="none" w:pos="128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provisions in this Agreement, during any period in which the Executive is employed and/or resides in California, or for which the Company determines that the application of the terms and conditions of this </w:t>
      </w:r>
      <w:r>
        <w:rPr>
          <w:rFonts w:ascii="Times New Roman" w:cs="Times New Roman" w:eastAsia="Times New Roman" w:hAnsi="Times New Roman"/>
          <w:sz w:val="22"/>
          <w:szCs w:val="22"/>
          <w:u w:val="single" w:color="auto"/>
          <w:color w:val="auto"/>
        </w:rPr>
        <w:t>Section 10(i)</w:t>
      </w:r>
      <w:r>
        <w:rPr>
          <w:rFonts w:ascii="Times New Roman" w:cs="Times New Roman" w:eastAsia="Times New Roman" w:hAnsi="Times New Roman"/>
          <w:sz w:val="22"/>
          <w:szCs w:val="22"/>
          <w:color w:val="auto"/>
        </w:rPr>
        <w:t xml:space="preserve"> is necessary or advisable in order to comply with applicable law, during Executive’s employment with the Company and following Executive’s termination of employment with the Company for any reason the covenants contained in </w:t>
      </w:r>
      <w:r>
        <w:rPr>
          <w:rFonts w:ascii="Times New Roman" w:cs="Times New Roman" w:eastAsia="Times New Roman" w:hAnsi="Times New Roman"/>
          <w:sz w:val="22"/>
          <w:szCs w:val="22"/>
          <w:u w:val="single" w:color="auto"/>
          <w:color w:val="auto"/>
        </w:rPr>
        <w:t>Sections 10(b)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10(c)(ii)</w:t>
      </w:r>
      <w:r>
        <w:rPr>
          <w:rFonts w:ascii="Times New Roman" w:cs="Times New Roman" w:eastAsia="Times New Roman" w:hAnsi="Times New Roman"/>
          <w:sz w:val="22"/>
          <w:szCs w:val="22"/>
          <w:color w:val="auto"/>
        </w:rPr>
        <w:t xml:space="preserve"> shall not apply to Executive.</w:t>
      </w:r>
    </w:p>
    <w:p>
      <w:pPr>
        <w:spacing w:after="0" w:line="181" w:lineRule="exact"/>
        <w:rPr>
          <w:sz w:val="20"/>
          <w:szCs w:val="20"/>
          <w:color w:val="auto"/>
        </w:rPr>
      </w:pPr>
    </w:p>
    <w:p>
      <w:pPr>
        <w:ind w:left="1300" w:hanging="644"/>
        <w:spacing w:after="0"/>
        <w:tabs>
          <w:tab w:leader="none" w:pos="13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63" w:lineRule="auto"/>
        <w:tabs>
          <w:tab w:leader="none" w:pos="129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Company’s entry into this Agreement, the Executive will devote his full business time and efforts to the performance of his duties and responsibilities for the Company; provided, that such requirement does not preclude the Executive from engaging in charitable and community affairs or managing any passive investment (i.e., an investment with respect to which the Executive is in no way involved with the management or operation of the entity in which the Executive has invested) to the extent that such activities do not conflict with the Executive duties; and further provided, that,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of this Agreement, the Executive shall not, without the prior approval of the Board, serve as a director or trustee of any other corporation, association or entity, or own more than five percent of the equity of any publicly traded entity.</w:t>
      </w:r>
    </w:p>
    <w:p>
      <w:pPr>
        <w:spacing w:after="0" w:line="172"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Not Compensation</w:t>
      </w:r>
      <w:r>
        <w:rPr>
          <w:rFonts w:ascii="Times New Roman" w:cs="Times New Roman" w:eastAsia="Times New Roman" w:hAnsi="Times New Roman"/>
          <w:sz w:val="22"/>
          <w:szCs w:val="22"/>
          <w:color w:val="auto"/>
        </w:rPr>
        <w:t>. Any participation by the Executive in, and any terminating distributions and vesting rights (other than previously defined) under, the Company 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it is intended that this Agreement comply with or be exempt from the provisions of Section 409A of the Code, so that the income inclusion provisions of Section 409A(a)(1) of the Code do not apply to the Executive. Consistent with that intent, and to the extent required under Section 409A of the Code, for benefits that are to be paid in connection with a termination of employment,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69" w:name="page170"/>
    <w:bookmarkEnd w:id="169"/>
    <w:p>
      <w:pPr>
        <w:ind w:left="660"/>
        <w:spacing w:after="0" w:line="271" w:lineRule="auto"/>
        <w:rPr>
          <w:sz w:val="20"/>
          <w:szCs w:val="20"/>
          <w:color w:val="auto"/>
        </w:rPr>
      </w:pPr>
      <w:r>
        <w:rPr>
          <w:rFonts w:ascii="Times New Roman" w:cs="Times New Roman" w:eastAsia="Times New Roman" w:hAnsi="Times New Roman"/>
          <w:sz w:val="22"/>
          <w:szCs w:val="22"/>
          <w:color w:val="auto"/>
        </w:rPr>
        <w:t>employment” or any similar term shall be limited to such a termination that constitutes a “separation from service” under Section 409A of the Code.</w:t>
      </w:r>
    </w:p>
    <w:p>
      <w:pPr>
        <w:spacing w:after="0" w:line="158" w:lineRule="exact"/>
        <w:rPr>
          <w:sz w:val="20"/>
          <w:szCs w:val="20"/>
          <w:color w:val="auto"/>
        </w:rPr>
      </w:pPr>
    </w:p>
    <w:p>
      <w:pPr>
        <w:jc w:val="both"/>
        <w:ind w:left="660" w:firstLine="644"/>
        <w:spacing w:after="0" w:line="262" w:lineRule="auto"/>
        <w:tabs>
          <w:tab w:leader="none" w:pos="195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if the Executive is a “specified employee,” determined pursuant to procedures adopted by the Company in compliance with Section 409A of the Code, on the date of his separation from service (within the meaning of Treasury Regulation section 1.409A-1(h)) and if any portion of the payments or benefits to be received by the Executive upon his termination of employment would constitute a “deferral of compensation” subject to Section 409A of the Code, then to the extent necessary to comply with Section 409A of the Code, amounts that would otherwise be payable pursuant to this Agreement during the six-month period immediately following the Executive’s termination of employment will instead be paid or made available on the earlier of</w:t>
      </w:r>
    </w:p>
    <w:p>
      <w:pPr>
        <w:spacing w:after="0" w:line="1"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103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business day of the seventh month after the date of the Executive’s termination of employment, or (B) the Executive’s death. For purposes of application of Section 409A of the Code, to the extent applicable, each payment made under this Agreement shall be treated as a separate payment.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to the extent any reimbursement or in-kind benefit provided under this Agreement is nonqualified deferred compensation within the meaning of Section 409A of the Code: (A) the amount of expenses eligible for reimbursement, or in-kind benefits provided, during a calendar year may not affect the expenses eligible for reimbursement, or in-kind benefits to be provided, in any other taxable year; (B) the reimbursement of an eligible expense must be made on or before the last day of the calendar year following the calendar year in which the expense was incurred; and (C) the right to reimbursement or in-kind benefits is not subject to liquidation or exchange for another benefit.</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44"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however, shall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or any other provisions of this Agreement be construed to require the Company to provide any gross-up for the tax consequences under Section 409A of the Code of any provisions of, or payments under, this Agreement and the Company shall have no responsibility for tax consequences under Section 409A of the Code to the Executive resulting from the terms or operation of this Agreement.</w:t>
      </w:r>
    </w:p>
    <w:p>
      <w:pPr>
        <w:spacing w:after="0" w:line="179" w:lineRule="exact"/>
        <w:rPr>
          <w:sz w:val="20"/>
          <w:szCs w:val="20"/>
          <w:color w:val="auto"/>
        </w:rPr>
      </w:pPr>
    </w:p>
    <w:p>
      <w:pPr>
        <w:jc w:val="both"/>
        <w:ind w:firstLine="656"/>
        <w:spacing w:after="0" w:line="253" w:lineRule="auto"/>
        <w:tabs>
          <w:tab w:leader="none" w:pos="129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Process and Taxation Requirements</w:t>
      </w:r>
      <w:r>
        <w:rPr>
          <w:rFonts w:ascii="Times New Roman" w:cs="Times New Roman" w:eastAsia="Times New Roman" w:hAnsi="Times New Roman"/>
          <w:sz w:val="22"/>
          <w:szCs w:val="22"/>
          <w:color w:val="auto"/>
        </w:rPr>
        <w:t>. The Company may withhold from any amounts payable hereunder all federal, state, city or other taxes as shall be required to be withheld pursuant to any law or government regulation or ruling. Notwithstanding any other provision of this Agreement, the Company shall not be obligated to guarantee any particular tax result for the Executive with respect to any payment or benefit provided to the Executive hereunder, and the Executive shall be responsible for any taxes imposed on the Executive with respect to any such payment or benefit.</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communications hereunder shall be in writing,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color w:val="auto"/>
        </w:rPr>
        <w:t>To the Company: TriMas Corporation</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38505 Woodward Ave., Suite 200</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Bloomfield Hills, MI 48304</w:t>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Executive: To the most recent address on file in the Company’s records for the Executive.</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Any such notice or communication shall be delivered by hand or by courier or sent certified or registered mail, return receipt requested, postage prepaid, addressed as above (or to such other address as such party may designate in a notice duly delivered as described above), and the third business day after the actual date of mailing shall constitute the time at which notice was given.</w:t>
      </w:r>
    </w:p>
    <w:p>
      <w:pPr>
        <w:spacing w:after="0" w:line="169" w:lineRule="exact"/>
        <w:rPr>
          <w:sz w:val="20"/>
          <w:szCs w:val="20"/>
          <w:color w:val="auto"/>
        </w:rPr>
      </w:pPr>
    </w:p>
    <w:p>
      <w:pPr>
        <w:jc w:val="both"/>
        <w:ind w:firstLine="656"/>
        <w:spacing w:after="0" w:line="248"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Separability; Legal Fees</w:t>
      </w:r>
      <w:r>
        <w:rPr>
          <w:rFonts w:ascii="Times New Roman" w:cs="Times New Roman" w:eastAsia="Times New Roman" w:hAnsi="Times New Roman"/>
          <w:sz w:val="22"/>
          <w:szCs w:val="22"/>
          <w:color w:val="auto"/>
        </w:rPr>
        <w:t>. If any provision of this Agreement shall be declared to be invalid or unenforceable, in whole or in part, such invalidity or unenforceability shall not affect the remaining provisions which shall remain in full force and effect. In the event of a dispute by the Company, the Executive or others as to the validity or enforceability of, or liability under, any provision of this Agreement prior to a Change in Control, the Company shall reimburse the Executive for all reasonable legal fees and expenses incurred by the Executive if the Executive prevails in the dispute resolution process, and if the Executive does not prevail, the Executive and the Company shall be responsible for their respective legal fees and expenses. In the event of any such dispute on or after a Change in Control, the Company shall reimburse the Executive for all reasonable legal fees and expenses incurred by the Executive regardless of the outcome thereof unless the finder of fact in such action determines that the Executive’s position was frivolous or maintained in bad faith.</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Rights</w:t>
      </w:r>
      <w:r>
        <w:rPr>
          <w:rFonts w:ascii="Times New Roman" w:cs="Times New Roman" w:eastAsia="Times New Roman" w:hAnsi="Times New Roman"/>
          <w:sz w:val="22"/>
          <w:szCs w:val="22"/>
          <w:color w:val="auto"/>
        </w:rPr>
        <w:t>. Nothing expressed or implied in this Agreement will change the at-will status of the Executive or create any right or duty on the part of the Company or the Executive to have the Executive remain in the employment of the Company or any Affiliate of the Company.</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will be governed by and construed in accordance with the substantive laws of the State of Michigan, without giving effect to the principles of conflict of laws of such State. Further, any litigation arising out of this Agreement shall be venued in a court of competent jurisdiction located in Oakland County, Michigan. In executing this Agreement, the Executive acknowledges that the Executive has purposefully availed himself of the benefits and privileges of the jurisdictions of such courts, that the Executive waives any objections of the basis of forum, venue, and/or jurisdiction, and that the Executive willfully and knowingly submits himself to the jurisdiction of such courts.</w:t>
      </w:r>
    </w:p>
    <w:p>
      <w:pPr>
        <w:spacing w:after="0" w:line="180" w:lineRule="exact"/>
        <w:rPr>
          <w:rFonts w:ascii="Times New Roman" w:cs="Times New Roman" w:eastAsia="Times New Roman" w:hAnsi="Times New Roman"/>
          <w:sz w:val="22"/>
          <w:szCs w:val="22"/>
          <w:color w:val="auto"/>
        </w:rPr>
      </w:pPr>
    </w:p>
    <w:p>
      <w:pPr>
        <w:jc w:val="both"/>
        <w:ind w:firstLine="656"/>
        <w:spacing w:after="0" w:line="275" w:lineRule="auto"/>
        <w:tabs>
          <w:tab w:leader="none" w:pos="128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and Waiver</w:t>
      </w:r>
      <w:r>
        <w:rPr>
          <w:rFonts w:ascii="Times New Roman" w:cs="Times New Roman" w:eastAsia="Times New Roman" w:hAnsi="Times New Roman"/>
          <w:sz w:val="21"/>
          <w:szCs w:val="21"/>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71" w:name="page172"/>
    <w:bookmarkEnd w:id="171"/>
    <w:p>
      <w:pPr>
        <w:spacing w:after="0" w:line="271" w:lineRule="auto"/>
        <w:rPr>
          <w:sz w:val="20"/>
          <w:szCs w:val="20"/>
          <w:color w:val="auto"/>
        </w:rPr>
      </w:pPr>
      <w:r>
        <w:rPr>
          <w:rFonts w:ascii="Times New Roman" w:cs="Times New Roman" w:eastAsia="Times New Roman" w:hAnsi="Times New Roman"/>
          <w:sz w:val="22"/>
          <w:szCs w:val="22"/>
          <w:color w:val="auto"/>
        </w:rPr>
        <w:t>performed by such other party will be deemed a waiver of similar or dissimilar provisions or conditions at the same or at any prior or subsequent time.</w:t>
      </w:r>
    </w:p>
    <w:p>
      <w:pPr>
        <w:spacing w:after="0" w:line="158" w:lineRule="exact"/>
        <w:rPr>
          <w:sz w:val="20"/>
          <w:szCs w:val="20"/>
          <w:color w:val="auto"/>
        </w:rPr>
      </w:pPr>
    </w:p>
    <w:p>
      <w:pPr>
        <w:jc w:val="both"/>
        <w:ind w:firstLine="656"/>
        <w:spacing w:after="0" w:line="265" w:lineRule="auto"/>
        <w:tabs>
          <w:tab w:leader="none" w:pos="1284"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(including, without limitation, any term sheet or offer letter), which may have related to the subject matter hereof in any way. Notwithstanding the foregoing, this Agreement does not supersede or in any way limit or otherwise affect restrictive covenants in any other types of agreements between the Company and the Executive to which the Executive may be bound, such as restricted stock unit or other applicable award agreements.</w:t>
      </w:r>
    </w:p>
    <w:p>
      <w:pPr>
        <w:spacing w:after="0" w:line="182"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also inure to the benefit of and be binding upon the Company and its successors and assigns. As used in this Agreement, “Company” shall mean the Company as hereinbefore defined and any successor to its business and/or assets as aforesaid which assumes and agrees to perform this Agreement by operation of law or otherwise.</w:t>
      </w:r>
    </w:p>
    <w:p>
      <w:pPr>
        <w:spacing w:after="0" w:line="200" w:lineRule="exact"/>
        <w:rPr>
          <w:rFonts w:ascii="Times New Roman" w:cs="Times New Roman" w:eastAsia="Times New Roman" w:hAnsi="Times New Roman"/>
          <w:sz w:val="22"/>
          <w:szCs w:val="22"/>
          <w:color w:val="auto"/>
        </w:rPr>
      </w:pPr>
    </w:p>
    <w:p>
      <w:pPr>
        <w:jc w:val="both"/>
        <w:ind w:firstLine="656"/>
        <w:spacing w:after="0" w:line="247" w:lineRule="auto"/>
        <w:tabs>
          <w:tab w:leader="none" w:pos="128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Notwithstanding anything in this Agreement to the contrary, the Executive acknowledges and agrees that this Agreement and any compensation described herein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shares of the Company’s common stock may be traded) (the “</w:t>
      </w: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and that, to the extent the Compensation Recovery Policy, by its terms, is applicable to such Agreement or compensation, applicable terms of this Agreement will be (if necessary) deemed superseded by and subject to the terms and conditions of the Compensation Recovery Policy from and after the effective date thereof. Further, by entering into this Agreement, the Executive (i) consents to be bound by the terms of the Compensation Recovery Policy, as applicable, (ii) agrees and acknowledges that the Executive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the Executive of any such amounts, including from the Executive’s accounts or from any other compensation, to the extent permissible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72" w:name="page173"/>
    <w:bookmarkEnd w:id="172"/>
    <w:p>
      <w:pPr>
        <w:ind w:firstLine="656"/>
        <w:spacing w:after="0" w:line="271" w:lineRule="auto"/>
        <w:tabs>
          <w:tab w:leader="none" w:pos="128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signatures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73" w:name="page174"/>
    <w:bookmarkEnd w:id="17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as of the date first above written.</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TRIMAS CORPORATION</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Jodi F.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-13970</wp:posOffset>
            </wp:positionV>
            <wp:extent cx="1067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Jodi F. Robin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-13970</wp:posOffset>
            </wp:positionV>
            <wp:extent cx="12877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Thomas J. Snyder</w:t>
      </w:r>
    </w:p>
    <w:p>
      <w:pPr>
        <w:sectPr>
          <w:pgSz w:w="11900" w:h="16838" w:orient="portrait"/>
          <w:cols w:equalWidth="0" w:num="1">
            <w:col w:w="11000"/>
          </w:cols>
          <w:pgMar w:left="320" w:top="1422" w:right="5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 AGREEMENT</w:t>
      </w:r>
    </w:p>
    <w:p>
      <w:pPr>
        <w:spacing w:after="0" w:line="247" w:lineRule="exact"/>
        <w:rPr>
          <w:sz w:val="20"/>
          <w:szCs w:val="20"/>
          <w:color w:val="auto"/>
        </w:rPr>
      </w:pPr>
    </w:p>
    <w:p>
      <w:pPr>
        <w:ind w:right="640" w:firstLine="212"/>
        <w:spacing w:after="0" w:line="271" w:lineRule="auto"/>
        <w:rPr>
          <w:sz w:val="20"/>
          <w:szCs w:val="20"/>
          <w:color w:val="auto"/>
        </w:rPr>
      </w:pPr>
      <w:r>
        <w:rPr>
          <w:rFonts w:ascii="Times New Roman" w:cs="Times New Roman" w:eastAsia="Times New Roman" w:hAnsi="Times New Roman"/>
          <w:sz w:val="22"/>
          <w:szCs w:val="22"/>
          <w:color w:val="auto"/>
        </w:rPr>
        <w:t>THIS INDEMNIFICATION AGREEMENT (the “Agreement”) is effective as of June 23, 2025, by and between TriMas Corporation, a Delaware corporation (the “Company”), and Thomas J. Snyder (the “Indemnitee”).</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the Indemnitee is serving the Company in a “Corporate Status,” as defined herein;</w:t>
      </w:r>
    </w:p>
    <w:p>
      <w:pPr>
        <w:spacing w:after="0" w:line="247" w:lineRule="exact"/>
        <w:rPr>
          <w:sz w:val="20"/>
          <w:szCs w:val="20"/>
          <w:color w:val="auto"/>
        </w:rPr>
      </w:pPr>
    </w:p>
    <w:p>
      <w:pPr>
        <w:jc w:val="both"/>
        <w:ind w:right="440" w:firstLine="212"/>
        <w:spacing w:after="0" w:line="257" w:lineRule="auto"/>
        <w:rPr>
          <w:sz w:val="20"/>
          <w:szCs w:val="20"/>
          <w:color w:val="auto"/>
        </w:rPr>
      </w:pPr>
      <w:r>
        <w:rPr>
          <w:rFonts w:ascii="Times New Roman" w:cs="Times New Roman" w:eastAsia="Times New Roman" w:hAnsi="Times New Roman"/>
          <w:sz w:val="22"/>
          <w:szCs w:val="22"/>
          <w:color w:val="auto"/>
        </w:rPr>
        <w:t>WHEREAS, it is reasonable, prudent and necessary for the Company contractually to obligate itself to indemnify persons serving it in a Corporate Status to the fullest extent permitted by applicable law so that they will serve or continue to serve in such status free from undue concern that they will not be so indemnified;</w:t>
      </w:r>
    </w:p>
    <w:p>
      <w:pPr>
        <w:spacing w:after="0" w:line="200" w:lineRule="exact"/>
        <w:rPr>
          <w:sz w:val="20"/>
          <w:szCs w:val="20"/>
          <w:color w:val="auto"/>
        </w:rPr>
      </w:pPr>
    </w:p>
    <w:p>
      <w:pPr>
        <w:ind w:right="160" w:firstLine="212"/>
        <w:spacing w:after="0" w:line="284" w:lineRule="auto"/>
        <w:rPr>
          <w:sz w:val="20"/>
          <w:szCs w:val="20"/>
          <w:color w:val="auto"/>
        </w:rPr>
      </w:pPr>
      <w:r>
        <w:rPr>
          <w:rFonts w:ascii="Times New Roman" w:cs="Times New Roman" w:eastAsia="Times New Roman" w:hAnsi="Times New Roman"/>
          <w:sz w:val="22"/>
          <w:szCs w:val="22"/>
          <w:color w:val="auto"/>
        </w:rPr>
        <w:t>WHEREAS, the Indemnitee is willing to serve and continue to serve the Company in a Corporate Status on the condition that he be so indemnified; and</w:t>
      </w:r>
    </w:p>
    <w:p>
      <w:pPr>
        <w:spacing w:after="0" w:line="171" w:lineRule="exact"/>
        <w:rPr>
          <w:sz w:val="20"/>
          <w:szCs w:val="20"/>
          <w:color w:val="auto"/>
        </w:rPr>
      </w:pPr>
    </w:p>
    <w:p>
      <w:pPr>
        <w:jc w:val="both"/>
        <w:ind w:right="280" w:firstLine="212"/>
        <w:spacing w:after="0" w:line="275" w:lineRule="auto"/>
        <w:rPr>
          <w:sz w:val="20"/>
          <w:szCs w:val="20"/>
          <w:color w:val="auto"/>
        </w:rPr>
      </w:pPr>
      <w:r>
        <w:rPr>
          <w:rFonts w:ascii="Times New Roman" w:cs="Times New Roman" w:eastAsia="Times New Roman" w:hAnsi="Times New Roman"/>
          <w:sz w:val="21"/>
          <w:szCs w:val="21"/>
          <w:color w:val="auto"/>
        </w:rPr>
        <w:t>WHEREAS, this Agreement is in addition to the provisions of the Amended and Restated Certificate of Incorporation of the Company (the “Certificate”) and the provisions of the Bylaws of the Company (the “Bylaws”) or resolutions adopted pursuant thereto, and shall not be deemed a substitute therefore, nor to diminish or abrogate any rights of the Indemnitee thereunder.</w:t>
      </w:r>
    </w:p>
    <w:p>
      <w:pPr>
        <w:spacing w:after="0" w:line="182" w:lineRule="exact"/>
        <w:rPr>
          <w:sz w:val="20"/>
          <w:szCs w:val="20"/>
          <w:color w:val="auto"/>
        </w:rPr>
      </w:pPr>
    </w:p>
    <w:p>
      <w:pPr>
        <w:jc w:val="both"/>
        <w:ind w:right="260" w:firstLine="21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Company and the Indemnitee do hereby covenant and agree as follows: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1. Services by the Indemnitee. The Indemnitee agrees to continue to serve the Company in a Corporate Status.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the Indemnitee may at any time and for any reason resign from any such position.</w:t>
      </w:r>
    </w:p>
    <w:p>
      <w:pPr>
        <w:spacing w:after="0" w:line="223"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22"/>
          <w:szCs w:val="22"/>
          <w:color w:val="auto"/>
        </w:rPr>
        <w:t>Section 2. Indemnification – General. The Company shall indemnify, and advance Expenses (as hereinafter defined) to, the Indemnitee as provided in this Agreement and to the fullest extent permitted by applicable law in effect on the date hereof and to such greater extent as applicable law may thereafter from time to time permit. The rights of the Indemnitee provided under the preceding sentence shall include, but shall not be limited to, the rights set forth in the other Sections of this Agreement.</w:t>
      </w:r>
    </w:p>
    <w:p>
      <w:pPr>
        <w:spacing w:after="0" w:line="203" w:lineRule="exact"/>
        <w:rPr>
          <w:sz w:val="20"/>
          <w:szCs w:val="20"/>
          <w:color w:val="auto"/>
        </w:rPr>
      </w:pPr>
    </w:p>
    <w:p>
      <w:pPr>
        <w:ind w:right="80" w:firstLine="216"/>
        <w:spacing w:after="0" w:line="253" w:lineRule="auto"/>
        <w:rPr>
          <w:sz w:val="20"/>
          <w:szCs w:val="20"/>
          <w:color w:val="auto"/>
        </w:rPr>
      </w:pPr>
      <w:r>
        <w:rPr>
          <w:rFonts w:ascii="Times New Roman" w:cs="Times New Roman" w:eastAsia="Times New Roman" w:hAnsi="Times New Roman"/>
          <w:sz w:val="22"/>
          <w:szCs w:val="22"/>
          <w:color w:val="auto"/>
        </w:rPr>
        <w:t>Section 3. Proceeding Other Than Proceedings by or in the Right of the Company. The Indemnitee shall be entitled to the rights of indemnification provided in this Section 3 if, by reason of his Corporate Status (as hereinafter defined) or any Covered Actions and Inactions (as hereinafter defined), he is, or is threatened to be made, a party to or participant in any threatened, pending or completed Proceeding (as hereinafter defined), other than a Proceeding by or in the right of the Company. Pursuant to this Section 3, the Company shall indemnify the Indemnitee against any and all</w:t>
      </w:r>
    </w:p>
    <w:p>
      <w:pPr>
        <w:sectPr>
          <w:pgSz w:w="11900" w:h="16838" w:orient="portrait"/>
          <w:cols w:equalWidth="0" w:num="1">
            <w:col w:w="11240"/>
          </w:cols>
          <w:pgMar w:left="320" w:top="351" w:right="339" w:bottom="1440" w:gutter="0" w:footer="0" w:header="0"/>
        </w:sectPr>
      </w:pPr>
    </w:p>
    <w:bookmarkStart w:id="175" w:name="page176"/>
    <w:bookmarkEnd w:id="175"/>
    <w:p>
      <w:pPr>
        <w:jc w:val="both"/>
        <w:ind w:right="80"/>
        <w:spacing w:after="0" w:line="253" w:lineRule="auto"/>
        <w:rPr>
          <w:sz w:val="20"/>
          <w:szCs w:val="20"/>
          <w:color w:val="auto"/>
        </w:rPr>
      </w:pPr>
      <w:r>
        <w:rPr>
          <w:rFonts w:ascii="Times New Roman" w:cs="Times New Roman" w:eastAsia="Times New Roman" w:hAnsi="Times New Roman"/>
          <w:sz w:val="22"/>
          <w:szCs w:val="22"/>
          <w:color w:val="auto"/>
        </w:rPr>
        <w:t>Expenses, judgments, penalties, fines, damages and amounts paid in settlement, and all interest and other charges in connection with the foregoing (as and to the fullest extent permitted hereunder), resulting from, arising out of or relating to such Proceeding or any claim, issue or matter therein, if he acted in good faith and in a manner he reasonably believed to be in or not opposed to the best interests of the Company, and, with respect to any criminal Proceeding, if he also had no reasonable cause to believe his conduct was unlawful.</w:t>
      </w:r>
    </w:p>
    <w:p>
      <w:pPr>
        <w:spacing w:after="0" w:line="206" w:lineRule="exact"/>
        <w:rPr>
          <w:sz w:val="20"/>
          <w:szCs w:val="20"/>
          <w:color w:val="auto"/>
        </w:rPr>
      </w:pPr>
    </w:p>
    <w:p>
      <w:pPr>
        <w:ind w:right="40" w:firstLine="216"/>
        <w:spacing w:after="0" w:line="249" w:lineRule="auto"/>
        <w:rPr>
          <w:sz w:val="20"/>
          <w:szCs w:val="20"/>
          <w:color w:val="auto"/>
        </w:rPr>
      </w:pPr>
      <w:r>
        <w:rPr>
          <w:rFonts w:ascii="Times New Roman" w:cs="Times New Roman" w:eastAsia="Times New Roman" w:hAnsi="Times New Roman"/>
          <w:sz w:val="22"/>
          <w:szCs w:val="22"/>
          <w:color w:val="auto"/>
        </w:rPr>
        <w:t>Section 4. Proceedings by or in the Right of the Company. The Indemnitee shall be entitled to the rights of indemnification provided in this Section 4 if, by reason of his Corporate Status or any Covered Actions and Inactions, he is, or is threatened to be made, a party to or participant in any threatened, pending or completed Proceeding brought by or in the right of the Company to procure a judgment in its favor. Pursuant to this Section 4, the Company shall indemnify the Indemnitee against any and all Expenses resulting from, arising out of or relating to such Proceeding if he acted in good faith and in a manner he reasonably believed to be in or not opposed to the best interest of the Company. Notwithstanding the foregoing, no indemnification against such Expenses shall be made in respect of any claim, issue or matter in such Proceeding as to which the law prohibits such indemnification; provided, however, that if applicable law so permits, indemnification against Expenses shall nevertheless be made by the Company in such event if and to the extent that the court, administrative body or other dispute resolution body in which such Proceeding shall have been brought or is pending shall so determine.</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5. Indemnification for Expenses of a Party Who is Wholly or Partly Successful.</w:t>
      </w:r>
    </w:p>
    <w:p>
      <w:pPr>
        <w:spacing w:after="0" w:line="247" w:lineRule="exact"/>
        <w:rPr>
          <w:sz w:val="20"/>
          <w:szCs w:val="20"/>
          <w:color w:val="auto"/>
        </w:rPr>
      </w:pPr>
    </w:p>
    <w:p>
      <w:pPr>
        <w:ind w:firstLine="1304"/>
        <w:spacing w:after="0" w:line="259" w:lineRule="auto"/>
        <w:tabs>
          <w:tab w:leader="none" w:pos="1941"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Indemnitee is, by reason of his Corporate Status or any Covered Actions and Inactions, a party to and is successful, on the merits or otherwise, in any Proceeding, the Company shall indemnify the Indemnitee against any and all Expenses resulting from, arising out of or relating to such Proceeding. If the Indemnitee is not wholly successful in defense of any Proceeding but is successful, on the merits or otherwise, as to one or more but less than all claims, issues or matters in such Proceeding, the Company shall indemnify the Indemnitee against any and all Expenses resulting from, arising out of or relating to each such claim, issue or matter as to which the Indemnitee is successful, on the merits or otherwise. For purposes of this Section 5(a), the term “successful, on the merits or otherwise,” shall include, but shall not be limited to, (i) the termination of any claim, issue or matter in a Proceeding by withdrawal or dismissal, with or without prejudice,</w:t>
      </w:r>
    </w:p>
    <w:p>
      <w:pPr>
        <w:spacing w:after="0" w:line="6" w:lineRule="exact"/>
        <w:rPr>
          <w:rFonts w:ascii="Times New Roman" w:cs="Times New Roman" w:eastAsia="Times New Roman" w:hAnsi="Times New Roman"/>
          <w:sz w:val="21"/>
          <w:szCs w:val="21"/>
          <w:color w:val="auto"/>
        </w:rPr>
      </w:pPr>
    </w:p>
    <w:p>
      <w:pPr>
        <w:ind w:right="100" w:firstLine="8"/>
        <w:spacing w:after="0" w:line="247" w:lineRule="auto"/>
        <w:tabs>
          <w:tab w:leader="none" w:pos="3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any claim, issue or matter in a Proceeding by any other means without any express finding of liability or guilt against the Indemnitee, with or without prejudice, (iii) the expiration of 120 days after the making of a claim or threat of a Proceeding without the institution of the same and without any promise or payment made to induce a settlement or (iv) the settlement of any claim, issue or matter in a Proceeding pursuant to which the Indemnitee pays less than $200,000. The provisions of this Section 5(a) are subject to Section 5(b)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2" w:right="399" w:bottom="1440" w:gutter="0" w:footer="0" w:header="0"/>
        </w:sectPr>
      </w:pPr>
    </w:p>
    <w:bookmarkStart w:id="176" w:name="page177"/>
    <w:bookmarkEnd w:id="176"/>
    <w:p>
      <w:pPr>
        <w:ind w:right="180" w:firstLine="1304"/>
        <w:spacing w:after="0" w:line="271" w:lineRule="auto"/>
        <w:tabs>
          <w:tab w:leader="none" w:pos="193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Indemnitee be entitled to indemnification under Section 5(a) above with respect to a claim, issue or matter to the extent applicable law prohibits such indemnification.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Section 6. Indemnification for Expenses as a Witness. Notwithstanding any provisions herein to the contrary, to the extent that the Indemnitee is, by reason of his Corporate Status or any Covered Actions and Inactions, a witness in any Proceeding, the Company shall indemnify the Indemnitee against any and all Expenses resulting from, arising out of or relating to such Proceeding.</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7. Advancement of Expenses.</w:t>
      </w:r>
    </w:p>
    <w:p>
      <w:pPr>
        <w:spacing w:after="0" w:line="247" w:lineRule="exact"/>
        <w:rPr>
          <w:sz w:val="20"/>
          <w:szCs w:val="20"/>
          <w:color w:val="auto"/>
        </w:rPr>
      </w:pPr>
    </w:p>
    <w:p>
      <w:pPr>
        <w:ind w:right="20" w:firstLine="1304"/>
        <w:spacing w:after="0" w:line="247" w:lineRule="auto"/>
        <w:tabs>
          <w:tab w:leader="none" w:pos="19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advance all reasonable Expenses paid or incurred by or on behalf of the Indemnitee or which the Indemnitee determines are reasonably likely to be paid or incurred by the Indemnitee in connection with any Proceeding within 10 days after the receipt by the Company of a statement or statements from the Indemnitee requesting such advance or advances from time to time, whether prior to or after the final disposition of such Proceeding; provided, however, that the Indemnitee shall return, without interest, any such advance of Expenses (or portion thereof) which remains unspent at the final disposition of the claim to which the advance related. The Indemnitee’s right to such advancement is not subject to the satisfaction of any standard of conduct and is not conditioned upon any prior determination that the Indemnitee is entitled to indemnification under this Agreement with respect to such Proceeding or the absence of any prior determination to the contrary. All amounts advanced to the Indemnitee by the Company pursuant to this Section 7 shall be without interest. The Company shall make all advances pursuant to this Section 7 without regard to the financial ability of the Indemnitee to make repayment, without bond or other security and without regard to the prospect of whether the Indemnitee may ultimately be found to be entitled to indemnification under the provisions of this Agreement. Any required reimbursement of Expenses by the Indemnitee shall be made by the Indemnitee to the Company with 10 days following the entry of the final, non-appealable adjudication or arbitration decision pursuant to which it is determined that the Indemnitee is not entitled to be indemnified against such Expenses. In connection with any such advancement, payment or reimbursement, if delivery of an undertaking is a legally required condition precedent to such payment, advance or reimbursement, the Indemnitee shall execute and deliver to the Company an undertaking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(subject to Indemnitee filling in the blanks therein and selecting from among the bracketed alternatives therein). In no event shall the Indemnitee’s right to the payment, advancement or reimbursement of Expenses pursuant to this Section 7(a) be conditioned upon any undertaking that is less favorable to the Indemnitee than, or that is in addition to, the undertaking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60" w:firstLine="1304"/>
        <w:spacing w:after="0" w:line="257"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or effect of the foregoing, the Company shall indemnify and hold harmless the Indemnitee against and, if requested by Indemnitee, shall reimburse the Indemnitee for, or advance to the Indemnitee, within 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177" w:name="page178"/>
    <w:bookmarkEnd w:id="177"/>
    <w:p>
      <w:pPr>
        <w:ind w:right="40"/>
        <w:spacing w:after="0" w:line="263" w:lineRule="auto"/>
        <w:rPr>
          <w:sz w:val="20"/>
          <w:szCs w:val="20"/>
          <w:color w:val="auto"/>
        </w:rPr>
      </w:pPr>
      <w:r>
        <w:rPr>
          <w:rFonts w:ascii="Times New Roman" w:cs="Times New Roman" w:eastAsia="Times New Roman" w:hAnsi="Times New Roman"/>
          <w:sz w:val="21"/>
          <w:szCs w:val="21"/>
          <w:color w:val="auto"/>
        </w:rPr>
        <w:t>days after the receipt by the Company of a statement or statements from the Indemnitee requesting such reimbursement or advancement, all reasonable Expenses paid or incurred by or on behalf of the Indemnitee or which the Indemnitee determines are reasonably likely to be paid or incurred by the Indemnitee in connection with any claim made, instituted or conducted by the Indemnitee, in each case to the fullest extent permitted by applicable law in effect on the date hereof and to such greater extent as applicable law may thereafter from time to time permit, for (i) indemnification or payment, advancement or reimbursement of Expenses by the Company under any provision of this Agreement, or under any other agreement or provision of the Certificate or Bylaws now or hereafter in effect, and/or (ii) recovery under any directors’ and officers’ liability insurance policies maintained by the Company; provided, however, that the Indemnitee shall return, without interest, any such advance of Expenses (or portion thereof) which remains unspent at the final disposition of the claim to which the advance related.</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8. Procedure for Determination of Entitlement to Indemnification.</w:t>
      </w:r>
    </w:p>
    <w:p>
      <w:pPr>
        <w:spacing w:after="0" w:line="247" w:lineRule="exact"/>
        <w:rPr>
          <w:sz w:val="20"/>
          <w:szCs w:val="20"/>
          <w:color w:val="auto"/>
        </w:rPr>
      </w:pPr>
    </w:p>
    <w:p>
      <w:pPr>
        <w:ind w:right="140" w:firstLine="1304"/>
        <w:spacing w:after="0" w:line="247"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under this Agreement, the Indemnitee shall submit to the Company a written request therefore, along with such documentation and information as is reasonably available to the Indemnitee and reasonably necessary to determine whether and to what extent the Indemnitee is entitled to indemnification. The Secretary of the Company shall, promptly upon receipt of such a request for indemnification, advise the Chairman of the Board or the Audit Committee in writing that the Indemnitee has requested indemnification. If, at the time of the receipt of such request, the Company has directors’ and officers’ liability insurance in effect under which coverage for the requested indemnification is potentially available, the Company shall give prompt written notice of such requested indemnification to the applicable insurers in accordance with the procedures set forth in the applicable policies. The Company shall provide to the Indemnitee a copy of such notice delivered to the applicable insurers, and copies of all subsequent correspondence between the Company and such insurers regarding the requested indemnification, in each case substantially concurrently with the delivery or receipt thereof by the Company. The failure by Indemnitee to timely request indemnification shall not relieve the Company from any liability hereunder unless, and only to the extent that, the Company did not otherwise learn of the subject matter of such indemnification and such failure results in forfeiture by the Company of substantial defenses, rights or insurance coverage.</w:t>
      </w:r>
    </w:p>
    <w:p>
      <w:pPr>
        <w:spacing w:after="0" w:line="219" w:lineRule="exact"/>
        <w:rPr>
          <w:rFonts w:ascii="Times New Roman" w:cs="Times New Roman" w:eastAsia="Times New Roman" w:hAnsi="Times New Roman"/>
          <w:sz w:val="22"/>
          <w:szCs w:val="22"/>
          <w:color w:val="auto"/>
        </w:rPr>
      </w:pPr>
    </w:p>
    <w:p>
      <w:pPr>
        <w:ind w:firstLine="1304"/>
        <w:spacing w:after="0" w:line="265" w:lineRule="auto"/>
        <w:tabs>
          <w:tab w:leader="none" w:pos="193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written request by the Indemnitee for indemnification pursuant to the first sentence of Section 8(a) hereof, a determination, if required by applicable law, with respect to the Indemnitee’s entitlement thereto shall be made in the specific case: (i) by the Board by a majority vote of a quorum consisting of Disinterested Directors (as hereinafter defined); or (ii) if a quorum of the Board consisting of Disinterested Directors is not obtainable or, even if obtainable, such quorum of Disinterested Directors so direct, by Independent Counsel (as hereinafter defined), as selected pursuant to Section 8(d), in a written opinion to the Board (which opinion may be a “more likely than not” opinion), a copy of which shall be delivered to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78" w:name="page179"/>
    <w:bookmarkEnd w:id="178"/>
    <w:p>
      <w:pPr>
        <w:ind w:right="200"/>
        <w:spacing w:after="0" w:line="249" w:lineRule="auto"/>
        <w:rPr>
          <w:sz w:val="20"/>
          <w:szCs w:val="20"/>
          <w:color w:val="auto"/>
        </w:rPr>
      </w:pPr>
      <w:r>
        <w:rPr>
          <w:rFonts w:ascii="Times New Roman" w:cs="Times New Roman" w:eastAsia="Times New Roman" w:hAnsi="Times New Roman"/>
          <w:sz w:val="22"/>
          <w:szCs w:val="22"/>
          <w:color w:val="auto"/>
        </w:rPr>
        <w:t>Indemnitee. If it is so determined that the Indemnitee is entitled to indemnification, the Company shall make payment to the Indemnitee within 10 days after such determination. The Indemnitee shall cooperate with the Person or Persons making such determination with respect to the Indemnitee’s entitlement to indemnification, including providing to such Person or Persons upon reasonable advance request any documentation or information which is not privileged or otherwise protected from disclosure and which is reasonably available to the Indemnitee and reasonably necessary to such determination. Subject to the provisions of Section 10 hereof, any costs or expenses (including reasonable attorneys’ fees and disbursements) incurred by the Indemnitee in so cooperating with the Person or Persons making such determination shall be borne by the Company, and the Company hereby agrees to indemnify and hold the Indemnitee harmless therefrom.</w:t>
      </w:r>
    </w:p>
    <w:p>
      <w:pPr>
        <w:spacing w:after="0" w:line="222" w:lineRule="exact"/>
        <w:rPr>
          <w:sz w:val="20"/>
          <w:szCs w:val="20"/>
          <w:color w:val="auto"/>
        </w:rPr>
      </w:pPr>
    </w:p>
    <w:p>
      <w:pPr>
        <w:ind w:right="320" w:firstLine="1304"/>
        <w:spacing w:after="0" w:line="252" w:lineRule="auto"/>
        <w:tabs>
          <w:tab w:leader="none" w:pos="194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 Change of Control has occurred, the Indemnitee may require a determination with respect to the Indemnitee’s entitlement to indemnification to be made by Independent Counsel, as selected pursuant to Section 8(d), in a written opinion to the Board (which opinion may be a “more likely than not” opinion), a copy of which shall be delivered to the Indemnitee.</w:t>
      </w:r>
    </w:p>
    <w:p>
      <w:pPr>
        <w:spacing w:after="0" w:line="206" w:lineRule="exact"/>
        <w:rPr>
          <w:rFonts w:ascii="Times New Roman" w:cs="Times New Roman" w:eastAsia="Times New Roman" w:hAnsi="Times New Roman"/>
          <w:sz w:val="22"/>
          <w:szCs w:val="22"/>
          <w:color w:val="auto"/>
        </w:rPr>
      </w:pPr>
    </w:p>
    <w:p>
      <w:pPr>
        <w:ind w:firstLine="1304"/>
        <w:spacing w:after="0" w:line="247"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determination of entitlement to indemnification is to be made by Independent Counsel pursuant to Section 8(b) or (c) hereof, the Independent Counsel shall be selected as provided in this Section 8(d). If a Change of Control shall not have occurred, the Independent Counsel shall be selected by the Board (including a vote of a majority of the Disinterested Directors if obtainable), and the Company shall give written notice to the Indemnitee advising him of the identity of the Independent Counsel so selected. If a Change of Control shall have occurred, the Independent Counsel shall be selected by the Indemnitee unless the Indemnitee shall request that such selection be made by the Board, in which event the preceding sentence shall apply), and approved by the Company (which approval shall not be unreasonably withheld). If (i) an Independent Counsel is to make the determination of entitlement pursuant to Section 8(b) or (c) and (ii) within 20 days after submission by the Indemnitee of a written request for indemnification pursuant to Section 8(a) hereof, no Independent Counsel shall have been selected, either the Company of the Indemnitee may petition the appropriate court of the State (as hereafter defined) or other court of competent jurisdiction for the appointment as Independent Counsel of a Person selected by such court or by such other Person as such court shall designate. The Company shall pay any and all reasonable fees and expenses of Independent Counsel incurred by such Independent Counsel in connection with acting pursuant to Section 8(b) or (c) hereof, and the Company shall pay all reasonable fees and expenses incident to the procedures of this Section 8(d), regardless of the commencement of any judicial proceeding or arbitration pursuant to Section 10(a)(iv)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179" w:name="page180"/>
    <w:bookmarkEnd w:id="179"/>
    <w:p>
      <w:pPr>
        <w:ind w:left="640"/>
        <w:spacing w:after="0"/>
        <w:rPr>
          <w:sz w:val="20"/>
          <w:szCs w:val="20"/>
          <w:color w:val="auto"/>
        </w:rPr>
      </w:pPr>
      <w:r>
        <w:rPr>
          <w:rFonts w:ascii="Times New Roman" w:cs="Times New Roman" w:eastAsia="Times New Roman" w:hAnsi="Times New Roman"/>
          <w:sz w:val="22"/>
          <w:szCs w:val="22"/>
          <w:color w:val="auto"/>
        </w:rPr>
        <w:t>Section 9. Presumptions and Effect of Certain Proceedings; Construction of Certain Phrases.</w:t>
      </w:r>
    </w:p>
    <w:p>
      <w:pPr>
        <w:spacing w:after="0" w:line="247" w:lineRule="exact"/>
        <w:rPr>
          <w:sz w:val="20"/>
          <w:szCs w:val="20"/>
          <w:color w:val="auto"/>
        </w:rPr>
      </w:pPr>
    </w:p>
    <w:p>
      <w:pPr>
        <w:ind w:left="-20" w:right="60" w:firstLine="1304"/>
        <w:spacing w:after="0" w:line="256" w:lineRule="auto"/>
        <w:tabs>
          <w:tab w:leader="none" w:pos="192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whether the Indemnitee is entitled to indemnification hereunder, the Reviewing Party making such determination shall presume that the Indemnitee is entitled to indemnification under this Agreement, and anyone seeking to overcome this presumption shall have the burden of proof and the burden of persuasion, by clear and convincing evidence.</w:t>
      </w:r>
    </w:p>
    <w:p>
      <w:pPr>
        <w:spacing w:after="0" w:line="203" w:lineRule="exact"/>
        <w:rPr>
          <w:rFonts w:ascii="Times New Roman" w:cs="Times New Roman" w:eastAsia="Times New Roman" w:hAnsi="Times New Roman"/>
          <w:sz w:val="22"/>
          <w:szCs w:val="22"/>
          <w:color w:val="auto"/>
        </w:rPr>
      </w:pPr>
    </w:p>
    <w:p>
      <w:pPr>
        <w:ind w:left="-20" w:right="60" w:firstLine="1304"/>
        <w:spacing w:after="0" w:line="251" w:lineRule="auto"/>
        <w:tabs>
          <w:tab w:leader="none" w:pos="191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Section 16 below, the termination of any Proceeding or of any claim, issue or matter therein, by judgment, order, settlement or conviction, or upon a plea of nolo contendere or its equivalent, shall not (except as otherwise expressly provided in this Agreement)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208" w:lineRule="exact"/>
        <w:rPr>
          <w:rFonts w:ascii="Times New Roman" w:cs="Times New Roman" w:eastAsia="Times New Roman" w:hAnsi="Times New Roman"/>
          <w:sz w:val="22"/>
          <w:szCs w:val="22"/>
          <w:color w:val="auto"/>
        </w:rPr>
      </w:pPr>
    </w:p>
    <w:p>
      <w:pPr>
        <w:ind w:left="-20" w:firstLine="1304"/>
        <w:spacing w:after="0" w:line="247" w:lineRule="auto"/>
        <w:tabs>
          <w:tab w:leader="none" w:pos="192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the Indemnitee’s entitlement to indemnification under this Agreement or otherwise, the Indemnitee shall be deemed to have acted in good faith and in a manner he reasonably believed to be in or not opposed to the best interests of the Company, and, with respect to a criminal Proceeding, to have also had no reasonable cause to believe his conduct was unlawful, if the Indemnitee’s action is based on the records or books of account of the Company or another enterprise, including financial statements, or on information supplied to the Indemnitee by the officers of the Company or another enterprise in the course of their duties or on the advice of legal or financial counsel for the Company or the Board (or any committee thereof) or for another enterprise or its board of directors (or any committee thereof), or on information or records given or reports made by an independent certified public accountant or by an appraiser or other expert selected by the Company or the Board (or any committee thereof) or by another enterprise or its board of directors (or any committee thereof). For purposes of this Section 9(c), the term “another enterprise” means any other corporation, partnership, limited liability company, joint venture, trust, employee benefit plan or other enterprise of which the Indemnitee is or was serving at the request of the Company as a director, officer, employee or agent. The provisions of this Section 9(c) shall not be deemed to be exclusive or to limit in any way the other circumstances in which the Indemnitee may be deemed or found to have met the applicable standard of conduct set forth in this Agreement. In addition, the knowledge and/or actions, or failure to act, of any other director, trustee, partner, managing member, fiduciary, officer, agent or employee of the Company shall not be imputed to the Indemnitee for purposes of determining the right to indemnification under this Agreement. Whether or not the foregoing provisions of this Section 9(c) are satisfied, it shall in any event be presumed that the Indemnitee has acted in good faith and in a manner he reasonably believed to be in or not opposed to the best interests of the Company, and, with respect to a criminal Proceeding, that he also had no reasonable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40" w:top="1422" w:right="359" w:bottom="1440" w:gutter="0" w:footer="0" w:header="0"/>
        </w:sectPr>
      </w:pPr>
    </w:p>
    <w:bookmarkStart w:id="180" w:name="page181"/>
    <w:bookmarkEnd w:id="180"/>
    <w:p>
      <w:pPr>
        <w:ind w:right="100"/>
        <w:spacing w:after="0" w:line="271" w:lineRule="auto"/>
        <w:rPr>
          <w:sz w:val="20"/>
          <w:szCs w:val="20"/>
          <w:color w:val="auto"/>
        </w:rPr>
      </w:pPr>
      <w:r>
        <w:rPr>
          <w:rFonts w:ascii="Times New Roman" w:cs="Times New Roman" w:eastAsia="Times New Roman" w:hAnsi="Times New Roman"/>
          <w:sz w:val="22"/>
          <w:szCs w:val="22"/>
          <w:color w:val="auto"/>
        </w:rPr>
        <w:t>cause to believe his conduct was unlawful. Anyone seeking to overcome this presumption shall have the burden of proof and the burden of persuasion, by clear and convincing evidence.</w:t>
      </w:r>
    </w:p>
    <w:p>
      <w:pPr>
        <w:spacing w:after="0" w:line="185" w:lineRule="exact"/>
        <w:rPr>
          <w:sz w:val="20"/>
          <w:szCs w:val="20"/>
          <w:color w:val="auto"/>
        </w:rPr>
      </w:pPr>
    </w:p>
    <w:p>
      <w:pPr>
        <w:ind w:firstLine="1304"/>
        <w:spacing w:after="0" w:line="263" w:lineRule="auto"/>
        <w:tabs>
          <w:tab w:leader="none" w:pos="1939"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reference to “fines” shall include any excise taxes or penalties assessed on the Indemnitee with respect to an employee benefit plan; references to “serving at the request of the Company” shall include, but shall not be limited to, any service as a director, officer, employee or agent of (i) any Affiliate controlled, directly or indirectly, by the Company and (ii) the Company or any such Affiliate which imposes duties on, or involves services by, the Indemnitee with respect to an employee benefit plan, its participants or its beneficiaries; and if the Indemnitee has acted in good faith and in a manner he reasonably believed to be in the interest of the participants and beneficiaries of an employee benefit plan, he shall be deemed to have acted in a manner “not opposed to the best interests of the Company” as used in this Agreement. The provisions of this Section 9(d) shall not be deemed to be exclusive or to limit in any way the other circumstances in which the Indemnitee may be deemed or found to have met the applicable standard of conduct set forth in this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 Remedies of the Indemnitee.</w:t>
      </w:r>
    </w:p>
    <w:p>
      <w:pPr>
        <w:spacing w:after="0" w:line="247" w:lineRule="exact"/>
        <w:rPr>
          <w:sz w:val="20"/>
          <w:szCs w:val="20"/>
          <w:color w:val="auto"/>
        </w:rPr>
      </w:pPr>
    </w:p>
    <w:p>
      <w:pPr>
        <w:ind w:right="20" w:firstLine="1304"/>
        <w:spacing w:after="0" w:line="247"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a determination is made pursuant to Section 8 of this Agreement that the Indemnitee is not entitled to indemnification under this Agreement, (ii) advancement, payment or reimbursement of Expenses is not timely made pursuant to Section 7 of this Agreement, (iii) the determination of entitlement to indemnification is to be made by the Board pursuant to Section 8(b) of this Agreement and such determination shall not have been made and delivered to the Indemnitee in writing within twenty (20) days after receipt by the Company of the request for indemnification, (iv) the determination of entitlement to indemnification is to be made by Independent Counsel pursuant to Section 8(b) or (c) of this Agreement and such determination shall not have been made in a written opinion to the Board and a copy delivered to the Indemnitee within forty-five (45) days after receipt by the Company of the request for indemnification, (v) payment of indemnification is not made pursuant to Section 6 of this Agreement within 10 days after receipt by the Company of a written request therefore or (vi) payment of indemnification is not made within 10 days after a determination has been made that the Indemnitee is entitled to indemnification or such determination is deemed to have been made pursuant to Section 8 or 9 of this Agreement, the Indemnitee shall be entitled to an adjudication in an appropriate court of the State of his entitlement to such indemnification or advancement, payment or reimbursement of Expenses. Alternatively, the Indemnitee, at his sole option, may seek and award in arbitration to be conducted by a single arbitrator pursuant to the rules of the American Arbitration Association. The Indemnitee shall commence such Proceeding seeking an adjudication or an award in arbitration within 180 days following the date on which the Indemnitee first has the right to commence such Proceeding pursuant to this Section 10(a); provided, however, that the foregoing clause shall not apply in respect of 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Proceeding brought by the Indemnitee to enforce his rights under Section 5 of this Agreement.</w:t>
      </w:r>
    </w:p>
    <w:p>
      <w:pPr>
        <w:spacing w:after="0" w:line="247" w:lineRule="exact"/>
        <w:rPr>
          <w:sz w:val="20"/>
          <w:szCs w:val="20"/>
          <w:color w:val="auto"/>
        </w:rPr>
      </w:pPr>
    </w:p>
    <w:p>
      <w:pPr>
        <w:ind w:firstLine="1304"/>
        <w:spacing w:after="0" w:line="251"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is made pursuant to Section 8 of this Agreement that the Indemnitee is not entitled to indemnification (an “Adverse Determination”), any judicial proceeding or arbitration commenced pursuant to this Section 10 shall be conducted in all respects as a de novo trial or a de novo arbitration (as applicable) on the merits, and the Indemnitee shall not be prejudiced by reason of that Adverse Determination. In any judicial proceeding or arbitration commenced pursuant to this Section 10, the Company shall have the burden of proving that the Indemnitee is not entitled to the relief sought, and the Company shall be precluded from referring to or offering into evidence any Adverse Determination.</w:t>
      </w:r>
    </w:p>
    <w:p>
      <w:pPr>
        <w:spacing w:after="0" w:line="208" w:lineRule="exact"/>
        <w:rPr>
          <w:rFonts w:ascii="Times New Roman" w:cs="Times New Roman" w:eastAsia="Times New Roman" w:hAnsi="Times New Roman"/>
          <w:sz w:val="22"/>
          <w:szCs w:val="22"/>
          <w:color w:val="auto"/>
        </w:rPr>
      </w:pPr>
    </w:p>
    <w:p>
      <w:pPr>
        <w:ind w:right="60" w:firstLine="1304"/>
        <w:spacing w:after="0" w:line="268" w:lineRule="auto"/>
        <w:tabs>
          <w:tab w:leader="none" w:pos="194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determination is made or deemed to have been made pursuant to Section 8 of this Agreement that the Indemnitee is entitled to indemnification, such determination shall be final and binding in all respects, including with respect to any judicial proceeding or arbitration commenced pursuant to this Section 10, absent (i) a misstatement by the Indemnitee of a material fact, or an omission by the Indemnitee of a material fact necessary to make the Indemnitee’s statement not materially misleading, in connection with the request for indemnification, or (ii) a prohibition of such indemnification under applicable law.</w:t>
      </w:r>
    </w:p>
    <w:p>
      <w:pPr>
        <w:spacing w:after="0" w:line="190" w:lineRule="exact"/>
        <w:rPr>
          <w:rFonts w:ascii="Times New Roman" w:cs="Times New Roman" w:eastAsia="Times New Roman" w:hAnsi="Times New Roman"/>
          <w:sz w:val="21"/>
          <w:szCs w:val="21"/>
          <w:color w:val="auto"/>
        </w:rPr>
      </w:pPr>
    </w:p>
    <w:p>
      <w:pPr>
        <w:ind w:right="320" w:firstLine="1304"/>
        <w:spacing w:after="0" w:line="256"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10 that the procedures and presumptions of this Agreement are not valid, binding and enforceable and shall stipulate in any such court or before any such arbitrator that the Company is bound by all of the provisions of this Agreement.</w:t>
      </w:r>
    </w:p>
    <w:p>
      <w:pPr>
        <w:spacing w:after="0" w:line="203" w:lineRule="exact"/>
        <w:rPr>
          <w:rFonts w:ascii="Times New Roman" w:cs="Times New Roman" w:eastAsia="Times New Roman" w:hAnsi="Times New Roman"/>
          <w:sz w:val="22"/>
          <w:szCs w:val="22"/>
          <w:color w:val="auto"/>
        </w:rPr>
      </w:pPr>
    </w:p>
    <w:p>
      <w:pPr>
        <w:ind w:right="40" w:firstLine="1304"/>
        <w:spacing w:after="0" w:line="249"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Indemnitee, pursuant to this Section 10, seeks a judicial adjudication or an award in arbitration to enforce his rights under, or to recover damages for breach of, this Agreement, the Indemnitee shall be entitled to recover from the Company, and shall be indemnified by the Company against, any and all Expenses actually and reasonably incurred by him in such judicial adjudication or arbitration, unless the court or arbitrator determines that each of the Indemnitee’s claims in such Proceeding were made in bad faith or were frivolous. In the event that a Proceeding is commenced by or in the right of the Company against the Indemnitee to enforce or interpret any of the terms of this Agreement, the Indemnitee shall be entitled to recover from the Company, and shall be indemnified by the Company against, any and all Expenses actually and reasonably incurred by him in such Proceeding (including with respect to any counter-claims or cross-claims made by the Indemnitee against the Company in such Proceeding), unless the court or arbitrator determines that each of the Indemnitee’s material defenses in such Proceeding were made in bad faith or were frivolous.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182" w:name="page183"/>
    <w:bookmarkEnd w:id="182"/>
    <w:p>
      <w:pPr>
        <w:ind w:left="1960" w:hanging="656"/>
        <w:spacing w:after="0"/>
        <w:tabs>
          <w:tab w:leader="none" w:pos="196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judicial adjudication or arbitration determined under this Section 10 shall be final and binding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23" w:lineRule="exact"/>
        <w:rPr>
          <w:sz w:val="20"/>
          <w:szCs w:val="20"/>
          <w:color w:val="auto"/>
        </w:rPr>
      </w:pPr>
    </w:p>
    <w:p>
      <w:pPr>
        <w:ind w:right="160" w:firstLine="1304"/>
        <w:spacing w:after="0" w:line="263" w:lineRule="auto"/>
        <w:tabs>
          <w:tab w:leader="none" w:pos="193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to the Indemnitee under this Agreement that is not paid by the Company by the date on which it is due will accrue interest at the maximum legal rate under Delaware law from the date on which such amount is due to the date on which such amount is paid to the Indemnitee.</w:t>
      </w:r>
    </w:p>
    <w:p>
      <w:pPr>
        <w:spacing w:after="0" w:line="19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Section 11. Defense of Certain Proceedings. In the event the Company shall be obligated under this Agreement to pay the Expenses of any Proceeding against the Indemnitee in which the Company is a co-defendant with the Indemnitee, the Company shall be entitled to assume the defense of such Proceeding, with counsel approved by the Indemnitee, which approval shall not be unreasonably withheld, upon the delivery to the Indemnitee of written notice of its election to do so. After delivery of such notice, approval of such counsel by the Indemnitee and the retention of such counsel by the Company, the Indemnitee shall nevertheless be entitled to employ or continue to employ his own counsel in such Proceeding. Employment of such counsel by the Indemnitee shall be at the cost and expense of the Company unless and until the Company shall have demonstrated to the reasonable satisfaction of the Indemnitee and the Indemnitee’s counsel that there is complete identity of issues and defenses and no conflict of interest between the Company and the Indemnitee in such Proceeding, after which time further employment of such counsel by the Indemnitee shall be at the cost and expense of the Indemnitee. In all events, if the Company shall not, in fact, have timely employed counsel to assume the defense of such Proceeding, then the fees and Expenses of the Indemnitee’s counsel shall be at the cost and expense of the Company.</w:t>
      </w:r>
    </w:p>
    <w:p>
      <w:pPr>
        <w:spacing w:after="0" w:line="21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12. Exception to Right of Indemnification or Advancement of Expenses. Notwithstanding any other provision of this Agreement, the Indemnitee shall not be entitled to indemnification or advancement, payment or reimbursement of Expenses under this Agreement with respect to any Proceeding, or any claim therein, brought or made by the Indemnitee against the Company, except for (a) any claim or Proceeding in respect of this Agreement and/or the Indemnitee’s rights hereunder, (b) any claim or Proceeding to establish or enforce a right to indemnification under the Certificate, the Bylaws, any agreement, any statute, any law or any policy of insurance, (c) any counter-claim or cross-claim brought or made by him against the Company in any Proceeding brought against him, and (d) any claim or Proceeding approved by the Board.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 Contribution.</w:t>
      </w:r>
    </w:p>
    <w:p>
      <w:pPr>
        <w:spacing w:after="0" w:line="247" w:lineRule="exact"/>
        <w:rPr>
          <w:sz w:val="20"/>
          <w:szCs w:val="20"/>
          <w:color w:val="auto"/>
        </w:rPr>
      </w:pPr>
    </w:p>
    <w:p>
      <w:pPr>
        <w:ind w:right="80" w:firstLine="1304"/>
        <w:spacing w:after="0" w:line="250" w:lineRule="auto"/>
        <w:tabs>
          <w:tab w:leader="none" w:pos="194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Proceeding, the indemnification provided for in this Agreement is held by a court of competent jurisdiction to be unavailable to the Indemnitee for any reason other than that the Indemnitee did not act in good faith and in a manner he reasonably believed to be in or not opposed to the best interests of the Company or, with respect to a criminal Proceeding, that the Indemnitee had reasonable cause to believe his conduct was unlawful, the Company shall contribute to the amount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83" w:name="page184"/>
    <w:bookmarkEnd w:id="183"/>
    <w:p>
      <w:pPr>
        <w:ind w:right="220"/>
        <w:spacing w:after="0" w:line="268" w:lineRule="auto"/>
        <w:rPr>
          <w:sz w:val="20"/>
          <w:szCs w:val="20"/>
          <w:color w:val="auto"/>
        </w:rPr>
      </w:pPr>
      <w:r>
        <w:rPr>
          <w:rFonts w:ascii="Times New Roman" w:cs="Times New Roman" w:eastAsia="Times New Roman" w:hAnsi="Times New Roman"/>
          <w:sz w:val="21"/>
          <w:szCs w:val="21"/>
          <w:color w:val="auto"/>
        </w:rPr>
        <w:t>Expenses, judgments, penalties, fines, damages and amounts paid in settlement, and all interest and other charges in connection with the foregoing, resulting from, arising out of or relating to such Proceeding or any claim, issue or matter therein, in such proportion as is appropriate to reflect the relative benefits received by the Indemnitee and the relative fault of the Indemnitee versus the Company in connection with the action or inaction which resulted in such Expenses, judgments, penalties, fines, damages, amounts paid in settlement and interest or other charges, as well as any other relevant equitable considerations.</w:t>
      </w:r>
    </w:p>
    <w:p>
      <w:pPr>
        <w:spacing w:after="0" w:line="191" w:lineRule="exact"/>
        <w:rPr>
          <w:sz w:val="20"/>
          <w:szCs w:val="20"/>
          <w:color w:val="auto"/>
        </w:rPr>
      </w:pPr>
    </w:p>
    <w:p>
      <w:pPr>
        <w:ind w:right="40" w:firstLine="1304"/>
        <w:spacing w:after="0" w:line="257" w:lineRule="auto"/>
        <w:tabs>
          <w:tab w:leader="none" w:pos="193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Indemnitee agree that it would not be just and equitable if contribution pursuant to this Section 13 were determined by pro rata or per capita allocation or by any other method of allocation which does not take into account the equitable considerations referred to in Section 13(a) above.</w:t>
      </w:r>
    </w:p>
    <w:p>
      <w:pPr>
        <w:spacing w:after="0" w:line="213" w:lineRule="exact"/>
        <w:rPr>
          <w:rFonts w:ascii="Times New Roman" w:cs="Times New Roman" w:eastAsia="Times New Roman" w:hAnsi="Times New Roman"/>
          <w:sz w:val="22"/>
          <w:szCs w:val="22"/>
          <w:color w:val="auto"/>
        </w:rPr>
      </w:pPr>
    </w:p>
    <w:p>
      <w:pPr>
        <w:ind w:right="760" w:firstLine="1304"/>
        <w:spacing w:after="0" w:line="257" w:lineRule="auto"/>
        <w:tabs>
          <w:tab w:leader="none" w:pos="194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found guilty of fraudulent misrepresentation (within the meaning of Section 11(f) of the Securities Act of 1933) shall be entitled to contribution from any Person who was not found guilty of such fraudulent misrepresentation.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 Officer and Director Liability Insurance.</w:t>
      </w:r>
    </w:p>
    <w:p>
      <w:pPr>
        <w:spacing w:after="0" w:line="247" w:lineRule="exact"/>
        <w:rPr>
          <w:sz w:val="20"/>
          <w:szCs w:val="20"/>
          <w:color w:val="auto"/>
        </w:rPr>
      </w:pPr>
    </w:p>
    <w:p>
      <w:pPr>
        <w:ind w:firstLine="1304"/>
        <w:spacing w:after="0" w:line="248" w:lineRule="auto"/>
        <w:tabs>
          <w:tab w:leader="none" w:pos="194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all commercially reasonable efforts to obtain and maintain in effect during the entire period for which the Company is obligated to indemnify the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 all such insurance policies, the Indemnitee shall be named as an insured in such a manner as to provide the Indemnitee with the same rights and benefits as are accorded to the most favorably insured of the Company’s directors and officers. Notwithstanding the foregoing, the Company shall have no obligation to obtain or maintain such insurance if the Company determines in good faith that the Indmnitee is covered by insurance maintained by a subsidiary or parent of the Company under which the Indemnitee is named as an insured and is provided rights and benefits that are no less favorable than the rights and benefits accorded to the most favorably insured of the Company’s directors and officers insured under any policy of insurance maintained by the Company.</w:t>
      </w:r>
    </w:p>
    <w:p>
      <w:pPr>
        <w:spacing w:after="0" w:line="215" w:lineRule="exact"/>
        <w:rPr>
          <w:rFonts w:ascii="Times New Roman" w:cs="Times New Roman" w:eastAsia="Times New Roman" w:hAnsi="Times New Roman"/>
          <w:sz w:val="22"/>
          <w:szCs w:val="22"/>
          <w:color w:val="auto"/>
        </w:rPr>
      </w:pPr>
    </w:p>
    <w:p>
      <w:pPr>
        <w:ind w:right="60" w:firstLine="1304"/>
        <w:spacing w:after="0" w:line="253"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or officers of any other corporation, partnership, limited liability company, joint venture, trust, employee benefit plan or other enterprise which the Indemnitee serves at the request of the Company, the Indemnitee shall be named as an insured under and shall be covered by such policy or policies in accordance with its or their terms to the maximum extent of the coverage available for the most favorably insured director or officer under such policy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84" w:name="page185"/>
    <w:bookmarkEnd w:id="184"/>
    <w:p>
      <w:pPr>
        <w:ind w:right="180" w:firstLine="1304"/>
        <w:spacing w:after="0" w:line="256" w:lineRule="auto"/>
        <w:tabs>
          <w:tab w:leader="none" w:pos="194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named insured under any policy or policies of insurance referenced in either Section 14(a) or (b) above, the Company hereby covenants and agrees that it will not settle any claims or Proceeding that may be covered by such policy or policies of insurance and in which the Indemnitee has or may incur Expenses, judgments, penalties, fines, damages and amounts paid in settlement without the prior written consent of the Indemnitee.</w:t>
      </w:r>
    </w:p>
    <w:p>
      <w:pPr>
        <w:spacing w:after="0" w:line="203"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22"/>
          <w:szCs w:val="22"/>
          <w:color w:val="auto"/>
        </w:rPr>
        <w:t>Section 15. Security. Upon reasonable request by the Indemnitee, the Company shall provide security to the Indemnitee for the Company’s obligations hereunder through an irrevocable bank letter of credit, funded trust or other similar collateral. Any such security, once provided to the Indemnitee, may not be revoked or released without the prior written consent of the Indemnitee, which consent may be granted or withheld at the Indemnitee’s sole and absolute discretion.</w:t>
      </w:r>
    </w:p>
    <w:p>
      <w:pPr>
        <w:spacing w:after="0" w:line="220"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22"/>
          <w:szCs w:val="22"/>
          <w:color w:val="auto"/>
        </w:rPr>
        <w:t>Section 16. Settlement of Claims. The Company shall not be liable to indemnify the Indemnitee under this Agreement for any amounts paid in settlement of any Proceeding effected without the Company’s written consent, which consent shall not be unreasonably withheld.</w:t>
      </w:r>
    </w:p>
    <w:p>
      <w:pPr>
        <w:spacing w:after="0" w:line="20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Section 17. Duration of Agreement. This Agreement shall be unaffected by the termination of the Corporate Status of the Indemnitee and shall continue for so long as the Indemnitee may have any liability or potential liability by virtue of his Corporate Status or for any Covered Actions and Inactions, including, without limitation, the final termination of all pending Proceedings in respect of which the Indemnitee is granted rights of indemnification or advancement of Expenses hereunder and of any Proceeding commenced by the Indemnitee pursuant to Section 10 of this Agreement relating thereto, whether or not he is acting or serving in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10" w:lineRule="exact"/>
        <w:rPr>
          <w:sz w:val="20"/>
          <w:szCs w:val="20"/>
          <w:color w:val="auto"/>
        </w:rPr>
      </w:pPr>
    </w:p>
    <w:p>
      <w:pPr>
        <w:ind w:right="240" w:firstLine="216"/>
        <w:spacing w:after="0" w:line="256" w:lineRule="auto"/>
        <w:rPr>
          <w:sz w:val="20"/>
          <w:szCs w:val="20"/>
          <w:color w:val="auto"/>
        </w:rPr>
      </w:pPr>
      <w:r>
        <w:rPr>
          <w:rFonts w:ascii="Times New Roman" w:cs="Times New Roman" w:eastAsia="Times New Roman" w:hAnsi="Times New Roman"/>
          <w:sz w:val="22"/>
          <w:szCs w:val="22"/>
          <w:color w:val="auto"/>
        </w:rPr>
        <w:t>Section 18. Remedies of the Company. The Company hereby covenants and agrees to submit any and all disputes relating to this Agreement that the parties are unable to resolve between themselves to binding arbitration pursuant to the rules of the American Arbitration Association and waives all rights to judicial adjudication of any matter or dispute relating to this Agreement except where judicial adjudication is requested or required by the Indemnitee.</w:t>
      </w:r>
    </w:p>
    <w:p>
      <w:pPr>
        <w:spacing w:after="0" w:line="203"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22"/>
          <w:szCs w:val="22"/>
          <w:color w:val="auto"/>
        </w:rPr>
        <w:t>Section 19. Covenant Not to Sue, Limitation of Actions and Release of Claims. No legal action shall be brought and no cause of action shall be asserted by or on behalf of the Company (or any of its subsidiaries) against the Indemnitee, his spouse, heirs, executors, personal representatives or administrators after the expiration of two (2) years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22" w:right="379" w:bottom="1440" w:gutter="0" w:footer="0" w:header="0"/>
        </w:sectPr>
      </w:pPr>
    </w:p>
    <w:bookmarkStart w:id="185" w:name="page186"/>
    <w:bookmarkEnd w:id="185"/>
    <w:p>
      <w:pPr>
        <w:ind w:right="340"/>
        <w:spacing w:after="0" w:line="257" w:lineRule="auto"/>
        <w:rPr>
          <w:sz w:val="20"/>
          <w:szCs w:val="20"/>
          <w:color w:val="auto"/>
        </w:rPr>
      </w:pPr>
      <w:r>
        <w:rPr>
          <w:rFonts w:ascii="Times New Roman" w:cs="Times New Roman" w:eastAsia="Times New Roman" w:hAnsi="Times New Roman"/>
          <w:sz w:val="22"/>
          <w:szCs w:val="22"/>
          <w:color w:val="auto"/>
        </w:rPr>
        <w:t>from the date on which the Corporate Status of the Indemnitee is terminated (for any reason); provided, however, that the foregoing shall not apply to any action or cause of action brought or asserted by the Company pursuant to or in respect of this Agreement and shall not constitute a waiver or release of any of the Company’s rights under this Agreement.</w:t>
      </w:r>
    </w:p>
    <w:p>
      <w:pPr>
        <w:spacing w:after="0" w:line="213" w:lineRule="exact"/>
        <w:rPr>
          <w:sz w:val="20"/>
          <w:szCs w:val="20"/>
          <w:color w:val="auto"/>
        </w:rPr>
      </w:pPr>
    </w:p>
    <w:p>
      <w:pPr>
        <w:ind w:right="100" w:firstLine="216"/>
        <w:spacing w:after="0" w:line="252" w:lineRule="auto"/>
        <w:rPr>
          <w:sz w:val="20"/>
          <w:szCs w:val="20"/>
          <w:color w:val="auto"/>
        </w:rPr>
      </w:pPr>
      <w:r>
        <w:rPr>
          <w:rFonts w:ascii="Times New Roman" w:cs="Times New Roman" w:eastAsia="Times New Roman" w:hAnsi="Times New Roman"/>
          <w:sz w:val="22"/>
          <w:szCs w:val="22"/>
          <w:color w:val="auto"/>
        </w:rPr>
        <w:t>Section 20. Subrogation. In the event of any payment under this Agreement,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to bring suit to enforce such rights.</w:t>
      </w:r>
    </w:p>
    <w:p>
      <w:pPr>
        <w:spacing w:after="0" w:line="206"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22"/>
          <w:szCs w:val="22"/>
          <w:color w:val="auto"/>
        </w:rPr>
        <w:t>Section 21. No Multiple Recovery. The Company shall not be liable under this Agreement to make any payment of amounts otherwise indemnifiable hereunder if and to the extent that the Indemnitee has otherwise actually received and is entitled to retain such payment under any insurance policy, contract, agreement or otherwise.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22. Definitions. For purposes of this Agreement:</w:t>
      </w:r>
    </w:p>
    <w:p>
      <w:pPr>
        <w:spacing w:after="0" w:line="247" w:lineRule="exact"/>
        <w:rPr>
          <w:sz w:val="20"/>
          <w:szCs w:val="20"/>
          <w:color w:val="auto"/>
        </w:rPr>
      </w:pPr>
    </w:p>
    <w:p>
      <w:pPr>
        <w:ind w:right="20" w:firstLine="1304"/>
        <w:spacing w:after="0" w:line="256" w:lineRule="auto"/>
        <w:tabs>
          <w:tab w:leader="none" w:pos="194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with respect to any Person, any other Person directly or indirectly controlling, controlled by or under common control with such Person. For purposes hereof, “control” (including, with correlative meaning, the terms “controlling”, “controlled by” and “under common control with”) means the possession, directly or indirectly, of the power to direct or cause the direction of management and policies of such Person, by contract or otherwise.</w:t>
      </w:r>
    </w:p>
    <w:p>
      <w:pPr>
        <w:spacing w:after="0" w:line="20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shall be deemed to have occurred upon the first of the following events to occur:</w:t>
      </w:r>
    </w:p>
    <w:p>
      <w:pPr>
        <w:spacing w:after="0" w:line="247" w:lineRule="exact"/>
        <w:rPr>
          <w:sz w:val="20"/>
          <w:szCs w:val="20"/>
          <w:color w:val="auto"/>
        </w:rPr>
      </w:pPr>
    </w:p>
    <w:p>
      <w:pPr>
        <w:ind w:left="660" w:right="60" w:firstLine="644"/>
        <w:spacing w:after="0" w:line="251" w:lineRule="auto"/>
        <w:tabs>
          <w:tab w:leader="none" w:pos="156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(as defined in Rule 13d-3 under the Securities Exchange Act of 1934, as amended from time to time),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excluding any Person who becomes such a Beneficial Owner in connection with a transaction described in clause (A) of paragraph (iii) below;</w:t>
      </w:r>
    </w:p>
    <w:p>
      <w:pPr>
        <w:spacing w:after="0" w:line="208" w:lineRule="exact"/>
        <w:rPr>
          <w:rFonts w:ascii="Times New Roman" w:cs="Times New Roman" w:eastAsia="Times New Roman" w:hAnsi="Times New Roman"/>
          <w:sz w:val="22"/>
          <w:szCs w:val="22"/>
          <w:color w:val="auto"/>
        </w:rPr>
      </w:pPr>
    </w:p>
    <w:p>
      <w:pPr>
        <w:jc w:val="both"/>
        <w:ind w:left="660" w:right="60" w:firstLine="644"/>
        <w:spacing w:after="0" w:line="256" w:lineRule="auto"/>
        <w:tabs>
          <w:tab w:leader="none" w:pos="162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186" w:name="page187"/>
    <w:bookmarkEnd w:id="186"/>
    <w:p>
      <w:pPr>
        <w:spacing w:after="0" w:line="249" w:lineRule="auto"/>
        <w:rPr>
          <w:sz w:val="20"/>
          <w:szCs w:val="20"/>
          <w:color w:val="auto"/>
        </w:rPr>
      </w:pPr>
      <w:r>
        <w:rPr>
          <w:rFonts w:ascii="Times New Roman" w:cs="Times New Roman" w:eastAsia="Times New Roman" w:hAnsi="Times New Roman"/>
          <w:sz w:val="22"/>
          <w:szCs w:val="22"/>
          <w:color w:val="auto"/>
        </w:rPr>
        <w:t>of directors of the Company) whose appointment or election by the Board or nomination for election by the Company’s stockholders was approved or recommended by a vote of at least two-thirds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2" w:lineRule="exact"/>
        <w:rPr>
          <w:sz w:val="20"/>
          <w:szCs w:val="20"/>
          <w:color w:val="auto"/>
        </w:rPr>
      </w:pPr>
    </w:p>
    <w:p>
      <w:pPr>
        <w:ind w:right="40" w:firstLine="644"/>
        <w:spacing w:after="0" w:line="260" w:lineRule="auto"/>
        <w:tabs>
          <w:tab w:leader="none" w:pos="102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wind-up, reorganization or restructuring of the Company with or into any other entity, or a similar event or series of such events, other than (A) any such event or series of events which results in (1) the voting securities of the Company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51% of the combined voting power of the securities of the Company or such surviving entity or any parent thereof outstanding immediately after such merger or consolidation and (2) the individuals who comprise the Board immediately prior thereto constituting immediately thereafter at least a majority of the Board, the entity surviving such merger or consolidation or, if the Company or the entity surviving such merger is then a subsidiary, the ultimate parent thereof, or (B) any such event or series of events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35% or more of the combined voting power of the Company’s then outstanding securities; or</w:t>
      </w:r>
    </w:p>
    <w:p>
      <w:pPr>
        <w:spacing w:after="0" w:line="198" w:lineRule="exact"/>
        <w:rPr>
          <w:rFonts w:ascii="Times New Roman" w:cs="Times New Roman" w:eastAsia="Times New Roman" w:hAnsi="Times New Roman"/>
          <w:sz w:val="21"/>
          <w:szCs w:val="21"/>
          <w:color w:val="auto"/>
        </w:rPr>
      </w:pPr>
    </w:p>
    <w:p>
      <w:pPr>
        <w:ind w:firstLine="644"/>
        <w:spacing w:after="0" w:line="249" w:lineRule="auto"/>
        <w:tabs>
          <w:tab w:leader="none" w:pos="1014"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stockholders unless the Board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51% of the combined voting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60"/>
          </w:cols>
          <w:pgMar w:left="980" w:top="1422" w:right="359" w:bottom="1440" w:gutter="0" w:footer="0" w:header="0"/>
        </w:sectPr>
      </w:pPr>
    </w:p>
    <w:bookmarkStart w:id="187" w:name="page188"/>
    <w:bookmarkEnd w:id="187"/>
    <w:p>
      <w:pPr>
        <w:ind w:left="640" w:right="160"/>
        <w:spacing w:after="0" w:line="256" w:lineRule="auto"/>
        <w:rPr>
          <w:sz w:val="20"/>
          <w:szCs w:val="20"/>
          <w:color w:val="auto"/>
        </w:rPr>
      </w:pPr>
      <w:r>
        <w:rPr>
          <w:rFonts w:ascii="Times New Roman" w:cs="Times New Roman" w:eastAsia="Times New Roman" w:hAnsi="Times New Roman"/>
          <w:sz w:val="22"/>
          <w:szCs w:val="22"/>
          <w:color w:val="auto"/>
        </w:rPr>
        <w:t>power of the voting securities of which are owned by stockholders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immediately prior thereto.</w:t>
      </w:r>
    </w:p>
    <w:p>
      <w:pPr>
        <w:spacing w:after="0" w:line="203" w:lineRule="exact"/>
        <w:rPr>
          <w:sz w:val="20"/>
          <w:szCs w:val="20"/>
          <w:color w:val="auto"/>
        </w:rPr>
      </w:pPr>
    </w:p>
    <w:p>
      <w:pPr>
        <w:ind w:left="640" w:right="60" w:firstLine="648"/>
        <w:spacing w:after="0" w:line="263" w:lineRule="auto"/>
        <w:rPr>
          <w:sz w:val="20"/>
          <w:szCs w:val="20"/>
          <w:color w:val="auto"/>
        </w:rPr>
      </w:pPr>
      <w:r>
        <w:rPr>
          <w:rFonts w:ascii="Times New Roman" w:cs="Times New Roman" w:eastAsia="Times New Roman" w:hAnsi="Times New Roman"/>
          <w:sz w:val="21"/>
          <w:szCs w:val="21"/>
          <w:color w:val="auto"/>
        </w:rPr>
        <w:t>Notwithstanding the foregoing, (A)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(B) if required to avoid accelerated taxation and/or tax penalties under Section 409A of the Internal Revenue Code of 1986, as amended, a “Change of Control” shall be deemed to have occurred only if the transaction or event qualifies as a Section 409A Change of Control.</w:t>
      </w:r>
    </w:p>
    <w:p>
      <w:pPr>
        <w:spacing w:after="0" w:line="200" w:lineRule="exact"/>
        <w:rPr>
          <w:sz w:val="20"/>
          <w:szCs w:val="20"/>
          <w:color w:val="auto"/>
        </w:rPr>
      </w:pPr>
    </w:p>
    <w:p>
      <w:pPr>
        <w:ind w:left="1920" w:hanging="636"/>
        <w:spacing w:after="0"/>
        <w:tabs>
          <w:tab w:leader="none" w:pos="192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TriMas Corporation, a Delaware corporation.</w:t>
      </w:r>
    </w:p>
    <w:p>
      <w:pPr>
        <w:spacing w:after="0" w:line="246" w:lineRule="exact"/>
        <w:rPr>
          <w:rFonts w:ascii="Times New Roman" w:cs="Times New Roman" w:eastAsia="Times New Roman" w:hAnsi="Times New Roman"/>
          <w:sz w:val="22"/>
          <w:szCs w:val="22"/>
          <w:color w:val="auto"/>
        </w:rPr>
      </w:pPr>
    </w:p>
    <w:p>
      <w:pPr>
        <w:ind w:left="-20" w:right="340" w:firstLine="1304"/>
        <w:spacing w:after="0" w:line="263" w:lineRule="auto"/>
        <w:tabs>
          <w:tab w:leader="none" w:pos="192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an individual who is or was an officer or director of the Company, or is or was serving at the request of the Company as an officer, director, employee or agent of another corporation, partnership, limited liability company, joint venture, trust, employee benefit plan or other enterprise.</w:t>
      </w:r>
    </w:p>
    <w:p>
      <w:pPr>
        <w:spacing w:after="0" w:line="194" w:lineRule="exact"/>
        <w:rPr>
          <w:rFonts w:ascii="Times New Roman" w:cs="Times New Roman" w:eastAsia="Times New Roman" w:hAnsi="Times New Roman"/>
          <w:sz w:val="22"/>
          <w:szCs w:val="22"/>
          <w:color w:val="auto"/>
        </w:rPr>
      </w:pPr>
    </w:p>
    <w:p>
      <w:pPr>
        <w:ind w:left="-20" w:firstLine="1304"/>
        <w:spacing w:after="0" w:line="252" w:lineRule="auto"/>
        <w:tabs>
          <w:tab w:leader="none" w:pos="192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Actions and Inactions” means (i) any actual, alleged or suspected act or failure to act by the Indemnitee in his or her Corporate Status and (ii) any actual, alleged or suspected act or failure to act by the Indemnitee in respect of any business, transaction, communication, filing, disclosure or other activity of the Company or any other entity or enterprise referred to in the above definition of Corporate Status.</w:t>
      </w:r>
    </w:p>
    <w:p>
      <w:pPr>
        <w:spacing w:after="0" w:line="219" w:lineRule="exact"/>
        <w:rPr>
          <w:rFonts w:ascii="Times New Roman" w:cs="Times New Roman" w:eastAsia="Times New Roman" w:hAnsi="Times New Roman"/>
          <w:sz w:val="22"/>
          <w:szCs w:val="22"/>
          <w:color w:val="auto"/>
        </w:rPr>
      </w:pPr>
    </w:p>
    <w:p>
      <w:pPr>
        <w:ind w:left="-20" w:right="160" w:firstLine="1304"/>
        <w:spacing w:after="0" w:line="271" w:lineRule="auto"/>
        <w:tabs>
          <w:tab w:leader="none" w:pos="191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a director of the Company who is not and was not a party to, or otherwise involved in, the Proceeding for which indemnification is sought by the Indemnitee.</w:t>
      </w:r>
    </w:p>
    <w:p>
      <w:pPr>
        <w:spacing w:after="0" w:line="184"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w:t>
      </w:r>
    </w:p>
    <w:p>
      <w:pPr>
        <w:spacing w:after="0" w:line="246" w:lineRule="exact"/>
        <w:rPr>
          <w:rFonts w:ascii="Times New Roman" w:cs="Times New Roman" w:eastAsia="Times New Roman" w:hAnsi="Times New Roman"/>
          <w:sz w:val="22"/>
          <w:szCs w:val="22"/>
          <w:color w:val="auto"/>
        </w:rPr>
      </w:pPr>
    </w:p>
    <w:p>
      <w:pPr>
        <w:ind w:left="-20" w:right="180" w:firstLine="1304"/>
        <w:spacing w:after="0" w:line="256" w:lineRule="auto"/>
        <w:tabs>
          <w:tab w:leader="none" w:pos="191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40" w:top="1422" w:right="339" w:bottom="1440" w:gutter="0" w:footer="0" w:header="0"/>
        </w:sectPr>
      </w:pPr>
    </w:p>
    <w:bookmarkStart w:id="188" w:name="page189"/>
    <w:bookmarkEnd w:id="188"/>
    <w:p>
      <w:pPr>
        <w:ind w:right="60" w:firstLine="1304"/>
        <w:spacing w:after="0" w:line="251" w:lineRule="auto"/>
        <w:tabs>
          <w:tab w:leader="none" w:pos="193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Counsel” means a law firm or a member of a law firm that is experienced in matters of corporation law and neither presently is, nor in the past five (5) years has been, retained to represent: (i) the Company or the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of the Indemnitee in an action to determine the Indemnitee’s rights under this Agreement.</w:t>
      </w:r>
    </w:p>
    <w:p>
      <w:pPr>
        <w:spacing w:after="0" w:line="208" w:lineRule="exact"/>
        <w:rPr>
          <w:rFonts w:ascii="Times New Roman" w:cs="Times New Roman" w:eastAsia="Times New Roman" w:hAnsi="Times New Roman"/>
          <w:sz w:val="22"/>
          <w:szCs w:val="22"/>
          <w:color w:val="auto"/>
        </w:rPr>
      </w:pPr>
    </w:p>
    <w:p>
      <w:pPr>
        <w:ind w:right="600" w:firstLine="1304"/>
        <w:spacing w:after="0" w:line="271" w:lineRule="auto"/>
        <w:tabs>
          <w:tab w:leader="none" w:pos="193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means a natural person, firm, partnership, joint venture, association, corporation, company, limited liability company, trust, business trust, estate or other entity.</w:t>
      </w:r>
    </w:p>
    <w:p>
      <w:pPr>
        <w:spacing w:after="0" w:line="198" w:lineRule="exact"/>
        <w:rPr>
          <w:rFonts w:ascii="Times New Roman" w:cs="Times New Roman" w:eastAsia="Times New Roman" w:hAnsi="Times New Roman"/>
          <w:sz w:val="22"/>
          <w:szCs w:val="22"/>
          <w:color w:val="auto"/>
        </w:rPr>
      </w:pPr>
    </w:p>
    <w:p>
      <w:pPr>
        <w:ind w:right="220" w:firstLine="1304"/>
        <w:spacing w:after="0" w:line="271" w:lineRule="auto"/>
        <w:tabs>
          <w:tab w:leader="none" w:pos="193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includes any action, suit, arbitration, alternate dispute resolution mechanism, investigation, administrative hearing or any other proceeding whether civil, criminal, administrative or investigative.</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Party” shall mean the Person or Persons making the determination pursuant to Section 8(b) 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w:t>
      </w:r>
    </w:p>
    <w:p>
      <w:pPr>
        <w:spacing w:after="0" w:line="222"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means the State of Delaware.</w:t>
      </w:r>
    </w:p>
    <w:p>
      <w:pPr>
        <w:spacing w:after="0" w:line="247" w:lineRule="exact"/>
        <w:rPr>
          <w:sz w:val="20"/>
          <w:szCs w:val="20"/>
          <w:color w:val="auto"/>
        </w:rPr>
      </w:pPr>
    </w:p>
    <w:p>
      <w:pPr>
        <w:jc w:val="both"/>
        <w:ind w:right="140" w:firstLine="216"/>
        <w:spacing w:after="0" w:line="281" w:lineRule="auto"/>
        <w:rPr>
          <w:sz w:val="20"/>
          <w:szCs w:val="20"/>
          <w:color w:val="auto"/>
        </w:rPr>
      </w:pPr>
      <w:r>
        <w:rPr>
          <w:rFonts w:ascii="Times New Roman" w:cs="Times New Roman" w:eastAsia="Times New Roman" w:hAnsi="Times New Roman"/>
          <w:sz w:val="21"/>
          <w:szCs w:val="21"/>
          <w:color w:val="auto"/>
        </w:rPr>
        <w:t>Section 23. Non-Exclusivity. The Indemnitee’s rights of indemnification and to receive advancement of Expenses as provided by this Agreement shall not be deemed exclusive of any other rights to which the Indemnitee may at any time be entitled under applicable law, the Certificate, the Bylaws, any agreement, a vote of stockholders, a resolution of director or otherwise.</w:t>
      </w:r>
    </w:p>
    <w:p>
      <w:pPr>
        <w:spacing w:after="0" w:line="178"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Section 24. Remedies Not Exclusive. No right or remedy herein conferred upon the Indemnitee is intended to be exclusive of any other right or remedy, and every other right or remedy shall be cumulative of and in addition to the rights and remedies given hereunder or now or hereafter existing at law or in equity or otherwise. The assertion or employment of any right or remedy of the Indemnitee hereunder or otherwise shall not be deemed an election of remedies on the part of the Indemnitee and shall not prevent the concurrent assertion or employment of any other right or remedy by the Indemnitee.</w:t>
      </w:r>
    </w:p>
    <w:p>
      <w:pPr>
        <w:spacing w:after="0" w:line="206"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Section 25. Changes in Law. In the event that a change in applicable law after the date of this Agreement, whether by statute, rule or judicial decision, expands or otherwise increases the right or ability of a Delaware corporation to indemnify a member of its board of directors or an officer, the Indemnitee shall, by this Agreement, enjoy the greater benefits so afforded by such change. In the event that a change in applicable law after the date of this Agreement, whether by statute, rule or judicial decision, narrows or otherwise reduces the right or ability of a Delaware corporation to indemnify a member of its board or directors or an officer, such change shall have no effect on this Agreement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or any of the Indemnitee’s rights hereunder, except and only to the extent required by law.</w:t>
      </w:r>
    </w:p>
    <w:p>
      <w:pPr>
        <w:spacing w:after="0" w:line="247" w:lineRule="exact"/>
        <w:rPr>
          <w:sz w:val="20"/>
          <w:szCs w:val="20"/>
          <w:color w:val="auto"/>
        </w:rPr>
      </w:pPr>
    </w:p>
    <w:p>
      <w:pPr>
        <w:ind w:firstLine="216"/>
        <w:spacing w:after="0" w:line="263" w:lineRule="auto"/>
        <w:rPr>
          <w:sz w:val="20"/>
          <w:szCs w:val="20"/>
          <w:color w:val="auto"/>
        </w:rPr>
      </w:pPr>
      <w:r>
        <w:rPr>
          <w:rFonts w:ascii="Times New Roman" w:cs="Times New Roman" w:eastAsia="Times New Roman" w:hAnsi="Times New Roman"/>
          <w:sz w:val="22"/>
          <w:szCs w:val="22"/>
          <w:color w:val="auto"/>
        </w:rPr>
        <w:t>Section 26. Interpretation of Agreement. The Company and the Indemnitee acknowledge and agree that it is their intention that this Agreement be interpreted and enforced so as to provide indemnification to the Indemnitee to the fullest extent now or hereafter permitted by law.</w:t>
      </w:r>
    </w:p>
    <w:p>
      <w:pPr>
        <w:spacing w:after="0" w:line="194" w:lineRule="exact"/>
        <w:rPr>
          <w:sz w:val="20"/>
          <w:szCs w:val="20"/>
          <w:color w:val="auto"/>
        </w:rPr>
      </w:pPr>
    </w:p>
    <w:p>
      <w:pPr>
        <w:ind w:right="20" w:firstLine="216"/>
        <w:spacing w:after="0" w:line="248" w:lineRule="auto"/>
        <w:rPr>
          <w:sz w:val="20"/>
          <w:szCs w:val="20"/>
          <w:color w:val="auto"/>
        </w:rPr>
      </w:pPr>
      <w:r>
        <w:rPr>
          <w:rFonts w:ascii="Times New Roman" w:cs="Times New Roman" w:eastAsia="Times New Roman" w:hAnsi="Times New Roman"/>
          <w:sz w:val="22"/>
          <w:szCs w:val="22"/>
          <w:color w:val="auto"/>
        </w:rPr>
        <w:t>Section 27. Severability.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shall not in any way be affected or impaired thereby; (b) such provision or provisions will be deemed reformed to the extent necessary to conform to applicable law and to give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by the provision or provisions held invalid, illegal or unenforceable.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Section 28. Governing Law; Jurisdiction and Venue; Specific Performance.</w:t>
      </w:r>
    </w:p>
    <w:p>
      <w:pPr>
        <w:spacing w:after="0" w:line="260" w:lineRule="exact"/>
        <w:rPr>
          <w:sz w:val="20"/>
          <w:szCs w:val="20"/>
          <w:color w:val="auto"/>
        </w:rPr>
      </w:pPr>
    </w:p>
    <w:p>
      <w:pPr>
        <w:ind w:right="160" w:firstLine="1304"/>
        <w:spacing w:after="0" w:line="252" w:lineRule="auto"/>
        <w:tabs>
          <w:tab w:leader="none" w:pos="194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this Agreement shall be governed by, and construed and enforced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6" w:lineRule="exact"/>
        <w:rPr>
          <w:rFonts w:ascii="Times New Roman" w:cs="Times New Roman" w:eastAsia="Times New Roman" w:hAnsi="Times New Roman"/>
          <w:sz w:val="22"/>
          <w:szCs w:val="22"/>
          <w:color w:val="auto"/>
        </w:rPr>
      </w:pPr>
    </w:p>
    <w:p>
      <w:pPr>
        <w:ind w:right="40" w:firstLine="1304"/>
        <w:spacing w:after="0" w:line="261" w:lineRule="auto"/>
        <w:tabs>
          <w:tab w:leader="none" w:pos="1939"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PROCEEDING” (AS SUCH TERM IS DEFINED BELOW) ARISING OUT OF OR RELATING TO THIS AGREEMENT SHALL BE FILED IN AND LITIGATED OR ARBITRATED SOLELY BEFORE THE COURTS LOCATED IN OR ARBITRATORS SITTING IN THE STATE OF DELAWARE, AND EACH PARTY TO THIS AGREEMENT: (i) GENERALLY AND UNCONDITIONALLY ACCEPTS THE EXCLUSIVE JURISDICTION OF THE AFORESAID COURTS AND ARBITRATORS AND VENUE THEREIN, AND WAIVES TO THE FULLEST EXTENT PROVIDED BY LAW ANY DEFENSE OR OBJECTION TO SUCH JURISDICTION AND VENUE BASED UPON THE DOCTRINE OF “FORUM NON CONVENIENS;” AND (ii) GENERALLY AND UNCONDITIONALLY CONSENTS TO SERVICE OF PROCESS IN ANY SUCH ACTION OR PROCEEDING BY DELIVERY OF CERTIFIED OR REGISTERED MAILING OF THE SUMMONS AND COMPLAINT IN ACCORDANCE WITH THE NOTICE PROVISIONS OF THIS AGREEMENT. FOR PURPOSES OF THIS SECTION, THE TERM “ACTION OR PROCEEDING” IS DEFINED AS ANY AND ALL CLAIMS, SUITS, ACTIONS, HEARINGS, ARBITRATIONS OR OTHER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22" w:right="379" w:bottom="1440" w:gutter="0" w:footer="0" w:header="0"/>
        </w:sectPr>
      </w:pPr>
    </w:p>
    <w:bookmarkStart w:id="190" w:name="page191"/>
    <w:bookmarkEnd w:id="190"/>
    <w:p>
      <w:pPr>
        <w:spacing w:after="0" w:line="253" w:lineRule="auto"/>
        <w:rPr>
          <w:sz w:val="20"/>
          <w:szCs w:val="20"/>
          <w:color w:val="auto"/>
        </w:rPr>
      </w:pPr>
      <w:r>
        <w:rPr>
          <w:rFonts w:ascii="Times New Roman" w:cs="Times New Roman" w:eastAsia="Times New Roman" w:hAnsi="Times New Roman"/>
          <w:sz w:val="22"/>
          <w:szCs w:val="22"/>
          <w:color w:val="auto"/>
        </w:rPr>
        <w:t>SIMILAR PROCEEDINGS, INCLUDING APPEALS AND PETITIONS THEREFROM, WHETHER FORMAL OR INFORMAL, GOVERNMENTAL OR NON-GOVERNMENTAL, OR CIVIL OR CRIMINIAL.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206" w:lineRule="exact"/>
        <w:rPr>
          <w:sz w:val="20"/>
          <w:szCs w:val="20"/>
          <w:color w:val="auto"/>
        </w:rPr>
      </w:pPr>
    </w:p>
    <w:p>
      <w:pPr>
        <w:ind w:firstLine="1304"/>
        <w:spacing w:after="0" w:line="259" w:lineRule="auto"/>
        <w:tabs>
          <w:tab w:leader="none" w:pos="1941"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the Indemnitee may, as a result of the Company’s breach of its covenants and obligations under this Agreement, sustain immediate and long-term substantial and irreparable injury and damage which cannot be reasonably or adequately compensated by damages at law. Consequently, the Company agrees that the Indemnitee shall be entitled, in the event of the Company’s breach or threatened breach of its covenants and obligations hereunder, to obtain equitable relief from a court of competent jurisdiction, including enforcement of each provision of this Agreement by specific performance and/or temporary, preliminary and/or permanent injunctions enforcing any of the Indemnitee’s rights, requiring performance by the Company, or enjoining any breach by the Company, all without proof of any actual damages that have been or may be caused to the Indemnitee by such breach or threatened breach and without the posting of bond or other security in connection therewith. The Company waives the claim or defense therein that the Indemnitee has an adequate remedy at law, and the Company shall not allege or otherwise assert the legal position that any such remedy at law exists. The Company agrees and acknowledges that: (i) the terms of this Section 28(c) are fair, reasonable and necessary to protect the legitimate interests of the Indemnitee; (ii) this waiver is a material inducement to the Indemnitee to enter into the transactions contemplated hereby; and</w:t>
      </w:r>
    </w:p>
    <w:p>
      <w:pPr>
        <w:spacing w:after="0" w:line="1" w:lineRule="exact"/>
        <w:rPr>
          <w:rFonts w:ascii="Times New Roman" w:cs="Times New Roman" w:eastAsia="Times New Roman" w:hAnsi="Times New Roman"/>
          <w:sz w:val="21"/>
          <w:szCs w:val="21"/>
          <w:color w:val="auto"/>
        </w:rPr>
      </w:pPr>
    </w:p>
    <w:p>
      <w:pPr>
        <w:ind w:right="140" w:firstLine="8"/>
        <w:spacing w:after="0" w:line="249" w:lineRule="auto"/>
        <w:tabs>
          <w:tab w:leader="none" w:pos="378"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Indemnitee relied upon this waiver in entering into this Agreement and will continue to rely on this waiver in its future dealings with the Company. The Company represents and warrants that it has reviewed this provision with its legal counsel, and that it has knowingly and voluntarily waived its rights referenced in this Section 28 following consultation with such legal counsel.</w:t>
      </w:r>
    </w:p>
    <w:p>
      <w:pPr>
        <w:spacing w:after="0" w:line="20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21"/>
          <w:szCs w:val="21"/>
          <w:color w:val="auto"/>
        </w:rPr>
        <w:t>Section 29. Nondisclosure of Payments. Except as expressly required by federal securities laws or regulations, or stock exchange rules applicable to the Company, the Company shall not disclose any payments under this Agreement without the prior written consent of the Indemnitee. Any payments to the Indemnitee that must be disclosed shall, unless otherwise required by law, be described only in the Company proxy or information statements relating to special and/or annual meetings of the Company’s shareholders, and the Company shall afford the Indemnitee a reasonable opportunity to review all such disclosures and, if requested by the Indemnitee, to explain in such statement any mitigating circumstances regarding the events reported.</w:t>
      </w:r>
    </w:p>
    <w:p>
      <w:pPr>
        <w:spacing w:after="0" w:line="196" w:lineRule="exact"/>
        <w:rPr>
          <w:sz w:val="20"/>
          <w:szCs w:val="20"/>
          <w:color w:val="auto"/>
        </w:rPr>
      </w:pPr>
    </w:p>
    <w:p>
      <w:pPr>
        <w:ind w:right="320" w:firstLine="216"/>
        <w:spacing w:after="0" w:line="295" w:lineRule="auto"/>
        <w:rPr>
          <w:sz w:val="20"/>
          <w:szCs w:val="20"/>
          <w:color w:val="auto"/>
        </w:rPr>
      </w:pPr>
      <w:r>
        <w:rPr>
          <w:rFonts w:ascii="Times New Roman" w:cs="Times New Roman" w:eastAsia="Times New Roman" w:hAnsi="Times New Roman"/>
          <w:sz w:val="21"/>
          <w:szCs w:val="21"/>
          <w:color w:val="auto"/>
        </w:rPr>
        <w:t>Section 30. Notice by the Indemnitee. The Indemnitee agrees to promptly notify the Company in writing upon being served with any summons, citation, subpoena, complaint, indictment, information or other document relating to any Proceeding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22"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matter which may be subject to indemnification or advancement of Expenses covered hereunder.</w:t>
      </w:r>
    </w:p>
    <w:p>
      <w:pPr>
        <w:spacing w:after="0" w:line="24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Section 31. Notices. All notices, requests, demands and other communications hereunder shall be in writing and shall be deemed to have been duly given if (a) delivered by hand and received for by the party to whom said notice or other communication shall have been directed, or (b) mailed by U.S. certified or registered mail with postage prepaid, on the third business day after the date on which it is so mailed: (i) If to the Company: TriMas Corporation, 38505 Woodward Avenue, Suite 200, Bloomfield Hills, Michigan 48304, Attention: General Counsel; and (ii) if to any other party hereto, including the Indemnitee, to the address of such party set forth on the signature page hereof; or to such other address as may have been furnished by any party to the other(s), in accordance with this Section 31.</w:t>
      </w:r>
    </w:p>
    <w:p>
      <w:pPr>
        <w:spacing w:after="0" w:line="221" w:lineRule="exact"/>
        <w:rPr>
          <w:sz w:val="20"/>
          <w:szCs w:val="20"/>
          <w:color w:val="auto"/>
        </w:rPr>
      </w:pPr>
    </w:p>
    <w:p>
      <w:pPr>
        <w:ind w:right="60" w:firstLine="216"/>
        <w:spacing w:after="0" w:line="248" w:lineRule="auto"/>
        <w:rPr>
          <w:sz w:val="20"/>
          <w:szCs w:val="20"/>
          <w:color w:val="auto"/>
        </w:rPr>
      </w:pPr>
      <w:r>
        <w:rPr>
          <w:rFonts w:ascii="Times New Roman" w:cs="Times New Roman" w:eastAsia="Times New Roman" w:hAnsi="Times New Roman"/>
          <w:sz w:val="22"/>
          <w:szCs w:val="22"/>
          <w:color w:val="auto"/>
        </w:rPr>
        <w:t>Section 32. Modification and Waiver. No supplement, modification or amendment of this Agreement or any provision hereof shall limit or restrict in any way any right of the Indemnitee under this Agreement with respect to any action taken or omitted by the Indemnitee in his Corporate Status prior to such supplement, modification or amendment. No supplement, modification or amendment of this Agreement or any provision hereof shall be binding unless executed in writing by both of the Company and the Indemnitee. No waiver of any provision of this Agreement shall be deemed or shall constitute a waiver of any other provision hereof (whether or not similar) nor shall such waiver constitute a continuing waiver.</w:t>
      </w:r>
    </w:p>
    <w:p>
      <w:pPr>
        <w:spacing w:after="0" w:line="227" w:lineRule="exact"/>
        <w:rPr>
          <w:sz w:val="20"/>
          <w:szCs w:val="20"/>
          <w:color w:val="auto"/>
        </w:rPr>
      </w:pPr>
    </w:p>
    <w:p>
      <w:pPr>
        <w:ind w:right="160" w:firstLine="216"/>
        <w:spacing w:after="0" w:line="251" w:lineRule="auto"/>
        <w:rPr>
          <w:sz w:val="20"/>
          <w:szCs w:val="20"/>
          <w:color w:val="auto"/>
        </w:rPr>
      </w:pPr>
      <w:r>
        <w:rPr>
          <w:rFonts w:ascii="Times New Roman" w:cs="Times New Roman" w:eastAsia="Times New Roman" w:hAnsi="Times New Roman"/>
          <w:sz w:val="22"/>
          <w:szCs w:val="22"/>
          <w:color w:val="auto"/>
        </w:rPr>
        <w:t>Section 33. Prior Agreements. This Agreement supersedes and replaces all written agreements heretofore made or existing by and between the Indemnitee, on the one hand, and the Company or any of its subsidiaries, on the other hand, that principally pertain to the subject matter of this Agreement. For the avoidance of doubt, the Indemnitee’s rights to indemnification and advancement set forth herein shall not be affected by whether (a) the Indemnitee’s Corporate Status existed prior to, on or after the date hereof or (b) any Covered Actions and Inactions actually, allegedly or are suspected to have occurred or failed to occur prior to, on or after the date hereof.</w:t>
      </w:r>
    </w:p>
    <w:p>
      <w:pPr>
        <w:spacing w:after="0" w:line="208" w:lineRule="exact"/>
        <w:rPr>
          <w:sz w:val="20"/>
          <w:szCs w:val="20"/>
          <w:color w:val="auto"/>
        </w:rPr>
      </w:pPr>
    </w:p>
    <w:p>
      <w:pPr>
        <w:ind w:right="420" w:firstLine="216"/>
        <w:spacing w:after="0" w:line="271" w:lineRule="auto"/>
        <w:rPr>
          <w:sz w:val="20"/>
          <w:szCs w:val="20"/>
          <w:color w:val="auto"/>
        </w:rPr>
      </w:pPr>
      <w:r>
        <w:rPr>
          <w:rFonts w:ascii="Times New Roman" w:cs="Times New Roman" w:eastAsia="Times New Roman" w:hAnsi="Times New Roman"/>
          <w:sz w:val="22"/>
          <w:szCs w:val="22"/>
          <w:color w:val="auto"/>
        </w:rPr>
        <w:t>Section 34. Headings. The headings of the Sections or paragraphs of this Agreement are inserted for convenience only and shall not be deemed to constitute part of this Agreement or to affect the construction thereof.</w:t>
      </w:r>
    </w:p>
    <w:p>
      <w:pPr>
        <w:spacing w:after="0" w:line="185" w:lineRule="exact"/>
        <w:rPr>
          <w:sz w:val="20"/>
          <w:szCs w:val="20"/>
          <w:color w:val="auto"/>
        </w:rPr>
      </w:pPr>
    </w:p>
    <w:p>
      <w:pPr>
        <w:ind w:right="20" w:firstLine="216"/>
        <w:spacing w:after="0" w:line="271" w:lineRule="auto"/>
        <w:rPr>
          <w:sz w:val="20"/>
          <w:szCs w:val="20"/>
          <w:color w:val="auto"/>
        </w:rPr>
      </w:pPr>
      <w:r>
        <w:rPr>
          <w:rFonts w:ascii="Times New Roman" w:cs="Times New Roman" w:eastAsia="Times New Roman" w:hAnsi="Times New Roman"/>
          <w:sz w:val="22"/>
          <w:szCs w:val="22"/>
          <w:color w:val="auto"/>
        </w:rPr>
        <w:t>Section 35. Gender. Use of the masculine pronoun in this Agreement shall be deemed to include usage of the feminine pronoun where appropriate.</w:t>
      </w:r>
    </w:p>
    <w:p>
      <w:pPr>
        <w:spacing w:after="0" w:line="19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22"/>
          <w:szCs w:val="22"/>
          <w:color w:val="auto"/>
        </w:rPr>
        <w:t>Section 36. Identical Counterparts. This Agreement may be executed in one or more counterparts (whether by original, photocopy or facsimile signature), each of which shall for all purposes be deemed to be an original, but all of which together shall constitute one and the same Agreement. Only one such counterpart executed by the party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1"/>
          <w:szCs w:val="21"/>
          <w:color w:val="auto"/>
        </w:rPr>
        <w:t>against whom enforcement is sought must be produced to evidence the existence of this Agreement.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139"/>
          </w:cols>
          <w:pgMar w:left="320" w:top="1422" w:right="1440" w:bottom="1440" w:gutter="0" w:footer="0" w:header="0"/>
          <w:type w:val="continuous"/>
        </w:sectPr>
      </w:pPr>
    </w:p>
    <w:bookmarkStart w:id="193" w:name="page194"/>
    <w:bookmarkEnd w:id="193"/>
    <w:p>
      <w:pPr>
        <w:spacing w:after="0" w:line="225" w:lineRule="exact"/>
        <w:rPr>
          <w:sz w:val="20"/>
          <w:szCs w:val="20"/>
          <w:color w:val="auto"/>
        </w:rPr>
      </w:pPr>
    </w:p>
    <w:p>
      <w:pPr>
        <w:ind w:left="2780" w:hanging="3239"/>
        <w:spacing w:after="0" w:line="476" w:lineRule="auto"/>
        <w:rPr>
          <w:sz w:val="20"/>
          <w:szCs w:val="20"/>
          <w:color w:val="auto"/>
        </w:rPr>
      </w:pPr>
      <w:r>
        <w:rPr>
          <w:rFonts w:ascii="Times New Roman" w:cs="Times New Roman" w:eastAsia="Times New Roman" w:hAnsi="Times New Roman"/>
          <w:sz w:val="22"/>
          <w:szCs w:val="22"/>
          <w:color w:val="auto"/>
        </w:rPr>
        <w:t>IN WITNESS WHEREOF, the parties hereto have entered into this Agreement effective as of the date first above written. TriMas Corporation</w:t>
      </w: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Jodi F.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033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Printed Name: Jodi F. Robin</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General Counsel &amp; Secretary</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38505 Woodward Ave., Ste. 200</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Bloomfield Hills, Michigan 48304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Indemnitee:</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-13970</wp:posOffset>
            </wp:positionV>
            <wp:extent cx="1287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Printed Name: Thomas J. Snyder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Address: </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040"/>
          </w:cols>
          <w:pgMar w:left="1440" w:top="1440" w:right="419" w:bottom="1440" w:gutter="0" w:footer="0" w:header="0"/>
        </w:sectPr>
      </w:pPr>
    </w:p>
    <w:bookmarkStart w:id="194" w:name="page195"/>
    <w:bookmarkEnd w:id="194"/>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UNDERTAKING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Undertaking is submitted pursuant to the Indemnification Agreement, dated as of ___________ ___, ____ (the</w:t>
      </w:r>
    </w:p>
    <w:p>
      <w:pPr>
        <w:spacing w:after="0" w:line="29"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2"/>
          <w:szCs w:val="22"/>
          <w:color w:val="auto"/>
        </w:rPr>
        <w:t>“Indemnification Agreement”), between TriMas Corporation, a Delaware corporation (the “Company”), and the undersigned. Capitalized terms used and not otherwise defined herein have the meanings ascribed to such terms in the Indemnification Agreement.</w:t>
      </w:r>
    </w:p>
    <w:p>
      <w:pPr>
        <w:spacing w:after="0" w:line="206"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The undersigned hereby requests [payment], [advancement], [reimbursement] by the Company of Expenses which the undersigned [has incurred] [reasonably expects to incur] in connection with ______________________ (the “Proceeding”).</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The undersigned hereby undertakes to repay the [payment], [advancement], [reimbursement] of Expenses made by the Company to or on behalf of the undersigned in response to the foregoing request to the extent it is determined, following the final disposition of the Proceeding and in accordance with Section 8 of the Indemnification Agreement, that the undersigned is not entitled to indemnification by the Company under the Indemnification Agreement with respect to the Proceeding.</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WITNESS WHEREOF, the undersigned has executed this Undertaking as of this _____ day of 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w:t>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[Indemnitee]</w:t>
      </w:r>
    </w:p>
    <w:p>
      <w:pPr>
        <w:sectPr>
          <w:pgSz w:w="11900" w:h="16838" w:orient="portrait"/>
          <w:cols w:equalWidth="0" w:num="1">
            <w:col w:w="11200"/>
          </w:cols>
          <w:pgMar w:left="320" w:top="1422" w:right="37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Snyder, certify that:</w:t>
      </w:r>
    </w:p>
    <w:p>
      <w:pPr>
        <w:spacing w:after="0" w:line="225" w:lineRule="exact"/>
        <w:rPr>
          <w:sz w:val="20"/>
          <w:szCs w:val="20"/>
          <w:color w:val="auto"/>
        </w:rPr>
      </w:pPr>
    </w:p>
    <w:p>
      <w:pPr>
        <w:ind w:left="320" w:hanging="312"/>
        <w:spacing w:after="0"/>
        <w:tabs>
          <w:tab w:leader="none" w:pos="3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J. Snyder</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M. Finley, certify that:</w:t>
      </w:r>
    </w:p>
    <w:p>
      <w:pPr>
        <w:spacing w:after="0" w:line="225" w:lineRule="exact"/>
        <w:rPr>
          <w:sz w:val="20"/>
          <w:szCs w:val="20"/>
          <w:color w:val="auto"/>
        </w:rPr>
      </w:pPr>
    </w:p>
    <w:p>
      <w:pPr>
        <w:ind w:left="320" w:hanging="312"/>
        <w:spacing w:after="0"/>
        <w:tabs>
          <w:tab w:leader="none" w:pos="3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Teresa M. Finley</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June 30, 2025 as filed with the Securities and Exchange Commission on the date hereof (the “Report”), I, Thomas J. Snyder,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J.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J. Snyder</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June 30, 2025 as filed with the Securities and Exchange Commission on the date hereof (the “Report”), I, Teresa M. Finley,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Teresa M. Finley</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1)"/>
      <w:numFmt w:val="lowerLetter"/>
      <w:start w:val="1"/>
    </w:lvl>
  </w:abstractNum>
  <w:abstractNum w:abstractNumId="3">
    <w:nsid w:val="379E21B5"/>
    <w:multiLevelType w:val="hybridMultilevel"/>
    <w:lvl w:ilvl="0">
      <w:lvlJc w:val="left"/>
      <w:lvlText w:val="(%1)"/>
      <w:numFmt w:val="lowerLetter"/>
      <w:start w:val="1"/>
    </w:lvl>
  </w:abstractNum>
  <w:abstractNum w:abstractNumId="4">
    <w:nsid w:val="69E373"/>
    <w:multiLevelType w:val="hybridMultilevel"/>
    <w:lvl w:ilvl="0">
      <w:lvlJc w:val="left"/>
      <w:lvlText w:val="(%1)"/>
      <w:numFmt w:val="lowerLetter"/>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1)"/>
      <w:numFmt w:val="lowerLetter"/>
      <w:start w:val="1"/>
    </w:lvl>
  </w:abstractNum>
  <w:abstractNum w:abstractNumId="7">
    <w:nsid w:val="6AA7B75C"/>
    <w:multiLevelType w:val="hybridMultilevel"/>
    <w:lvl w:ilvl="0">
      <w:lvlJc w:val="left"/>
      <w:lvlText w:val="(%1)"/>
      <w:numFmt w:val="lowerLetter"/>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decimal"/>
      <w:start w:val="1"/>
    </w:lvl>
  </w:abstractNum>
  <w:abstractNum w:abstractNumId="11">
    <w:nsid w:val="3DB012B3"/>
    <w:multiLevelType w:val="hybridMultilevel"/>
    <w:lvl w:ilvl="0">
      <w:lvlJc w:val="left"/>
      <w:lvlText w:val="&amp;"/>
      <w:numFmt w:val="bullet"/>
      <w:start w:val="1"/>
    </w:lvl>
  </w:abstractNum>
  <w:abstractNum w:abstractNumId="12">
    <w:nsid w:val="2708C9AF"/>
    <w:multiLevelType w:val="hybridMultilevel"/>
    <w:lvl w:ilvl="0">
      <w:lvlJc w:val="left"/>
      <w:lvlText w:val="(%1)"/>
      <w:numFmt w:val="decimal"/>
      <w:start w:val="1"/>
    </w:lvl>
  </w:abstractNum>
  <w:abstractNum w:abstractNumId="13">
    <w:nsid w:val="5B25ACE2"/>
    <w:multiLevelType w:val="hybridMultilevel"/>
    <w:lvl w:ilvl="0">
      <w:lvlJc w:val="left"/>
      <w:lvlText w:val="%1"/>
      <w:numFmt w:val="decimal"/>
      <w:start w:val="101"/>
    </w:lvl>
  </w:abstractNum>
  <w:abstractNum w:abstractNumId="14">
    <w:nsid w:val="175DFCF0"/>
    <w:multiLevelType w:val="hybridMultilevel"/>
    <w:lvl w:ilvl="0">
      <w:lvlJc w:val="left"/>
      <w:lvlText w:val="**"/>
      <w:numFmt w:val="bullet"/>
      <w:start w:val="1"/>
    </w:lvl>
    <w:lvl w:ilvl="1">
      <w:lvlJc w:val="left"/>
      <w:lvlText w:val="%2"/>
      <w:numFmt w:val="decimal"/>
      <w:start w:val="104"/>
    </w:lvl>
  </w:abstractNum>
  <w:abstractNum w:abstractNumId="15">
    <w:nsid w:val="4F97E3E4"/>
    <w:multiLevelType w:val="hybridMultilevel"/>
    <w:lvl w:ilvl="0">
      <w:lvlJc w:val="left"/>
      <w:lvlText w:val="%1."/>
      <w:numFmt w:val="upperLetter"/>
      <w:start w:val="9"/>
    </w:lvl>
  </w:abstractNum>
  <w:abstractNum w:abstractNumId="16">
    <w:nsid w:val="53B0A9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7">
    <w:nsid w:val="34FD6B4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
    <w:nsid w:val="5915FF32"/>
    <w:multiLevelType w:val="hybridMultilevel"/>
    <w:lvl w:ilvl="0">
      <w:lvlJc w:val="left"/>
      <w:lvlText w:val="(%1)"/>
      <w:numFmt w:val="upperLetter"/>
      <w:start w:val="3"/>
    </w:lvl>
  </w:abstractNum>
  <w:abstractNum w:abstractNumId="19">
    <w:nsid w:val="56438D15"/>
    <w:multiLevelType w:val="hybridMultilevel"/>
    <w:lvl w:ilvl="0">
      <w:lvlJc w:val="left"/>
      <w:lvlText w:val="%1."/>
      <w:numFmt w:val="decimal"/>
      <w:start w:val="2"/>
    </w:lvl>
    <w:lvl w:ilvl="1">
      <w:lvlJc w:val="left"/>
      <w:lvlText w:val="(%2)"/>
      <w:numFmt w:val="lowerLetter"/>
      <w:start w:val="1"/>
    </w:lvl>
  </w:abstractNum>
  <w:abstractNum w:abstractNumId="20">
    <w:nsid w:val="519E31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2C6E4A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17A1B582"/>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23">
    <w:nsid w:val="4DF72E4E"/>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2"/>
    </w:lvl>
    <w:lvl w:ilvl="5">
      <w:lvlJc w:val="left"/>
      <w:lvlText w:val="%6"/>
      <w:numFmt w:val="lowerLetter"/>
      <w:start w:val="1"/>
    </w:lvl>
  </w:abstractNum>
  <w:abstractNum w:abstractNumId="24">
    <w:nsid w:val="5046B5A9"/>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25">
    <w:nsid w:val="5D888A08"/>
    <w:multiLevelType w:val="hybridMultilevel"/>
    <w:lvl w:ilvl="0">
      <w:lvlJc w:val="left"/>
      <w:lvlText w:val="(%1)"/>
      <w:numFmt w:val="lowerLetter"/>
      <w:start w:val="2"/>
    </w:lvl>
  </w:abstractNum>
  <w:abstractNum w:abstractNumId="26">
    <w:nsid w:val="2A082C70"/>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27">
    <w:nsid w:val="5EC6AFD4"/>
    <w:multiLevelType w:val="hybridMultilevel"/>
    <w:lvl w:ilvl="0">
      <w:lvlJc w:val="left"/>
      <w:lvlText w:val="(%1)"/>
      <w:numFmt w:val="lowerLetter"/>
      <w:start w:val="4"/>
    </w:lvl>
    <w:lvl w:ilvl="1">
      <w:lvlJc w:val="left"/>
      <w:lvlText w:val="(%2)"/>
      <w:numFmt w:val="lowerRoman"/>
      <w:start w:val="1"/>
    </w:lvl>
  </w:abstractNum>
  <w:abstractNum w:abstractNumId="28">
    <w:nsid w:val="19E21BB2"/>
    <w:multiLevelType w:val="hybridMultilevel"/>
    <w:lvl w:ilvl="0">
      <w:lvlJc w:val="left"/>
      <w:lvlText w:val="(%1)"/>
      <w:numFmt w:val="lowerRoman"/>
      <w:start w:val="2"/>
    </w:lvl>
  </w:abstractNum>
  <w:abstractNum w:abstractNumId="29">
    <w:nsid w:val="75E0858A"/>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30">
    <w:nsid w:val="57A61A29"/>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31">
    <w:nsid w:val="5399C654"/>
    <w:multiLevelType w:val="hybridMultilevel"/>
    <w:lvl w:ilvl="0">
      <w:lvlJc w:val="left"/>
      <w:lvlText w:val="%1."/>
      <w:numFmt w:val="decimal"/>
      <w:start w:val="6"/>
    </w:lvl>
    <w:lvl w:ilvl="1">
      <w:lvlJc w:val="left"/>
      <w:lvlText w:val="%2."/>
      <w:numFmt w:val="decimal"/>
      <w:start w:val="8"/>
    </w:lvl>
    <w:lvl w:ilvl="2">
      <w:lvlJc w:val="left"/>
      <w:lvlText w:val="%3."/>
      <w:numFmt w:val="decimal"/>
      <w:start w:val="7"/>
    </w:lvl>
    <w:lvl w:ilvl="3">
      <w:lvlJc w:val="left"/>
      <w:lvlText w:val="%4."/>
      <w:numFmt w:val="decimal"/>
      <w:start w:val="8"/>
    </w:lvl>
    <w:lvl w:ilvl="4">
      <w:lvlJc w:val="left"/>
      <w:lvlText w:val="%5."/>
      <w:numFmt w:val="decimal"/>
      <w:start w:val="9"/>
    </w:lvl>
  </w:abstractNum>
  <w:abstractNum w:abstractNumId="32">
    <w:nsid w:val="20EE134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33">
    <w:nsid w:val="442706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3"/>
    </w:lvl>
  </w:abstractNum>
  <w:abstractNum w:abstractNumId="34">
    <w:nsid w:val="B37E80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4"/>
    </w:lvl>
    <w:lvl w:ilvl="5">
      <w:lvlJc w:val="left"/>
      <w:lvlText w:val="%6"/>
      <w:numFmt w:val="lowerLetter"/>
      <w:start w:val="1"/>
    </w:lvl>
  </w:abstractNum>
  <w:abstractNum w:abstractNumId="35">
    <w:nsid w:val="2157F6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
    </w:lvl>
    <w:lvl w:ilvl="4">
      <w:lvlJc w:val="left"/>
      <w:lvlText w:val="(%5)"/>
      <w:numFmt w:val="lowerLetter"/>
      <w:start w:val="7"/>
    </w:lvl>
    <w:lvl w:ilvl="5">
      <w:lvlJc w:val="left"/>
      <w:lvlText w:val="%6"/>
      <w:numFmt w:val="lowerLetter"/>
      <w:start w:val="1"/>
    </w:lvl>
  </w:abstractNum>
  <w:abstractNum w:abstractNumId="36">
    <w:nsid w:val="704E1DD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0"/>
    </w:lvl>
    <w:lvl w:ilvl="4">
      <w:lvlJc w:val="left"/>
      <w:lvlText w:val="%5"/>
      <w:numFmt w:val="lowerLetter"/>
      <w:start w:val="1"/>
    </w:lvl>
    <w:lvl w:ilvl="5">
      <w:lvlJc w:val="left"/>
      <w:lvlText w:val="%6"/>
      <w:numFmt w:val="lowerLetter"/>
      <w:start w:val="1"/>
    </w:lvl>
  </w:abstractNum>
  <w:abstractNum w:abstractNumId="37">
    <w:nsid w:val="57D2F10E"/>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8">
    <w:nsid w:val="BFFAE18"/>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9">
    <w:nsid w:val="E3E47A8"/>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abstractNum>
  <w:abstractNum w:abstractNumId="40">
    <w:nsid w:val="2E48F044"/>
    <w:multiLevelType w:val="hybridMultilevel"/>
    <w:lvl w:ilvl="0">
      <w:lvlJc w:val="left"/>
      <w:lvlText w:val="(%1)"/>
      <w:numFmt w:val="lowerLetter"/>
      <w:start w:val="2"/>
    </w:lvl>
  </w:abstractNum>
  <w:abstractNum w:abstractNumId="41">
    <w:nsid w:val="49D0FEAC"/>
    <w:multiLevelType w:val="hybridMultilevel"/>
    <w:lvl w:ilvl="0">
      <w:lvlJc w:val="left"/>
      <w:lvlText w:val="(%1)"/>
      <w:numFmt w:val="lowerLetter"/>
      <w:start w:val="1"/>
    </w:lvl>
  </w:abstractNum>
  <w:abstractNum w:abstractNumId="42">
    <w:nsid w:val="4BEE5A5B"/>
    <w:multiLevelType w:val="hybridMultilevel"/>
    <w:lvl w:ilvl="0">
      <w:lvlJc w:val="left"/>
      <w:lvlText w:val="%1."/>
      <w:numFmt w:val="decimal"/>
      <w:start w:val="1"/>
    </w:lvl>
  </w:abstractNum>
  <w:abstractNum w:abstractNumId="43">
    <w:nsid w:val="5551B9F3"/>
    <w:multiLevelType w:val="hybridMultilevel"/>
    <w:lvl w:ilvl="0">
      <w:lvlJc w:val="left"/>
      <w:lvlText w:val="%1."/>
      <w:numFmt w:val="upperLetter"/>
      <w:start w:val="9"/>
    </w:lvl>
  </w:abstractNum>
  <w:abstractNum w:abstractNumId="44">
    <w:nsid w:val="24F6AB8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5">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24E99DD7"/>
    <w:multiLevelType w:val="hybridMultilevel"/>
    <w:lvl w:ilvl="0">
      <w:lvlJc w:val="left"/>
      <w:lvlText w:val="%1"/>
      <w:numFmt w:val="decimal"/>
      <w:start w:val="1"/>
    </w:lvl>
    <w:lvl w:ilvl="1">
      <w:lvlJc w:val="left"/>
      <w:lvlText w:val="(%2)"/>
      <w:numFmt w:val="upperLetter"/>
      <w:start w:val="2"/>
    </w:lvl>
  </w:abstractNum>
  <w:abstractNum w:abstractNumId="47">
    <w:nsid w:val="2A31B62D"/>
    <w:multiLevelType w:val="hybridMultilevel"/>
    <w:lvl w:ilvl="0">
      <w:lvlJc w:val="left"/>
      <w:lvlText w:val="(%1)"/>
      <w:numFmt w:val="decimal"/>
      <w:start w:val="2"/>
    </w:lvl>
    <w:lvl w:ilvl="1">
      <w:lvlJc w:val="left"/>
      <w:lvlText w:val="(%2)"/>
      <w:numFmt w:val="upperLetter"/>
      <w:start w:val="4"/>
    </w:lvl>
  </w:abstractNum>
  <w:abstractNum w:abstractNumId="48">
    <w:nsid w:val="1849C29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9">
    <w:nsid w:val="7DFF9D09"/>
    <w:multiLevelType w:val="hybridMultilevel"/>
    <w:lvl w:ilvl="0">
      <w:lvlJc w:val="left"/>
      <w:lvlText w:val="%1"/>
      <w:numFmt w:val="upperLetter"/>
      <w:start w:val="1"/>
    </w:lvl>
    <w:lvl w:ilvl="1">
      <w:lvlJc w:val="left"/>
      <w:lvlText w:val="%2."/>
      <w:numFmt w:val="decimal"/>
      <w:start w:val="3"/>
    </w:lvl>
    <w:lvl w:ilvl="2">
      <w:lvlJc w:val="left"/>
      <w:lvlText w:val="%3."/>
      <w:numFmt w:val="decimal"/>
      <w:start w:val="4"/>
    </w:lvl>
    <w:lvl w:ilvl="3">
      <w:lvlJc w:val="left"/>
      <w:lvlText w:val="%4"/>
      <w:numFmt w:val="decimal"/>
      <w:start w:val="1"/>
    </w:lvl>
    <w:lvl w:ilvl="4">
      <w:lvlJc w:val="left"/>
      <w:lvlText w:val="%5."/>
      <w:numFmt w:val="decimal"/>
      <w:start w:val="5"/>
    </w:lvl>
  </w:abstractNum>
  <w:abstractNum w:abstractNumId="50">
    <w:nsid w:val="754342"/>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2"/>
    </w:lvl>
    <w:lvl w:ilvl="4">
      <w:lvlJc w:val="left"/>
      <w:lvlText w:val="%5"/>
      <w:numFmt w:val="decimal"/>
      <w:start w:val="1"/>
    </w:lvl>
  </w:abstractNum>
  <w:abstractNum w:abstractNumId="51">
    <w:nsid w:val="69E7F3E5"/>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lvl w:ilvl="3">
      <w:lvlJc w:val="left"/>
      <w:lvlText w:val="(%4)"/>
      <w:numFmt w:val="lowerLetter"/>
      <w:start w:val="2"/>
    </w:lvl>
  </w:abstractNum>
  <w:abstractNum w:abstractNumId="52">
    <w:nsid w:val="2A6DE806"/>
    <w:multiLevelType w:val="hybridMultilevel"/>
    <w:lvl w:ilvl="0">
      <w:lvlJc w:val="left"/>
      <w:lvlText w:val="(%1)"/>
      <w:numFmt w:val="lowerLetter"/>
      <w:start w:val="3"/>
    </w:lvl>
    <w:lvl w:ilvl="1">
      <w:lvlJc w:val="left"/>
      <w:lvlText w:val="(%2)"/>
      <w:numFmt w:val="lowerLetter"/>
      <w:start w:val="9"/>
    </w:lvl>
  </w:abstractNum>
  <w:abstractNum w:abstractNumId="53">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lowerRoman"/>
      <w:start w:val="1"/>
    </w:lvl>
  </w:abstractNum>
  <w:abstractNum w:abstractNumId="54">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lvl w:ilvl="4">
      <w:lvlJc w:val="left"/>
      <w:lvlText w:val="%5"/>
      <w:numFmt w:val="lowerRoman"/>
      <w:start w:val="1"/>
    </w:lvl>
  </w:abstractNum>
  <w:abstractNum w:abstractNumId="55">
    <w:nsid w:val="7AB49DA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56">
    <w:nsid w:val="759F82CD"/>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57">
    <w:nsid w:val="61E74EA3"/>
    <w:multiLevelType w:val="hybridMultilevel"/>
    <w:lvl w:ilvl="0">
      <w:lvlJc w:val="left"/>
      <w:lvlText w:val="%1"/>
      <w:numFmt w:val="lowerLetter"/>
      <w:start w:val="1"/>
    </w:lvl>
    <w:lvl w:ilvl="1">
      <w:lvlJc w:val="left"/>
      <w:lvlText w:val="(%2)"/>
      <w:numFmt w:val="lowerLetter"/>
      <w:start w:val="61"/>
    </w:lvl>
  </w:abstractNum>
  <w:abstractNum w:abstractNumId="58">
    <w:nsid w:val="597B4D84"/>
    <w:multiLevelType w:val="hybridMultilevel"/>
    <w:lvl w:ilvl="0">
      <w:lvlJc w:val="left"/>
      <w:lvlText w:val="(%1)"/>
      <w:numFmt w:val="lowerLetter"/>
      <w:start w:val="6"/>
    </w:lvl>
    <w:lvl w:ilvl="1">
      <w:lvlJc w:val="left"/>
      <w:lvlText w:val="%2"/>
      <w:numFmt w:val="lowerLetter"/>
      <w:start w:val="1"/>
    </w:lvl>
  </w:abstractNum>
  <w:abstractNum w:abstractNumId="59">
    <w:nsid w:val="F819E7F"/>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60">
    <w:nsid w:val="57C7D42D"/>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decimal"/>
      <w:start w:val="7"/>
    </w:lvl>
    <w:lvl w:ilvl="4">
      <w:lvlJc w:val="left"/>
      <w:lvlText w:val="%5."/>
      <w:numFmt w:val="decimal"/>
      <w:start w:val="8"/>
    </w:lvl>
    <w:lvl w:ilvl="5">
      <w:lvlJc w:val="left"/>
      <w:lvlText w:val="%6."/>
      <w:numFmt w:val="decimal"/>
      <w:start w:val="9"/>
    </w:lvl>
  </w:abstractNum>
  <w:abstractNum w:abstractNumId="61">
    <w:nsid w:val="312167AD"/>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62">
    <w:nsid w:val="631B64D4"/>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63">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abstractNum>
  <w:abstractNum w:abstractNumId="64">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Letter"/>
      <w:start w:val="1"/>
    </w:lvl>
  </w:abstractNum>
  <w:abstractNum w:abstractNumId="65">
    <w:nsid w:val="6E534CD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7"/>
    </w:lvl>
    <w:lvl w:ilvl="4">
      <w:lvlJc w:val="left"/>
      <w:lvlText w:val="%5"/>
      <w:numFmt w:val="lowerLetter"/>
      <w:start w:val="1"/>
    </w:lvl>
  </w:abstractNum>
  <w:abstractNum w:abstractNumId="66">
    <w:nsid w:val="1A0DDE32"/>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7">
    <w:nsid w:val="65968C1C"/>
    <w:multiLevelType w:val="hybridMultilevel"/>
    <w:lvl w:ilvl="0">
      <w:lvlJc w:val="left"/>
      <w:lvlText w:val="%1"/>
      <w:numFmt w:val="decimal"/>
      <w:start w:val="1"/>
    </w:lvl>
    <w:lvl w:ilvl="1">
      <w:lvlJc w:val="left"/>
      <w:lvlText w:val="%2."/>
      <w:numFmt w:val="decimal"/>
      <w:start w:val="13"/>
    </w:lvl>
    <w:lvl w:ilvl="2">
      <w:lvlJc w:val="left"/>
      <w:lvlText w:val="%3."/>
      <w:numFmt w:val="decimal"/>
      <w:start w:val="14"/>
    </w:lvl>
    <w:lvl w:ilvl="3">
      <w:lvlJc w:val="left"/>
      <w:lvlText w:val="%4."/>
      <w:numFmt w:val="decimal"/>
      <w:start w:val="15"/>
    </w:lvl>
    <w:lvl w:ilvl="4">
      <w:lvlJc w:val="left"/>
      <w:lvlText w:val="%5"/>
      <w:numFmt w:val="lowerLetter"/>
      <w:start w:val="1"/>
    </w:lvl>
  </w:abstractNum>
  <w:abstractNum w:abstractNumId="68">
    <w:nsid w:val="46263DEC"/>
    <w:multiLevelType w:val="hybridMultilevel"/>
    <w:lvl w:ilvl="0">
      <w:lvlJc w:val="left"/>
      <w:lvlText w:val="%1."/>
      <w:numFmt w:val="decimal"/>
      <w:start w:val="16"/>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abstractNum>
  <w:abstractNum w:abstractNumId="69">
    <w:nsid w:val="260D8C4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70">
    <w:nsid w:val="73D4D3C4"/>
    <w:multiLevelType w:val="hybridMultilevel"/>
    <w:lvl w:ilvl="0">
      <w:lvlJc w:val="left"/>
      <w:lvlText w:val="%1"/>
      <w:numFmt w:val="decimal"/>
      <w:start w:val="1"/>
    </w:lvl>
    <w:lvl w:ilvl="1">
      <w:lvlJc w:val="left"/>
      <w:lvlText w:val="%2"/>
      <w:numFmt w:val="decimal"/>
      <w:start w:val="1"/>
    </w:lvl>
    <w:lvl w:ilvl="2">
      <w:lvlJc w:val="left"/>
      <w:lvlText w:val="%3."/>
      <w:numFmt w:val="decimal"/>
      <w:start w:val="18"/>
    </w:lvl>
    <w:lvl w:ilvl="3">
      <w:lvlJc w:val="left"/>
      <w:lvlText w:val="%4"/>
      <w:numFmt w:val="lowerLetter"/>
      <w:start w:val="1"/>
    </w:lvl>
  </w:abstractNum>
  <w:abstractNum w:abstractNumId="71">
    <w:nsid w:val="746F2E30"/>
    <w:multiLevelType w:val="hybridMultilevel"/>
    <w:lvl w:ilvl="0">
      <w:lvlJc w:val="left"/>
      <w:lvlText w:val="%1."/>
      <w:numFmt w:val="decimal"/>
      <w:start w:val="19"/>
    </w:lvl>
    <w:lvl w:ilvl="1">
      <w:lvlJc w:val="left"/>
      <w:lvlText w:val="%2."/>
      <w:numFmt w:val="decimal"/>
      <w:start w:val="20"/>
    </w:lvl>
    <w:lvl w:ilvl="2">
      <w:lvlJc w:val="left"/>
      <w:lvlText w:val="%3"/>
      <w:numFmt w:val="decimal"/>
      <w:start w:val="1"/>
    </w:lvl>
    <w:lvl w:ilvl="3">
      <w:lvlJc w:val="left"/>
      <w:lvlText w:val="%4"/>
      <w:numFmt w:val="lowerLetter"/>
      <w:start w:val="1"/>
    </w:lvl>
  </w:abstractNum>
  <w:abstractNum w:abstractNumId="72">
    <w:nsid w:val="6FDE8AF6"/>
    <w:multiLevelType w:val="hybridMultilevel"/>
    <w:lvl w:ilvl="0">
      <w:lvlJc w:val="left"/>
      <w:lvlText w:val="(%1)"/>
      <w:numFmt w:val="lowerLetter"/>
      <w:start w:val="1"/>
    </w:lvl>
  </w:abstractNum>
  <w:abstractNum w:abstractNumId="73">
    <w:nsid w:val="3FC32E20"/>
    <w:multiLevelType w:val="hybridMultilevel"/>
    <w:lvl w:ilvl="0">
      <w:lvlJc w:val="left"/>
      <w:lvlText w:val="(%1)"/>
      <w:numFmt w:val="lowerLetter"/>
      <w:start w:val="3"/>
    </w:lvl>
  </w:abstractNum>
  <w:abstractNum w:abstractNumId="74">
    <w:nsid w:val="49C0E823"/>
    <w:multiLevelType w:val="hybridMultilevel"/>
    <w:lvl w:ilvl="0">
      <w:lvlJc w:val="left"/>
      <w:lvlText w:val="(%1)"/>
      <w:numFmt w:val="lowerLetter"/>
      <w:start w:val="1"/>
    </w:lvl>
  </w:abstractNum>
  <w:abstractNum w:abstractNumId="75">
    <w:nsid w:val="14D53685"/>
    <w:multiLevelType w:val="hybridMultilevel"/>
    <w:lvl w:ilvl="0">
      <w:lvlJc w:val="left"/>
      <w:lvlText w:val="(%1)"/>
      <w:numFmt w:val="lowerLetter"/>
      <w:start w:val="1"/>
    </w:lvl>
  </w:abstractNum>
  <w:abstractNum w:abstractNumId="76">
    <w:nsid w:val="230F856C"/>
    <w:multiLevelType w:val="hybridMultilevel"/>
    <w:lvl w:ilvl="0">
      <w:lvlJc w:val="left"/>
      <w:lvlText w:val="(%1)"/>
      <w:numFmt w:val="lowerLetter"/>
      <w:start w:val="1"/>
    </w:lvl>
  </w:abstractNum>
  <w:abstractNum w:abstractNumId="77">
    <w:nsid w:val="6EAA85FB"/>
    <w:multiLevelType w:val="hybridMultilevel"/>
    <w:lvl w:ilvl="0">
      <w:lvlJc w:val="left"/>
      <w:lvlText w:val="(%1)"/>
      <w:numFmt w:val="lowerLetter"/>
      <w:start w:val="3"/>
    </w:lvl>
  </w:abstractNum>
  <w:abstractNum w:abstractNumId="78">
    <w:nsid w:val="3F06ECB2"/>
    <w:multiLevelType w:val="hybridMultilevel"/>
    <w:lvl w:ilvl="0">
      <w:lvlJc w:val="left"/>
      <w:lvlText w:val="(%1)"/>
      <w:numFmt w:val="lowerLetter"/>
      <w:start w:val="4"/>
    </w:lvl>
    <w:lvl w:ilvl="1">
      <w:lvlJc w:val="left"/>
      <w:lvlText w:val="(%2)"/>
      <w:numFmt w:val="lowerRoman"/>
      <w:start w:val="1"/>
    </w:lvl>
  </w:abstractNum>
  <w:abstractNum w:abstractNumId="79">
    <w:nsid w:val="3B594807"/>
    <w:multiLevelType w:val="hybridMultilevel"/>
    <w:lvl w:ilvl="0">
      <w:lvlJc w:val="left"/>
      <w:lvlText w:val="(%1)"/>
      <w:numFmt w:val="lowerLetter"/>
      <w:start w:val="6"/>
    </w:lvl>
  </w:abstractNum>
  <w:abstractNum w:abstractNumId="80">
    <w:nsid w:val="6CAA2304"/>
    <w:multiLevelType w:val="hybridMultilevel"/>
    <w:lvl w:ilvl="0">
      <w:lvlJc w:val="left"/>
      <w:lvlText w:val="%1."/>
      <w:numFmt w:val="upperLetter"/>
      <w:start w:val="9"/>
    </w:lvl>
  </w:abstractNum>
  <w:abstractNum w:abstractNumId="81">
    <w:nsid w:val="3F7C2FF4"/>
    <w:multiLevelType w:val="hybridMultilevel"/>
    <w:lvl w:ilvl="0">
      <w:lvlJc w:val="left"/>
      <w:lvlText w:val="%1."/>
      <w:numFmt w:val="upperLetter"/>
      <w:start w:val="35"/>
    </w:lvl>
    <w:lvl w:ilvl="1">
      <w:lvlJc w:val="left"/>
      <w:lvlText w:val="%2"/>
      <w:numFmt w:val="upperLetter"/>
      <w:start w:val="1"/>
    </w:lvl>
  </w:abstractNum>
  <w:abstractNum w:abstractNumId="82">
    <w:nsid w:val="25413BEC"/>
    <w:multiLevelType w:val="hybridMultilevel"/>
    <w:lvl w:ilvl="0">
      <w:lvlJc w:val="left"/>
      <w:lvlText w:val="%1."/>
      <w:numFmt w:val="decimal"/>
      <w:start w:val="1"/>
    </w:lvl>
  </w:abstractNum>
  <w:abstractNum w:abstractNumId="83">
    <w:nsid w:val="17180B0B"/>
    <w:multiLevelType w:val="hybridMultilevel"/>
    <w:lvl w:ilvl="0">
      <w:lvlJc w:val="left"/>
      <w:lvlText w:val="(%1)"/>
      <w:numFmt w:val="lowerLetter"/>
      <w:start w:val="1"/>
    </w:lvl>
    <w:lvl w:ilvl="1">
      <w:lvlJc w:val="left"/>
      <w:lvlText w:val="(%2)"/>
      <w:numFmt w:val="lowerLetter"/>
      <w:start w:val="9"/>
    </w:lvl>
  </w:abstractNum>
  <w:abstractNum w:abstractNumId="84">
    <w:nsid w:val="579328B9"/>
    <w:multiLevelType w:val="hybridMultilevel"/>
    <w:lvl w:ilvl="0">
      <w:lvlJc w:val="left"/>
      <w:lvlText w:val="%1"/>
      <w:numFmt w:val="upperLetter"/>
      <w:start w:val="1"/>
    </w:lvl>
    <w:lvl w:ilvl="1">
      <w:lvlJc w:val="left"/>
      <w:lvlText w:val="(%2)"/>
      <w:numFmt w:val="lowerRoman"/>
      <w:start w:val="2"/>
    </w:lvl>
  </w:abstractNum>
  <w:abstractNum w:abstractNumId="85">
    <w:nsid w:val="5D205E20"/>
    <w:multiLevelType w:val="hybridMultilevel"/>
    <w:lvl w:ilvl="0">
      <w:lvlJc w:val="left"/>
      <w:lvlText w:val="(%1)"/>
      <w:numFmt w:val="upperLetter"/>
      <w:start w:val="2"/>
    </w:lvl>
    <w:lvl w:ilvl="1">
      <w:lvlJc w:val="left"/>
      <w:lvlText w:val="(%2)"/>
      <w:numFmt w:val="lowerRoman"/>
      <w:start w:val="4"/>
    </w:lvl>
  </w:abstractNum>
  <w:abstractNum w:abstractNumId="86">
    <w:nsid w:val="11CCA8BA"/>
    <w:multiLevelType w:val="hybridMultilevel"/>
    <w:lvl w:ilvl="0">
      <w:lvlJc w:val="left"/>
      <w:lvlText w:val="(%1)"/>
      <w:numFmt w:val="upperLetter"/>
      <w:start w:val="1"/>
    </w:lvl>
  </w:abstractNum>
  <w:abstractNum w:abstractNumId="87">
    <w:nsid w:val="4D32AB86"/>
    <w:multiLevelType w:val="hybridMultilevel"/>
    <w:lvl w:ilvl="0">
      <w:lvlJc w:val="left"/>
      <w:lvlText w:val="(%1)"/>
      <w:numFmt w:val="upperLetter"/>
      <w:start w:val="4"/>
    </w:lvl>
  </w:abstractNum>
  <w:abstractNum w:abstractNumId="88">
    <w:nsid w:val="3F07ACC3"/>
    <w:multiLevelType w:val="hybridMultilevel"/>
    <w:lvl w:ilvl="0">
      <w:lvlJc w:val="left"/>
      <w:lvlText w:val="%1."/>
      <w:numFmt w:val="decimal"/>
      <w:start w:val="2"/>
    </w:lvl>
  </w:abstractNum>
  <w:abstractNum w:abstractNumId="89">
    <w:nsid w:val="6B47F63E"/>
    <w:multiLevelType w:val="hybridMultilevel"/>
    <w:lvl w:ilvl="0">
      <w:lvlJc w:val="left"/>
      <w:lvlText w:val="(%1)"/>
      <w:numFmt w:val="lowerLetter"/>
      <w:start w:val="1"/>
    </w:lvl>
  </w:abstractNum>
  <w:abstractNum w:abstractNumId="90">
    <w:nsid w:val="5CB44A05"/>
    <w:multiLevelType w:val="hybridMultilevel"/>
    <w:lvl w:ilvl="0">
      <w:lvlJc w:val="left"/>
      <w:lvlText w:val="%1."/>
      <w:numFmt w:val="decimal"/>
      <w:start w:val="3"/>
    </w:lvl>
  </w:abstractNum>
  <w:abstractNum w:abstractNumId="91">
    <w:nsid w:val="16CF80F1"/>
    <w:multiLevelType w:val="hybridMultilevel"/>
    <w:lvl w:ilvl="0">
      <w:lvlJc w:val="left"/>
      <w:lvlText w:val="(%1)"/>
      <w:numFmt w:val="lowerLetter"/>
      <w:start w:val="1"/>
    </w:lvl>
  </w:abstractNum>
  <w:abstractNum w:abstractNumId="92">
    <w:nsid w:val="1C695DEC"/>
    <w:multiLevelType w:val="hybridMultilevel"/>
    <w:lvl w:ilvl="0">
      <w:lvlJc w:val="left"/>
      <w:lvlText w:val="(%1)"/>
      <w:numFmt w:val="lowerLetter"/>
      <w:start w:val="3"/>
    </w:lvl>
  </w:abstractNum>
  <w:abstractNum w:abstractNumId="93">
    <w:nsid w:val="3FCFAED9"/>
    <w:multiLevelType w:val="hybridMultilevel"/>
    <w:lvl w:ilvl="0">
      <w:lvlJc w:val="left"/>
      <w:lvlText w:val="%1."/>
      <w:numFmt w:val="decimal"/>
      <w:start w:val="4"/>
    </w:lvl>
  </w:abstractNum>
  <w:abstractNum w:abstractNumId="94">
    <w:nsid w:val="F85686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1"/>
    </w:lvl>
    <w:lvl w:ilvl="4">
      <w:lvlJc w:val="left"/>
      <w:lvlText w:val="%5."/>
      <w:numFmt w:val="decimal"/>
      <w:start w:val="7"/>
    </w:lvl>
  </w:abstractNum>
  <w:abstractNum w:abstractNumId="95">
    <w:nsid w:val="11B1CC3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lowerLetter"/>
      <w:start w:val="1"/>
    </w:lvl>
    <w:lvl w:ilvl="4">
      <w:lvlJc w:val="left"/>
      <w:lvlText w:val="%5."/>
      <w:numFmt w:val="decimal"/>
      <w:start w:val="1"/>
    </w:lvl>
  </w:abstractNum>
  <w:abstractNum w:abstractNumId="96">
    <w:nsid w:val="2E22FBB7"/>
    <w:multiLevelType w:val="hybridMultilevel"/>
    <w:lvl w:ilvl="0">
      <w:lvlJc w:val="left"/>
      <w:lvlText w:val="(%1)"/>
      <w:numFmt w:val="lowerLetter"/>
      <w:start w:val="2"/>
    </w:lvl>
    <w:lvl w:ilvl="1">
      <w:lvlJc w:val="left"/>
      <w:lvlText w:val="%2."/>
      <w:numFmt w:val="decimal"/>
      <w:start w:val="3"/>
    </w:lvl>
    <w:lvl w:ilvl="2">
      <w:lvlJc w:val="left"/>
      <w:lvlText w:val="%3"/>
      <w:numFmt w:val="upperLetter"/>
      <w:start w:val="1"/>
    </w:lvl>
    <w:lvl w:ilvl="3">
      <w:lvlJc w:val="left"/>
      <w:lvlText w:val="(%4)"/>
      <w:numFmt w:val="lowerLetter"/>
      <w:start w:val="1"/>
    </w:lvl>
    <w:lvl w:ilvl="4">
      <w:lvlJc w:val="left"/>
      <w:lvlText w:val="%5"/>
      <w:numFmt w:val="decimal"/>
      <w:start w:val="1"/>
    </w:lvl>
  </w:abstractNum>
  <w:abstractNum w:abstractNumId="97">
    <w:nsid w:val="29934699"/>
    <w:multiLevelType w:val="hybridMultilevel"/>
    <w:lvl w:ilvl="0">
      <w:lvlJc w:val="left"/>
      <w:lvlText w:val="(%1)"/>
      <w:numFmt w:val="lowerRoman"/>
      <w:start w:val="1"/>
    </w:lvl>
    <w:lvl w:ilvl="1">
      <w:lvlJc w:val="left"/>
      <w:lvlText w:val="(%2)"/>
      <w:numFmt w:val="lowerLetter"/>
      <w:start w:val="2"/>
    </w:lvl>
  </w:abstractNum>
  <w:abstractNum w:abstractNumId="98">
    <w:nsid w:val="7748585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99">
    <w:nsid w:val="744939A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0">
    <w:nsid w:val="4FA0D2E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01">
    <w:nsid w:val="6B1D2C1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6"/>
    </w:lvl>
  </w:abstractNum>
  <w:abstractNum w:abstractNumId="102">
    <w:nsid w:val="68B867D3"/>
    <w:multiLevelType w:val="hybridMultilevel"/>
    <w:lvl w:ilvl="0">
      <w:lvlJc w:val="left"/>
      <w:lvlText w:val="%1."/>
      <w:numFmt w:val="decimal"/>
      <w:start w:val="4"/>
    </w:lvl>
    <w:lvl w:ilvl="1">
      <w:lvlJc w:val="left"/>
      <w:lvlText w:val="%2."/>
      <w:numFmt w:val="decimal"/>
      <w:start w:val="5"/>
    </w:lvl>
    <w:lvl w:ilvl="2">
      <w:lvlJc w:val="left"/>
      <w:lvlText w:val="%3."/>
      <w:numFmt w:val="decimal"/>
      <w:start w:val="6"/>
    </w:lvl>
    <w:lvl w:ilvl="3">
      <w:lvlJc w:val="left"/>
      <w:lvlText w:val="%4"/>
      <w:numFmt w:val="lowerLetter"/>
      <w:start w:val="1"/>
    </w:lvl>
  </w:abstractNum>
  <w:abstractNum w:abstractNumId="103">
    <w:nsid w:val="3F7F5DD9"/>
    <w:multiLevelType w:val="hybridMultilevel"/>
    <w:lvl w:ilvl="0">
      <w:lvlJc w:val="left"/>
      <w:lvlText w:val="%1"/>
      <w:numFmt w:val="decimal"/>
      <w:start w:val="1"/>
    </w:lvl>
    <w:lvl w:ilvl="1">
      <w:lvlJc w:val="left"/>
      <w:lvlText w:val="%2."/>
      <w:numFmt w:val="decimal"/>
      <w:start w:val="7"/>
    </w:lvl>
    <w:lvl w:ilvl="2">
      <w:lvlJc w:val="left"/>
      <w:lvlText w:val="%3"/>
      <w:numFmt w:val="decimal"/>
      <w:start w:val="1"/>
    </w:lvl>
  </w:abstractNum>
  <w:abstractNum w:abstractNumId="104">
    <w:nsid w:val="2AE05A34"/>
    <w:multiLevelType w:val="hybridMultilevel"/>
    <w:lvl w:ilvl="0">
      <w:lvlJc w:val="left"/>
      <w:lvlText w:val="%1."/>
      <w:numFmt w:val="decimal"/>
      <w:start w:val="8"/>
    </w:lvl>
    <w:lvl w:ilvl="1">
      <w:lvlJc w:val="left"/>
      <w:lvlText w:val="%2"/>
      <w:numFmt w:val="decimal"/>
      <w:start w:val="1"/>
    </w:lvl>
    <w:lvl w:ilvl="2">
      <w:lvlJc w:val="left"/>
      <w:lvlText w:val="%3."/>
      <w:numFmt w:val="decimal"/>
      <w:start w:val="9"/>
    </w:lvl>
  </w:abstractNum>
  <w:abstractNum w:abstractNumId="105">
    <w:nsid w:val="32794FF7"/>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06">
    <w:nsid w:val="5454945E"/>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107">
    <w:nsid w:val="4DEFDFA0"/>
    <w:multiLevelType w:val="hybridMultilevel"/>
    <w:lvl w:ilvl="0">
      <w:lvlJc w:val="left"/>
      <w:lvlText w:val="(%1)"/>
      <w:numFmt w:val="lowerLetter"/>
      <w:start w:val="5"/>
    </w:lvl>
    <w:lvl w:ilvl="1">
      <w:lvlJc w:val="left"/>
      <w:lvlText w:val="(%2)"/>
      <w:numFmt w:val="lowerLetter"/>
      <w:start w:val="6"/>
    </w:lvl>
  </w:abstractNum>
  <w:abstractNum w:abstractNumId="108">
    <w:nsid w:val="2123D5F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7"/>
    </w:lvl>
    <w:lvl w:ilvl="5">
      <w:lvlJc w:val="left"/>
      <w:lvlText w:val="%6"/>
      <w:numFmt w:val="lowerLetter"/>
      <w:start w:val="1"/>
    </w:lvl>
  </w:abstractNum>
  <w:abstractNum w:abstractNumId="109">
    <w:nsid w:val="135B811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8"/>
    </w:lvl>
    <w:lvl w:ilvl="4">
      <w:lvlJc w:val="left"/>
      <w:lvlText w:val="%5"/>
      <w:numFmt w:val="lowerLetter"/>
      <w:start w:val="1"/>
    </w:lvl>
    <w:lvl w:ilvl="5">
      <w:lvlJc w:val="left"/>
      <w:lvlText w:val="%6"/>
      <w:numFmt w:val="lowerLetter"/>
      <w:start w:val="1"/>
    </w:lvl>
  </w:abstractNum>
  <w:abstractNum w:abstractNumId="110">
    <w:nsid w:val="94927A8"/>
    <w:multiLevelType w:val="hybridMultilevel"/>
    <w:lvl w:ilvl="0">
      <w:lvlJc w:val="left"/>
      <w:lvlText w:val="%1"/>
      <w:numFmt w:val="decimal"/>
      <w:start w:val="1"/>
    </w:lvl>
    <w:lvl w:ilvl="1">
      <w:lvlJc w:val="left"/>
      <w:lvlText w:val="%2."/>
      <w:numFmt w:val="decimal"/>
      <w:start w:val="12"/>
    </w:lvl>
    <w:lvl w:ilvl="2">
      <w:lvlJc w:val="left"/>
      <w:lvlText w:val="%3."/>
      <w:numFmt w:val="decimal"/>
      <w:start w:val="13"/>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11">
    <w:nsid w:val="DCDF8F6"/>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12">
    <w:nsid w:val="52D7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13">
    <w:nsid w:val="2E8A6394"/>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lvl w:ilvl="3">
      <w:lvlJc w:val="left"/>
      <w:lvlText w:val="%4"/>
      <w:numFmt w:val="lowerLetter"/>
      <w:start w:val="1"/>
    </w:lvl>
  </w:abstractNum>
  <w:abstractNum w:abstractNumId="114">
    <w:nsid w:val="24E60401"/>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5">
    <w:nsid w:val="2A6AD9B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16">
    <w:nsid w:val="BAAC1B4"/>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9"/>
    </w:lvl>
  </w:abstractNum>
  <w:abstractNum w:abstractNumId="117">
    <w:nsid w:val="36B2ACBC"/>
    <w:multiLevelType w:val="hybridMultilevel"/>
    <w:lvl w:ilvl="0">
      <w:lvlJc w:val="left"/>
      <w:lvlText w:val="(%1)"/>
      <w:numFmt w:val="lowerLetter"/>
      <w:start w:val="1"/>
    </w:lvl>
  </w:abstractNum>
  <w:abstractNum w:abstractNumId="118">
    <w:nsid w:val="779D8544"/>
    <w:multiLevelType w:val="hybridMultilevel"/>
    <w:lvl w:ilvl="0">
      <w:lvlJc w:val="left"/>
      <w:lvlText w:val="(%1)"/>
      <w:numFmt w:val="lowerLetter"/>
      <w:start w:val="3"/>
    </w:lvl>
  </w:abstractNum>
  <w:abstractNum w:abstractNumId="119">
    <w:nsid w:val="4AB26E78"/>
    <w:multiLevelType w:val="hybridMultilevel"/>
    <w:lvl w:ilvl="0">
      <w:lvlJc w:val="left"/>
      <w:lvlText w:val="(%1)"/>
      <w:numFmt w:val="lowerLetter"/>
      <w:start w:val="1"/>
    </w:lvl>
  </w:abstractNum>
  <w:abstractNum w:abstractNumId="120">
    <w:nsid w:val="21FAA2FA"/>
    <w:multiLevelType w:val="hybridMultilevel"/>
    <w:lvl w:ilvl="0">
      <w:lvlJc w:val="left"/>
      <w:lvlText w:val="(%1)"/>
      <w:numFmt w:val="lowerLetter"/>
      <w:start w:val="1"/>
    </w:lvl>
  </w:abstractNum>
  <w:abstractNum w:abstractNumId="121">
    <w:nsid w:val="5451CF49"/>
    <w:multiLevelType w:val="hybridMultilevel"/>
    <w:lvl w:ilvl="0">
      <w:lvlJc w:val="left"/>
      <w:lvlText w:val="(%1)"/>
      <w:numFmt w:val="lowerLetter"/>
      <w:start w:val="1"/>
    </w:lvl>
  </w:abstractNum>
  <w:abstractNum w:abstractNumId="122">
    <w:nsid w:val="6181EF69"/>
    <w:multiLevelType w:val="hybridMultilevel"/>
    <w:lvl w:ilvl="0">
      <w:lvlJc w:val="left"/>
      <w:lvlText w:val="(%1)"/>
      <w:numFmt w:val="lowerLetter"/>
      <w:start w:val="9"/>
    </w:lvl>
    <w:lvl w:ilvl="1">
      <w:lvlJc w:val="left"/>
      <w:lvlText w:val="(%2)"/>
      <w:numFmt w:val="lowerLetter"/>
      <w:start w:val="3"/>
    </w:lvl>
  </w:abstractNum>
  <w:abstractNum w:abstractNumId="123">
    <w:nsid w:val="3E6400E6"/>
    <w:multiLevelType w:val="hybridMultilevel"/>
    <w:lvl w:ilvl="0">
      <w:lvlJc w:val="left"/>
      <w:lvlText w:val="(%1)"/>
      <w:numFmt w:val="lowerLetter"/>
      <w:start w:val="4"/>
    </w:lvl>
    <w:lvl w:ilvl="1">
      <w:lvlJc w:val="left"/>
      <w:lvlText w:val="(%2)"/>
      <w:numFmt w:val="lowerRoman"/>
      <w:start w:val="1"/>
    </w:lvl>
  </w:abstractNum>
  <w:abstractNum w:abstractNumId="124">
    <w:nsid w:val="14217E23"/>
    <w:multiLevelType w:val="hybridMultilevel"/>
    <w:lvl w:ilvl="0">
      <w:lvlJc w:val="left"/>
      <w:lvlText w:val="%1."/>
      <w:numFmt w:val="decimal"/>
      <w:start w:val="1"/>
    </w:lvl>
  </w:abstractNum>
  <w:abstractNum w:abstractNumId="125">
    <w:nsid w:val="710757D0"/>
    <w:multiLevelType w:val="hybridMultilevel"/>
    <w:lvl w:ilvl="0">
      <w:lvlJc w:val="left"/>
      <w:lvlText w:val="(%1)"/>
      <w:numFmt w:val="lowerLetter"/>
      <w:start w:val="1"/>
    </w:lvl>
  </w:abstractNum>
  <w:abstractNum w:abstractNumId="126">
    <w:nsid w:val="5015CD1A"/>
    <w:multiLevelType w:val="hybridMultilevel"/>
    <w:lvl w:ilvl="0">
      <w:lvlJc w:val="left"/>
      <w:lvlText w:val="(%1)"/>
      <w:numFmt w:val="lowerLetter"/>
      <w:start w:val="3"/>
    </w:lvl>
    <w:lvl w:ilvl="1">
      <w:lvlJc w:val="left"/>
      <w:lvlText w:val="(%2)"/>
      <w:numFmt w:val="lowerRoman"/>
      <w:start w:val="1"/>
    </w:lvl>
  </w:abstractNum>
  <w:abstractNum w:abstractNumId="127">
    <w:nsid w:val="424479DA"/>
    <w:multiLevelType w:val="hybridMultilevel"/>
    <w:lvl w:ilvl="0">
      <w:lvlJc w:val="left"/>
      <w:lvlText w:val="(%1)"/>
      <w:numFmt w:val="lowerLetter"/>
      <w:start w:val="4"/>
    </w:lvl>
    <w:lvl w:ilvl="1">
      <w:lvlJc w:val="left"/>
      <w:lvlText w:val="(%2)"/>
      <w:numFmt w:val="lowerRoman"/>
      <w:start w:val="1"/>
    </w:lvl>
  </w:abstractNum>
  <w:abstractNum w:abstractNumId="128">
    <w:nsid w:val="1A9A9E69"/>
    <w:multiLevelType w:val="hybridMultilevel"/>
    <w:lvl w:ilvl="0">
      <w:lvlJc w:val="left"/>
      <w:lvlText w:val="(%1)"/>
      <w:numFmt w:val="lowerRoman"/>
      <w:start w:val="3"/>
    </w:lvl>
  </w:abstractNum>
  <w:abstractNum w:abstractNumId="129">
    <w:nsid w:val="475E256A"/>
    <w:multiLevelType w:val="hybridMultilevel"/>
    <w:lvl w:ilvl="0">
      <w:lvlJc w:val="left"/>
      <w:lvlText w:val="(%1)"/>
      <w:numFmt w:val="lowerLetter"/>
      <w:start w:val="5"/>
    </w:lvl>
    <w:lvl w:ilvl="1">
      <w:lvlJc w:val="left"/>
      <w:lvlText w:val="(%2)"/>
      <w:numFmt w:val="lowerRoman"/>
      <w:start w:val="1"/>
    </w:lvl>
  </w:abstractNum>
  <w:abstractNum w:abstractNumId="130">
    <w:nsid w:val="368DB37E"/>
    <w:multiLevelType w:val="hybridMultilevel"/>
    <w:lvl w:ilvl="0">
      <w:lvlJc w:val="left"/>
      <w:lvlText w:val="(%1)"/>
      <w:numFmt w:val="lowerLetter"/>
      <w:start w:val="10"/>
    </w:lvl>
    <w:lvl w:ilvl="1">
      <w:lvlJc w:val="left"/>
      <w:lvlText w:val="(%2)"/>
      <w:numFmt w:val="lowerRoman"/>
      <w:start w:val="1"/>
    </w:lvl>
  </w:abstractNum>
  <w:abstractNum w:abstractNumId="131">
    <w:nsid w:val="6A3B714C"/>
    <w:multiLevelType w:val="hybridMultilevel"/>
    <w:lvl w:ilvl="0">
      <w:lvlJc w:val="left"/>
      <w:lvlText w:val="%1."/>
      <w:numFmt w:val="decimal"/>
      <w:start w:val="2"/>
    </w:lvl>
  </w:abstractNum>
  <w:abstractNum w:abstractNumId="132">
    <w:nsid w:val="327B517E"/>
    <w:multiLevelType w:val="hybridMultilevel"/>
    <w:lvl w:ilvl="0">
      <w:lvlJc w:val="left"/>
      <w:lvlText w:val="%1."/>
      <w:numFmt w:val="decimal"/>
      <w:start w:val="3"/>
    </w:lvl>
  </w:abstractNum>
  <w:abstractNum w:abstractNumId="133">
    <w:nsid w:val="1F461B51"/>
    <w:multiLevelType w:val="hybridMultilevel"/>
    <w:lvl w:ilvl="0">
      <w:lvlJc w:val="left"/>
      <w:lvlText w:val="(%1)"/>
      <w:numFmt w:val="lowerLetter"/>
      <w:start w:val="1"/>
    </w:lvl>
  </w:abstractNum>
  <w:abstractNum w:abstractNumId="134">
    <w:nsid w:val="29BACF25"/>
    <w:multiLevelType w:val="hybridMultilevel"/>
    <w:lvl w:ilvl="0">
      <w:lvlJc w:val="left"/>
      <w:lvlText w:val="(%1)"/>
      <w:numFmt w:val="lowerLetter"/>
      <w:start w:val="6"/>
    </w:lvl>
  </w:abstractNum>
  <w:abstractNum w:abstractNumId="135">
    <w:nsid w:val="5D5BABB3"/>
    <w:multiLevelType w:val="hybridMultilevel"/>
    <w:lvl w:ilvl="0">
      <w:lvlJc w:val="left"/>
      <w:lvlText w:val="%1."/>
      <w:numFmt w:val="decimal"/>
      <w:start w:val="4"/>
    </w:lvl>
  </w:abstractNum>
  <w:abstractNum w:abstractNumId="136">
    <w:nsid w:val="51BF6B48"/>
    <w:multiLevelType w:val="hybridMultilevel"/>
    <w:lvl w:ilvl="0">
      <w:lvlJc w:val="left"/>
      <w:lvlText w:val="(%1)"/>
      <w:numFmt w:val="lowerLetter"/>
      <w:start w:val="1"/>
    </w:lvl>
  </w:abstractNum>
  <w:abstractNum w:abstractNumId="137">
    <w:nsid w:val="7E0F6384"/>
    <w:multiLevelType w:val="hybridMultilevel"/>
    <w:lvl w:ilvl="0">
      <w:lvlJc w:val="left"/>
      <w:lvlText w:val="(%1)"/>
      <w:numFmt w:val="lowerLetter"/>
      <w:start w:val="3"/>
    </w:lvl>
  </w:abstractNum>
  <w:abstractNum w:abstractNumId="138">
    <w:nsid w:val="2B4B8B53"/>
    <w:multiLevelType w:val="hybridMultilevel"/>
    <w:lvl w:ilvl="0">
      <w:lvlJc w:val="left"/>
      <w:lvlText w:val="%1."/>
      <w:numFmt w:val="decimal"/>
      <w:start w:val="5"/>
    </w:lvl>
  </w:abstractNum>
  <w:abstractNum w:abstractNumId="139">
    <w:nsid w:val="72E3413A"/>
    <w:multiLevelType w:val="hybridMultilevel"/>
    <w:lvl w:ilvl="0">
      <w:lvlJc w:val="left"/>
      <w:lvlText w:val="%1."/>
      <w:numFmt w:val="decimal"/>
      <w:start w:val="6"/>
    </w:lvl>
  </w:abstractNum>
  <w:abstractNum w:abstractNumId="140">
    <w:nsid w:val="116AE494"/>
    <w:multiLevelType w:val="hybridMultilevel"/>
    <w:lvl w:ilvl="0">
      <w:lvlJc w:val="left"/>
      <w:lvlText w:val="%1."/>
      <w:numFmt w:val="decimal"/>
      <w:start w:val="9"/>
    </w:lvl>
  </w:abstractNum>
  <w:abstractNum w:abstractNumId="141">
    <w:nsid w:val="3494B2FB"/>
    <w:multiLevelType w:val="hybridMultilevel"/>
    <w:lvl w:ilvl="0">
      <w:lvlJc w:val="left"/>
      <w:lvlText w:val="(%1)"/>
      <w:numFmt w:val="lowerLetter"/>
      <w:start w:val="1"/>
    </w:lvl>
  </w:abstractNum>
  <w:abstractNum w:abstractNumId="142">
    <w:nsid w:val="B13A31"/>
    <w:multiLevelType w:val="hybridMultilevel"/>
    <w:lvl w:ilvl="0">
      <w:lvlJc w:val="left"/>
      <w:lvlText w:val="%1."/>
      <w:numFmt w:val="decimal"/>
      <w:start w:val="10"/>
    </w:lvl>
  </w:abstractNum>
  <w:abstractNum w:abstractNumId="143">
    <w:nsid w:val="64429599"/>
    <w:multiLevelType w:val="hybridMultilevel"/>
    <w:lvl w:ilvl="0">
      <w:lvlJc w:val="left"/>
      <w:lvlText w:val="(%1)"/>
      <w:numFmt w:val="lowerLetter"/>
      <w:start w:val="1"/>
    </w:lvl>
  </w:abstractNum>
  <w:abstractNum w:abstractNumId="144">
    <w:nsid w:val="631F1690"/>
    <w:multiLevelType w:val="hybridMultilevel"/>
    <w:lvl w:ilvl="0">
      <w:lvlJc w:val="left"/>
      <w:lvlText w:val="(%1)"/>
      <w:numFmt w:val="lowerLetter"/>
      <w:start w:val="2"/>
    </w:lvl>
  </w:abstractNum>
  <w:abstractNum w:abstractNumId="145">
    <w:nsid w:val="25973E32"/>
    <w:multiLevelType w:val="hybridMultilevel"/>
    <w:lvl w:ilvl="0">
      <w:lvlJc w:val="left"/>
      <w:lvlText w:val="(%1)"/>
      <w:numFmt w:val="lowerLetter"/>
      <w:start w:val="5"/>
    </w:lvl>
  </w:abstractNum>
  <w:abstractNum w:abstractNumId="146">
    <w:nsid w:val="EAD6F57"/>
    <w:multiLevelType w:val="hybridMultilevel"/>
    <w:lvl w:ilvl="0">
      <w:lvlJc w:val="left"/>
      <w:lvlText w:val="%1."/>
      <w:numFmt w:val="decimal"/>
      <w:start w:val="11"/>
    </w:lvl>
  </w:abstractNum>
  <w:abstractNum w:abstractNumId="147">
    <w:nsid w:val="6EC9D844"/>
    <w:multiLevelType w:val="hybridMultilevel"/>
    <w:lvl w:ilvl="0">
      <w:lvlJc w:val="left"/>
      <w:lvlText w:val="(%1)"/>
      <w:numFmt w:val="lowerLetter"/>
      <w:start w:val="1"/>
    </w:lvl>
    <w:lvl w:ilvl="1">
      <w:lvlJc w:val="left"/>
      <w:lvlText w:val="(%2)"/>
      <w:numFmt w:val="lowerRoman"/>
      <w:start w:val="1"/>
    </w:lvl>
  </w:abstractNum>
  <w:abstractNum w:abstractNumId="148">
    <w:nsid w:val="5C49EAEE"/>
    <w:multiLevelType w:val="hybridMultilevel"/>
    <w:lvl w:ilvl="0">
      <w:lvlJc w:val="left"/>
      <w:lvlText w:val="%1"/>
      <w:numFmt w:val="lowerLetter"/>
      <w:start w:val="1"/>
    </w:lvl>
    <w:lvl w:ilvl="1">
      <w:lvlJc w:val="left"/>
      <w:lvlText w:val="(%2)"/>
      <w:numFmt w:val="lowerRoman"/>
      <w:start w:val="3"/>
    </w:lvl>
  </w:abstractNum>
  <w:abstractNum w:abstractNumId="149">
    <w:nsid w:val="64AF49B"/>
    <w:multiLevelType w:val="hybridMultilevel"/>
    <w:lvl w:ilvl="0">
      <w:lvlJc w:val="left"/>
      <w:lvlText w:val="(%1)"/>
      <w:numFmt w:val="lowerLetter"/>
      <w:start w:val="4"/>
    </w:lvl>
    <w:lvl w:ilvl="1">
      <w:lvlJc w:val="left"/>
      <w:lvlText w:val="%2"/>
      <w:numFmt w:val="lowerRoman"/>
      <w:start w:val="1"/>
    </w:lvl>
  </w:abstractNum>
  <w:abstractNum w:abstractNumId="150">
    <w:nsid w:val="397C46BC"/>
    <w:multiLevelType w:val="hybridMultilevel"/>
    <w:lvl w:ilvl="0">
      <w:lvlJc w:val="left"/>
      <w:lvlText w:val="(%1)"/>
      <w:numFmt w:val="lowerLetter"/>
      <w:start w:val="6"/>
    </w:lvl>
  </w:abstractNum>
  <w:abstractNum w:abstractNumId="151">
    <w:nsid w:val="7E448DE9"/>
    <w:multiLevelType w:val="hybridMultilevel"/>
    <w:lvl w:ilvl="0">
      <w:lvlJc w:val="left"/>
      <w:lvlText w:val="(%1)"/>
      <w:numFmt w:val="lowerLetter"/>
      <w:start w:val="7"/>
    </w:lvl>
  </w:abstractNum>
  <w:abstractNum w:abstractNumId="152">
    <w:nsid w:val="5A9CC3E5"/>
    <w:multiLevelType w:val="hybridMultilevel"/>
    <w:lvl w:ilvl="0">
      <w:lvlJc w:val="left"/>
      <w:lvlText w:val="(%1)"/>
      <w:numFmt w:val="lowerLetter"/>
      <w:start w:val="12"/>
    </w:lvl>
  </w:abstractNum>
  <w:abstractNum w:abstractNumId="153">
    <w:nsid w:val="1AFE3625"/>
    <w:multiLevelType w:val="hybridMultilevel"/>
    <w:lvl w:ilvl="0">
      <w:lvlJc w:val="left"/>
      <w:lvlText w:val="(%1)"/>
      <w:numFmt w:val="lowerLetter"/>
      <w:start w:val="1"/>
    </w:lvl>
  </w:abstractNum>
  <w:abstractNum w:abstractNumId="154">
    <w:nsid w:val="3CA88ECF"/>
    <w:multiLevelType w:val="hybridMultilevel"/>
    <w:lvl w:ilvl="0">
      <w:lvlJc w:val="left"/>
      <w:lvlText w:val="(%1)"/>
      <w:numFmt w:val="lowerLetter"/>
      <w:start w:val="1"/>
    </w:lvl>
  </w:abstractNum>
  <w:abstractNum w:abstractNumId="155">
    <w:nsid w:val="6EBE4208"/>
    <w:multiLevelType w:val="hybridMultilevel"/>
    <w:lvl w:ilvl="0">
      <w:lvlJc w:val="left"/>
      <w:lvlText w:val="(%1)"/>
      <w:numFmt w:val="lowerLetter"/>
      <w:start w:val="1"/>
    </w:lvl>
  </w:abstractNum>
  <w:abstractNum w:abstractNumId="156">
    <w:nsid w:val="C058DF5"/>
    <w:multiLevelType w:val="hybridMultilevel"/>
    <w:lvl w:ilvl="0">
      <w:lvlJc w:val="left"/>
      <w:lvlText w:val="(%1)"/>
      <w:numFmt w:val="lowerLetter"/>
      <w:start w:val="4"/>
    </w:lvl>
  </w:abstractNum>
  <w:abstractNum w:abstractNumId="157">
    <w:nsid w:val="CBE5BE9"/>
    <w:multiLevelType w:val="hybridMultilevel"/>
    <w:lvl w:ilvl="0">
      <w:lvlJc w:val="left"/>
      <w:lvlText w:val="(%1)"/>
      <w:numFmt w:val="lowerLetter"/>
      <w:start w:val="1"/>
    </w:lvl>
    <w:lvl w:ilvl="1">
      <w:lvlJc w:val="left"/>
      <w:lvlText w:val="(%2)"/>
      <w:numFmt w:val="lowerLetter"/>
      <w:start w:val="2"/>
    </w:lvl>
  </w:abstractNum>
  <w:abstractNum w:abstractNumId="158">
    <w:nsid w:val="3102BBE2"/>
    <w:multiLevelType w:val="hybridMultilevel"/>
    <w:lvl w:ilvl="0">
      <w:lvlJc w:val="left"/>
      <w:lvlText w:val="(%1)"/>
      <w:numFmt w:val="lowerLetter"/>
      <w:start w:val="3"/>
    </w:lvl>
  </w:abstractNum>
  <w:abstractNum w:abstractNumId="159">
    <w:nsid w:val="26A02C5E"/>
    <w:multiLevelType w:val="hybridMultilevel"/>
    <w:lvl w:ilvl="0">
      <w:lvlJc w:val="left"/>
      <w:lvlText w:val="(%1)"/>
      <w:numFmt w:val="lowerLetter"/>
      <w:start w:val="4"/>
    </w:lvl>
  </w:abstractNum>
  <w:abstractNum w:abstractNumId="160">
    <w:nsid w:val="541C8153"/>
    <w:multiLevelType w:val="hybridMultilevel"/>
    <w:lvl w:ilvl="0">
      <w:lvlJc w:val="left"/>
      <w:lvlText w:val="(%1)"/>
      <w:numFmt w:val="lowerLetter"/>
      <w:start w:val="1"/>
    </w:lvl>
  </w:abstractNum>
  <w:abstractNum w:abstractNumId="161">
    <w:nsid w:val="67906F60"/>
    <w:multiLevelType w:val="hybridMultilevel"/>
    <w:lvl w:ilvl="0">
      <w:lvlJc w:val="left"/>
      <w:lvlText w:val="(%1)"/>
      <w:numFmt w:val="lowerLetter"/>
      <w:start w:val="2"/>
    </w:lvl>
  </w:abstractNum>
  <w:abstractNum w:abstractNumId="162">
    <w:nsid w:val="10DB9DAA"/>
    <w:multiLevelType w:val="hybridMultilevel"/>
    <w:lvl w:ilvl="0">
      <w:lvlJc w:val="left"/>
      <w:lvlText w:val="(%1)"/>
      <w:numFmt w:val="lowerLetter"/>
      <w:start w:val="7"/>
    </w:lvl>
  </w:abstractNum>
  <w:abstractNum w:abstractNumId="163">
    <w:nsid w:val="697D2D2"/>
    <w:multiLevelType w:val="hybridMultilevel"/>
    <w:lvl w:ilvl="0">
      <w:lvlJc w:val="left"/>
      <w:lvlText w:val="(%1)"/>
      <w:numFmt w:val="lowerLetter"/>
      <w:start w:val="1"/>
    </w:lvl>
  </w:abstractNum>
  <w:abstractNum w:abstractNumId="164">
    <w:nsid w:val="6D68AB2"/>
    <w:multiLevelType w:val="hybridMultilevel"/>
    <w:lvl w:ilvl="0">
      <w:lvlJc w:val="left"/>
      <w:lvlText w:val="(%1)"/>
      <w:numFmt w:val="lowerLetter"/>
      <w:start w:val="2"/>
    </w:lvl>
  </w:abstractNum>
  <w:abstractNum w:abstractNumId="165">
    <w:nsid w:val="3A966CD0"/>
    <w:multiLevelType w:val="hybridMultilevel"/>
    <w:lvl w:ilvl="0">
      <w:lvlJc w:val="left"/>
      <w:lvlText w:val="(%1)"/>
      <w:numFmt w:val="lowerLetter"/>
      <w:start w:val="1"/>
    </w:lvl>
  </w:abstractNum>
  <w:abstractNum w:abstractNumId="166">
    <w:nsid w:val="63F37E85"/>
    <w:multiLevelType w:val="hybridMultilevel"/>
    <w:lvl w:ilvl="0">
      <w:lvlJc w:val="left"/>
      <w:lvlText w:val="(%1)"/>
      <w:numFmt w:val="lowerLetter"/>
      <w:start w:val="1"/>
    </w:lvl>
  </w:abstractNum>
  <w:abstractNum w:abstractNumId="167">
    <w:nsid w:val="5895F5FA"/>
    <w:multiLevelType w:val="hybridMultilevel"/>
    <w:lvl w:ilvl="0">
      <w:lvlJc w:val="left"/>
      <w:lvlText w:val="(%1)"/>
      <w:numFmt w:val="lowerRoman"/>
      <w:start w:val="1"/>
    </w:lvl>
  </w:abstractNum>
  <w:abstractNum w:abstractNumId="168">
    <w:nsid w:val="38A5D054"/>
    <w:multiLevelType w:val="hybridMultilevel"/>
    <w:lvl w:ilvl="0">
      <w:lvlJc w:val="left"/>
      <w:lvlText w:val="(%1)"/>
      <w:numFmt w:val="lowerRoman"/>
      <w:start w:val="3"/>
    </w:lvl>
  </w:abstractNum>
  <w:abstractNum w:abstractNumId="169">
    <w:nsid w:val="F3F09D8"/>
    <w:multiLevelType w:val="hybridMultilevel"/>
    <w:lvl w:ilvl="0">
      <w:lvlJc w:val="left"/>
      <w:lvlText w:val="(%1)"/>
      <w:numFmt w:val="lowerLetter"/>
      <w:start w:val="4"/>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1"/>
      <w:numFmt w:val="lowerLetter"/>
      <w:start w:val="1"/>
    </w:lvl>
    <w:lvl w:ilvl="1">
      <w:lvlJc w:val="left"/>
      <w:lvlText w:val="(%2)"/>
      <w:numFmt w:val="lowerLetter"/>
      <w:start w:val="2"/>
    </w:lvl>
  </w:abstractNum>
  <w:abstractNum w:abstractNumId="172">
    <w:nsid w:val="43D3BCD4"/>
    <w:multiLevelType w:val="hybridMultilevel"/>
    <w:lvl w:ilvl="0">
      <w:lvlJc w:val="left"/>
      <w:lvlText w:val="(%1)"/>
      <w:numFmt w:val="lowerLetter"/>
      <w:start w:val="61"/>
    </w:lvl>
    <w:lvl w:ilvl="1">
      <w:lvlJc w:val="left"/>
      <w:lvlText w:val="%2"/>
      <w:numFmt w:val="lowerLetter"/>
      <w:start w:val="1"/>
    </w:lvl>
  </w:abstractNum>
  <w:abstractNum w:abstractNumId="173">
    <w:nsid w:val="4C2A7166"/>
    <w:multiLevelType w:val="hybridMultilevel"/>
    <w:lvl w:ilvl="0">
      <w:lvlJc w:val="left"/>
      <w:lvlText w:val="%1."/>
      <w:numFmt w:val="decimal"/>
      <w:start w:val="1"/>
    </w:lvl>
  </w:abstractNum>
  <w:abstractNum w:abstractNumId="174">
    <w:nsid w:val="2E534A82"/>
    <w:multiLevelType w:val="hybridMultilevel"/>
    <w:lvl w:ilvl="0">
      <w:lvlJc w:val="left"/>
      <w:lvlText w:val="(%1)"/>
      <w:numFmt w:val="lowerLetter"/>
      <w:start w:val="1"/>
    </w:lvl>
  </w:abstractNum>
  <w:abstractNum w:abstractNumId="175">
    <w:nsid w:val="26F2D364"/>
    <w:multiLevelType w:val="hybridMultilevel"/>
    <w:lvl w:ilvl="0">
      <w:lvlJc w:val="left"/>
      <w:lvlText w:val="(%1)"/>
      <w:numFmt w:val="lowerLetter"/>
      <w:start w:val="3"/>
    </w:lvl>
    <w:lvl w:ilvl="1">
      <w:lvlJc w:val="left"/>
      <w:lvlText w:val="(%2)"/>
      <w:numFmt w:val="lowerRoman"/>
      <w:start w:val="1"/>
    </w:lvl>
  </w:abstractNum>
  <w:abstractNum w:abstractNumId="176">
    <w:nsid w:val="71C1AF98"/>
    <w:multiLevelType w:val="hybridMultilevel"/>
    <w:lvl w:ilvl="0">
      <w:lvlJc w:val="left"/>
      <w:lvlText w:val="(%1)"/>
      <w:numFmt w:val="lowerLetter"/>
      <w:start w:val="4"/>
    </w:lvl>
    <w:lvl w:ilvl="1">
      <w:lvlJc w:val="left"/>
      <w:lvlText w:val="(%2)"/>
      <w:numFmt w:val="lowerRoman"/>
      <w:start w:val="1"/>
    </w:lvl>
  </w:abstractNum>
  <w:abstractNum w:abstractNumId="177">
    <w:nsid w:val="3D00B9D9"/>
    <w:multiLevelType w:val="hybridMultilevel"/>
    <w:lvl w:ilvl="0">
      <w:lvlJc w:val="left"/>
      <w:lvlText w:val="(%1)"/>
      <w:numFmt w:val="lowerRoman"/>
      <w:start w:val="3"/>
    </w:lvl>
  </w:abstractNum>
  <w:abstractNum w:abstractNumId="178">
    <w:nsid w:val="15BCABA8"/>
    <w:multiLevelType w:val="hybridMultilevel"/>
    <w:lvl w:ilvl="0">
      <w:lvlJc w:val="left"/>
      <w:lvlText w:val="(%1)"/>
      <w:numFmt w:val="lowerLetter"/>
      <w:start w:val="5"/>
    </w:lvl>
    <w:lvl w:ilvl="1">
      <w:lvlJc w:val="left"/>
      <w:lvlText w:val="(%2)"/>
      <w:numFmt w:val="lowerRoman"/>
      <w:start w:val="1"/>
    </w:lvl>
  </w:abstractNum>
  <w:abstractNum w:abstractNumId="179">
    <w:nsid w:val="4E0B9A87"/>
    <w:multiLevelType w:val="hybridMultilevel"/>
    <w:lvl w:ilvl="0">
      <w:lvlJc w:val="left"/>
      <w:lvlText w:val="(%1)"/>
      <w:numFmt w:val="lowerLetter"/>
      <w:start w:val="10"/>
    </w:lvl>
    <w:lvl w:ilvl="1">
      <w:lvlJc w:val="left"/>
      <w:lvlText w:val="(%2)"/>
      <w:numFmt w:val="lowerRoman"/>
      <w:start w:val="1"/>
    </w:lvl>
  </w:abstractNum>
  <w:abstractNum w:abstractNumId="180">
    <w:nsid w:val="434BAE75"/>
    <w:multiLevelType w:val="hybridMultilevel"/>
    <w:lvl w:ilvl="0">
      <w:lvlJc w:val="left"/>
      <w:lvlText w:val="%1."/>
      <w:numFmt w:val="decimal"/>
      <w:start w:val="2"/>
    </w:lvl>
  </w:abstractNum>
  <w:abstractNum w:abstractNumId="181">
    <w:nsid w:val="4F38F265"/>
    <w:multiLevelType w:val="hybridMultilevel"/>
    <w:lvl w:ilvl="0">
      <w:lvlJc w:val="left"/>
      <w:lvlText w:val="%1."/>
      <w:numFmt w:val="decimal"/>
      <w:start w:val="3"/>
    </w:lvl>
  </w:abstractNum>
  <w:abstractNum w:abstractNumId="182">
    <w:nsid w:val="4C502870"/>
    <w:multiLevelType w:val="hybridMultilevel"/>
    <w:lvl w:ilvl="0">
      <w:lvlJc w:val="left"/>
      <w:lvlText w:val="(%1)"/>
      <w:numFmt w:val="lowerLetter"/>
      <w:start w:val="1"/>
    </w:lvl>
  </w:abstractNum>
  <w:abstractNum w:abstractNumId="183">
    <w:nsid w:val="1DE8725A"/>
    <w:multiLevelType w:val="hybridMultilevel"/>
    <w:lvl w:ilvl="0">
      <w:lvlJc w:val="left"/>
      <w:lvlText w:val="(%1)"/>
      <w:numFmt w:val="lowerLetter"/>
      <w:start w:val="6"/>
    </w:lvl>
  </w:abstractNum>
  <w:abstractNum w:abstractNumId="184">
    <w:nsid w:val="6A37288A"/>
    <w:multiLevelType w:val="hybridMultilevel"/>
    <w:lvl w:ilvl="0">
      <w:lvlJc w:val="left"/>
      <w:lvlText w:val="%1."/>
      <w:numFmt w:val="decimal"/>
      <w:start w:val="4"/>
    </w:lvl>
  </w:abstractNum>
  <w:abstractNum w:abstractNumId="185">
    <w:nsid w:val="8F8B73F"/>
    <w:multiLevelType w:val="hybridMultilevel"/>
    <w:lvl w:ilvl="0">
      <w:lvlJc w:val="left"/>
      <w:lvlText w:val="(%1)"/>
      <w:numFmt w:val="lowerLetter"/>
      <w:start w:val="1"/>
    </w:lvl>
  </w:abstractNum>
  <w:abstractNum w:abstractNumId="186">
    <w:nsid w:val="CA6B462"/>
    <w:multiLevelType w:val="hybridMultilevel"/>
    <w:lvl w:ilvl="0">
      <w:lvlJc w:val="left"/>
      <w:lvlText w:val="(%1)"/>
      <w:numFmt w:val="lowerLetter"/>
      <w:start w:val="3"/>
    </w:lvl>
  </w:abstractNum>
  <w:abstractNum w:abstractNumId="187">
    <w:nsid w:val="763CB680"/>
    <w:multiLevelType w:val="hybridMultilevel"/>
    <w:lvl w:ilvl="0">
      <w:lvlJc w:val="left"/>
      <w:lvlText w:val="%1."/>
      <w:numFmt w:val="decimal"/>
      <w:start w:val="5"/>
    </w:lvl>
  </w:abstractNum>
  <w:abstractNum w:abstractNumId="188">
    <w:nsid w:val="15B71329"/>
    <w:multiLevelType w:val="hybridMultilevel"/>
    <w:lvl w:ilvl="0">
      <w:lvlJc w:val="left"/>
      <w:lvlText w:val="%1."/>
      <w:numFmt w:val="decimal"/>
      <w:start w:val="9"/>
    </w:lvl>
  </w:abstractNum>
  <w:abstractNum w:abstractNumId="189">
    <w:nsid w:val="3DA97044"/>
    <w:multiLevelType w:val="hybridMultilevel"/>
    <w:lvl w:ilvl="0">
      <w:lvlJc w:val="left"/>
      <w:lvlText w:val="(%1)"/>
      <w:numFmt w:val="lowerLetter"/>
      <w:start w:val="1"/>
    </w:lvl>
  </w:abstractNum>
  <w:abstractNum w:abstractNumId="190">
    <w:nsid w:val="1CDCE2DE"/>
    <w:multiLevelType w:val="hybridMultilevel"/>
    <w:lvl w:ilvl="0">
      <w:lvlJc w:val="left"/>
      <w:lvlText w:val="(%1)"/>
      <w:numFmt w:val="lowerLetter"/>
      <w:start w:val="2"/>
    </w:lvl>
  </w:abstractNum>
  <w:abstractNum w:abstractNumId="191">
    <w:nsid w:val="69D3947C"/>
    <w:multiLevelType w:val="hybridMultilevel"/>
    <w:lvl w:ilvl="0">
      <w:lvlJc w:val="left"/>
      <w:lvlText w:val="%1."/>
      <w:numFmt w:val="decimal"/>
      <w:start w:val="10"/>
    </w:lvl>
  </w:abstractNum>
  <w:abstractNum w:abstractNumId="192">
    <w:nsid w:val="2539DFA5"/>
    <w:multiLevelType w:val="hybridMultilevel"/>
    <w:lvl w:ilvl="0">
      <w:lvlJc w:val="left"/>
      <w:lvlText w:val="(%1)"/>
      <w:numFmt w:val="lowerLetter"/>
      <w:start w:val="1"/>
    </w:lvl>
  </w:abstractNum>
  <w:abstractNum w:abstractNumId="193">
    <w:nsid w:val="2DB88089"/>
    <w:multiLevelType w:val="hybridMultilevel"/>
    <w:lvl w:ilvl="0">
      <w:lvlJc w:val="left"/>
      <w:lvlText w:val="(%1)"/>
      <w:numFmt w:val="lowerLetter"/>
      <w:start w:val="5"/>
    </w:lvl>
  </w:abstractNum>
  <w:abstractNum w:abstractNumId="194">
    <w:nsid w:val="706B674E"/>
    <w:multiLevelType w:val="hybridMultilevel"/>
    <w:lvl w:ilvl="0">
      <w:lvlJc w:val="left"/>
      <w:lvlText w:val="(%1)"/>
      <w:numFmt w:val="lowerRoman"/>
      <w:start w:val="1"/>
    </w:lvl>
  </w:abstractNum>
  <w:abstractNum w:abstractNumId="195">
    <w:nsid w:val="2C106A57"/>
    <w:multiLevelType w:val="hybridMultilevel"/>
    <w:lvl w:ilvl="0">
      <w:lvlJc w:val="left"/>
      <w:lvlText w:val="%1."/>
      <w:numFmt w:val="decimal"/>
      <w:start w:val="11"/>
    </w:lvl>
  </w:abstractNum>
  <w:abstractNum w:abstractNumId="196">
    <w:nsid w:val="684EED59"/>
    <w:multiLevelType w:val="hybridMultilevel"/>
    <w:lvl w:ilvl="0">
      <w:lvlJc w:val="left"/>
      <w:lvlText w:val="(%1)"/>
      <w:numFmt w:val="lowerLetter"/>
      <w:start w:val="1"/>
    </w:lvl>
    <w:lvl w:ilvl="1">
      <w:lvlJc w:val="left"/>
      <w:lvlText w:val="(%2)"/>
      <w:numFmt w:val="lowerLetter"/>
      <w:start w:val="9"/>
    </w:lvl>
  </w:abstractNum>
  <w:abstractNum w:abstractNumId="197">
    <w:nsid w:val="545EE5D3"/>
    <w:multiLevelType w:val="hybridMultilevel"/>
    <w:lvl w:ilvl="0">
      <w:lvlJc w:val="left"/>
      <w:lvlText w:val="%1"/>
      <w:numFmt w:val="upperLetter"/>
      <w:start w:val="1"/>
    </w:lvl>
    <w:lvl w:ilvl="1">
      <w:lvlJc w:val="left"/>
      <w:lvlText w:val="(%2)"/>
      <w:numFmt w:val="lowerRoman"/>
      <w:start w:val="2"/>
    </w:lvl>
  </w:abstractNum>
  <w:abstractNum w:abstractNumId="198">
    <w:nsid w:val="4A66051"/>
    <w:multiLevelType w:val="hybridMultilevel"/>
    <w:lvl w:ilvl="0">
      <w:lvlJc w:val="left"/>
      <w:lvlText w:val="(%1)"/>
      <w:numFmt w:val="upperLetter"/>
      <w:start w:val="1"/>
    </w:lvl>
    <w:lvl w:ilvl="1">
      <w:lvlJc w:val="left"/>
      <w:lvlText w:val="(%2)"/>
      <w:numFmt w:val="lowerRoman"/>
      <w:start w:val="3"/>
    </w:lvl>
  </w:abstractNum>
  <w:abstractNum w:abstractNumId="199">
    <w:nsid w:val="20F4BDAD"/>
    <w:multiLevelType w:val="hybridMultilevel"/>
    <w:lvl w:ilvl="0">
      <w:lvlJc w:val="left"/>
      <w:lvlText w:val="(%1)"/>
      <w:numFmt w:val="lowerLetter"/>
      <w:start w:val="4"/>
    </w:lvl>
  </w:abstractNum>
  <w:abstractNum w:abstractNumId="200">
    <w:nsid w:val="639DEFAC"/>
    <w:multiLevelType w:val="hybridMultilevel"/>
    <w:lvl w:ilvl="0">
      <w:lvlJc w:val="left"/>
      <w:lvlText w:val="(%1)"/>
      <w:numFmt w:val="lowerLetter"/>
      <w:start w:val="6"/>
    </w:lvl>
  </w:abstractNum>
  <w:abstractNum w:abstractNumId="201">
    <w:nsid w:val="501F9786"/>
    <w:multiLevelType w:val="hybridMultilevel"/>
    <w:lvl w:ilvl="0">
      <w:lvlJc w:val="left"/>
      <w:lvlText w:val="(%1)"/>
      <w:numFmt w:val="lowerLetter"/>
      <w:start w:val="10"/>
    </w:lvl>
  </w:abstractNum>
  <w:abstractNum w:abstractNumId="202">
    <w:nsid w:val="6B057295"/>
    <w:multiLevelType w:val="hybridMultilevel"/>
    <w:lvl w:ilvl="0">
      <w:lvlJc w:val="left"/>
      <w:lvlText w:val="(%1)"/>
      <w:numFmt w:val="lowerLetter"/>
      <w:start w:val="13"/>
    </w:lvl>
  </w:abstractNum>
  <w:abstractNum w:abstractNumId="203">
    <w:nsid w:val="2771AC80"/>
    <w:multiLevelType w:val="hybridMultilevel"/>
    <w:lvl w:ilvl="0">
      <w:lvlJc w:val="left"/>
      <w:lvlText w:val="%1"/>
      <w:numFmt w:val="lowerLetter"/>
      <w:start w:val="1"/>
    </w:lvl>
    <w:lvl w:ilvl="1">
      <w:lvlJc w:val="left"/>
      <w:lvlText w:val="(%2)"/>
      <w:numFmt w:val="lowerLetter"/>
      <w:start w:val="1"/>
    </w:lvl>
  </w:abstractNum>
  <w:abstractNum w:abstractNumId="204">
    <w:nsid w:val="1C4A08EC"/>
    <w:multiLevelType w:val="hybridMultilevel"/>
    <w:lvl w:ilvl="0">
      <w:lvlJc w:val="left"/>
      <w:lvlText w:val="(%1)"/>
      <w:numFmt w:val="lowerLetter"/>
      <w:start w:val="35"/>
    </w:lvl>
    <w:lvl w:ilvl="1">
      <w:lvlJc w:val="left"/>
      <w:lvlText w:val="%2"/>
      <w:numFmt w:val="lowerLetter"/>
      <w:start w:val="1"/>
    </w:lvl>
  </w:abstractNum>
  <w:abstractNum w:abstractNumId="205">
    <w:nsid w:val="1958BD17"/>
    <w:multiLevelType w:val="hybridMultilevel"/>
    <w:lvl w:ilvl="0">
      <w:lvlJc w:val="left"/>
      <w:lvlText w:val="(%1)"/>
      <w:numFmt w:val="lowerLetter"/>
      <w:start w:val="2"/>
    </w:lvl>
  </w:abstractNum>
  <w:abstractNum w:abstractNumId="206">
    <w:nsid w:val="4E647FE4"/>
    <w:multiLevelType w:val="hybridMultilevel"/>
    <w:lvl w:ilvl="0">
      <w:lvlJc w:val="left"/>
      <w:lvlText w:val="(%1)"/>
      <w:numFmt w:val="lowerLetter"/>
      <w:start w:val="1"/>
    </w:lvl>
  </w:abstractNum>
  <w:abstractNum w:abstractNumId="207">
    <w:nsid w:val="E0BB885"/>
    <w:multiLevelType w:val="hybridMultilevel"/>
    <w:lvl w:ilvl="0">
      <w:lvlJc w:val="left"/>
      <w:lvlText w:val="(%1)"/>
      <w:numFmt w:val="lowerLetter"/>
      <w:start w:val="1"/>
    </w:lvl>
  </w:abstractNum>
  <w:abstractNum w:abstractNumId="208">
    <w:nsid w:val="565976F1"/>
    <w:multiLevelType w:val="hybridMultilevel"/>
    <w:lvl w:ilvl="0">
      <w:lvlJc w:val="left"/>
      <w:lvlText w:val="(%1)"/>
      <w:numFmt w:val="lowerLetter"/>
      <w:start w:val="3"/>
    </w:lvl>
  </w:abstractNum>
  <w:abstractNum w:abstractNumId="209">
    <w:nsid w:val="64212B8C"/>
    <w:multiLevelType w:val="hybridMultilevel"/>
    <w:lvl w:ilvl="0">
      <w:lvlJc w:val="left"/>
      <w:lvlText w:val="(%1)"/>
      <w:numFmt w:val="lowerLetter"/>
      <w:start w:val="1"/>
    </w:lvl>
  </w:abstractNum>
  <w:abstractNum w:abstractNumId="210">
    <w:nsid w:val="5C17530C"/>
    <w:multiLevelType w:val="hybridMultilevel"/>
    <w:lvl w:ilvl="0">
      <w:lvlJc w:val="left"/>
      <w:lvlText w:val="(%1)"/>
      <w:numFmt w:val="lowerLetter"/>
      <w:start w:val="4"/>
    </w:lvl>
  </w:abstractNum>
  <w:abstractNum w:abstractNumId="211">
    <w:nsid w:val="19A52566"/>
    <w:multiLevelType w:val="hybridMultilevel"/>
    <w:lvl w:ilvl="0">
      <w:lvlJc w:val="left"/>
      <w:lvlText w:val="(%1)"/>
      <w:numFmt w:val="lowerLetter"/>
      <w:start w:val="1"/>
    </w:lvl>
  </w:abstractNum>
  <w:abstractNum w:abstractNumId="212">
    <w:nsid w:val="335A1DF1"/>
    <w:multiLevelType w:val="hybridMultilevel"/>
    <w:lvl w:ilvl="0">
      <w:lvlJc w:val="left"/>
      <w:lvlText w:val="(%1)"/>
      <w:numFmt w:val="lowerLetter"/>
      <w:start w:val="2"/>
    </w:lvl>
  </w:abstractNum>
  <w:abstractNum w:abstractNumId="213">
    <w:nsid w:val="28677B7C"/>
    <w:multiLevelType w:val="hybridMultilevel"/>
    <w:lvl w:ilvl="0">
      <w:lvlJc w:val="left"/>
      <w:lvlText w:val="(%1)"/>
      <w:numFmt w:val="lowerLetter"/>
      <w:start w:val="6"/>
    </w:lvl>
  </w:abstractNum>
  <w:abstractNum w:abstractNumId="214">
    <w:nsid w:val="378D97C0"/>
    <w:multiLevelType w:val="hybridMultilevel"/>
    <w:lvl w:ilvl="0">
      <w:lvlJc w:val="left"/>
      <w:lvlText w:val="(%1)"/>
      <w:numFmt w:val="lowerLetter"/>
      <w:start w:val="7"/>
    </w:lvl>
  </w:abstractNum>
  <w:abstractNum w:abstractNumId="215">
    <w:nsid w:val="1D91467C"/>
    <w:multiLevelType w:val="hybridMultilevel"/>
    <w:lvl w:ilvl="0">
      <w:lvlJc w:val="left"/>
      <w:lvlText w:val="(%1)"/>
      <w:numFmt w:val="lowerLetter"/>
      <w:start w:val="1"/>
    </w:lvl>
  </w:abstractNum>
  <w:abstractNum w:abstractNumId="216">
    <w:nsid w:val="316032BB"/>
    <w:multiLevelType w:val="hybridMultilevel"/>
    <w:lvl w:ilvl="0">
      <w:lvlJc w:val="left"/>
      <w:lvlText w:val="(%1)"/>
      <w:numFmt w:val="lowerLetter"/>
      <w:start w:val="2"/>
    </w:lvl>
  </w:abstractNum>
  <w:abstractNum w:abstractNumId="217">
    <w:nsid w:val="44344C22"/>
    <w:multiLevelType w:val="hybridMultilevel"/>
    <w:lvl w:ilvl="0">
      <w:lvlJc w:val="left"/>
      <w:lvlText w:val="(%1)"/>
      <w:numFmt w:val="lowerLetter"/>
      <w:start w:val="1"/>
    </w:lvl>
  </w:abstractNum>
  <w:abstractNum w:abstractNumId="218">
    <w:nsid w:val="13CDFCFC"/>
    <w:multiLevelType w:val="hybridMultilevel"/>
    <w:lvl w:ilvl="0">
      <w:lvlJc w:val="left"/>
      <w:lvlText w:val="(%1)"/>
      <w:numFmt w:val="lowerLetter"/>
      <w:start w:val="3"/>
    </w:lvl>
  </w:abstractNum>
  <w:abstractNum w:abstractNumId="219">
    <w:nsid w:val="471745E4"/>
    <w:multiLevelType w:val="hybridMultilevel"/>
    <w:lvl w:ilvl="0">
      <w:lvlJc w:val="left"/>
      <w:lvlText w:val="(%1)"/>
      <w:numFmt w:val="lowerLetter"/>
      <w:start w:val="1"/>
    </w:lvl>
  </w:abstractNum>
  <w:abstractNum w:abstractNumId="220">
    <w:nsid w:val="1DDBC66"/>
    <w:multiLevelType w:val="hybridMultilevel"/>
    <w:lvl w:ilvl="0">
      <w:lvlJc w:val="left"/>
      <w:lvlText w:val="(%1)"/>
      <w:numFmt w:val="lowerRoman"/>
      <w:start w:val="1"/>
    </w:lvl>
  </w:abstractNum>
  <w:abstractNum w:abstractNumId="221">
    <w:nsid w:val="30AADFDA"/>
    <w:multiLevelType w:val="hybridMultilevel"/>
    <w:lvl w:ilvl="0">
      <w:lvlJc w:val="left"/>
      <w:lvlText w:val="(%1)"/>
      <w:numFmt w:val="lowerRoman"/>
      <w:start w:val="3"/>
    </w:lvl>
  </w:abstractNum>
  <w:abstractNum w:abstractNumId="222">
    <w:nsid w:val="30EADA61"/>
    <w:multiLevelType w:val="hybridMultilevel"/>
    <w:lvl w:ilvl="0">
      <w:lvlJc w:val="left"/>
      <w:lvlText w:val="(%1)"/>
      <w:numFmt w:val="lowerLetter"/>
      <w:start w:val="4"/>
    </w:lvl>
  </w:abstractNum>
  <w:abstractNum w:abstractNumId="223">
    <w:nsid w:val="27179C0B"/>
    <w:multiLevelType w:val="hybridMultilevel"/>
    <w:lvl w:ilvl="0">
      <w:lvlJc w:val="left"/>
      <w:lvlText w:val="(%1)"/>
      <w:numFmt w:val="lowerLetter"/>
      <w:start w:val="10"/>
    </w:lvl>
  </w:abstractNum>
  <w:abstractNum w:abstractNumId="224">
    <w:nsid w:val="5E636063"/>
    <w:multiLevelType w:val="hybridMultilevel"/>
    <w:lvl w:ilvl="0">
      <w:lvlJc w:val="left"/>
      <w:lvlText w:val="(%1)"/>
      <w:numFmt w:val="lowerLetter"/>
      <w:start w:val="1"/>
    </w:lvl>
  </w:abstractNum>
  <w:abstractNum w:abstractNumId="225">
    <w:nsid w:val="215641AF"/>
    <w:multiLevelType w:val="hybridMultilevel"/>
    <w:lvl w:ilvl="0">
      <w:lvlJc w:val="left"/>
      <w:lvlText w:val="%1"/>
      <w:numFmt w:val="lowerLetter"/>
      <w:start w:val="1"/>
    </w:lvl>
    <w:lvl w:ilvl="1">
      <w:lvlJc w:val="left"/>
      <w:lvlText w:val="(%2)"/>
      <w:numFmt w:val="lowerLetter"/>
      <w:start w:val="3"/>
    </w:lvl>
  </w:abstractNum>
  <w:abstractNum w:abstractNumId="226">
    <w:nsid w:val="53280662"/>
    <w:multiLevelType w:val="hybridMultilevel"/>
    <w:lvl w:ilvl="0">
      <w:lvlJc w:val="left"/>
      <w:lvlText w:val="(%1)"/>
      <w:numFmt w:val="lowerLetter"/>
      <w:start w:val="61"/>
    </w:lvl>
    <w:lvl w:ilvl="1">
      <w:lvlJc w:val="left"/>
      <w:lvlText w:val="%2"/>
      <w:numFmt w:val="lowerLetter"/>
      <w:start w:val="1"/>
    </w:lvl>
  </w:abstractNum>
  <w:abstractNum w:abstractNumId="227">
    <w:nsid w:val="46B24DBC"/>
    <w:multiLevelType w:val="hybridMultilevel"/>
    <w:lvl w:ilvl="0">
      <w:lvlJc w:val="left"/>
      <w:lvlText w:val="%1."/>
      <w:numFmt w:val="decimal"/>
      <w:start w:val="1"/>
    </w:lvl>
    <w:lvl w:ilvl="1">
      <w:lvlJc w:val="left"/>
      <w:lvlText w:val="%2)"/>
      <w:numFmt w:val="lowerLetter"/>
      <w:start w:val="1"/>
    </w:lvl>
  </w:abstractNum>
  <w:abstractNum w:abstractNumId="228">
    <w:nsid w:val="75B52783"/>
    <w:multiLevelType w:val="hybridMultilevel"/>
    <w:lvl w:ilvl="0">
      <w:lvlJc w:val="left"/>
      <w:lvlText w:val="%1."/>
      <w:numFmt w:val="decimal"/>
      <w:start w:val="1"/>
    </w:lvl>
    <w:lvl w:ilvl="1">
      <w:lvlJc w:val="left"/>
      <w:lvlText w:val="%2)"/>
      <w:numFmt w:val="lowerLetter"/>
      <w:start w:val="1"/>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58" Type="http://schemas.openxmlformats.org/officeDocument/2006/relationships/hyperlink" Target="https://www.sec.gov/Archives/edgar/data/842633/000110465907058776/a07-19157_1ex3d1.htm" TargetMode="External"/><Relationship Id="rId59" Type="http://schemas.openxmlformats.org/officeDocument/2006/relationships/hyperlink" Target="https://www.sec.gov/Archives/edgar/data/842633/000084263315000161/thirdamendedandrestatedbyl.htm" TargetMode="External"/><Relationship Id="rId60" Type="http://schemas.openxmlformats.org/officeDocument/2006/relationships/hyperlink" Target="https://www.sec.gov/Archives/edgar/data/842633/000084263325000107/exhibit44restrictedstockun.htm" TargetMode="External"/><Relationship Id="rId61" Type="http://schemas.openxmlformats.org/officeDocument/2006/relationships/hyperlink" Target="https://www.sec.gov/Archives/edgar/data/842633/000084263325000107/exhibit45non-qualifiedsto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2025-07-29T13:48:47Z</dcterms:created>
  <dcterms:modified xsi:type="dcterms:W3CDTF">2025-07-29T13:48:47Z</dcterms:modified>
</cp:coreProperties>
</file>