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7" w:lineRule="exact"/>
        <w:rPr>
          <w:sz w:val="24"/>
          <w:szCs w:val="24"/>
          <w:color w:val="auto"/>
        </w:rPr>
      </w:pPr>
    </w:p>
    <w:p>
      <w:pPr>
        <w:ind w:left="1240" w:hanging="800"/>
        <w:spacing w:after="0"/>
        <w:tabs>
          <w:tab w:leader="none" w:pos="1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9" w:lineRule="exact"/>
        <w:rPr>
          <w:rFonts w:ascii="MS PGothic" w:cs="MS PGothic" w:eastAsia="MS PGothic" w:hAnsi="MS PGothic"/>
          <w:sz w:val="20"/>
          <w:szCs w:val="20"/>
          <w:color w:val="auto"/>
        </w:rPr>
      </w:pPr>
    </w:p>
    <w:p>
      <w:pPr>
        <w:ind w:left="3380"/>
        <w:spacing w:after="0"/>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0" w:lineRule="exact"/>
        <w:rPr>
          <w:sz w:val="24"/>
          <w:szCs w:val="24"/>
          <w:color w:val="auto"/>
        </w:rPr>
      </w:pPr>
    </w:p>
    <w:p>
      <w:pPr>
        <w:ind w:left="1240" w:hanging="793"/>
        <w:spacing w:after="0"/>
        <w:tabs>
          <w:tab w:leader="none" w:pos="1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106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60"/>
        </w:trPr>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Commission file number 001-10716</w:t>
            </w:r>
          </w:p>
        </w:tc>
      </w:tr>
      <w:tr>
        <w:trPr>
          <w:trHeight w:val="110"/>
        </w:trPr>
        <w:tc>
          <w:tcPr>
            <w:tcW w:w="8700" w:type="dxa"/>
            <w:vAlign w:val="bottom"/>
            <w:gridSpan w:val="8"/>
          </w:tcPr>
          <w:p>
            <w:pPr>
              <w:jc w:val="right"/>
              <w:ind w:right="1404"/>
              <w:spacing w:after="0" w:line="111" w:lineRule="exact"/>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tc>
      </w:tr>
      <w:tr>
        <w:trPr>
          <w:trHeight w:val="355"/>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28"/>
        </w:trPr>
        <w:tc>
          <w:tcPr>
            <w:tcW w:w="1120" w:type="dxa"/>
            <w:vAlign w:val="bottom"/>
          </w:tcPr>
          <w:p>
            <w:pPr>
              <w:spacing w:after="0"/>
              <w:rPr>
                <w:sz w:val="24"/>
                <w:szCs w:val="24"/>
                <w:color w:val="auto"/>
              </w:rPr>
            </w:pPr>
          </w:p>
        </w:tc>
        <w:tc>
          <w:tcPr>
            <w:tcW w:w="1600" w:type="dxa"/>
            <w:vAlign w:val="bottom"/>
            <w:gridSpan w:val="2"/>
          </w:tcPr>
          <w:p>
            <w:pPr>
              <w:jc w:val="center"/>
              <w:ind w:right="74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2"/>
          </w:tcPr>
          <w:p>
            <w:pPr>
              <w:jc w:val="right"/>
              <w:ind w:right="1124"/>
              <w:spacing w:after="0"/>
              <w:rPr>
                <w:sz w:val="20"/>
                <w:szCs w:val="20"/>
                <w:color w:val="auto"/>
              </w:rPr>
            </w:pPr>
            <w:r>
              <w:rPr>
                <w:rFonts w:ascii="Times New Roman" w:cs="Times New Roman" w:eastAsia="Times New Roman" w:hAnsi="Times New Roman"/>
                <w:sz w:val="16"/>
                <w:szCs w:val="16"/>
                <w:b w:val="1"/>
                <w:bCs w:val="1"/>
                <w:color w:val="auto"/>
              </w:rPr>
              <w:t>38-2687639</w:t>
            </w:r>
          </w:p>
        </w:tc>
      </w:tr>
      <w:tr>
        <w:trPr>
          <w:trHeight w:val="168"/>
        </w:trPr>
        <w:tc>
          <w:tcPr>
            <w:tcW w:w="5240" w:type="dxa"/>
            <w:vAlign w:val="bottom"/>
            <w:gridSpan w:val="6"/>
          </w:tcPr>
          <w:p>
            <w:pPr>
              <w:jc w:val="center"/>
              <w:ind w:right="22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600" w:type="dxa"/>
            <w:vAlign w:val="bottom"/>
          </w:tcPr>
          <w:p>
            <w:pPr>
              <w:spacing w:after="0"/>
              <w:rPr>
                <w:sz w:val="14"/>
                <w:szCs w:val="14"/>
                <w:color w:val="auto"/>
              </w:rPr>
            </w:pPr>
          </w:p>
        </w:tc>
        <w:tc>
          <w:tcPr>
            <w:tcW w:w="2860" w:type="dxa"/>
            <w:vAlign w:val="bottom"/>
          </w:tcPr>
          <w:p>
            <w:pPr>
              <w:jc w:val="center"/>
              <w:ind w:right="244"/>
              <w:spacing w:after="0" w:line="168" w:lineRule="exact"/>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720" w:type="dxa"/>
            <w:vAlign w:val="bottom"/>
            <w:gridSpan w:val="3"/>
          </w:tcPr>
          <w:p>
            <w:pPr>
              <w:jc w:val="center"/>
              <w:ind w:left="228"/>
              <w:spacing w:after="0"/>
              <w:rPr>
                <w:sz w:val="20"/>
                <w:szCs w:val="20"/>
                <w:color w:val="auto"/>
              </w:rPr>
            </w:pPr>
            <w:r>
              <w:rPr>
                <w:rFonts w:ascii="Times New Roman" w:cs="Times New Roman" w:eastAsia="Times New Roman" w:hAnsi="Times New Roman"/>
                <w:sz w:val="16"/>
                <w:szCs w:val="16"/>
                <w:color w:val="auto"/>
              </w:rPr>
              <w:t>Organization)</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86"/>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38505 Woodward Avenue, Suite 200</w:t>
            </w:r>
          </w:p>
        </w:tc>
      </w:tr>
      <w:tr>
        <w:trPr>
          <w:trHeight w:val="178"/>
        </w:trPr>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Bloomfield Hills, Michigan 48304</w:t>
            </w: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0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98"/>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(248) 631-5450</w:t>
            </w: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24"/>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67"/>
        </w:trPr>
        <w:tc>
          <w:tcPr>
            <w:tcW w:w="1120" w:type="dxa"/>
            <w:vAlign w:val="bottom"/>
          </w:tcPr>
          <w:p>
            <w:pPr>
              <w:spacing w:after="0"/>
              <w:rPr>
                <w:sz w:val="23"/>
                <w:szCs w:val="23"/>
                <w:color w:val="auto"/>
              </w:rPr>
            </w:pPr>
          </w:p>
        </w:tc>
        <w:tc>
          <w:tcPr>
            <w:tcW w:w="160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60" w:type="dxa"/>
            <w:vAlign w:val="bottom"/>
            <w:gridSpan w:val="2"/>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13"/>
        </w:trPr>
        <w:tc>
          <w:tcPr>
            <w:tcW w:w="272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TRS</w:t>
            </w: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64" w:lineRule="exact"/>
        <w:rPr>
          <w:sz w:val="24"/>
          <w:szCs w:val="24"/>
          <w:color w:val="auto"/>
        </w:rPr>
      </w:pPr>
    </w:p>
    <w:p>
      <w:pPr>
        <w:spacing w:after="0" w:line="184"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66" w:lineRule="exact"/>
        <w:rPr>
          <w:sz w:val="24"/>
          <w:szCs w:val="24"/>
          <w:color w:val="auto"/>
        </w:rPr>
      </w:pPr>
    </w:p>
    <w:p>
      <w:pPr>
        <w:spacing w:after="0" w:line="184" w:lineRule="exact"/>
        <w:tabs>
          <w:tab w:leader="none" w:pos="74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480"/>
        <w:spacing w:after="0" w:line="368" w:lineRule="exact"/>
        <w:tabs>
          <w:tab w:leader="none" w:pos="3940" w:val="left"/>
          <w:tab w:leader="none" w:pos="6320" w:val="left"/>
          <w:tab w:leader="none" w:pos="8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28"/>
          <w:szCs w:val="28"/>
          <w:color w:val="auto"/>
          <w:vertAlign w:val="subscript"/>
        </w:rPr>
        <w:t>☐</w:t>
      </w:r>
    </w:p>
    <w:p>
      <w:pPr>
        <w:spacing w:after="0" w:line="200" w:lineRule="exact"/>
        <w:rPr>
          <w:sz w:val="24"/>
          <w:szCs w:val="24"/>
          <w:color w:val="auto"/>
        </w:rPr>
      </w:pPr>
    </w:p>
    <w:p>
      <w:pPr>
        <w:ind w:left="8660"/>
        <w:spacing w:after="0" w:line="36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32"/>
          <w:szCs w:val="32"/>
          <w:color w:val="auto"/>
          <w:vertAlign w:val="superscript"/>
        </w:rPr>
        <w:t>☐</w:t>
      </w:r>
    </w:p>
    <w:p>
      <w:pPr>
        <w:spacing w:after="0" w:line="10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19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4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as of June 28, 2024 was approximately $1.0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20, 2025, the number of outstanding shares of the Registrant's common stock, $0.01 par value, was 40,583,198 shares.</w:t>
      </w:r>
    </w:p>
    <w:p>
      <w:pPr>
        <w:spacing w:after="0" w:line="55"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the 2025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20" w:type="dxa"/>
            <w:vAlign w:val="bottom"/>
            <w:gridSpan w:val="20"/>
          </w:tcPr>
          <w:p>
            <w:pPr>
              <w:ind w:left="140"/>
              <w:spacing w:after="0"/>
              <w:rPr>
                <w:sz w:val="20"/>
                <w:szCs w:val="20"/>
                <w:color w:val="auto"/>
              </w:rPr>
            </w:pPr>
            <w:r>
              <w:rPr>
                <w:rFonts w:ascii="Times New Roman" w:cs="Times New Roman" w:eastAsia="Times New Roman" w:hAnsi="Times New Roman"/>
                <w:sz w:val="18"/>
                <w:szCs w:val="18"/>
                <w:b w:val="1"/>
                <w:bCs w:val="1"/>
                <w:color w:val="auto"/>
              </w:rPr>
              <w:t>TRIMAS CORPORATION INDEX</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7"/>
                <w:szCs w:val="17"/>
                <w:color w:val="0000FF"/>
              </w:rPr>
              <w:t>Forward-Looking Statements</w:t>
            </w:r>
          </w:p>
        </w:tc>
        <w:tc>
          <w:tcPr>
            <w:tcW w:w="140" w:type="dxa"/>
            <w:vAlign w:val="bottom"/>
            <w:tcBorders>
              <w:bottom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75"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Trademarks and Service Marks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466"/>
        </w:trPr>
        <w:tc>
          <w:tcPr>
            <w:tcW w:w="2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PART I.</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 w:type="dxa"/>
            <w:vAlign w:val="bottom"/>
            <w:tcBorders>
              <w:top w:val="single" w:sz="8" w:color="0000FF"/>
            </w:tcBorders>
          </w:tcPr>
          <w:p>
            <w:pPr>
              <w:spacing w:after="0"/>
              <w:rPr>
                <w:sz w:val="18"/>
                <w:szCs w:val="18"/>
                <w:color w:val="auto"/>
              </w:rPr>
            </w:pPr>
          </w:p>
        </w:tc>
        <w:tc>
          <w:tcPr>
            <w:tcW w:w="16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gridSpan w:val="2"/>
          </w:tcPr>
          <w:p>
            <w:pPr>
              <w:spacing w:after="0"/>
              <w:rPr>
                <w:sz w:val="18"/>
                <w:szCs w:val="18"/>
                <w:color w:val="auto"/>
              </w:rPr>
            </w:pP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Supplementary Item.</w:t>
            </w:r>
          </w:p>
        </w:tc>
        <w:tc>
          <w:tcPr>
            <w:tcW w:w="740" w:type="dxa"/>
            <w:vAlign w:val="bottom"/>
            <w:gridSpan w:val="2"/>
            <w:vMerge w:val="restart"/>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520" w:type="dxa"/>
            <w:vAlign w:val="bottom"/>
            <w:gridSpan w:val="7"/>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PART II.</w:t>
            </w:r>
          </w:p>
        </w:tc>
        <w:tc>
          <w:tcPr>
            <w:tcW w:w="840" w:type="dxa"/>
            <w:vAlign w:val="bottom"/>
            <w:tcBorders>
              <w:top w:val="single" w:sz="8" w:color="0000FF"/>
            </w:tcBorders>
            <w:gridSpan w:val="3"/>
          </w:tcPr>
          <w:p>
            <w:pPr>
              <w:spacing w:after="0"/>
              <w:rPr>
                <w:sz w:val="24"/>
                <w:szCs w:val="24"/>
                <w:color w:val="auto"/>
              </w:rPr>
            </w:pPr>
          </w:p>
        </w:tc>
        <w:tc>
          <w:tcPr>
            <w:tcW w:w="7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5.</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106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gridSpan w:val="3"/>
            <w:shd w:val="clear" w:color="auto" w:fill="0000FF"/>
          </w:tcPr>
          <w:p>
            <w:pPr>
              <w:spacing w:after="0"/>
              <w:rPr>
                <w:sz w:val="2"/>
                <w:szCs w:val="2"/>
                <w:color w:val="auto"/>
              </w:rPr>
            </w:pPr>
          </w:p>
        </w:tc>
        <w:tc>
          <w:tcPr>
            <w:tcW w:w="540" w:type="dxa"/>
            <w:vAlign w:val="bottom"/>
            <w:gridSpan w:val="4"/>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0" w:type="dxa"/>
            <w:vAlign w:val="bottom"/>
            <w:gridSpan w:val="18"/>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15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100" w:type="dxa"/>
            <w:vAlign w:val="bottom"/>
            <w:gridSpan w:val="2"/>
          </w:tcPr>
          <w:p>
            <w:pPr>
              <w:spacing w:after="0"/>
              <w:rPr>
                <w:sz w:val="18"/>
                <w:szCs w:val="18"/>
                <w:color w:val="auto"/>
              </w:rPr>
            </w:pPr>
          </w:p>
        </w:tc>
        <w:tc>
          <w:tcPr>
            <w:tcW w:w="15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PART III.</w:t>
            </w:r>
          </w:p>
        </w:tc>
        <w:tc>
          <w:tcPr>
            <w:tcW w:w="15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10.</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12.</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160" w:type="dxa"/>
            <w:vAlign w:val="bottom"/>
            <w:tcBorders>
              <w:top w:val="single" w:sz="8" w:color="0000FF"/>
            </w:tcBorders>
            <w:gridSpan w:val="14"/>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gridSpan w:val="11"/>
            <w:shd w:val="clear" w:color="auto" w:fill="0000FF"/>
          </w:tcPr>
          <w:p>
            <w:pPr>
              <w:spacing w:after="0"/>
              <w:rPr>
                <w:sz w:val="2"/>
                <w:szCs w:val="2"/>
                <w:color w:val="auto"/>
              </w:rPr>
            </w:pPr>
          </w:p>
        </w:tc>
        <w:tc>
          <w:tcPr>
            <w:tcW w:w="132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2280" w:type="dxa"/>
            <w:vAlign w:val="bottom"/>
            <w:gridSpan w:val="5"/>
          </w:tcPr>
          <w:p>
            <w:pPr>
              <w:spacing w:after="0"/>
              <w:rPr>
                <w:sz w:val="2"/>
                <w:szCs w:val="2"/>
                <w:color w:val="auto"/>
              </w:rPr>
            </w:pPr>
          </w:p>
        </w:tc>
        <w:tc>
          <w:tcPr>
            <w:tcW w:w="1480" w:type="dxa"/>
            <w:vAlign w:val="bottom"/>
            <w:gridSpan w:val="5"/>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13.</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14.</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5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15.</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76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and other statements in this Annual Report on Form 10-K regarding our sustainability and ESG plans and goals are not an indication that these statements are necessarily material to investors or required to be disclosed in our filings with the Securities and Exchange Commission ("SEC"). In addition, historical, current and forward-looking sustainability- and ESG-related statements may be based on standards for measuring progress that are still developing, internal controls and processes that continue to evolve and assumptions that are subject to change in the future.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We believe our businesses share important and distinguishing characteristics, including: well-recognized brand names in the markets we serve; innovative product technologies and features; customer-approved processes and qualified products; strong cash flow generation; long-term growth opportunities; and a commitment to sustainability. Headquartered in Bloomfield Hills, Michigan, TriMas has approximately 3,900 employees who serve our customers from 37 manufacturing and support locations in 13 countries.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our net sales were $925.0 million, operating profit was $47.2 million, and net cash provided by operating activities was $63.8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77% of our 2024 net sales were generated from sales in North America.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TriMas reports its operating activities in three segments: Packaging, Aerospace and Specialty Products. Our management team believes TriMas is uniquely positioned because of a number of competitive strengths, including:</w:t>
      </w:r>
    </w:p>
    <w:p>
      <w:pPr>
        <w:spacing w:after="0" w:line="91" w:lineRule="exact"/>
        <w:rPr>
          <w:sz w:val="20"/>
          <w:szCs w:val="20"/>
          <w:color w:val="auto"/>
        </w:rPr>
      </w:pPr>
    </w:p>
    <w:p>
      <w:pPr>
        <w:jc w:val="both"/>
        <w:ind w:left="660" w:hanging="328"/>
        <w:spacing w:after="0" w:line="23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Well-Recognized and Established Brands. </w:t>
      </w:r>
      <w:r>
        <w:rPr>
          <w:rFonts w:ascii="Times New Roman" w:cs="Times New Roman" w:eastAsia="Times New Roman" w:hAnsi="Times New Roman"/>
          <w:sz w:val="18"/>
          <w:szCs w:val="18"/>
          <w:color w:val="auto"/>
        </w:rPr>
        <w:t>Our main Packaging brands include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Affaba &amp; Ferrari™, Taplast™, Rapak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which are also marketed under the TriMas Packaging brand, and Intertech™ and Omega Plastics™, which are also marketed under the TriMas Life Sciences brand (all of which make up the TriMas Packaging group and are collectively reported in the Packaging segment). Our Aerospace brands include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Fastening Systems, Mac Fasteners™, RSA Engineered Products™, Weldmac Manufacturing Company™, Martinic Engineering™ and TFI Aerospace™, which are also marketed under the TriMas Aerospace brand (all of which make up the TriMas Aerospace™ group and are collectively reported in the Aerospace segment). Norris Cylinder™ is the main brand reported within the Specialty Products segment. We believe each of our go-to-market brands is well-recognized and firmly established in the end markets we serve. We believe our brands represent high standards and a commitment to quality and service that our customers rely on, and in many cases certify or audit, when making their sourcing decisions.</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Innovative and Proprietary Manufacturing and Product Technologies. </w:t>
      </w:r>
      <w:r>
        <w:rPr>
          <w:rFonts w:ascii="Times New Roman" w:cs="Times New Roman" w:eastAsia="Times New Roman" w:hAnsi="Times New Roman"/>
          <w:sz w:val="18"/>
          <w:szCs w:val="18"/>
          <w:color w:val="auto"/>
        </w:rPr>
        <w:t>We believe each of our businesses is well-positioned through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refined manufacturing know-how, innovative product development, application engineering and solutions design. We believe our manufacturing footprint and operational competencies would be difficult and costly to replicate, and provide us a competitive advantage to serve our customers. We continue to place a priority on investing in innovation to enhance and protect our product designs, brand names, and manufacturing processes and competencies.</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Customer-Focused Solutions and Long-Term Customer Relationships. </w:t>
      </w:r>
      <w:r>
        <w:rPr>
          <w:rFonts w:ascii="Times New Roman" w:cs="Times New Roman" w:eastAsia="Times New Roman" w:hAnsi="Times New Roman"/>
          <w:sz w:val="18"/>
          <w:szCs w:val="18"/>
          <w:color w:val="auto"/>
        </w:rPr>
        <w:t>We work collaboratively with our customers to design new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that help satisfy rapidly changing preferences in the marketplace. As a recognized leader in many of our end markets, customers partner with us during the design,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w:t>
      </w:r>
    </w:p>
    <w:p>
      <w:pPr>
        <w:spacing w:after="0" w:line="115"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Given the range of product and process technologies within each of our businesses, TriMas' success is a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experienced management team. In each of our businesses, including businesses we have acquired, we have members of our leadership team that have served the vast majority of their careers, and have extensive and often times unique experience, in the industries we operate. The TriMas management team is focused and committed to continuously improving Company performance and growing shareholder value. Management compensation is tied to financial results through short-term incentive plans, long-term equity incentive programs and Company-established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Guided by our experienced management team, we are focused on the following components that comprise our enterprise-wide strategy:</w:t>
      </w:r>
    </w:p>
    <w:p>
      <w:pPr>
        <w:spacing w:after="0" w:line="156"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our TriMas Business Model. </w:t>
      </w:r>
      <w:r>
        <w:rPr>
          <w:rFonts w:ascii="Times New Roman" w:cs="Times New Roman" w:eastAsia="Times New Roman" w:hAnsi="Times New Roman"/>
          <w:sz w:val="18"/>
          <w:szCs w:val="18"/>
          <w:color w:val="auto"/>
        </w:rPr>
        <w:t>The TriMas Business Model ("TBM") serves as the platform to manage our diverse set of businesses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set of standards focused on continuous improvement and achieving operational excellence. Through the TBM, we set near- and long-term performance objectives, and utilize a reliable communication and escalation process that provides for flexibility and adjustments when market expectations change. We believe our operating performance will continue to benefit from the use of Kaizen as a means to drive our decision-making and investment processes. In addition to continuous improvement and goal setting, the TBM is also focused on environmental, health and safety, talent development, and flawless new product and process launches.</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in Innovation. </w:t>
      </w:r>
      <w:r>
        <w:rPr>
          <w:rFonts w:ascii="Times New Roman" w:cs="Times New Roman" w:eastAsia="Times New Roman" w:hAnsi="Times New Roman"/>
          <w:sz w:val="18"/>
          <w:szCs w:val="18"/>
          <w:color w:val="auto"/>
        </w:rPr>
        <w:t>We continue to invest in organic growth in our most compelling end markets with the highest long-term return potential.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leverage our brands, expand our product offerings to current and new customers and geographic regions, and introduce innovative products to meet our customers' needs and help solve their challenges. We operate under a disciplined approach to defend and expand our product offerings, and grow our business over the longer term. In addition to product innovation, we also value process innovation and believe we can solidify our customer relationships using new innovative processes and manufacturing "know-how" to improve our quality, speed to develop and commercialize, sustainability and overall competitiveness, increasing customer satisfaction, as well as our performance.</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Growth with Strategic Acquisitions. </w:t>
      </w:r>
      <w:r>
        <w:rPr>
          <w:rFonts w:ascii="Times New Roman" w:cs="Times New Roman" w:eastAsia="Times New Roman" w:hAnsi="Times New Roman"/>
          <w:sz w:val="18"/>
          <w:szCs w:val="18"/>
          <w:color w:val="auto"/>
        </w:rPr>
        <w:t>We believe TriMas, through its relatively low debt leverage, manageable interest expense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cash generation profile, is uniquely positioned to enhance organic growth with strategic bolt-on acquisitions. Our acquisition priority is to build out the Packaging platform, with a focus on beauty, food &amp; beverage and life sciences applications, and increase TriMas’ weight in packaging-related end markets, which comprised 55% of consolidated net sales in 2024. We will also explore opportunities to further strategically expand our Aerospace platform with a focus in the areas of fasteners, fittings, and latches, as well as other complementary-to-existing products for commercial and defense applications. Overall, we typically seek to acquire adjacent product lines that expand our existing product offerings, gain access to new customers and end markets, expand our geographic footprint and/or capitalize on scale and cost efficiencies.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Drive Enhanced Cash Conversion. </w:t>
      </w:r>
      <w:r>
        <w:rPr>
          <w:rFonts w:ascii="Times New Roman" w:cs="Times New Roman" w:eastAsia="Times New Roman" w:hAnsi="Times New Roman"/>
          <w:sz w:val="18"/>
          <w:szCs w:val="18"/>
          <w:color w:val="auto"/>
        </w:rPr>
        <w:t>We leverage the TBM to drive management’s decision-making processes to achieve our growth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targets, as well as drive our businesses toward achieving market-leading returns and cash flow conversion. We believe establishing well-defined strategies, executing against annual goals and long-range targets, operating in a data-driven, fact-based environment, and awarding our team on annual cash flow generation will allow us to expand our free cash flow and create shareholder value. We plan to use this cash for reinvestment in our businesses, strategic acquisitions and other capital allocation actions, such as share buybacks and dividends.</w:t>
      </w:r>
    </w:p>
    <w:p>
      <w:pPr>
        <w:spacing w:after="0" w:line="115"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Foster a Culture of Kaizen and Engagement. </w:t>
      </w:r>
      <w:r>
        <w:rPr>
          <w:rFonts w:ascii="Times New Roman" w:cs="Times New Roman" w:eastAsia="Times New Roman" w:hAnsi="Times New Roman"/>
          <w:sz w:val="18"/>
          <w:szCs w:val="18"/>
          <w:color w:val="auto"/>
        </w:rPr>
        <w:t>We believe our talented and dedicated global team is the foundation of our success. We strive to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employer through our demonstrated commitment to employee safety, workplace belonging, talent development and workplace culture. We embrace the tools of Kaizen, which is predicated on engaging our employees to identify cost effective ways to improve all aspects of our businesses, throughout our manufacturing operations and support services. We also foster a culture of employee engagement to drive performance improvements, operational excellence and a sustainable future.</w:t>
      </w:r>
    </w:p>
    <w:p>
      <w:pPr>
        <w:spacing w:after="0" w:line="115"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Focus on Sustainability. </w:t>
      </w:r>
      <w:r>
        <w:rPr>
          <w:rFonts w:ascii="Times New Roman" w:cs="Times New Roman" w:eastAsia="Times New Roman" w:hAnsi="Times New Roman"/>
          <w:sz w:val="18"/>
          <w:szCs w:val="18"/>
          <w:color w:val="auto"/>
        </w:rPr>
        <w:t>We view sustainability and ESG practices as important components of our culture and rooted in our core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who we are as a company. We proactively seek new ways to make progress in each of the four key areas of our sustainability strategy: Governance &amp; Ethics, People, Environment and Products. We believe that sustainability is broader than caring for the environment, and encompasses care for our employees, as well as the communities where we live and work. It means continuously enhancing our products and our processes to make the world a better place. We strive to incorporate the concept of sustainability into our decision-making model and continue to increase the importance of sustainability in everything we do.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the results of our operations in three segments, which had net sales and operating profit for the year ended December 31, 2024 as follows: Packaging (net sales: $512.3 million; operating profit: $68.1 million), Aerospace (net sales: $294.2 million; operating profit: $33.8 million) and Specialty Products (net sales: $118.5 million; operating loss: $2.0 million). For information pertaining to the net sales and operating profit attributed to our segments, refer to Note 20,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segments is described in more detail on the following pages.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(55% of 2024 net sales)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TriMas Packaging group is a leading designer, developer and manufacturer of specialty, highly-engineered polymeric and steel closure and dispensing systems for a range of end markets, including consumer packaging (beauty &amp; personal care, food &amp; beverage, and home care), life science and industrial markets. We manufacture high-performance, value-added products that are designed to enhance our customers' ability to store, transport, process and dispense various products.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Packaging designs and manufactures dispensing products (including foaming pumps, lotion, hand soap and sanitizer pumps, beverage dispensers, perfume sprayers and trigger sprayers), polymeric and steel caps and closures (including food lids, flip-top closures, child resistant caps, drum and pail closures, and flexible spouts), polymeric jar products, and fully integrated dispensers for fill-ready, flexible bag-in-box applications, for a variety of consumer product markets including, but not limited to, the beauty &amp; personal care, home care, food &amp; beverage and industrial end markets. TriMas Packaging also manufactures airless dispensers for pharmaceutical applications, polymerase chain reaction (PCR) test kits for blood testing applications, components for vascular delivery and blood testing, and child resistant closures and containers, as part of its growing presence serving the life sciences end markets.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we acquired Aarts Packaging B.V. ("Aarts"), a well-established, innovative luxury packaging solutions provider for prestigious beauty and lifestyle brands, located in the Netherlands. This acquisition expanded TriMas Packaging's presence in beauty applications, a desirable end market, adding a variety of cosmetic dispenser closures, beauty packaging design solutions and highly-automated injection molding machines with robotic production and finishing capabilities including decorative metallization.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TriMas Packaging, through its December 2021 acquisition of Omega Plastics and February 2022 acquisition of Intertech, designs and manufactures complex, precision injection molded components and assemblies for applications in the life sciences end market. Our capabilities and products include prototype production molds and custom, medical-related components such as patient diagnostic test components, consumable vascular delivery, surgical devices and pharmaceutical closures.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TriMas Packaging has the capability of manufacturing the majority of products in North America, Europe or Asia, which allows us to evaluate manufacturing location decisions based on customer needs, timing, cost and capacity.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TriMas Packaging benefits from the following competitive strengths in coordination with operating under TriMas' overarching strategy:</w:t>
      </w:r>
    </w:p>
    <w:p>
      <w:pPr>
        <w:spacing w:after="0" w:line="156" w:lineRule="exact"/>
        <w:rPr>
          <w:sz w:val="20"/>
          <w:szCs w:val="20"/>
          <w:color w:val="auto"/>
        </w:rPr>
      </w:pPr>
    </w:p>
    <w:p>
      <w:pPr>
        <w:jc w:val="both"/>
        <w:ind w:left="660" w:hanging="328"/>
        <w:spacing w:after="0" w:line="247" w:lineRule="auto"/>
        <w:tabs>
          <w:tab w:leader="none" w:pos="653" w:val="left"/>
        </w:tabs>
        <w:numPr>
          <w:ilvl w:val="0"/>
          <w:numId w:val="5"/>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Strong Product Innovation</w:t>
      </w:r>
      <w:r>
        <w:rPr>
          <w:rFonts w:ascii="Times New Roman" w:cs="Times New Roman" w:eastAsia="Times New Roman" w:hAnsi="Times New Roman"/>
          <w:sz w:val="18"/>
          <w:szCs w:val="18"/>
          <w:color w:val="auto"/>
        </w:rPr>
        <w:t>. Through a multi-layered approach to product and process innovation starting with subject matter experts, our TriMas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team is focused on driving innovation across a broad range of solutions for our customers. Our New Product Development teams are also supported by our TriMas Center of Excellence, located near New Delhi, India, to enhance our technical innovation and development. TriMas Packaging has a consistent pipeline of new products and enhanced designs ready for launch, and continues to innovate to make products more appealing, sustainable and environmentally friendly. For example, TriMas Packaging's product development programs have provided innovative and proprietary product solutions, such as a range of fully-recyclable, polymeric Singolo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pumps, made from a single material making it fully recyclable without compromising quality, aesthetics, performance or formula compatibility, and comes in a variety of dosing options. We have also expanded the offering to include a full-plastic foamer, as well as a recyclable small dosage pump for treatment and liquid foundation applications. In addition, TriMas Packaging recently launched tethered caps, which are caps that remain attached to a bottle or container after opening and during use to increase ease of recycling. Other innovative offerings include a line of certified flame mitigation closures, as well as our child-resistant closures (CRC) for nutraceutical and agricultural products, which include innovative patent-pending interlocking inner/outer caps designed with less plastic, reducing our carbon footprint without compromising quality, durability or functional performance. TriMas Packaging also continues to service a variety of clients delivering high precision, innovative medical and wellness offerings; these products enable care to a scope of individuals within a range of medical testing and diagnostics. TriMas Packaging's emphasis on highly-engineered solutions and product development has yielded numerous issued and enforceable patents, with many other patent applications pending. For example, 42 patents were filed and 81 patents were issued in 2024, related to both new and existing patent families.</w:t>
      </w:r>
    </w:p>
    <w:p>
      <w:pPr>
        <w:spacing w:after="0" w:line="112" w:lineRule="exact"/>
        <w:rPr>
          <w:rFonts w:ascii="Calibri" w:cs="Calibri" w:eastAsia="Calibri" w:hAnsi="Calibri"/>
          <w:sz w:val="20"/>
          <w:szCs w:val="20"/>
          <w:color w:val="auto"/>
        </w:rPr>
      </w:pPr>
    </w:p>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Customized Solutions that Enhance Customer Relationships</w:t>
      </w:r>
      <w:r>
        <w:rPr>
          <w:rFonts w:ascii="Times New Roman" w:cs="Times New Roman" w:eastAsia="Times New Roman" w:hAnsi="Times New Roman"/>
          <w:sz w:val="18"/>
          <w:szCs w:val="18"/>
          <w:color w:val="auto"/>
        </w:rPr>
        <w:t>. A significant portion of our products have customized designs that are developed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engineered to address customer-specific technical, marketing and sustainability needs, helping to distinguish our customers' products from those of their competitors. For example, the customization of specialty plastic caps, closures and dispensers including branding, unique colors, collar sizes, lining and venting results in substantial customer loyalty. TriMas Packaging has also invested in high-quality, high-performance printing capabilities for multi-color printed logos and customized designs on flat top caps and closures. The substantial investment in flexible manufacturing cells allows us to offer both short lead-times for high volume products and customization for more moderate volume orders, which provides significant advantages to our consumer packaged goods customer base. In addition, we provide customized dispensing solutions including unique pump designs, precision metering, unique colors and special collar sizes to fit our customers' containers. TriMas Packaging collaborates with customers to develop innovative products that are more eco-friendly and easier to recycle. Based on our breadth of products, and engineering and production capabilities, we have achieved preferred supplier status with several customers.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left="660" w:hanging="328"/>
        <w:spacing w:after="0" w:line="251"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Global Manufacturing Footprint. </w:t>
      </w:r>
      <w:r>
        <w:rPr>
          <w:rFonts w:ascii="Times New Roman" w:cs="Times New Roman" w:eastAsia="Times New Roman" w:hAnsi="Times New Roman"/>
          <w:sz w:val="18"/>
          <w:szCs w:val="18"/>
          <w:color w:val="auto"/>
        </w:rPr>
        <w:t>TriMas Packaging maintains a global network of sales, manufacturing and distribution sites, to serve our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base. The majority of TriMas Packaging's manufacturing facilities around the world have advanced injection molding machines required to manufacture precision-engineered dispensing and closure components, as well as automated, high-speed assembly equipment for multi-component products. Our customers, including larger consumer products customers, often desire supply and manufacturing capabilities within their primary geographical end markets which results in more efficient supply chains, reduced carbon footprint and enhanced sustainability. To support these initiatives, we operate a newer, highly-automated facility in New Albany, Ohio, which began production in 2022. This facility enables TriMas Packaging to shift production of a variety of products currently manufactured outside of the United States closer to our customers, and supports new business growth closer to our customers in North America, as needed. During 2023, as a result of temporal, but significant industry-wide destocking and resulting demand softness, TriMas Packaging took proactive actions to optimize its manufacturing footprint and better position its business to capture future operating leverage gains. As a result of its flexible manufacturing footprint, TriMas Packaging was able to close a leased manufacturing facility in Rohnert Park, California, and reposition all of the production assets to other U.S. production facilities, announce the exit of a leased warehouse in Irwindale, California, and consolidate two manufacturing facilities located in China into one new facility which has provided improved efficiencies and positioned the business better for growth in the region. In addition to our locations in China, we also have design and manufacturing capacity and offer highly-engineered dispensing solutions through locations in India and Vietnam, and have increased our Asian market sales coverage. Our acquisitions of Affaba &amp; Ferrari, Taplast, Aarts Packaging and Plastic Srl have provided us with additional sales, design and manufacturing capacity in Europe, with additional manufacturing facilities in the Netherlands, Italy and Slovakia. In addition, we have expanded our capabilities into South America, opening our first warehouse in Brazil in 2022, with local sales, marketing, technical, laboratory and supply chain teams supporting our customers in the region. We believe TriMas Packaging's flexible footprint provides us with multiple alternatives for production to best meet customer requirements and helps mitigate the impacts of potential trade disruption.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accesses its markets through direct sales to customers, as well as through leading distributors, where it has enjoyed favorable, long-standing relationships. We employ commercial teams in North America, South America, Europe and Asia. At times, we also use third-party agents and distributors in our key geographic markets, as well as agents and distributors primarily to sell to container manufacturers and to users or fillers of containers.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TriMas Packaging's end customers include, but are not limited to, consumer packaged goods, personal care, beauty and cosmetic, medical, pharmaceutical, nutraceutical, food and beverage, industrial, agricultural, chemical, and cleaning and sanitary supply companies. We also provide products into applications used by warehouse clubs, e-retailers and quick-service restaurants. We may provide products directly to the end customer, but the end customers may also specify that our products be provided to filling or packaging intermediary customers. In addition, we also provide products to major container manufacturers, and maintain a customer service center that provides technical support, as well as other technical assistance to customers.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Packaging has manufacturing and support facilities in the United States, Mexico, Brazil, the United Kingdom, the Netherlands, Germany, Italy, Slovakia, China, India, Vietnam and Australia.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has a broad range of products in closure, dispensing and flexible packaging systems, and therefore has various competitors in each of our product offerings. We do not believe that there is a single competitor that matches our entire product offering. Depending on the product and customers served, our competitors include Aptar, Bericap, Berry Global (soon to be part of Amcor), Comar, Greif, Mold-Rite, Phoenix Closures, Silgan, Technocraft and other smaller private companies located in Asia.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Aerospace (32% of 2024 net sales)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TriMas Aerospace group is a leading designer and manufacturer of a diverse range of products, including, but not limited to, highly-engineered fasteners, collars, blind bolts, rivets, ducting and connectors for air management systems, formed metal components and assemblies, and other highly-engineered machined parts and components, for use in focused markets within the aerospace and defense industry. Many of these products are customer-specific and are manufactured utilizing customer-qualified and proprietary processes. The products also satisfy rigorous customer requirements or meet unique aerospace industry standards, and as such, we believe there are a limited set of competitors. We believe our brands are well established and recognized in their markets. Our brands are long-term, certified suppliers of aerospace original equipment manufacturers ("OEMs") or Tier One suppliers, and have been serving the aerospace industry for decades.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products for commercial and regional jets, business jet, helicopters, and general aviation, as well as military, defense and space applications and platforms with sales to OEMs, supply chain distributors, maintenance, repair and overhaul (MRO) and aftermarket providers, and Tier One suppliers. Our customer-specified and/or qualified products are used in production of significant long-term aircraft programs, including most Boeing and Airbus commercial jetliner programs.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TriMas Aerospace's product offering includes a broad line of fastener products, including permanent threaded blind bolts, solid and blind rivets, standard screws and bolts manufactured to meet NAS, MS, AN and AS standards, collars, temporary fasteners and other specialty fasteners. TriMas Aerospace also manufactures and assembles complex, highly-engineered and proprietary ducting, connectors and related products for air management systems, formed and welded metal, and other complex machine-to-print parts for aerospace applications, including auxiliary power units and electrical, hydraulic and pneumatic systems.</w:t>
      </w:r>
    </w:p>
    <w:p>
      <w:pPr>
        <w:spacing w:after="0" w:line="21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February 2025, we announced the completion of the acquisition of the aerospace business of GMT Gummi-Metall-Technik GmbH (“GMT Aerospace”), a Germany-based leading developer and manufacturer of tie-rods and rubber-metal anti-vibration products for both commercial and military aerospace applications.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we acquired the operating assets of Weldmac Manufacturing Company ("Weldmac"), a leading designer and manufacturer of high-performance, complex metal fabricated components and assemblies for the aerospace, defense and space launch end markets. Offering numerous AS9100D and National Aerospace and Defense Contractors Accreditation Program (NADCAP) certified manufacturing services, Weldmac's comprehensive processes include welding, stamping, punching, hydroforming, forging, laser cutting, custom tooling and machining, as well as advanced quality control inspections and complex assembly utilizing a variety of metals.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TriMas Aerospace benefits from the following competitive strengths in coordination with operating under TriMas' overarching strategy:</w:t>
      </w:r>
    </w:p>
    <w:p>
      <w:pPr>
        <w:spacing w:after="0" w:line="156" w:lineRule="exact"/>
        <w:rPr>
          <w:sz w:val="20"/>
          <w:szCs w:val="20"/>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Product Portfolio of Established Brands</w:t>
      </w:r>
      <w:r>
        <w:rPr>
          <w:rFonts w:ascii="Times New Roman" w:cs="Times New Roman" w:eastAsia="Times New Roman" w:hAnsi="Times New Roman"/>
          <w:sz w:val="18"/>
          <w:szCs w:val="18"/>
          <w:color w:val="auto"/>
        </w:rPr>
        <w:t>. We believe that TriMas Aerospace is a leading designer, developer and manufacturer of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engineered fasteners for the aerospace industry, as well as other complex formed metal, ducting and machined components. The combination of the Monogram Aerospace Fasteners ("Monogram"), Allfast Fastening Systems ("Allfast"), Mac Fasteners and TFI Aerospace ("TFI")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 The combined product sets of the Monogram, Allfast, Mac Fasteners and TFI brands uniquely position us to benefit from platform-wide supply opportunities. In addition, RSA Engineered Products ("RSA") has extensive experience in providing air ducting, connectors and flexible joints used in hot engine bleed air, anti-icing and environmental control system applications. Weldmac manufactures formed and welded complex metal components for various high and low temperature applications on aircraft. Martinic Engineering ("Martinic") has a reputation, with more than 40 years of experience, of specializing in the high-complexity machining of castings, forgings and bar stock for leading Tier One commercial and defense aerospace OEMs. We believe that we supply products for the majority of the new airplanes manufactured by many of the largest global airplane OEMs, either directly or through a critical distribution network.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39" w:lineRule="auto"/>
        <w:tabs>
          <w:tab w:leader="none" w:pos="653" w:val="left"/>
        </w:tabs>
        <w:numPr>
          <w:ilvl w:val="0"/>
          <w:numId w:val="8"/>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 xml:space="preserve">Product Innovation. </w:t>
      </w:r>
      <w:r>
        <w:rPr>
          <w:rFonts w:ascii="Times New Roman" w:cs="Times New Roman" w:eastAsia="Times New Roman" w:hAnsi="Times New Roman"/>
          <w:sz w:val="18"/>
          <w:szCs w:val="18"/>
          <w:color w:val="auto"/>
        </w:rPr>
        <w:t>We believe that TriMas Aerospace's engineering, research and development capability and new product focus are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For many years, TriMas Aerospace's product development programs have provided innovative and proprietary product solutions. The close working relationship of our sales and engineering teams with our customers' engineering teams is key to developing future products desired and required by our customers. Our innovation teams add value by working directly with our customers to address assembly and manufacturing process challenges to improve productivity and efficiency, while reducing the overall installed cost. As an example, TriMas Aerospace has developed new fastener products that offer a flush break upon installation, streamlining the installation process, and continues to develop other fastener designs offering improved installation and use on composite structure applications. One of our more recent product innovations, the Composi-Lok4</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fastener, provides installed weight savings helping to improve fuel efficiency, and further contributing to our sustainability objectives for TriMas and our customers. TriMas Aerospace has also designed the next generation temporary fastener Fastack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 (Super Clamp) with a significant increase in clamping force. In addition to the new product introductions, TriMas Aerospace continues to focus on expanding its fastener offerings for the product applications on current aircraft, with expansion of collar product families used in traditional two-sided assembly. We believe our customer-focused approach to provide cost-effective technical solutions will drive the development of new products and create new growth opportunities.</w:t>
      </w:r>
    </w:p>
    <w:p>
      <w:pPr>
        <w:spacing w:after="0" w:line="138" w:lineRule="exact"/>
        <w:rPr>
          <w:rFonts w:ascii="Calibri" w:cs="Calibri" w:eastAsia="Calibri" w:hAnsi="Calibri"/>
          <w:sz w:val="20"/>
          <w:szCs w:val="20"/>
          <w:color w:val="auto"/>
        </w:rPr>
      </w:pPr>
    </w:p>
    <w:p>
      <w:pPr>
        <w:jc w:val="both"/>
        <w:ind w:left="660" w:hanging="328"/>
        <w:spacing w:after="0" w:line="253"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Leading Manufacturing Capabilities and Processes. </w:t>
      </w:r>
      <w:r>
        <w:rPr>
          <w:rFonts w:ascii="Times New Roman" w:cs="Times New Roman" w:eastAsia="Times New Roman" w:hAnsi="Times New Roman"/>
          <w:sz w:val="18"/>
          <w:szCs w:val="18"/>
          <w:color w:val="auto"/>
        </w:rPr>
        <w:t>We believe that TriMas Aerospace is a leading manufacturer of precision-engineered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for the aerospace industry. Given industry regulatory requirements, as well as customer requirements, these products are required to be manufactured within tight tolerances and specifications, often out of hard-to-work-with and exotic materials including titanium, Inconel and specialty steels. TriMas Aerospace is also capable of advanced precision computer numerical controlled ("CNC") milling, high performance CNC turning and assembly, metal forming and welding, working in a variety of metals including super alloys, stainless steel, aircraft steel alloys, carbon steel alloys and aluminum alloys.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The aerospace industry has strict requirements for quality and delivery, making process innovation and continuous improvement vital to TriMas Aerospace's success. We believe TriMas Aerospace's manufacturing processes, capabilities and quality focus create a competitive strength for the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TriMas Aerospace serves OEM, distribution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applications,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Aerospace's manufacturing facilities are located in the United States and Canada. Given the nature of the components TriMas Aerospace manufactures, it can ship products efficiently to Europe, South America and Asia.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on the product and customers served, our primary competitors include Ateliers de la Haute Garonne, Cherry Aerospace - Precision Castparts Corp., Howmet Aerospace, LISI Aerospace and Senior Aerospace, as well as a variety of aerospace and general industrial machined component manufacturers. We believe that we are a leader in one-sided installation (OSI), or blind bolt, applications with significant market share in all blind fastener product categories in which we compete.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Products (13% of 2024 net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our Specialty Products segment was comprised of our Norris Cylinder and Arrow Engine Company businesses. We believe these businesses are well-established and recognized in the end markets they serve.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TriMas' Norris Cylinder business is a leading designer, manufacturer and distributor of highly-engineered, large, intermediate and small size, high and low-pressure Type 1 steel cylinders for the transportation, storage and dispensing of packaged and compressed gases. Norris Cylinder's large high-pressure seamless gas cylinders are used principally for shipping, storing and dispensing oxygen, nitrogen, argon, helium and other compressed gases for use in industrial, heath care and defense end markets. In addition, Norris Cylinder offers a complete line of steel cylinders used to contain and dispense acetylene gas for the heating, ventilation and air conditioning (HVAC) and construction end markets. Norris Cylinder's products meet the rigorous standards required by the U.S. Department of Transportation (DOT) or International Standards Organization (ISO), which certifies a cylinder's adequacy to perform in specific applications.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Arrow Engine is a provider of natural gas-powered engines, typically used in remote applications such as for oil field pump jacks, compressors and replacement parts, which are engineered for use in oil and natural gas production and other industrial markets. Arrow Engine distributes its products through a worldwide distribution network, primarily focused in the United States and Canada. Arrow Engine manufactures its own engine line and also offers a wide variety of spare parts for various industrial engines not manufactured by Arrow Engine. On January 31, 2025, we announced the successful completion of the previously announced sale of the Arrow Engine business, facilitating an exit of our direct presence in the oil and gas end market.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Specialty Products segment benefits from the following competitive strengths in coordination with operating under TriMas' overarching strategy:</w:t>
      </w:r>
    </w:p>
    <w:p>
      <w:pPr>
        <w:spacing w:after="0" w:line="106" w:lineRule="exact"/>
        <w:rPr>
          <w:sz w:val="20"/>
          <w:szCs w:val="20"/>
          <w:color w:val="auto"/>
        </w:rPr>
      </w:pPr>
    </w:p>
    <w:p>
      <w:pPr>
        <w:jc w:val="both"/>
        <w:ind w:left="660" w:hanging="328"/>
        <w:spacing w:after="0" w:line="242" w:lineRule="auto"/>
        <w:tabs>
          <w:tab w:leader="none" w:pos="64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Leading Market Position and Strong Brand Name</w:t>
      </w:r>
      <w:r>
        <w:rPr>
          <w:rFonts w:ascii="Times New Roman" w:cs="Times New Roman" w:eastAsia="Times New Roman" w:hAnsi="Times New Roman"/>
          <w:sz w:val="18"/>
          <w:szCs w:val="18"/>
          <w:color w:val="auto"/>
        </w:rPr>
        <w:t>. With more than 70 years of experience, Norris Cylinder is one of the worlds'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of high- and low-pressure forged steel cylinders, and the only manufacturer of forged Type 1 steel cylinders that remains in the United States. In 2021, Norris Cylinder became an official "Made in the USA" designated manufacturer, which we believe allows Norris to locally address customers' needs, while maintaining more control over lead times and quality. We believe that Norris has a reputation for high-quality cylinders used in a variety of applications, including industrial gas, welding and cutting, government, medical, laboratories, food and beverage technology, breathing air, fire protection and aviation.</w:t>
      </w:r>
    </w:p>
    <w:p>
      <w:pPr>
        <w:spacing w:after="0" w:line="115" w:lineRule="exact"/>
        <w:rPr>
          <w:rFonts w:ascii="Arial" w:cs="Arial" w:eastAsia="Arial" w:hAnsi="Arial"/>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Product Offering</w:t>
      </w:r>
      <w:r>
        <w:rPr>
          <w:rFonts w:ascii="Times New Roman" w:cs="Times New Roman" w:eastAsia="Times New Roman" w:hAnsi="Times New Roman"/>
          <w:sz w:val="18"/>
          <w:szCs w:val="18"/>
          <w:color w:val="auto"/>
        </w:rPr>
        <w:t>. We believe our businesses within Specialty Products, particularly Norris Cylinder, offer comprehensive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that meets their customers' needs. Norris Cylinder offers a complete line of large, intermediate and small size, high and low-pressure steel cylinders to its customers across a variety of end markets. Additionally, Norris Cylinder offers a wide range of coating options for its customers, which are often used as bespoke branding indicators for each of Norris Cylinder's larger customers.</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and Extensive Distribution Channels</w:t>
      </w:r>
      <w:r>
        <w:rPr>
          <w:rFonts w:ascii="Times New Roman" w:cs="Times New Roman" w:eastAsia="Times New Roman" w:hAnsi="Times New Roman"/>
          <w:sz w:val="18"/>
          <w:szCs w:val="18"/>
          <w:color w:val="auto"/>
        </w:rPr>
        <w:t>. Our Specialty Products businesses, particularly our Norris Cylinder business, have long-standing customer relationships, including important qualifications, and distributes directly to major companies, as well as distributing to domestic buying groups, OEMs, medium and small independent companies, the Department of Defense, and independent distributors. Our long-standing supply position in these well-established networks has allowed our Specialty Products businesses to successfully navigate some of the most robust, as well as harshest, economic cycles.</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Difficult and Costly to Replicate Manufacturing Base. </w:t>
      </w:r>
      <w:r>
        <w:rPr>
          <w:rFonts w:ascii="Times New Roman" w:cs="Times New Roman" w:eastAsia="Times New Roman" w:hAnsi="Times New Roman"/>
          <w:sz w:val="18"/>
          <w:szCs w:val="18"/>
          <w:color w:val="auto"/>
        </w:rPr>
        <w:t>Our Norris Cylinder business has locations in Longview, Texas, and Huntsville, Alabama,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have numerous hot and cold forging and metalworking pieces of equipment and processes. While there are other manufacturers of steel cylinders globally, the installation of Type 1 steel cylinder manufacturing processes and adding new capacity tends to be a lengthy process and a very costly investment to implement. We believe that in periods of high demand, such as what was experienced in 2021 through the majority of 2023, Norris Cylinder's installed and fixed capacity and manufacturing presence in the United States provides an advantage when compared to non-U.S. suppliers that from time to time deal with logistic constraints. In periods of unusually low demand, such as what was experienced in 2024, the fixed investment capacity can face cost-flexing challenges.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customers of our Specialty Products segment, predominantly our Norris Cylinder business, operate in the broader industrial end markets, including manufacturing, construction and welding, fire suppression and oxygen applications. Given the wide range of applications for many of our products, we rely upon a combination of a direct sales force and an established network of distributors familiar with the end-users. Our primary customers include industrial gas producers and distributors, welding equipment distributors, equipment manufacturers and the Department of Defense.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Specialty Products manufacturing facilities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Norris Cylinder's competitors include Beijing Tianhai Industry Co., ENK Co., Everest Kanto Cylinder, Faber, MAT S/A Gas Cylinders and Zhejiang Jindun Pressure Vessel Co., which are all non-U.S. companies, among others. Norris Cylinder is the only remaining high pressure, Type 1 forged steel cylinder manufacturer in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TriMas' Acquisition Strategy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TriMas views the pursuit of strategic bolt-on acquisitions as core to augmenting its organic growth and achieving our overarching corporate strategy. We believe TriMas is uniquely positioned to leverage our relatively low debt profile and strong free cash flow profile to identify and complete acquisitions annually as part of our capital allocation strategy. TriMas' acquisition priorities are to build out our Packaging platform, which comprised 55% of our consolidated net sales in 2024, with a focus on expanding in the beauty, food &amp; beverage, and life sciences end markets, as well as to explore unique, strategic opportunities to build out our Aerospace platform, with a priority on expanding in fastener, fitting and latch applications. We typically seek to acquire adjacent product lines that expand our existing product offerings, gain access to new customers and end markets, expand our geographic footprint and/or capitalize on scale and cost efficiencies. Between 2019 and 2024, TriMas completed ten acquisitions and one divestiture. We believe these moves will better shape our presence in higher growth end markets, improve our overall portfolio by building out our two highest growth platforms and augment long-term core growth.</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Supply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raw material purchases are for resins (such as polypropylene and polyethylene), steel, aluminum, super alloys, and other metal and non-metal-based purchased components. Raw materials and other supplies used in our operations are normally available from a variety of competing suppliers. In addition to raw materials, we purchase a variety of components and finished products from sources in lower-cost countries.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Polypropylene and polyethylene are generally commodity resins with multiple suppliers capable of providing product globally. Steel is purchased primarily from steel mills and service centers, and on a more localized basis. Changing global dynamics for steel production, supply and pricing may continue to present a challenge to our business.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experienced volatility in costs and availability of our raw material purchases and have worked with our suppliers to manage costs and disruptions in supply. We also utilize pricing programs to pass increased steel, resin and other raw material costs on to customers. Although we may experience delays in our ability to implement price increases related to material costs, we have been generally able to recover such increased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approximately 3,900 people, of which 44% were located outside the United States. We have one facility, located in Commerce, California, where our hourly employees operate under a collective bargaining agreement, and which represents 13% of our U.S. employees. We have six facilities outside of the United States where our employees are affiliated with work councils, which covers 13% of our non-U.S. employees.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employee relations throughout our organization are positive and we are not aware of any present active union organizing activities at any of our facilities. We cannot predict the impact of any further unionization of our workplace. Our labor agreement with the United Automobile, Aerospace and Agricultural Implement Workers of America (UAW) at our TriMas Aerospace facility in Commerce, California, expired in August 2024, at which time the UAW initiated a strike, which lasted approximately ten weeks. Subsequent to the initiation of the strike by the UAW, we entered into a new three-year collective bargaining agreement which expires in October 2027.</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TriMas focuses on several human capital resources objectives in managing its business, including our commitment to health and safety, employee engagement, workplace belonging, and talent development. These human capital resources objectives, taken together, may be material to understanding our business under certain circumstances. These objectives are reinforced by our Code of Conduct, our global policies, including our Global Human Rights Policy, Supplier Code of Conduct, and Environment, Health &amp; Safety Policy, as well as our commitment to sustainability as evidenced by our annual Sustainability Reports.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Safety</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objective under the TBM is the health and safety of our employees, including anyone who conducts business on our behalf. The commitment to safety starts at the top levels of our organization, and as a result of our commitment, we updated and enhanced our Environment, Health &amp; Safety Policy in 2022. We believe a safe and secure workplace is fundamental to our success. TriMas is committed to providing a safe and healthy workplace and complying with applicable safety and health laws, regulations and internal requirements. We are also committed to engaging our employees to continually improve health and safety by acting upon opportunities to reduce risk and improve our safety and health performance, and offer training programs on a regular basis. TriMas maintains comprehensive safety programs focused on identifying hazards and eliminating risks that can lead to work-place injuries.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TriMas, a commitment to continuous improvement is one of our core values and imperative to our long-term success. We embrace the tools of Kaizen and work to foster a culture of employee engagement to drive performance improvements and operational excellence. We believe that employee feedback is important which is why, for the past four years, we administered employee engagement surveys globally. We continue to work on our engagement as a company, with managers actively facilitating engagement discussions with their teams and developing action plans to ensure progress and continuous improvement.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Belonging</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are at our best when we bring together unique perspectives, experiences and ideas, and actively build inclusive work environments across our global locations. We believe that tapping into our employees' backgrounds and experiences ensures we make better decisions and supports stronger operating performance. Our goal is to foster working environments that are fair and safe, where rights are respected, and everyone can achieve their full potential. Our policies and practices strive to assure equal employment and advancement opportunities for all qualified people. We also work to maintain appropriate standards of conduct in the workplace and to be sensitive to the concerns of all of our employees. We strive to maintain workplaces that are free from discrimination or harassment on the basis of race, ethnicity, color, national origin, religion, age, gender, gender identity and expression, genetic information, sexual orientation, protected veteran status, disability or any other characteristic protected by applicable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that a talented, engaged and dynamic workforce is vital to our success. We seek to hire, develop and retain individuals who embrace and thrive in our culture. Our culture is grounded in our values: Integrity, Customer-focused, Teamwork, Results-driven and Continuous Improvement. Our businesses strive to build robust talent pipelines through targeted recruitment initiatives across our global footprint. Our programs are intended to ensure seamless onboarding for our new employees. We identify and nurture talent through a culture that is designed to enable employees to succeed and grow into leadership positions. We believe that our diverse businesses and structure provide many opportunities for employees to follow their own path and advance their careers.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committed to a culture of Kaizen and operational excellence, and we provide employees with the opportunity to receive frequent performance feedback. On a regular basis throughout the year, employees have goal alignment, performance and career development discussions with their managers (via annual goal setting, mid-year and year-end performance and talent reviews). At these times, employees receive candid feedback on their performance against set objectives. These reviews evaluate each employee's strengths, skills and areas for opportunity, which are important for career development.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does not typically experience significant seasonal fluctuation, other than our fourth quarter, which in past years has tended to be the lowest net sales quarter of the year given holiday shutdowns by certain of our customers and other customers deferring capital spending to the following year.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environmental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 In addition to environmental laws and regulations, our operations are governed by a variety of laws and regulations, including those relating to workplace safety and worker health, principally the Occupational Safety and Health Act and regulations thereunder. We believe that we are in material compliance with these laws and regulations and do not believe that future compliance with such laws and regulations will have a material adverse effect on our business, financial condition, results of operations and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Policies and Regulations</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In the past, we have experienced higher input costs as a direct result of tariffs imposed on certain raw materials and components imported from China. In certain cases, we have passed-through these incremental costs to the customer, while in some cases we have not changed pricing in order to retain or expand volumes. In other cases, we continued to install incremental capacity in facilities which were not subject to duties or tariffs. In addition, certain of our U.S. suppliers raised prices for components in response to an overall increase in demand for domestic sources.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that we are in material compliance with free trade laws and regulations. While there may be an impact to our financial condition as a result of changes in the amount of duties or tariffs levied on products we import from China, and potentially other countries including Mexico and Canada, we do not believe that costs to remain in compliance with such laws and regulations will have a material adverse effect on our business, financial condition, results of operations and cash flows. However, there continues to exist significant uncertainty about the future of U.S. trade policy and potential new tariffs, including but not limited to, potential new tariffs on Canada, China and Mexico. For additional information, refer to "Regulatory, Legal and Environmental</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Risks -</w:t>
      </w:r>
      <w:r>
        <w:rPr>
          <w:rFonts w:ascii="Times New Roman" w:cs="Times New Roman" w:eastAsia="Times New Roman" w:hAnsi="Times New Roman"/>
          <w:sz w:val="18"/>
          <w:szCs w:val="18"/>
          <w:i w:val="1"/>
          <w:iCs w:val="1"/>
          <w:color w:val="auto"/>
        </w:rPr>
        <w:t>Significant developments in U.S. trade policies could have a material adverse effect on us and our financial condition and results of operations</w:t>
      </w:r>
      <w:r>
        <w:rPr>
          <w:rFonts w:ascii="Times New Roman" w:cs="Times New Roman" w:eastAsia="Times New Roman" w:hAnsi="Times New Roman"/>
          <w:sz w:val="18"/>
          <w:szCs w:val="18"/>
          <w:color w:val="auto"/>
        </w:rPr>
        <w:t>." in "Item 1A. Risk Factors" within this Annual Report on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identified intangible assets, consisting of customer relationships, trademarks and trade names, and technology, are recorded at $161.1 million at December 31, 2024, net of accumulated amortization. The valuation of each of the identified intangibles was performed using broadly accepted valuation methodologies and techniques.</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Relationships. </w:t>
      </w:r>
      <w:r>
        <w:rPr>
          <w:rFonts w:ascii="Times New Roman" w:cs="Times New Roman" w:eastAsia="Times New Roman" w:hAnsi="Times New Roman"/>
          <w:sz w:val="18"/>
          <w:szCs w:val="18"/>
          <w:color w:val="auto"/>
        </w:rPr>
        <w:t>We have developed and maintained stable, long-term selling relationships with customer groups for specific branded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Trademarks and Trade Names. </w:t>
      </w:r>
      <w:r>
        <w:rPr>
          <w:rFonts w:ascii="Times New Roman" w:cs="Times New Roman" w:eastAsia="Times New Roman" w:hAnsi="Times New Roman"/>
          <w:sz w:val="18"/>
          <w:szCs w:val="18"/>
          <w:color w:val="auto"/>
        </w:rPr>
        <w:t>Each of our businesses designs and manufactures products for focused markets under various trade names and trademarks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prior discussion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We hold a number of United States and foreign patents, patent applications, and proprietary product and process-oriented technologies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our net sales for the year ended December 31, 2024, 25.1% were derived from sales by our businesses located outside of the United States, and 34.2% of our long-lived assets as of December 31, 2024 were located outside of the United States. We operate manufacturing facilities in Canada, China, Germany, India, Italy, Mexico, the Netherlands, Slovakia, the United Kingdom and Vietnam, in addition to our U.S. operations. In addition to the net sales derived from sales by our businesses located outside of the United States, we also generated $82.7 million of export sales from the United States.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 Reports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corporate website, www.trimas.com, as a channel for routine distribution of important information, including news releases, company presentations and links to our businesses' websites, as well as reinforcing our commitment to sustainability as evidenced by our Sustainability Reports. We also provide financial information on our website and post filings as soon as reasonably practicable after they are electronically filed with, or furnished to, the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Although the risks are organized by headings, and each risk is discussed separately, many of the risks are interrelated. Readers should not interpret the disclosure of any risk factor to imply that the risk has not already materialized. Additional risks and uncertainties not currently known to us or that we currently believe are immaterial may also impact our business operations, financial results and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performance depends, in large part, on conditions in the markets that we serve in both the U.S. and globally. In the past, our operations have been exposed to volatility due to changes in general economic conditions or consumer preferences, recessions or adverse conditions in the markets we serve, including the impact of global pandemics and international conflicts. We are exposed to highly cyclical end markets for industrial goods, and to a lesser extent, aerospace and consumer products.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For example, beginning in the back half of 2022 and continuing through 2023, demand for dispensing and closure products within our Packaging segment fell as a result of some of our larger customers' choices to rebalance on-hand inventory levels and caution in purchasing behaviors given the current inflationary macro-economic environment. As a more recent example, we experienced strong demand and inventory builds from customers, which benefited our steel cylinder business in 2022 and 2023, which then resulted in customer destocking negatively impacting demand for steel cylinders in 2024. These are a few recent examples indicating that our ability to accurately forecast the level of our customers’ orders is limited and can result in inefficiencies in scheduling our installed manufacturing capacity and result in sub-optimal business and financial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markets we serve are highly competitive, which could limit sales volumes and reduce our operating margins.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manufacturers located in China, India and other regions competing in the markets for our products and we may be driven as a consequence of this competition to increase our investment overseas. Making overseas investments can be highly risky and we may not always realize the advantages we anticipate from any such investments. Competitive pressure may limit the volume of products that we sell and reduce our operating margins.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implement our business strategies and achieve our strategic and financial objectives.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creating a greater dependency on remaining businesses for our financial results.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our raw material or energy costs or the loss of critical suppliers could adversely affect our profitability and other financial results.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superalloys (such as titanium, A286 stainless steel and Inconel) and other oil and metal-based purchased components, each of which have experienced recent cost volatility. Prices for these products, along with costs for transportation and energy, fluctuate with market conditions, and have generally increased over time. For example, during 2022, we experienced increased energy costs and supply chain disruptions as a result of the Russia-Ukraine conflict. In addition, we have experienced, and expect to continue to experience, the impact of cost inflationary pressure on raw materials, wage rates and freight. For 2024, while our material and other input costs have generally stabilized compared to 2023 levels, we have experienced increased input costs associated with abrupt increases in customer demand, primarily in our Packaging segment. Pressure on wage rates continued through 2024 across all our businesses. Although we have generally been able to recover certain costs increases, we may be unable to offset the impact of future cost increases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component parts, or at all, could have a material adverse effect on us. To the extent there are energy supply disruptions or material fluctuations in energy costs, our margins could be materially adversely impacted.</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material service disruption from one of our suppliers, either due to circumstances beyond the supplier’s control, such as geopolitical developments, including any potential impacts resulting from rising tensions between the United States and China, or logistical complications or operational disruptions due to weather, global climate change, earthquakes or other natural disasters, or as a result of performance problems or financial difficulties, could have a material adverse effect on our ability to meet commitments to our customers or increase our operating costs. In recent years we have experienced even greater uncertainties in the economic environment, including input cost inflation, supply chain disruptions with our subcontractors and suppliers, shortages in global markets for commodities, logistics and labor, all of which have resulted in labor and manufacturing inefficiencies given the challenges in production scheduling.</w:t>
      </w:r>
    </w:p>
    <w:p>
      <w:pPr>
        <w:spacing w:after="0" w:line="1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our goodwill and intangible assets were $517.4 million and represented 39.1%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exposed to risks associated with an increasingly concentrated customer base.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no individual customer accounted for 10% or more of our consolidated net sales for 2024, 2023 or 2022, our customer base has become, and may further become, increasingly concentrated as a result of our strategy to focus on growing sales with existing customers in packaging end markets, or due to customer consolidations. In 2024, our Aerospace and Specialty Products segments each had a customer that comprised 10% or more of its segment revenue. As a result of these factors, changes to or reductions in the buying patterns of these larger customers, including our customers diversifying their supply base, may expose our business and results of operations to greater volatility. For example, in a prior period, a large commercial aircraft manufacturer announced significant production delays and/or reductions on certain of its platforms for which we provide products, which significantly impacted our sales, profit and production efficiencies compared to historical levels.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For example, beginning late 2023 and continuing through 2024, we experienced a significant demand trough in our cylinder business as our customers rebalanced their inventory and adjusted their buying patterns. Further, a number of our consumer packaged goods customers ordered higher levels of inventory due to concerns over capacity constraints and rising inflation in the first half of 2022, and subsequently reduced their order levels in the back-half of 2022. Sales of our consumer and industrial packaging products decreased in 2023, which we believe was due to lower customer order activity given high customer stocking levels, as well as continuing uncertainty around consumer sentiment as a result of the inflationary environment. In addition,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manufacturing facilities for the production of our highly-engineered products, which subjects us to risks associated with disruptions and changing technology and manufacturing techniques that could place us at a competitive disadvantage.</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manufacturing facilities become unavailable either temporarily or permanently due to weather, earthquakes or other natural disasters related to global climate change, or geopolitical developments, including any potential impacts resulting from tensions between the United States and China, or logistical complications or operational disruptions arising from adverse regulatory actions, acts of war, cybersecurity incidents, public health crises or labor disruptions, we may be unable to shift production to other facilities or to make up for lost production. For example, our Aerospace manufacturing facilities are predominately located in southern California, an area known for earthquakes and wildfires,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major failure of our information systems could harm our business; increased cybersecurity threats and more sophisticated and targeted cybersecurity attacks could pose a risk to our systems, networks and products.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cybersecurity incidents or other causes.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Cybersecurity incidents and similar attacks vary in their form and can include the deployment of harmful malware or ransomware, denial-of-service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Cybersecurity threat actors also may attempt to exploit vulnerabilities in software that is commonly used by companies in cloud-based services and bundled software. Any significant disruption or slowdown of our systems could cause customers to cancel orders or cause standard business processes to become inefficient or ineffective.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cybersecurity incidents in the past and, while none of these cybersecurity incidents resulted in a material disruption to our business, we may experience additional cybersecurity incidents in the future. Further, there can be no assurance that a future cybersecurity incident will not result in a material disruption to our business or have a material adverse effect on our business strategy, results of operations or financial condition. Increased global IT security threats and more sophisticated and targeted cybersecurity attacks, including the rapid evolution and increased availability of artificial intelligence technologies that may intensify cybersecurity risks by making cybersecurity incidents more difficult to detect, contain and mitigate,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cybersecurity threats or cybersecurity incidents.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their nature and scope, cybersecurity threats, cybersecurity incidents or disruptions involving our systems, or the systems of our third-party business partners, could potentially lead to the compromising of confidential information and communications, loss of intellectual property, improper use of our systems and networks, manipulation, corruption and destruction of data, defective products, production downtimes and operational disruptions, as wells as, costs related to remediation or the payment of ransom, litigation, including commercial litigation, administrative, civil or criminal investigations or actions, regulatory intervention and sanctions or fines or investigation costs, which in turn could adversely affect our reputation, competitiveness, financial condition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growing portion of our sales and earnings may be derived from international sources, which exposes us to certain risks which may adversely affect our financial results and impact our ability to service debt.</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operations outside of the United States. Of our net sales for the year ended December 31, 2024, 25.1% were derived from sales by our subsidiaries located outside of the United States.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9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currency exchange between the U.S. dollar and currencies in international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disruptions, including labor unrest, civil strife, public health crises (including viral outbreaks such as the coronavirus), acts of war, guerrilla activities, insurrection and terrorism;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that regulates the use of chemicals;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of competing against companies from countries that are not subject to U.S. laws and regulations, including the Foreign Corrupt Practices Act ("FCPA");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trade laws and regulations, including export control and economic sanctions, such as anti-dumping duties;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multi-national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enforce legal rights and remedies;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inefficiencies in repatriating cash flow from non-U.S. subsidiaries that could affect our financial results and reduce our ability to service debt;</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arising out of foreign sovereignty over the areas where our operations are conducted.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sustainability and ESG considerations could expose us to potential liabilities, increased costs, reputational harm and other adverse effects on our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sustainability and ESG considerations relating to businesses. We have announced certain areas of focus through information on our website, press statements and other communications, including through our Sustainability Reports. The criteria used to evaluate sustainability and ESG practices, including goals and initiatives, may continue to evolve, which could result in greater expectations and may cause us to make investments, which may be material, to satisfy new criteria. In addition, some stakeholders may disagree with our goals and initiatives, or have very different views on where our sustainability and ESG focus should be placed, including differing views of regulators in various jurisdictions in which we operate. The increasing attention to sustainability could also result in reduced demand for certain of our products and/or reduced profits. If we are unable to respond effectively, investors may conclude that our sustainability and ESG policies and/or actions are inadequate. Any failure, or perceived failure, by us to achieve our sustainability or ESG goals and initiatives, adhere to our public statements, comply with federal, state or international laws and regulations, meet evolving and varied stakeholder expectations and standards, or accurately disclose our progress on such matters, could expose us to potential liabilities, increased costs, reputational harm and other adverse effects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Environmental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in U.S. trade policies could have a material adverse effect on us and our financial condition and results of operations.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The United States government has indicated its intent to alter its approach to international trade policy and in some cases to renegotiate, or potentially terminate, certain existing bilateral or multi-lateral trade agreements and treaties with foreign countries. Retaliatory tariffs imposed by other countries or other potential governmental actions, could result in further adverse impacts on our business and results of operations. These tariffs, and other governmental actions relating to international trade agreements or policies, the adoption and expansion of trade restrictions, or the occurrence of trade wars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The degree to which these changes in U.S. trade policies, or the trade policies of other counties, affect our financial condition and results of operations will be influenced by the specific details of the changes in trade policies, their timing and duration, and our effectiveness in deploying tools and strategies to address these issues. For example,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and changes in tax laws, including tax reform legislation in the United States, could materially and adversely impact our financial condition, results of operations and cash flows.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monitor and evaluate legislative developments related to the Global Anti-Base Erosion Proposal ("GloBE") established by the Organization of Economic Cooperation and Development's ("OECD") Pillar Two framework. OECD member countries may implement the Pillar Two model rules as issued, in a modified form, or not at all. On December 12, 2022, the European Union member states agreed to implement the OECD's Pillar Two global corporate minimum tax rate of 15% on companies with revenues of at least $790,000, which went into effect in January 2024. A number of other countries have passed legislation enacting certain parts of the Pillar Two framework in 2024. While the Pillar Two legislation did not have a material impact on our 2024 consolidated financial statements, it could have a material impact on our effective tax rate and result in higher cash tax liabilities in the future, depending on which countries enact minimum tax legislation and in what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liability associated with the use of products for which patent ownership or other intellectual property rights are claimed.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intellectual property.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losses and costs as a result of product liability, recall and warranty claims brought against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from time to time, subject to a variety of claims or litigation incidental to our businesses, including demands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former Lamons business is a named party to lawsuits related to asbestos contained in gaskets alleged to be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4,968 claims pending at December 31, 2024, 28 set forth specific amounts of damages (other than those stating the statutory minimum or maximum).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within this Form 10-K for additional information.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settlement costs (exclusive of defense costs) for all such cases, some of which were filed more than 30 years ago, have been $13.7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In the event the asbestos defense costs and indemnity insurance coverage provided by the coverage-in-place agreement are unavailable to us for any reason, we may incur additional costs. We also may be required to incur additional defense costs and pay damage awards or settlements, or become subject to equitable remedies, in the future that could adversely affect our businesses.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by compliance obligations and liabilities under environmental laws and regulations, including related to climate change.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including those relating to air emissions, wastewater discharges and chemical and hazardous waste management and disposal. A number of governments or governmental bodies have introduced or are contemplating introducing regulatory changes in response to climate change, including regulating greenhouse gas emissions. Some of these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liabilities.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fund energy efficiency activities, fees or restrictions on certain activities, the modification or curtailment of operations, installation of pollution control equipment or investigation and cleanup of contaminated sites. Any adopted future regulations could also negatively impact our ability to compete with companies situated in areas not subject to such limitations, and we may not be able to recover the cost of compliance with new or more stringent laws and regulations, which could adversely impact our results of operations, cash flow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may be impaired by legal compliance risks.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(including with respect to the European Union’s General Data Protection Regulation and U.S. state privacy laws such as the California Consumer Privacy Act),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Debt and Other Financial Obligations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debt principal and interest payment requirements that may restrict our future operations and impair our ability to meet our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have $398.1 million of outstanding long-term debt. We are subject to variable interest rates on our revolving credit facility. Such interest rates are subject to benchmark interest rates based on the currency denomination of borrowings, with British pound sterling borrowings subject to the Sterling Overnight Index Average and Euro borrowings subject to the Euro InterBank Offered Rate, both plus a spread of 1.750%, and U.S. dollar borrowings subject to the Secured Overnight Financing Rate plus a spread of 1.850%. The interest rate spread is based upon the leverage ratio, as defined, as of the most recent determination date. We may experience increases in our interest expense as a result of general increases in interest rate levels. In addition, we could be further impacted by changes in variable interest rates. Our reference rates under our revolving credit facility may perform differently from historical rates, which may affect our net interest expense and require changes to our future risk, pricing and hedging strategies. We had $1.5 million outstanding under our revolving credit facility as of December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degree of leverage and level of interest expense may have important consequences, including:</w:t>
      </w:r>
    </w:p>
    <w:p>
      <w:pPr>
        <w:spacing w:after="0" w:line="144" w:lineRule="exact"/>
        <w:rPr>
          <w:sz w:val="20"/>
          <w:szCs w:val="20"/>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our leverage increase, it may place us at a competitive disadvantage as compared with our less leveraged competitors and make us more vulnerable in the event of a downturn in general economic conditions or in any of our businesses;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businesses and the industries in which we operate may be limited;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debt instruments limit our ability to take certain actions and breaches thereof could impair our liquidity.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the indenture governing our senior notes contain covenants that restrict our ability to:</w:t>
      </w:r>
    </w:p>
    <w:p>
      <w:pPr>
        <w:spacing w:after="0" w:line="15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repurchase capital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and joint venture investments;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may be impacted by our credit ratings developed by various rating agencies.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operating and finance lease obligations and our failure to meet those obligations could adversely affect our financial condition.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many of our manufacturing and distribution branch facilities, and certain capital equipment. Our rental expense in 2024 under these leases was $13.9 million. A failure to pay our rental obligations would constitute a default allowing the applicable landlord to pursue any remedy available to it under applicable law, which would include taking possession of our property and, in the case of real property, evicting us. The majority of our leases are categorized as operating leases and are not considered indebtedness for purposes of our debt instruments.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services of key individuals and relationships, the loss of which could materially harm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the efforts of our key leadership, including key operational, technical, commercial, manufacturing and financial personnel. Our business leadership teams have served a vast majority of their careers in, and are deeply experienced in, the industries we operate.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have one facility, located in Commerce, California, where our hourly employees operate under a collective bargaining agreement, and which represents 13% of our employees located in the United States. We have six facilities outside of the United States where our employees are affiliated with state-controlled or trade unions, which covers 13% of our non-U.S. employees. Our labor agreement with the United Automobile, Aerospace and Agricultural Implement Workers of America (UAW) at our TriMas Aerospace facility in Commerce, California, expired in August 2024, at which time the UAW initiated a strike. We entered into a new three-year collective bargaining agreement in October 2024. We are not aware of any present active union organizing drives at any of our other facilities. We cannot predict the impact of any further unionization of our workplace.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utilized.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costs for active employees may exceed projections and may negatively affect our financial results.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integrated information systems to conduct our business. Accordingly, we have processes in place designed to protect our information systems and to assess, identify and manage material risks from cybersecurity threats. As part of our Cyber Security Continuous Improvement Strategy, we continuously assess and improve our information systems to keep pace with the evolving threat landscape. We maintain a cybersecurity program that incorporates security measures from frameworks like the National Institute of Standards and Technology and the Center for Internet Security ("NIST"). This does not mean that we meet any particular technical standards, specifications, or requirements, but only that we use the NIST as a guide to help us identify, assess, and manage cybersecurity risks relevant to our business. Alongside the Company's preventative measures that employ traditional and artificial intelligence technologies, we actively monitor and audit our information technology and data assets to detect any anomalies and to respond quickly to potential threats that may arise.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applying security controls to prevent unauthorized access to sensitive information and protecting the Company's information systems and networks from exploitation by outsiders, we also deploy cybersecurity training courses to all employees annually, maintain an incident response plan, establish cybersecurity contingency plans and conduct phishing testing on a quarterly basis.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oversight of the Company's cybersecurity risk management process is integrated into our annual Enterprise Risk Management ("ERM") process. Our ERM process is designed to enable leaders to identify and assess leading risks facing the Company, including risks related to cybersecurity, and work collaboratively to implement plans to mitigate these risks. We also utilize third-party experts to evaluate the Company’s security program and test operational effectiveness of our security controls.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processes designed to oversee and identify risks from cybersecurity threats associated with our use of third-party service providers. For example, our Terms and Conditions within our agreements with suppliers, vendors, contractors, consultants, partners and others with whom we do business (collectively "Suppliers") generally require that our Suppliers safeguard and protect the information entrusted to them, as well as information generated or developed by them, from unauthorized access, destruction, use, modification or disclosure. We also encourage the our Suppliers to maintain risked-based cybersecurity programs designed to mitigate emerging threats to their information systems, products, services and supply chain, while complying with all applicable contractual and legal requirements. However, we may have little or no oversight with respect to security measures employed by third-party service providers, which may ultimately prove to be ineffective at countering cybersecurity threats.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experienced cybersecurity incidents in the past and, while none of these cybersecurity incidents resulted in a material disruption to our business, we may experience additional cybersecurity incidents in the future. As of the filing of this Form 10-K, we do not believe that any risks from cybersecurity threats, including as a result of any previous cybersecurity incidents, have materially affected, or are reasonably likely to materially affect us, including our business strategy, results of operations or financial condition. For additional information, refer to "Risks Relating to Our Business – </w:t>
      </w:r>
      <w:r>
        <w:rPr>
          <w:rFonts w:ascii="Times New Roman" w:cs="Times New Roman" w:eastAsia="Times New Roman" w:hAnsi="Times New Roman"/>
          <w:sz w:val="18"/>
          <w:szCs w:val="18"/>
          <w:i w:val="1"/>
          <w:iCs w:val="1"/>
          <w:color w:val="auto"/>
        </w:rPr>
        <w:t>A major failure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systems could harm our business; increased cybersecurity threats and more sophisticated and targeted cybersecurity attacks could pose a risk to our systems, networks and products.</w:t>
      </w:r>
      <w:r>
        <w:rPr>
          <w:rFonts w:ascii="Times New Roman" w:cs="Times New Roman" w:eastAsia="Times New Roman" w:hAnsi="Times New Roman"/>
          <w:sz w:val="18"/>
          <w:szCs w:val="18"/>
          <w:color w:val="auto"/>
        </w:rPr>
        <w:t>" in "</w:t>
      </w:r>
      <w:r>
        <w:rPr>
          <w:rFonts w:ascii="Times New Roman" w:cs="Times New Roman" w:eastAsia="Times New Roman" w:hAnsi="Times New Roman"/>
          <w:sz w:val="18"/>
          <w:szCs w:val="18"/>
          <w:i w:val="1"/>
          <w:iCs w:val="1"/>
          <w:color w:val="auto"/>
        </w:rPr>
        <w:t xml:space="preserve">Item 1A. Risk Factors" </w:t>
      </w:r>
      <w:r>
        <w:rPr>
          <w:rFonts w:ascii="Times New Roman" w:cs="Times New Roman" w:eastAsia="Times New Roman" w:hAnsi="Times New Roman"/>
          <w:sz w:val="18"/>
          <w:szCs w:val="18"/>
          <w:color w:val="auto"/>
        </w:rPr>
        <w:t>within this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(the "Board") is presented with a cybersecurity update quarterly which is integrated within our TriMas Incident Response Plan. The Board reviews the Company's ERM process, including the design of the program, the key risks identified and the actions identified to manage and reduce those risks. Consistent with this undertaking, the Board regularly reviews the Company's cybersecurity strategy and activities in support of the strategy. As part of its compliance oversight responsibilities, the Audit Committee of the Board (the "Audit Committee") is responsible for the review of compliance with laws, regulations and internal policies and procedures of our information and cybersecurity programs. The Board and the Audit Committee receive updates from management quarterly on information and cybersecurity status and enhancements. Additionally, prompt notification of the Board is integrated into the Incident Response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Information Officer ("CIO") is responsible for assessing and managing material risks from cybersecurity threats, including monitoring the prevention, detection, mitigation and remediation of cybersecurity incidents. Our CIO has 20-plus years of experience in the cybersecurity industry. Our CIO is informed of such incidents through the Infrastructure and Security Team. Our CIO reports directly to the Company's Chief Financial Officer and reports information on these risks and incidents to the Board and the Audit Committee. Additionally, our CIO meets monthly with TriMas Senior Leadership in the Security Incident Management and Mitigation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2025 through 2033 and are generally renewable, at our option, for various terms, provided that we are not in default under the lease agreements. Substantially all of our owned U.S. real properties are subject to liens in connection with our credit facility. TriMas' corporate executive office is located in Bloomfield Hills, Michigan, which is leased through June 2033. Our buildings have been generally well maintained, are in good operating condition and are adequate for current production requirements.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list sets forth the location of our principal owned and leased manufacturing and other facilities used in continuing operations and identifies the principal segment utilizing such facilities as of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Packaging</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Aerospace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Specialty Products</w:t>
            </w:r>
          </w:p>
        </w:tc>
      </w:tr>
      <w:tr>
        <w:trPr>
          <w:trHeight w:val="210"/>
        </w:trPr>
        <w:tc>
          <w:tcPr>
            <w:tcW w:w="4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Alabama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Huntsville</w:t>
            </w: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Arkansas</w:t>
            </w:r>
          </w:p>
        </w:tc>
        <w:tc>
          <w:tcPr>
            <w:tcW w:w="2720" w:type="dxa"/>
            <w:vAlign w:val="bottom"/>
            <w:gridSpan w:val="2"/>
            <w:shd w:val="clear" w:color="auto" w:fill="CCEEFF"/>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4"/>
              </w:rPr>
              <w:t>Atkins</w:t>
            </w:r>
            <w:r>
              <w:rPr>
                <w:rFonts w:ascii="Times New Roman" w:cs="Times New Roman" w:eastAsia="Times New Roman" w:hAnsi="Times New Roman"/>
                <w:sz w:val="23"/>
                <w:szCs w:val="23"/>
                <w:color w:val="auto"/>
                <w:w w:val="94"/>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1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Arizona</w:t>
            </w: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Mesa</w:t>
            </w:r>
          </w:p>
        </w:tc>
        <w:tc>
          <w:tcPr>
            <w:tcW w:w="26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Tolleson</w:t>
            </w:r>
          </w:p>
        </w:tc>
        <w:tc>
          <w:tcPr>
            <w:tcW w:w="2620" w:type="dxa"/>
            <w:vAlign w:val="bottom"/>
          </w:tcPr>
          <w:p>
            <w:pPr>
              <w:spacing w:after="0"/>
              <w:rPr>
                <w:sz w:val="20"/>
                <w:szCs w:val="20"/>
                <w:color w:val="auto"/>
              </w:rPr>
            </w:pPr>
          </w:p>
        </w:tc>
      </w:tr>
      <w:tr>
        <w:trPr>
          <w:trHeight w:val="180"/>
        </w:trPr>
        <w:tc>
          <w:tcPr>
            <w:tcW w:w="40" w:type="dxa"/>
            <w:vAlign w:val="bottom"/>
          </w:tcPr>
          <w:p>
            <w:pPr>
              <w:spacing w:after="0"/>
              <w:rPr>
                <w:sz w:val="15"/>
                <w:szCs w:val="15"/>
                <w:color w:val="auto"/>
              </w:rPr>
            </w:pPr>
          </w:p>
        </w:tc>
        <w:tc>
          <w:tcPr>
            <w:tcW w:w="3140" w:type="dxa"/>
            <w:vAlign w:val="bottom"/>
            <w:shd w:val="clear" w:color="auto" w:fill="CCEEFF"/>
          </w:tcPr>
          <w:p>
            <w:pPr>
              <w:ind w:left="440"/>
              <w:spacing w:after="0" w:line="180" w:lineRule="exact"/>
              <w:rPr>
                <w:sz w:val="20"/>
                <w:szCs w:val="20"/>
                <w:color w:val="auto"/>
              </w:rPr>
            </w:pPr>
            <w:r>
              <w:rPr>
                <w:rFonts w:ascii="Times New Roman" w:cs="Times New Roman" w:eastAsia="Times New Roman" w:hAnsi="Times New Roman"/>
                <w:sz w:val="18"/>
                <w:szCs w:val="18"/>
                <w:color w:val="auto"/>
              </w:rPr>
              <w:t>California</w:t>
            </w:r>
          </w:p>
        </w:tc>
        <w:tc>
          <w:tcPr>
            <w:tcW w:w="2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line="180" w:lineRule="exact"/>
              <w:rPr>
                <w:sz w:val="20"/>
                <w:szCs w:val="20"/>
                <w:color w:val="auto"/>
              </w:rPr>
            </w:pPr>
            <w:r>
              <w:rPr>
                <w:rFonts w:ascii="Times New Roman" w:cs="Times New Roman" w:eastAsia="Times New Roman" w:hAnsi="Times New Roman"/>
                <w:sz w:val="18"/>
                <w:szCs w:val="18"/>
                <w:color w:val="auto"/>
                <w:w w:val="99"/>
              </w:rPr>
              <w:t>City of Industry</w:t>
            </w:r>
          </w:p>
        </w:tc>
        <w:tc>
          <w:tcPr>
            <w:tcW w:w="2620" w:type="dxa"/>
            <w:vAlign w:val="bottom"/>
            <w:shd w:val="clear" w:color="auto" w:fill="CCEEFF"/>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Commerce</w:t>
            </w:r>
            <w:r>
              <w:rPr>
                <w:rFonts w:ascii="Times New Roman" w:cs="Times New Roman" w:eastAsia="Times New Roman" w:hAnsi="Times New Roman"/>
                <w:sz w:val="20"/>
                <w:szCs w:val="20"/>
                <w:color w:val="auto"/>
                <w:vertAlign w:val="superscript"/>
              </w:rPr>
              <w:t>(1)</w:t>
            </w:r>
          </w:p>
        </w:tc>
        <w:tc>
          <w:tcPr>
            <w:tcW w:w="2620" w:type="dxa"/>
            <w:vAlign w:val="bottom"/>
            <w:shd w:val="clear" w:color="auto" w:fill="CCEEFF"/>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w w:val="99"/>
              </w:rPr>
              <w:t>Simi Valley</w:t>
            </w:r>
            <w:r>
              <w:rPr>
                <w:rFonts w:ascii="Times New Roman" w:cs="Times New Roman" w:eastAsia="Times New Roman" w:hAnsi="Times New Roman"/>
                <w:sz w:val="21"/>
                <w:szCs w:val="21"/>
                <w:color w:val="auto"/>
                <w:w w:val="99"/>
                <w:vertAlign w:val="superscript"/>
              </w:rPr>
              <w:t>(1)</w:t>
            </w:r>
          </w:p>
        </w:tc>
        <w:tc>
          <w:tcPr>
            <w:tcW w:w="2620" w:type="dxa"/>
            <w:vAlign w:val="bottom"/>
            <w:shd w:val="clear" w:color="auto" w:fill="CCEEFF"/>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El Cajon</w:t>
            </w:r>
          </w:p>
        </w:tc>
        <w:tc>
          <w:tcPr>
            <w:tcW w:w="262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Colorado</w:t>
            </w:r>
          </w:p>
        </w:tc>
        <w:tc>
          <w:tcPr>
            <w:tcW w:w="272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3"/>
              </w:rPr>
              <w:t>Denver</w:t>
            </w:r>
            <w:r>
              <w:rPr>
                <w:rFonts w:ascii="Times New Roman" w:cs="Times New Roman" w:eastAsia="Times New Roman" w:hAnsi="Times New Roman"/>
                <w:sz w:val="23"/>
                <w:szCs w:val="23"/>
                <w:color w:val="auto"/>
                <w:w w:val="93"/>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Illinois</w:t>
            </w:r>
          </w:p>
        </w:tc>
        <w:tc>
          <w:tcPr>
            <w:tcW w:w="272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3"/>
              </w:rPr>
              <w:t>Woodridge</w:t>
            </w:r>
            <w:r>
              <w:rPr>
                <w:rFonts w:ascii="Times New Roman" w:cs="Times New Roman" w:eastAsia="Times New Roman" w:hAnsi="Times New Roman"/>
                <w:sz w:val="23"/>
                <w:szCs w:val="23"/>
                <w:color w:val="auto"/>
                <w:w w:val="93"/>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1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Indiana</w:t>
            </w:r>
          </w:p>
        </w:tc>
        <w:tc>
          <w:tcPr>
            <w:tcW w:w="27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Auburn</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7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Hamilton</w:t>
            </w:r>
            <w:r>
              <w:rPr>
                <w:rFonts w:ascii="Times New Roman" w:cs="Times New Roman" w:eastAsia="Times New Roman" w:hAnsi="Times New Roman"/>
                <w:sz w:val="20"/>
                <w:szCs w:val="20"/>
                <w:color w:val="auto"/>
                <w:vertAlign w:val="superscript"/>
              </w:rPr>
              <w:t>(1)</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72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8"/>
                <w:szCs w:val="18"/>
                <w:color w:val="auto"/>
                <w:w w:val="95"/>
              </w:rPr>
              <w:t>Indianapolis</w:t>
            </w:r>
            <w:r>
              <w:rPr>
                <w:rFonts w:ascii="Times New Roman" w:cs="Times New Roman" w:eastAsia="Times New Roman" w:hAnsi="Times New Roman"/>
                <w:sz w:val="23"/>
                <w:szCs w:val="23"/>
                <w:color w:val="auto"/>
                <w:w w:val="95"/>
                <w:vertAlign w:val="superscript"/>
              </w:rPr>
              <w:t>(1)</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Kansas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Ottawa</w:t>
            </w: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Michigan</w:t>
            </w:r>
          </w:p>
        </w:tc>
        <w:tc>
          <w:tcPr>
            <w:tcW w:w="272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7"/>
              </w:rPr>
              <w:t>Clinton Township</w:t>
            </w:r>
            <w:r>
              <w:rPr>
                <w:rFonts w:ascii="Times New Roman" w:cs="Times New Roman" w:eastAsia="Times New Roman" w:hAnsi="Times New Roman"/>
                <w:sz w:val="23"/>
                <w:szCs w:val="23"/>
                <w:color w:val="auto"/>
                <w:w w:val="97"/>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Ohio</w:t>
            </w:r>
          </w:p>
        </w:tc>
        <w:tc>
          <w:tcPr>
            <w:tcW w:w="272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New Albany</w:t>
            </w:r>
            <w:r>
              <w:rPr>
                <w:rFonts w:ascii="Times New Roman" w:cs="Times New Roman" w:eastAsia="Times New Roman" w:hAnsi="Times New Roman"/>
                <w:sz w:val="23"/>
                <w:szCs w:val="23"/>
                <w:color w:val="auto"/>
                <w:w w:val="95"/>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Oklahoma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Tulsa</w:t>
            </w: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Texas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Longview</w:t>
            </w:r>
          </w:p>
        </w:tc>
      </w:tr>
      <w:tr>
        <w:trPr>
          <w:trHeight w:val="270"/>
        </w:trPr>
        <w:tc>
          <w:tcPr>
            <w:tcW w:w="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Brazil</w:t>
            </w:r>
          </w:p>
        </w:tc>
        <w:tc>
          <w:tcPr>
            <w:tcW w:w="272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5"/>
              </w:rPr>
              <w:t>Sao Paulo</w:t>
            </w:r>
            <w:r>
              <w:rPr>
                <w:rFonts w:ascii="Times New Roman" w:cs="Times New Roman" w:eastAsia="Times New Roman" w:hAnsi="Times New Roman"/>
                <w:sz w:val="23"/>
                <w:szCs w:val="23"/>
                <w:color w:val="auto"/>
                <w:w w:val="95"/>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Canada</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Orangeville</w:t>
            </w:r>
            <w:r>
              <w:rPr>
                <w:rFonts w:ascii="Times New Roman" w:cs="Times New Roman" w:eastAsia="Times New Roman" w:hAnsi="Times New Roman"/>
                <w:sz w:val="23"/>
                <w:szCs w:val="23"/>
                <w:color w:val="auto"/>
                <w:w w:val="95"/>
                <w:vertAlign w:val="superscript"/>
              </w:rPr>
              <w:t>(1)</w:t>
            </w:r>
          </w:p>
        </w:tc>
        <w:tc>
          <w:tcPr>
            <w:tcW w:w="26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China</w:t>
            </w:r>
          </w:p>
        </w:tc>
        <w:tc>
          <w:tcPr>
            <w:tcW w:w="272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6"/>
              </w:rPr>
              <w:t>Haining City</w:t>
            </w:r>
            <w:r>
              <w:rPr>
                <w:rFonts w:ascii="Times New Roman" w:cs="Times New Roman" w:eastAsia="Times New Roman" w:hAnsi="Times New Roman"/>
                <w:sz w:val="23"/>
                <w:szCs w:val="23"/>
                <w:color w:val="auto"/>
                <w:w w:val="96"/>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Germany</w:t>
            </w: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Neunkirchen</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1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India</w:t>
            </w:r>
          </w:p>
        </w:tc>
        <w:tc>
          <w:tcPr>
            <w:tcW w:w="27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Baddi</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72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color w:val="auto"/>
                <w:w w:val="95"/>
              </w:rPr>
              <w:t>New Delhi</w:t>
            </w:r>
            <w:r>
              <w:rPr>
                <w:rFonts w:ascii="Times New Roman" w:cs="Times New Roman" w:eastAsia="Times New Roman" w:hAnsi="Times New Roman"/>
                <w:sz w:val="23"/>
                <w:szCs w:val="23"/>
                <w:color w:val="auto"/>
                <w:w w:val="95"/>
                <w:vertAlign w:val="superscript"/>
              </w:rPr>
              <w:t>(1)</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176"/>
        </w:trPr>
        <w:tc>
          <w:tcPr>
            <w:tcW w:w="40" w:type="dxa"/>
            <w:vAlign w:val="bottom"/>
          </w:tcPr>
          <w:p>
            <w:pPr>
              <w:spacing w:after="0"/>
              <w:rPr>
                <w:sz w:val="15"/>
                <w:szCs w:val="15"/>
                <w:color w:val="auto"/>
              </w:rPr>
            </w:pPr>
          </w:p>
        </w:tc>
        <w:tc>
          <w:tcPr>
            <w:tcW w:w="314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Italy</w:t>
            </w:r>
          </w:p>
        </w:tc>
        <w:tc>
          <w:tcPr>
            <w:tcW w:w="27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Borgo San Giovanni</w:t>
            </w:r>
            <w:r>
              <w:rPr>
                <w:rFonts w:ascii="Times New Roman" w:cs="Times New Roman" w:eastAsia="Times New Roman" w:hAnsi="Times New Roman"/>
                <w:sz w:val="20"/>
                <w:szCs w:val="20"/>
                <w:color w:val="auto"/>
                <w:vertAlign w:val="superscript"/>
              </w:rPr>
              <w:t>(1)</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Forli</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2720" w:type="dxa"/>
            <w:vAlign w:val="bottom"/>
            <w:gridSpan w:val="2"/>
            <w:shd w:val="clear" w:color="auto" w:fill="CCEEFF"/>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Pieve Fissiraga</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Povolaro</w:t>
            </w: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c>
          <w:tcPr>
            <w:tcW w:w="272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7"/>
              </w:rPr>
              <w:t>San Miguel de Allende</w:t>
            </w:r>
            <w:r>
              <w:rPr>
                <w:rFonts w:ascii="Times New Roman" w:cs="Times New Roman" w:eastAsia="Times New Roman" w:hAnsi="Times New Roman"/>
                <w:sz w:val="23"/>
                <w:szCs w:val="23"/>
                <w:color w:val="auto"/>
                <w:w w:val="97"/>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Netherlands</w:t>
            </w:r>
          </w:p>
        </w:tc>
        <w:tc>
          <w:tcPr>
            <w:tcW w:w="2720" w:type="dxa"/>
            <w:vAlign w:val="bottom"/>
            <w:gridSpan w:val="2"/>
            <w:shd w:val="clear" w:color="auto" w:fill="CCEEFF"/>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3"/>
              </w:rPr>
              <w:t>Waalwijk</w:t>
            </w:r>
            <w:r>
              <w:rPr>
                <w:rFonts w:ascii="Times New Roman" w:cs="Times New Roman" w:eastAsia="Times New Roman" w:hAnsi="Times New Roman"/>
                <w:sz w:val="23"/>
                <w:szCs w:val="23"/>
                <w:color w:val="auto"/>
                <w:w w:val="93"/>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Slovakia</w:t>
            </w:r>
          </w:p>
        </w:tc>
        <w:tc>
          <w:tcPr>
            <w:tcW w:w="272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color w:val="auto"/>
                <w:w w:val="92"/>
              </w:rPr>
              <w:t>Levice</w:t>
            </w:r>
            <w:r>
              <w:rPr>
                <w:rFonts w:ascii="Times New Roman" w:cs="Times New Roman" w:eastAsia="Times New Roman" w:hAnsi="Times New Roman"/>
                <w:sz w:val="23"/>
                <w:szCs w:val="23"/>
                <w:color w:val="auto"/>
                <w:w w:val="92"/>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c>
          <w:tcPr>
            <w:tcW w:w="2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Leicester</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306"/>
        </w:trPr>
        <w:tc>
          <w:tcPr>
            <w:tcW w:w="40" w:type="dxa"/>
            <w:vAlign w:val="bottom"/>
          </w:tcPr>
          <w:p>
            <w:pPr>
              <w:spacing w:after="0"/>
              <w:rPr>
                <w:sz w:val="24"/>
                <w:szCs w:val="24"/>
                <w:color w:val="auto"/>
              </w:rPr>
            </w:pPr>
          </w:p>
        </w:tc>
        <w:tc>
          <w:tcPr>
            <w:tcW w:w="3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Vietnam</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Thu Dau Mot</w:t>
            </w:r>
            <w:r>
              <w:rPr>
                <w:rFonts w:ascii="Times New Roman" w:cs="Times New Roman" w:eastAsia="Times New Roman" w:hAnsi="Times New Roman"/>
                <w:sz w:val="23"/>
                <w:szCs w:val="23"/>
                <w:color w:val="auto"/>
                <w:w w:val="96"/>
                <w:vertAlign w:val="superscript"/>
              </w:rPr>
              <w:t>(1)</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79"/>
        </w:trPr>
        <w:tc>
          <w:tcPr>
            <w:tcW w:w="3180" w:type="dxa"/>
            <w:vAlign w:val="bottom"/>
            <w:gridSpan w:val="2"/>
          </w:tcPr>
          <w:p>
            <w:pPr>
              <w:jc w:val="center"/>
              <w:ind w:right="1890"/>
              <w:spacing w:after="0"/>
              <w:rPr>
                <w:sz w:val="20"/>
                <w:szCs w:val="20"/>
                <w:color w:val="auto"/>
              </w:rPr>
            </w:pPr>
            <w:r>
              <w:rPr>
                <w:rFonts w:ascii="Times New Roman" w:cs="Times New Roman" w:eastAsia="Times New Roman" w:hAnsi="Times New Roman"/>
                <w:sz w:val="11"/>
                <w:szCs w:val="11"/>
                <w:color w:val="auto"/>
                <w:w w:val="99"/>
              </w:rPr>
              <w:t>______________________</w:t>
            </w: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99"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 leased facility. All such leases are operating leases.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Item. Information about our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following were executive officers of the Company:</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Thomas A. Amato. </w:t>
      </w:r>
      <w:r>
        <w:rPr>
          <w:rFonts w:ascii="Times New Roman" w:cs="Times New Roman" w:eastAsia="Times New Roman" w:hAnsi="Times New Roman"/>
          <w:sz w:val="18"/>
          <w:szCs w:val="18"/>
          <w:color w:val="auto"/>
        </w:rPr>
        <w:t>Mr. Amato, age 61, was appointed the Company's President and Chief Executive Officer in July 2016. Previously, he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publicly-traded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 Mr. Amato also serves on the Board of Directors of Ametek, a publicly-traded diversified industrial manufacturing company, and is appointed as its Compensation Committee Chair.</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Scott A. Mell. </w:t>
      </w:r>
      <w:r>
        <w:rPr>
          <w:rFonts w:ascii="Times New Roman" w:cs="Times New Roman" w:eastAsia="Times New Roman" w:hAnsi="Times New Roman"/>
          <w:sz w:val="18"/>
          <w:szCs w:val="18"/>
          <w:color w:val="auto"/>
        </w:rPr>
        <w:t>Mr. Mell, age 53, was appointed the Company's Chief Financial Officer in May 2021. Prior to joining the Company, Mr. Mell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Recovery and Transformation Services for Riveron, a national business advisory firm, from October 2018 through April 2021. In his role with Riveron, Mr. Mell led projects at TriMas to support continuous improvement efforts within TriMas' Packaging and Aerospace segments. Mr. Mell has more than 25 years of leadership experience providing strategic, financial and operational advisory services focused on value creation and transformational change management. Prior to Riveron, Mr. Mell served as Managing Director at Ernst &amp; Young from October 2017 to October 2018. Mr. Mell also served as Vice President of Corporate Strategy at Motus Integrated Technologies from January 2017 to October 2017. Mr. Mell has held senior leadership positions within several global consulting firms, including McKinsey &amp; Company and AlixPartners. Mr. Mell’s previous experience also includes serving in multiple C-Suite roles for both public and privately-held companies in the industrial manufacturing, aerospace and energy industries.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Jill S. Stress. </w:t>
      </w:r>
      <w:r>
        <w:rPr>
          <w:rFonts w:ascii="Times New Roman" w:cs="Times New Roman" w:eastAsia="Times New Roman" w:hAnsi="Times New Roman"/>
          <w:sz w:val="18"/>
          <w:szCs w:val="18"/>
          <w:color w:val="auto"/>
        </w:rPr>
        <w:t>Ms. Stress, age 47, was appointed the Company's Chief Human Resources Officer in April 2023. Ms. Stress joined the Company in 2009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formerly the Company's Director of Compensation and Benefits. Prior to joining the Company, Ms. Stress was the Manager of Benefits, Compensation and Human Resources Systems at Behr America.</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Jodi F. Robin. </w:t>
      </w:r>
      <w:r>
        <w:rPr>
          <w:rFonts w:ascii="Times New Roman" w:cs="Times New Roman" w:eastAsia="Times New Roman" w:hAnsi="Times New Roman"/>
          <w:sz w:val="18"/>
          <w:szCs w:val="18"/>
          <w:color w:val="auto"/>
        </w:rPr>
        <w:t>Ms. Robin, age 44, was appointed the Company's General Counsel and Secretary in April 2021. Ms. Robin joined the Company in 2010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 General Counsel and was promoted to Deputy General Counsel in 2014. Prior to joining the Company, Ms. Robin was an attorney with Reed Smith LLP in Chicago,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listed for trading on the NASDAQ Global Select Market under the symbol "TRS." As of February 20, 2025, there were 136 holders of record of our common stock.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our Board of Directors declared the first dividend since our initial public offering in 2007. Since the fourth quarter of 2021, we have declared dividends of $0.04 per share of common stock each quarter, and total dividends declared and paid on common shares during 2024, 2023 and 2022 were $6.6 million, $6.7 million and $6.9 million, respectively. Holders of common stock are entitled to dividends at the discretion of our Board of Directors.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the discussion under Item 7,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and Note 18 to the Company's financial statements captioned "</w:t>
      </w: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from December 31, 2019 through December 31, 2024 for TriMas common stock, the Russell 2000 Index and the S&amp;P SmallCap 600 Capped Industrials Index. We have assumed that dividends have been reinvested and returns have been weighted-averaged based on market capitalization. The graph assumes that $100 was invested on December 31, 2019,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548640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purchases made by the Company, or on behalf of the Company by an affiliated purchaser, of shares of the Company's common stock during the three months ended December 31, 2024. In March 2020, the Board of Directors increased the authorization of share repurchases to a cumulative amount of $250 million. As of December 31, 2024, the Company had approximately $67.6 million remaining under the repurchase authorization.</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first by the onset and proliferation of the coronavirus pandemic ("pandemic"), then further from increased energy costs and supply chain disruptions from the Russia-Ukraine conflict, and more recently by cost inflation (raw materials, wage rates and freight) a lack of material and in certain regions skilled labor availability, as well as recent periods of destocking from prior periods of over-ordering by customers.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beginning mid-2022 and continuing through most of 2023, as a result of some of our larger customers' choices to rebalance on-hand inventory levels and caution in purchasing behaviors given the current inflationary macro-economic environment. Sales of certain of our aerospace-related products were significantly depressed from historical levels following the onset of the pandemic, but demand has significantly increased in recent quarters as air travel has picked-up and new aircraft build rates improve. Certain of our products for industrial applications, for example steel cylinders for packaged gas applications, have experienced volatility in demand related to customers securing high order rates in prior periods, only to enter a period of destocking in more recent periods. Altogether, this significant level of volatility in demand levels, input and transportation costs, and material and labor availability, have pressured our ability to operate efficiently in recent periods. While some areas of demand volatility and softness remain, such as in our Specialty Products segment, and more specifically our Norris Cylinder business, we have experienced more steady and consistent demand in our Packaging and Aerospace segments.</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2024 net sales increased $31.5 million, or 3.5%, compared to 2023. We experienced growth from acquisitions, as well as organic growth of 16.6% and 10.3% within our Aerospace and Packaging segments, respectively, compared to 2023. These increases were partially offset by lower sales of 37.2% in our Specialty Products segment as compared to the prior year as we work through a cyclical demand trough and destocking.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2024 compared with 2023, other than as directly impacted by sales changes, were the impact of our recent acquisitions, accelerated depreciation charges related to shortening the useful lives of certain machinery and equipment in our Specialty Products segment, increased costs and decreased sales resulting from a prolonged labor union strike at one of our manufacturing facilities within our Aerospace segment, a charge to update our asbestos liability based on our recent actuarial valuation, improved material availability within our Aerospace segment, charges associated with environmental remediation liabilities, increased input costs, including expedited freight within our Packaging segment, lower realignment charges, and a decrease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we acquired Weldmac Manufacturing Company ("Weldmac"), a designer and manufacturer of complex metal fabricated components and assemblies for the aerospace, defense and space launch end markets for a purchase price of $34.0 million, with additional contingent consideration of $5.5 million paid in July 2023 and $2.25 million paid in October 2024 based on achievement of earnings targets. Weldmac, which is reported in our Aerospace segment, is located in El Cajon, California. Weldmac contributed $12.9 million of acquisition-related net sales growth during 2024.</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our Packaging segment, is located in Waalwijk, the Netherlands, and contributed $2.8 million of acquisition-related sales growth during 2024 resulting from its January 2024 sales.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following a strategic demand and profitability study of our cylinders products within our Specialty Products segment, we ceased use of our second hot forge which primarily produced lower profitability products, resulting in pre-tax non-cash charges related to accelerated depreciation expense of $8.2 million due to the shortening of the assets expected useful lives.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our labor agreement with the United Automobile, Aerospace and Agricultural Implement Workers of America (UAW) at our TriMas Aerospace facility in Commerce, California, expired. On August 4, 2024, the UAW initiated a strike, causing a work stoppage that resulted in lost production volumes, reduced sales, manufacturing inefficiencies and $3.4 million of strike-related costs in 2024, with the Company and the UAW reaching a new labor agreement in mid-October 2024.</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commissioned our actuary to update our asbestos study, and upon completion we recorded a pre-tax charge of $5.5 million, which is included in selling, general and administrative expenses.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recorded a pre-tax charges of $3.6 million for environmental remediation for waste sites in which we had been named a potential responsible party.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we experienced abrupt increases in orders for certain products within our Packaging segment, requiring us to incur incremental input costs, including expedited freight, in order to timely fulfill certain customer's orders.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the past few years, we have been executing certain realignment actions in response to current and expected future end market demand and rising input costs. During 2024, we incurred pre-tax realignment charges of $0.9 million within our Packaging segment, related to the closure of our facility in Irwindale, California. In 2023, we recorded pre-tax realignment charges of $10.3 million, primarily related to our actions to close and consolidate two production facilities in China into one new, larger facility in Haining, China, and to close and consolidate our Rohnert Park, California, manufacturing facility operations into other existing U.S. production locations. These charges consisted of $2.1 million employee-related costs, $0.8 million for the write down of inventory to fair value, $5.2 million related to other facility move and consolidation costs, and $2.2 million were related to charges to accelerate the depreciation of certain fixed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2024 and 2023 was 19.3%, and 20.2%, respectively. The decrease in effective tax rate 2024 as compared to 2023 is primarily as a result of a change in the mix of domestic and foreign pre-tax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superalloys (such as titanium, A286 stainless steel and Inconel) and other oil and metal-based purchased components, the costs for each of which are subject to volatility. There has also been some volatility over the past two years as a direct and indirect result of foreign trade policy, where tariffs on certain of our commodity-based products sourced from Asia have been instituted, the conflict in Eastern Europe, creating certain input material shortages, and labor shortages at certain of our raw material suppliers. We will continue to take actions to mitigate such increases, including implementing commercial pricing adjustments, holding extra inventories,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often is a precursor to rising polymeric raw material costs, for which we may experience a contractual commercial recover lag. Separately, our Arrow Engine business in our Specialty Products segment is sensitive to the demand for natural gas and crude oil in North America. For example, demand for engine, pump jack and compressor products are impacted by active oil and gas rig counts and wellhead investment activities.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2024, we purchased 771,067 shares of our outstanding common stock for an aggregate purchase price of $19.3 million. As of December 31, 2024, we had $67.6 million remaining under the repurchase authorization.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2024, we declared quarterly dividends of $0.04 per share of common stock, aggregating to dividends declared and paid on common shares</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2024 of $6.6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information for our three reportable segments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300" w:type="dxa"/>
            <w:vAlign w:val="bottom"/>
          </w:tcPr>
          <w:p>
            <w:pPr>
              <w:jc w:val="right"/>
              <w:ind w:right="1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893,550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201,320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year ended December 31, 2024 as compared to the year ended 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to Date 2024 vs. Year to Date 2023</w:t>
            </w:r>
          </w:p>
        </w:tc>
        <w:tc>
          <w:tcPr>
            <w:tcW w:w="160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bl>
    <w:p>
      <w:pPr>
        <w:spacing w:after="0" w:line="200" w:lineRule="exact"/>
        <w:rPr>
          <w:sz w:val="20"/>
          <w:szCs w:val="20"/>
          <w:color w:val="auto"/>
        </w:rPr>
      </w:pPr>
    </w:p>
    <w:p>
      <w:pPr>
        <w:spacing w:after="0" w:line="3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"Results of Operations Year Ended December 31, 2024 Compared with Year Ended December 31, 2023" section presents an analysis of our consolidated operating results displayed in the Consolidated Statement of Income. A discussion regarding our financial condition and results of operations for the year ended December 31, 2023 compared to the year ended December 31, 2022 can be found under Item 7 in our Annual Report on Form 10-K for the fiscal year ended December 31, 2023, filed with the Securities and Exchange Commission on February 29,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with Year Ended December 31,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year ended December 31, 2024, compared with the year ended December 31, 2023 were:</w:t>
      </w:r>
    </w:p>
    <w:p>
      <w:pPr>
        <w:spacing w:after="0" w:line="1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and Aerospace segments;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 decrease in our Specialty Products segment;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acquisitions, primarily Aarts in February 2023 and Weldmac in April 2023;</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Expedited freight costs within our Packaging segment related to the abrupt increase in demand for certain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charges related to shortening the useful lives of certain machinery and equipment in our Specialty Products segment;</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Increased costs, decreased sales levels and manufacturing inefficiencies resulting from a prolonged labor union strike at one of our manufacturing facilities in our Aerospace segment that ended in mid-October 2024;</w:t>
      </w:r>
    </w:p>
    <w:p>
      <w:pPr>
        <w:spacing w:after="0" w:line="94"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asbestos exposure to update the liability to recent actuarial studies;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material availability and resulting production efficiencies in our Aerospace segment;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expenses related to waste sites in which we had been named a potential responsible party;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realignment expenses taken in 2023 in response to changes in end market demand;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effective tax rate in 2024 compared with 2023.</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$31.5 million, or 3.5%, to $925.0 million in 2024, as compared to $893.6 million in 2023. Acquisition-related sales growth was $15.7 million, comprised of $2.8 million from our February 2023 acquisition of Aarts and $12.9 million from our April 2023 acquisition of Weldmac. Organic sales, excluding the impact of currency exchange and acquisitions, increased $17.9 million, or 2.0%, driven by organic sales increases of 10.3% and 16.6% within our Packaging and Aerospace segments, respectively, due to end market demand improvements and growth initiatives. These increases were partially offset by a 37.2% sales decrease in our Specialty Products segment due to lower market demand. The increase in net sales was also offset by $2.0 million due to currency exchange, as our reported results in U.S. dollars were unfavorably impacted as a result of the strengthening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21.6% and 22.5% in 2024 and 2023, respectively. Gross profit margin decreased due to reduced sales, significantly less favorable absorption of fixed costs, and $8.2 million of accelerated depreciation charges for certain machinery and equipment within our Specialty Products segment as well as increased input costs, the impact of a $2.6 million commercial settlement in 2023 that did not repeat in 2024, and higher production costs, which started to abate in fourth quarter 2024, related to demand reversion above peak capacity for certain product lines in our Packaging segment. Also contributing to the decrease in gross profit were increased costs and manufacturing inefficiencies resulting from labor union strikes within our Aerospace segment. The decrease in gross profit was partially offset by higher sales levels and related improved fixed cost absorption and the impact of a charge related to purchase accounting in 2023 that did not repeat within our Packaging and Aerospace segments. Additionally, gross margin was favorably impacted by reduced material availability constraints, a more favorable product sales mix, and commercial recoveries within our Aerospace segment, and the lower year-over-year impact of realignment costs within our Packaging segment.</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5.1% and 7.3% in 2024 and 2023, respectively. Operating profit decreased $18.3 million, to $47.2 million in 2024, as compared to $65.4 million in 2023, primarily due to decreased sales, significantly less favorable absorption of fixed costs and accelerated depreciation charges for certain machinery and equipment within our Specialty Products segment, a $5.5 million pre-tax charge related to updating our asbestos studies, and $3.6 million of pre-tax charges related to our environmental remediation obligations. Additionally, operating profit decreased due to increased input costs and higher production costs, which started to abate in fourth quarter 2024, related to high demand for certain dispensing products within our Packaging segment, as well as increased costs and manufacturing inefficiencies resulting from the labor union strike within our Aerospace segment. These decreases were partially offset by higher sales levels and related improved fixed cost absorption and the impact of a charge related to purchase accounting in 2023 that did not repeat within our Packaging and Aerospace segments. Operating profit was favorably impacted by lower realignment costs and the impact of $1.0 million higher net gains on sales of non-core properties within the Packaging segment, as well as reduced material availability constraints, a more favorable product sales mix, and commercial recoveries within the Aerospace segment.</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$3.6 million, to $19.6 million in 2024, as compared to $15.9 million in 2023, due to a higher effective interest rate and an increase in our weighted average borrowings as a result of increased borrowings from our revolving credit facility.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$1.3 million to $2.4 million in 2024, from $1.1 million in 2023, primary due to the $2.2 million reversal of the Weldmac contingent consideration liability in 2024 and by a non-cash settlement charge for our Canadian defined benefit obligations during 2023, partially offset by increased foreign translation losses.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2024 was 19.3%, compared to 20.2% for 2023. We recorded income tax expense of $5.8 million in 2024, as compared to $10.2 million in 2023. During 2024, we reported domestic and foreign pre-tax income of $3.3 million and $26.7 million, respectively, as compared to domestic and foreign pre-tax income of $20.7 million and $29.9 million, respectively, in 2023. The rate for 2024 is lower primarily as a result of a change in the mix of domestic and foreign pre-tax results.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decreased $16.1 million to $24.3 million in 2024, compared to $40.4 million in 2023. This decrease was primarily a result of a decrease in operating profit of $18.3 million and a $3.6 million increase in interest expense, partially offset by a decrease in income tax expense of $4.4 million and a $1.3 million increase in other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$48.7 million, or 10.5% (of which 10.3% was organic, 0.6% related to acquisitions, and (0.4)% was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to $512.3 million in 2024, as compared to $463.6 million in 2023. Acquisition-related sales growth was $2.8 million from the January 2024 sales of our February 2023 acquisition of Aarts. Sales of dispensing products used primarily for beauty, personal care and home care applications increased organically by $38.2 million. Sales of products used for industrial applications increased by $13.0 million. These increases were partially offset by the decrease in sales of products used in food and beverage applications of $3.1 million, primarily due to reduced demand for certain flexible packaging applications in North America and beverage closure applications in Europe as certain customers prepare for cutting over to a new product design. The increase in net sales was also offset by $2.0 million due to currency exchange, as our reported results in U.S. dollars were unfavorably impacted as a result of the strengthening U.S. dollar relative to foreign currencies, as compared to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Packaging's gross profit increased $14.6 million to $123.7 million, or 24.1% of sales, in 2024, as compared to $109.1 million, or 23.5% of sales, in 2023, primarily due to higher sales levels and resulting improved fixed cost absorption, the favorable impact of prior year cost reduction efforts, the impact of $8.9 million lower realignment costs and a $0.8 million purchase accounting charge related to the step-up of inventory to fair value in 2023 that did not repeat in 2024. The increase in gross profit was partially offset by a $2.6 million commercial settlement in 2023 that did not repeat, and increased input costs, including expedited freight and labor required to timely fulfill an abrupt increase in customer orders in the first half of 2024, as well as higher production costs through third quarter 2024 associated with capacity restraints and high demand for certain product lines.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$7.7 million to $56.4 million, or 11.0% of sales, in 2024, as compared to $48.8 million, or 10.5% of sales, in 2023, primarily due to $4.7 million higher information technology costs allocated from Corporate, higher employee-related costs and higher professional fees.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Packaging's operating profit increased $8.0 million to $68.1 million, or 13.3% of sales, in 2024, as compared to $60.1 million, or 13.0% of sales, in 2023, primarily due to higher sales levels, improved fixed cost absorption, and the favorable impact of prior realignment actions, and the impact of $1.0 million higher net gains on sales of non-core properties. These increases were partially offset by higher selling, general and administrative expenses, the impact of a commercial settlement in 2023 that did not repeat, and increased input costs, including expedited freight to timely fulfill an abrupt increase in customer orders.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increased $52.8 million, or 21.9% (of which 16.6% was organic and 5.3% related to acquisitions), to $294.2 million in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$241.4 million in 2023. Acquisition-related sales growth from our April 2023 acquisition of Weldmac was $12.9 million. Sales of our fasteners products increased by $22.3 million due to increases in aircraft build rates, improved production yield and commercial recoveries, partially offset by a decrease in sales due to the labor union strike at our Aerospace facility in Commerce, California. Sales of our engineered components products increased by $17.6 million due to improved throughput, commercial recoveries and new business wins.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Aerospace increased $21.9 million to $69.9 million, or 23.8% of sales, in 2024, from $48.0 million, or 19.9% of sales, in 2023. Gross profit increased primarily due to higher sales levels and resulting improved fixed cost absorption, reduced material availability constraints, a more favorable product sales mix, favorable commercial recoveries, and a $2.4 million purchase accounting charge related to the step-up of inventory to fair value in 2023 that did not repeat. These increases were partially offset by increased costs and manufacturing inefficiencies resulting from the labor union strike.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$4.8 million to $36.2 million, or 12.3% of sales, in 2024, as compared to $31.4 million, or 13.0% of sales, in 2023, primarily due to higher employee-related costs, higher information technology costs,$1.8 million of increased costs related to the labor union strike, and higher ongoing selling, general and administrative costs associated with our acquisition of Weldmac. These increases were partially offset by lower legal costs and lower intangible asset amortization expense due to certain assets becoming fully amortized.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within Aerospace increased $18.2 million to $33.8 million, or 11.5% of sales, in 2024, as compared to $15.5 million, or 6.4% of sales, in 2023, primarily due to the impact of higher sales levels, improved fixed cost absorption, reduced material availability production constraints, a more favorable product sales mix, commercial recoveries, a purchase accounting adjustment related to Weldmac's inventory step-up to fair value in 2023 that did not repeat, and a $1.1 million indefinite-lived intangible asset impairment charge in 2023 that did not repeat. These increases were partially offset by higher selling, general and administrative expenses and increased costs and manufacturing inefficiencies related to the strike.</w:t>
      </w:r>
    </w:p>
    <w:p>
      <w:pPr>
        <w:spacing w:after="0" w:line="1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decreased $70.1 million, or 37.2%, to $118.5 million in 2024, as compared to $188.6 million in 2023. Sales of forged steel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cylinders decreased $45.2 million, or 31.3%, due to lower demand resulting primarily from certain large distributor customers closely managing</w:t>
      </w:r>
    </w:p>
    <w:p>
      <w:pPr>
        <w:jc w:val="both"/>
        <w:spacing w:after="0" w:line="261" w:lineRule="auto"/>
        <w:rPr>
          <w:sz w:val="20"/>
          <w:szCs w:val="20"/>
          <w:color w:val="auto"/>
        </w:rPr>
      </w:pPr>
      <w:r>
        <w:rPr>
          <w:rFonts w:ascii="Times New Roman" w:cs="Times New Roman" w:eastAsia="Times New Roman" w:hAnsi="Times New Roman"/>
          <w:sz w:val="18"/>
          <w:szCs w:val="18"/>
          <w:color w:val="auto"/>
        </w:rPr>
        <w:t>overstocked positions given high order rates in previous years which were in reaction to disruptions in the global supply chain. Sales of natural gas fired engines, compressors and related parts used in remote power generation and assistance applications for natural gas and crude oil extraction decreased by $24.9 million, or 56.4%, primarily as a result of lower compression package sales from a customer that has reduced their ordering rate significantly as compared to the prior year.</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within Specialty Products decreased $38.4 million to $5.9 million, or 5.0% of sales, in 2024, as compared to $44.3 million, or 23.5% of sales, in 2023. Gross profit decreased due to lower sales levels, which resulted in significantly lower fixed cost absorption, and from $8.2 million of accelerated depreciation charges for certain machinery and equipment.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was $7.8 million, or 6.6% of sales, in 2024, as compared to $7.8 million, or 4.2% of net sales, in 2023, as $1.8 million of higher information technology costs allocated from Corporate was offset by cost reduction actions in 2024, in response to lower market demand levels.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(loss) within Specialty Products decreased $38.4 million to an operating loss of $2.0 million, or 1.7% of sales, in 2024, as compared to an operating profit of $36.4 million, or 19.3% of sales, in 2023, primarily due to lower sales levels, which resulted in significantly less favorable absorption of fixed costs, and accelerated depreciation charges for certain machinery and equipment.</w:t>
      </w:r>
    </w:p>
    <w:p>
      <w:pPr>
        <w:spacing w:after="0" w:line="91"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i w:val="1"/>
          <w:iCs w:val="1"/>
          <w:color w:val="auto"/>
        </w:rPr>
        <w:t>Corporate Expenses.</w:t>
      </w:r>
      <w:r>
        <w:rPr>
          <w:sz w:val="20"/>
          <w:szCs w:val="20"/>
          <w:color w:val="auto"/>
        </w:rPr>
        <w:tab/>
      </w:r>
      <w:r>
        <w:rPr>
          <w:rFonts w:ascii="Times New Roman" w:cs="Times New Roman" w:eastAsia="Times New Roman" w:hAnsi="Times New Roman"/>
          <w:sz w:val="18"/>
          <w:szCs w:val="18"/>
          <w:color w:val="auto"/>
        </w:rPr>
        <w:t>Corporate expenses included in operating profit consist of the following (dollars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increased $6.1 million to $52.7 million in 2024, from $46.6 million in 2023, primarily due to a $5.5 million pre-tax charge related to updating our asbestos studies in 2024, $3.6 million of pre-tax charges related to our environment remediation obligations and $1.3 million of higher professional costs associated with business acquisition, diligence and transaction related activity. These increases were partially offset by a $2.7 million decrease in non-cash stock compensation due to expected attainment of existing awards and a $1.3 million decrease in technology costs, as $5.3 million of higher costs associated with upgrades of certain of our information technology applications were more than offset by $6.6 million of technology costs allocated to our segments that was not allocated in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in 2024 were $63.8 million, as compared to $88.2 million in 2023. Significant changes in cash flows provided by operating activities and the reasons for such changes are as follows:</w:t>
      </w:r>
    </w:p>
    <w:p>
      <w:pPr>
        <w:spacing w:after="0" w:line="94"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Company generated $107.3 million in cash flows, based on the reported net income of $24.3 million and after considering the effects of non-cash items related to impairment of indefinite-lived intangible assets, depreciation, amortization of intangible assets and debt issuance costs, (gain) loss on dispositions of assets, changes in deferred income taxes, stock-based compensation, provision for losses on accounts receivable, change in asbestos and environmental liability estimates and other operating activities. In 2023, the Company generated $110.5 million in cash flows based on the reported net income of $40.4 million and after considering the effects of similar non-cash items.</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$20.5 million and $5.5 million in 2024 and 2023, respectively. The increased use of cash for 2024 and 2023 is due primarily to the timing of sales and related collection of cash during the periods. Days sales outstanding of receivables increased by two days in 2024 and six days in 2023.</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$21.2 million and $7.1 million in 2024 and 2023, respectively. Our days sales in inventory decreased by four days in 2024, primarily as a result of moderating inventory levels with higher sales levels within our Packaging and Aerospace segments. Our days sales in inventory increased by eleven days in 2023, primarily as a result of investing in certain inventories in our Aerospace segment as a result of increased customer demand.</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$2.3 million in 2024, while decreases in prepaid expenses and other assets resulted in a source of cash of $4.8 million in 2023. The changes in 2024 and 2023 are primarily as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payable and accrued liabilities resulted in a source of cash of $0.6 million in 2024, as compared to a use of cash of $14.5 million in 2023. Our days accounts payable on hand decreased by six day through 2024 and increased by one day through 2023. Our days accounts payable on hand fluctuate primarily as a result of the timing of payments made to suppliers and the mix of vendors and related terms.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was $47.0 million and $134.4 million in 2024 and 2023, respectively. During 2024, we invested $51.0 million in capital expenditures as we continued our investment in growth, capacity and productivity-related capital projects. We also received proceeds of $4.0 million from the disposition of property and equipment. During 2023, we paid $77.3 million, net of cash acquired, to acquire Aarts and Weldmac, invested $54.2 million in capital expenditures, made a payment of $3.4 million related to the expiration of one of our cross-currency swap agreements, and received proceeds of $0.5 million from the disposition of property and equipment.</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was $28.6 million and $30.9 million in 2024 and 2023, respectively. During 2024, we received net proceeds of $1.4 million from borrowings on our revolving credit facilities, purchased $19.3 million of outstanding common stock, used a net cash amount of $1.8 million related to our stock compensation arrangements, paid dividends of $6.6 million, and paid $2.3 million related to other financing activities, which includes $2.25 million of cash paid as final contingent consideration for the Weldmac acquisition. Our reported net proceeds from borrowings on our revolving credit facilities considers the impact of foreign currency translation. During 2023, we received net proceeds of $0.6 million from borrowings on our revolving credit facilities, purchased $18.8 million of outstanding common stock, used a net cash amount of $2.7 million related to our stock compensation arrangements, paid dividends of $6.7 million, and paid $3.3 million related to liabilities assumed in our acquisition of Aarts.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$400.0 million aggregate principal amount of our senior notes due 2029 ("Senior Notes") accrues interest at a rate of 4.125% per annum, payable semi-annually in arrears on April 15 and October 15. The payment of principal and interest is jointly and severally guaranteed, on a senior unsecured basis by certain named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 In 2024, our consolidated subsidiaries that do not guarantee the Senior Notes represented 30% of the total of guarantor and non-guarantor net sales, treating each as a consolidated group and excluding intercompany transactions between guarantor and non-guarantor subsidiaries. In addition, our non-guarantor subsidiaries represented 37% and 15% of the total guarantor and non-guarantor assets and liabilities, respectively, as of December 31, 2024, treating the guarantor and non-guarantor subsidiaries each as a consolidated group.</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$300.0 million senior secured revolving credit facility, which permits borrowings denominated in specific foreign currencies, subject to a $125.0 million sub limit, maturing on March 29, 2026.</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we amended the Credit Agreement to replace LIBOR. As of December 31, 2024, monthly borrowings under the Credit Agreement are subject to benchmark interest rates that are based on the currency denomination of borrowings, with British pound sterling borrowings subject to the Sterling Overnight Index Average and Euro borrowings subject to the Euro InterBank Offered Rate, both plus a spread of 1.75%, and U.S. dollar borrowings subject to the Secured Overnight Financing Rate plus a spread of 1.85%. The interest rate spread is based upon the leverage ratio, as defined, as of the most recent determination date.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2024. If we were to complete an acquisition which qualifies for a Covenant Holiday Period, as defined in our Credit Agreement, then our permitted total net leverage ratio cannot exceed 4.50 to 1.00 during that period. Our actual total net leverage ratio was 2.57 to 1.00 at December 31, 2024. Our permitted interest expense coverage ratio under the Credit Agreement is 3.00 to 1.00, and our actual interest expense coverage ratio was 8.24 to 1.00 as of December 31, 2024. At December 31, 2024, we were in compliance with our financial covenants.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year ended December 31, 2024. We present Consolidated Bank EBITDA to show our performance under our financial covenants. Dollars are in thousands in the below tables.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14"/>
        </w:trPr>
        <w:tc>
          <w:tcPr>
            <w:tcW w:w="9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(as defined)</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w:t>
            </w:r>
          </w:p>
        </w:tc>
      </w:tr>
      <w:tr>
        <w:trPr>
          <w:trHeight w:val="229"/>
        </w:trPr>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64,920</w:t>
            </w:r>
          </w:p>
        </w:tc>
      </w:tr>
      <w:tr>
        <w:trPr>
          <w:trHeight w:val="230"/>
        </w:trPr>
        <w:tc>
          <w:tcPr>
            <w:tcW w:w="9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Impairment charges</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9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29"/>
        </w:trPr>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20,910</w:t>
            </w:r>
          </w:p>
        </w:tc>
      </w:tr>
      <w:tr>
        <w:trPr>
          <w:trHeight w:val="230"/>
        </w:trPr>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457"/>
        </w:trPr>
        <w:tc>
          <w:tcPr>
            <w:tcW w:w="92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92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(4)</w:t>
            </w:r>
          </w:p>
        </w:tc>
        <w:tc>
          <w:tcPr>
            <w:tcW w:w="2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390,050</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151,680</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total net leverage ratio</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2.57 x</w:t>
            </w:r>
          </w:p>
        </w:tc>
      </w:tr>
      <w:tr>
        <w:trPr>
          <w:trHeight w:val="22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4.00 x</w:t>
            </w:r>
          </w:p>
        </w:tc>
      </w:tr>
      <w:tr>
        <w:trPr>
          <w:trHeight w:val="20"/>
        </w:trPr>
        <w:tc>
          <w:tcPr>
            <w:tcW w:w="9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r>
      <w:tr>
        <w:trPr>
          <w:trHeight w:val="412"/>
        </w:trPr>
        <w:tc>
          <w:tcPr>
            <w:tcW w:w="9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14"/>
        </w:trPr>
        <w:tc>
          <w:tcPr>
            <w:tcW w:w="9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as defined</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151,680</w:t>
            </w:r>
          </w:p>
        </w:tc>
        <w:tc>
          <w:tcPr>
            <w:tcW w:w="320" w:type="dxa"/>
            <w:vAlign w:val="bottom"/>
            <w:tcBorders>
              <w:top w:val="single" w:sz="8" w:color="auto"/>
            </w:tcBorders>
            <w:shd w:val="clear" w:color="auto" w:fill="CCEEFF"/>
          </w:tcPr>
          <w:p>
            <w:pPr>
              <w:spacing w:after="0"/>
              <w:rPr>
                <w:sz w:val="19"/>
                <w:szCs w:val="19"/>
                <w:color w:val="auto"/>
              </w:rPr>
            </w:pPr>
          </w:p>
        </w:tc>
      </w:tr>
      <w:tr>
        <w:trPr>
          <w:trHeight w:val="23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320" w:type="dxa"/>
            <w:vAlign w:val="bottom"/>
            <w:tcBorders>
              <w:bottom w:val="single" w:sz="8" w:color="auto"/>
            </w:tcBorders>
          </w:tcPr>
          <w:p>
            <w:pPr>
              <w:spacing w:after="0"/>
              <w:rPr>
                <w:sz w:val="19"/>
                <w:szCs w:val="19"/>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w:t>
            </w:r>
          </w:p>
        </w:tc>
      </w:tr>
      <w:tr>
        <w:trPr>
          <w:trHeight w:val="21"/>
        </w:trPr>
        <w:tc>
          <w:tcPr>
            <w:tcW w:w="9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0"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Non-cash charges related to indefinite-lived intangible asset impairment.</w:t>
      </w:r>
    </w:p>
    <w:p>
      <w:pPr>
        <w:spacing w:after="0" w:line="132" w:lineRule="exact"/>
        <w:rPr>
          <w:rFonts w:ascii="Times New Roman" w:cs="Times New Roman" w:eastAsia="Times New Roman" w:hAnsi="Times New Roman"/>
          <w:sz w:val="9"/>
          <w:szCs w:val="9"/>
          <w:color w:val="auto"/>
        </w:rPr>
      </w:pPr>
    </w:p>
    <w:p>
      <w:pPr>
        <w:ind w:left="220" w:hanging="212"/>
        <w:spacing w:after="0"/>
        <w:tabs>
          <w:tab w:leader="none" w:pos="22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9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Non-recurring costs and expenses relating to diligence and transaction costs, strike related costs, severance, relocation and realignment.</w:t>
      </w:r>
    </w:p>
    <w:p>
      <w:pPr>
        <w:spacing w:after="0" w:line="105"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$1.6 million of finance leases as of December 31, 2024.</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allows issuance of letters of credit, not to exceed $40.0 million in aggregate, against revolving credit facility commitments. At December 31, 2024, we had $1.5 million outstanding under our revolving credit facility and had $292.2 million potentially available after giving effect to $6.3 million of letters of credit issued and outstanding. At December 31, 2023, we had no amounts outstanding under our revolving credit facility and had $294.0 million potentially available after giving effect to $6.0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December 31, 2024 and 2023, we had $216.7 million and $256.9 million, respectively, of borrowing capacity available for general corporate purposes.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certain foreign subsidiaries to pay down amounts outstanding under our revolving credit facility, as applicable.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were $433.9 million during 2024, compared to $417.4 million during 2023, primarily due to the aggregate principal balance on our senior notes as well as higher borrowings on revolving credit facilities during 2024.</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December 31, 2024, and 2023.</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cash on hand as of December 31, 2024, is located in jurisdictions outside the United States. We have available funding under our revolving credit facility of $216.7 million at December 31, 2024, (after consideration of the aforementioned leverage restrictions).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next 12 months and for the foreseeable future, as well as dividends and share repurchases.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we incurred rent expense related thereto of $13.9 million in 2024. We expect leasing will continue to be an available financing option to fund future capital expenditure requirements.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previous authorization. During 2024, 2023 and 2022, we purchased 771,067, 680,594 and 1,264,088 shares of our outstanding common stock for $19.3 million, $18.8 million and $36.9 million, respectively. Since the initial authorization through December 31, 2024, we have purchased 6,566,564 shares of our outstanding common stock for an aggregate purchase price of $182.4 million.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various agreements, we are obligated to make future cash payments in fixed amounts. These include payments under our long-term debt agreements, rent payments required under operating and finance lease agreements, certain benefit obligations and interest obligations on our long-term debt. The following table summarizes our material contractual cash obligations as of December 31, 2024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Payments Due by Periods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4"/>
                <w:szCs w:val="14"/>
                <w:color w:val="auto"/>
              </w:rPr>
            </w:pPr>
          </w:p>
        </w:tc>
        <w:tc>
          <w:tcPr>
            <w:tcW w:w="112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1 - 3 Years</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40" w:type="dxa"/>
            <w:vAlign w:val="bottom"/>
          </w:tcPr>
          <w:p>
            <w:pPr>
              <w:spacing w:after="0"/>
              <w:rPr>
                <w:sz w:val="14"/>
                <w:szCs w:val="14"/>
                <w:color w:val="auto"/>
              </w:rPr>
            </w:pPr>
          </w:p>
        </w:tc>
        <w:tc>
          <w:tcPr>
            <w:tcW w:w="10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and other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contractual and other cash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6" w:lineRule="exact"/>
        <w:rPr>
          <w:sz w:val="20"/>
          <w:szCs w:val="20"/>
          <w:color w:val="auto"/>
        </w:rPr>
      </w:pPr>
    </w:p>
    <w:p>
      <w:pPr>
        <w:ind w:left="340" w:right="20" w:hanging="332"/>
        <w:spacing w:after="0" w:line="198" w:lineRule="auto"/>
        <w:tabs>
          <w:tab w:leader="none" w:pos="30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Senior Notes bear interest at 4.125%. The future interest obligations calculation excludes the impact of our cross-currency swap agreements. See Note 12,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included in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within this Form 10-K for additional information.</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December 31, 2024, we were party to foreign exchange forward and swap contracts to hedge changes in foreign currency exchange rates with notional amounts of $105.9 million. We also use cross-currency swap agreements to mitigate currency risks associated with the net investment in certain of our foreign subsidiaries. See Note 12,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 additional information.</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Our stock trades under the symbol "TRS."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certain of our outstanding debt obligations are rated by Standard &amp; Poor's and Moody's. On March 19, 2024, Moody's affirmed a Ba3 rating to our Senior Notes, as presented in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Item 8, "Financial Statements and Supplementary Data" within this Form 10-K. Moody's also affirmed a Ba2 Corporate Family Rating and maintained its outlook as stable. On January 7, 2025, Moody's affirmed a Ba3 rating to our Senior Notes and a Ba2 Corporate Family Rating, and changed its outlook from stable to negative. On June 28, 2024, Standard &amp; Poor's affirmed a BB-rating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2024, we proactively managed through a significant destocking period and resulting demand trough as compared to the prior year period within our cylinder business. We also managed through a labor union strike at one of our Aerospace production facilities, and we navigated increased input costs as a result of abruptly increased orders for certain dispensing applications within our Packaging segment. We recently completed the divestiture of our Arrow Engine business, exiting our direct presence in the oil and gas market sector. As we look to 2025, we anticipate continued strength and operating leverage from our Aerospace business. We expect modest organic sales growth within our Packaging segment, while having the opportunity to improve our</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production throughput and reduce certain input costs. Within the cylinder business in Specialty Products, we believe we will see marginal improvement in demand as inventory positions are further depleted, and therefore, we anticipate sequential improvement in operating profit as we move forward given these anticipated incremental sales and structural costs saving actions we have already implemented. We will continue to monitor trends in demand changes and adjust costs and investments accordingly.</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a continued modest demand recovery in certain of our consumer products and industrial markets and continued strength in our aerospace &amp; defense market, we remain cautious of the impact of global market uncertainty, particularly the potential impact of tariffs on our customer demand and our input costs. However,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taking continued actions toward streamlining and optimizing our business portfolio. We have been actively exploring a range of potential options, particularly over the past year, to accelerate the focus of our business portfolio. As we focus our portfolio of businesses, we expect to continue to leverage the tenets of our TriMas Business Model to manage our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accounting policies is intended to supplement the accounting policies presented in Note 3,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Certain of our accounting policies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Receivables. </w:t>
      </w:r>
      <w:r>
        <w:rPr>
          <w:rFonts w:ascii="Times New Roman" w:cs="Times New Roman" w:eastAsia="Times New Roman" w:hAnsi="Times New Roman"/>
          <w:sz w:val="18"/>
          <w:szCs w:val="18"/>
          <w:color w:val="auto"/>
        </w:rPr>
        <w:t>Receivables are presented net of allowances for doubtful accounts of $3.2 million and $4.2 million at December 31, 2024 and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Although we have been growing business with certain of our larger customers, and there has been some industry consolidation where certain of our customers are merging, we do not believe that significant credit risk exists or that we have a significant concentration of accounts receivable with a single customer or group of customers due to our diverse customer base.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additional information regarding risks associated with a concentrated customer base.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Definite-Lived Intangible Assets. </w:t>
      </w:r>
      <w:r>
        <w:rPr>
          <w:rFonts w:ascii="Times New Roman" w:cs="Times New Roman" w:eastAsia="Times New Roman" w:hAnsi="Times New Roman"/>
          <w:sz w:val="18"/>
          <w:szCs w:val="18"/>
          <w:color w:val="auto"/>
        </w:rPr>
        <w:t>We review, on at least a quarterly basis, the financial performance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Indefinite-Lived Intangibles. </w:t>
      </w:r>
      <w:r>
        <w:rPr>
          <w:rFonts w:ascii="Times New Roman" w:cs="Times New Roman" w:eastAsia="Times New Roman" w:hAnsi="Times New Roman"/>
          <w:sz w:val="18"/>
          <w:szCs w:val="18"/>
          <w:color w:val="auto"/>
        </w:rPr>
        <w:t>We assess goodwill and indefinite-lived intangible assets for impairment at the reporting unit level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basis as of October 1, by reviewing relevant qualitative and quantitative factors. More frequent evaluations may be required if we experience changes in our business climate or as a result of other triggering events that take place. An impairment loss is recognized when the carrying value of the asset exceeds its fair value.</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2024 goodwill impairment test, we had six reporting units, four of which had goodwill, within our three reportable segments.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2024 annual impairment tests, we performed qualitative assessments for all reporting units except the Life Sciences reporting unit within our Packaging segment, for which we elected to perform quantitative assessments. Based on results of the qualitative assessments, we determined there were no indications that the fair value of a reporting unit or indefinite-lived intangible asset was less than its carrying value; therefore, we determined that quantitative goodwill impairment tests were not required for all reporting units included in the qualitative assessment.</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conducting the quantitative analysis for the Life Sciences reporting unit, we determined the estimated fair value utilizing both income and market-based approaches. The income approach relies on the present value of estimated future cash flows of the business, discounted using a rate appropriately reflecting the risks inherent in the cash flows. The market approach relies on market data of other public companies that we deem comparable in operations to our reporting units. Based on results of the 2024 quantitative assessment, we determined there were no indications that the fair value of the Life Sciences reporting unit was less than its carrying value.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techniques used in our quantitative impairment test incorporated a number of assumptions that we believe to be reasonable and to reflect the current market conditions. Assumptions in estimating future cash flows and earnings were based on Level 3 inputs under the fair value hierarchy and were primarily related to customer demand and revenue growth, and associated profitability and cash flows. To provide a level of sensitivity analysis, a 1% increase in the weighted average cost of capital would have resulted in a goodwill impairment charge of approximately $7 million, while a 0.5% decrease in the terminal growth rate would have resulted in a goodwill impairment charge of approximately $2 million.</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future results, assumptions, and estimates from those used in the quantitative impairment test may lead to an outcome where impairment charges would be required in future periods. Specifically, actual results may vary from management's forecasts and such variations may be material and unfavorable, thereby triggering the need for future impairment tests where the conclusions may differ in reflection of prevailing market conditions. Further, continued adverse or worsening market conditions could result in the recognition of additional impairment if we determine that the fair value of our Life Sciences reporting unit has fallen below its carrying value. Certain circumstances that could reasonably be expected to negatively affect the underlying key assumptions and impact the estimated fair value of our Life Sciences reporting unit may include such items as: (i) a decrease in expected future cash flows,</w:t>
      </w:r>
    </w:p>
    <w:p>
      <w:pPr>
        <w:spacing w:after="0" w:line="5" w:lineRule="exact"/>
        <w:rPr>
          <w:sz w:val="20"/>
          <w:szCs w:val="20"/>
          <w:color w:val="auto"/>
        </w:rPr>
      </w:pPr>
    </w:p>
    <w:p>
      <w:pPr>
        <w:ind w:firstLine="8"/>
        <w:spacing w:after="0" w:line="260" w:lineRule="auto"/>
        <w:tabs>
          <w:tab w:leader="none" w:pos="2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sales targeted as part of our strategic growth initiatives, and (iii) inability to efficiently leverage the projected sales growth at expected margin rates.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performed a quantitative assessment for the indefinite-lived intangible assets within the packaging-related Life Sciences reporting unit after electing the option to bypass the qualitative assessment. The relief-from-royalty method involves the estimation of appropriate market royalty rates for our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Upon completion of the quantitative impairment test, we determined that one of the Life Sciences trade names had a carrying value that exceeded its fair value, and therefore recorded an impairment charge of $0.2 million.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Benefits. </w:t>
      </w:r>
      <w:r>
        <w:rPr>
          <w:rFonts w:ascii="Times New Roman" w:cs="Times New Roman" w:eastAsia="Times New Roman" w:hAnsi="Times New Roman"/>
          <w:sz w:val="18"/>
          <w:szCs w:val="18"/>
          <w:color w:val="auto"/>
        </w:rPr>
        <w:t>We engage independent actuaries to compute the amounts of liabilities and expenses under defined benefit pension plans,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whereby deferred income taxes using current enacted tax rates are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Asbestos-related Matters. </w:t>
      </w:r>
      <w:r>
        <w:rPr>
          <w:rFonts w:ascii="Times New Roman" w:cs="Times New Roman" w:eastAsia="Times New Roman" w:hAnsi="Times New Roman"/>
          <w:sz w:val="18"/>
          <w:szCs w:val="18"/>
          <w:color w:val="auto"/>
        </w:rPr>
        <w:t>We accrue loss reserves for asbestos-related matters based upon an estimate of the ultimate liability for claims incurred,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Loss Reserves. </w:t>
      </w:r>
      <w:r>
        <w:rPr>
          <w:rFonts w:ascii="Times New Roman" w:cs="Times New Roman" w:eastAsia="Times New Roman" w:hAnsi="Times New Roman"/>
          <w:sz w:val="18"/>
          <w:szCs w:val="18"/>
          <w:color w:val="auto"/>
        </w:rPr>
        <w:t>We have other loss exposures related to insurance, litigation and environmental claims. Establishing loss reserves for these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up to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subject to interest risk as it relates to long-term debt, for which we have historically and may prospectively employ derivative instruments such as interest rate swaps to mitigate the risk of variable interest rates. See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00" w:lineRule="exact"/>
        <w:rPr>
          <w:sz w:val="20"/>
          <w:szCs w:val="20"/>
          <w:color w:val="auto"/>
        </w:rPr>
      </w:pPr>
    </w:p>
    <w:p>
      <w:pPr>
        <w:spacing w:after="0" w:line="376" w:lineRule="exact"/>
        <w:rPr>
          <w:sz w:val="20"/>
          <w:szCs w:val="20"/>
          <w:color w:val="auto"/>
        </w:rPr>
      </w:pPr>
    </w:p>
    <w:p>
      <w:pPr>
        <w:ind w:right="506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TriMas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TriMas Corporation and subsidiaries (the "Company") as of December 31, 2024 and 2023, the related consolidated statement of income, comprehensive income, shareholders'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21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Goodwill Impairment Assessment — Life Sciences Reporting Unit — Refer to Notes 3 and 7 to the financial statements </w:t>
      </w:r>
      <w:r>
        <w:rPr>
          <w:rFonts w:ascii="Times New Roman" w:cs="Times New Roman" w:eastAsia="Times New Roman" w:hAnsi="Times New Roman"/>
          <w:sz w:val="18"/>
          <w:szCs w:val="18"/>
          <w:i w:val="1"/>
          <w:iCs w:val="1"/>
          <w:color w:val="auto"/>
        </w:rPr>
        <w:t>Critical Audit Matter Description</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annual impairment assessment for goodwill is performed on October 1st, or more frequently if events or circumstances indicate possible impairment. The Company’s evaluation of goodwill for impairment involved the comparison of the fair value of each reporting unit with goodwill to its carrying value. The fair value is estimated using a weighting of the income and market approaches. The goodwill balance for the Life Sciences reporting unit was $43 million as of December 31, 2024. The fair value of the Life Sciences reporting unit exceeded the carrying value as of the assessment date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fair value estimate used in the Life Sciences reporting unit goodwill impairment assessment as a critical audit matter because of the significant estimates and assumptions management makes related to forecasts of revenue growth rates, future EBITDA margins, weighted average cost of capital, valuation multiples, and the terminal growth rate. This required a high degree of auditor judgment and an increased extent of effort, including the need to involve our fair value specialists, when performing audit procedures to evaluate the reasonableness of management’s assumptions.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for the impairment assessment related to the forecasts of revenue growth rates, future EBITDA margins, weighted average cost of capital and the terminal growth rate included the following, among others:</w:t>
      </w:r>
    </w:p>
    <w:p>
      <w:pPr>
        <w:spacing w:after="0" w:line="121" w:lineRule="exact"/>
        <w:rPr>
          <w:sz w:val="20"/>
          <w:szCs w:val="20"/>
          <w:color w:val="auto"/>
        </w:rPr>
      </w:pPr>
    </w:p>
    <w:p>
      <w:pPr>
        <w:ind w:left="660" w:hanging="652"/>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goodwill impairment assessment, including those over the inputs, assumptions, and calculations used in determining the fair value of the reporting unit.</w:t>
      </w:r>
    </w:p>
    <w:p>
      <w:pPr>
        <w:spacing w:after="0" w:line="13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 growth rates and future EBITDA margins by comparing the forecasts to:</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Unit’s historical revenue and EBITDA margins.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industry, market and economic trends.</w:t>
      </w:r>
    </w:p>
    <w:p>
      <w:pPr>
        <w:spacing w:after="0" w:line="166"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sensitivity analysis of certain assumptions such as revenue growth rates, future EBITDA margins, weighted average cost of capital, valuation multiples, and the terminal growth rate to evaluate the potential change in the fair value resulting from changes in underlying assumptions.</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weighted average cost of capital, valuation multiples, and the terminal growth rate by:</w:t>
      </w:r>
    </w:p>
    <w:p>
      <w:pPr>
        <w:spacing w:after="0" w:line="121" w:lineRule="exact"/>
        <w:rPr>
          <w:rFonts w:ascii="Times New Roman" w:cs="Times New Roman" w:eastAsia="Times New Roman" w:hAnsi="Times New Roman"/>
          <w:sz w:val="18"/>
          <w:szCs w:val="18"/>
          <w:color w:val="auto"/>
        </w:rPr>
      </w:pPr>
    </w:p>
    <w:p>
      <w:pPr>
        <w:ind w:left="1300" w:hanging="320"/>
        <w:spacing w:after="0" w:line="261" w:lineRule="auto"/>
        <w:tabs>
          <w:tab w:leader="none" w:pos="12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weighted average cost of capital and valuation multiples selected by management.</w:t>
      </w:r>
    </w:p>
    <w:p>
      <w:pPr>
        <w:ind w:left="1300" w:hanging="320"/>
        <w:spacing w:after="0" w:line="260"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terminal growth rate and testing the mathematical accuracy of the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2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148,030</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192,450</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5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91,910</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658,710</w:t>
            </w:r>
          </w:p>
        </w:tc>
      </w:tr>
      <w:tr>
        <w:trPr>
          <w:trHeight w:val="156"/>
        </w:trPr>
        <w:tc>
          <w:tcPr>
            <w:tcW w:w="8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4"/>
        </w:trPr>
        <w:tc>
          <w:tcPr>
            <w:tcW w:w="8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and outstanding: 40,574,847 shares at December 31, 2024 and 41,202,110 shares at December 31,</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677,660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(675,530)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dispositions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of indefinite-lived intangible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41,439,027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42,249,244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41,055,993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41,685,348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42,478,015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w:t>
            </w: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12)</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2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66,170</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indefinite-lived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loss on dispositions of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asbestos liability estimate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environmental liability estimate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in receivables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in 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prepaid expenses and 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r>
      <w:tr>
        <w:trPr>
          <w:trHeight w:val="229"/>
        </w:trPr>
        <w:tc>
          <w:tcPr>
            <w:tcW w:w="7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72,570</w:t>
            </w:r>
          </w:p>
        </w:tc>
      </w:tr>
      <w:tr>
        <w:trPr>
          <w:trHeight w:val="194"/>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1"/>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of foreign currency exchange forward contract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proceeds from dispositions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28,790</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(46,180)</w:t>
            </w: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Decrease for the year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2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0"/>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40" w:type="dxa"/>
            <w:vAlign w:val="bottom"/>
          </w:tcPr>
          <w:p>
            <w:pPr>
              <w:spacing w:after="0"/>
              <w:rPr>
                <w:sz w:val="14"/>
                <w:szCs w:val="14"/>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(36,920)</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667,300</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shortages in global markets for commodities, logistics and labor. To the extent there are differences between these estimates and actual results, the Company's consolidated financial statements may be materially affected.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which requires disclosure of significant segment expenses and other segment items by reportable segment on an annual and interim basis, the title and position of chief operating decision maker ("CODM") and how the CODM uses reported measures in assessing segment performance, and also extends the requirement of annual disclosures currently required by Topic 280 to interim periods. The Company adopted ASU 2023-07 in the fourth quarter of 2024. The standard relates to financial statement disclosure only and did not have an impact on the Company’s consolidated balance sheet, statement of income or cash flows. See Note 20, "Segment Information," for the Company's segment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will provide the incremental disclosures in its Annual Report on Form 10-K for the year ended December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4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i w:val="1"/>
          <w:iCs w:val="1"/>
          <w:color w:val="auto"/>
        </w:rPr>
        <w:t>Principles of Consolidation.</w:t>
      </w:r>
      <w:r>
        <w:rPr>
          <w:sz w:val="20"/>
          <w:szCs w:val="20"/>
          <w:color w:val="auto"/>
        </w:rPr>
        <w:tab/>
      </w:r>
      <w:r>
        <w:rPr>
          <w:rFonts w:ascii="Times New Roman" w:cs="Times New Roman" w:eastAsia="Times New Roman" w:hAnsi="Times New Roman"/>
          <w:sz w:val="18"/>
          <w:szCs w:val="18"/>
          <w:color w:val="auto"/>
        </w:rPr>
        <w:t>The accompanying consolidated financial statements include the accounts and transactions of TriMas and its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have been eliminated.</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fair value of contingent consideration resulting from business combinations, estimated future unrecoverable lease costs, reserves for asbestos and ordinary course litigation, environmental liabilities, assets and obligations related to employee benefits and estimated unrecognized tax benefits. Actual results may differ from such estimates and assumptions.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cash on hand and on deposit and investments in all highly liquid debt instruments with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to be cash and cash equivalents. Cash and cash equivalents also includes restricted cash, if any, held on deposit with a financial institution as cash collateral for the Company's outstanding letters of credit.</w:t>
      </w:r>
    </w:p>
    <w:p>
      <w:pPr>
        <w:spacing w:after="0" w:line="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Receivables are presented net of allowances for doubtful accounts of $3.2 million and $4.2 million at December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with cost determined using the first-in, first-out method. Direct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labor and allocations of variable and fixed manufacturing-related overhead are included in inventory cost.</w:t>
      </w:r>
    </w:p>
    <w:p>
      <w:pPr>
        <w:spacing w:after="0" w:line="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232323"/>
        </w:rPr>
        <w:t>Pre-production costs related to long-term supply arrangements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2323"/>
        </w:rPr>
        <w:t xml:space="preserve"> </w:t>
      </w:r>
      <w:r>
        <w:rPr>
          <w:rFonts w:ascii="Times New Roman" w:cs="Times New Roman" w:eastAsia="Times New Roman" w:hAnsi="Times New Roman"/>
          <w:sz w:val="18"/>
          <w:szCs w:val="18"/>
          <w:color w:val="000000"/>
        </w:rPr>
        <w:t>Engineering, research and development, and other pre-production design and development</w:t>
      </w:r>
      <w:r>
        <w:rPr>
          <w:rFonts w:ascii="Times New Roman" w:cs="Times New Roman" w:eastAsia="Times New Roman" w:hAnsi="Times New Roman"/>
          <w:sz w:val="18"/>
          <w:szCs w:val="18"/>
          <w:i w:val="1"/>
          <w:iCs w:val="1"/>
          <w:color w:val="232323"/>
        </w:rPr>
        <w:t xml:space="preserve"> </w:t>
      </w:r>
      <w:r>
        <w:rPr>
          <w:rFonts w:ascii="Times New Roman" w:cs="Times New Roman" w:eastAsia="Times New Roman" w:hAnsi="Times New Roman"/>
          <w:sz w:val="18"/>
          <w:szCs w:val="18"/>
          <w:color w:val="000000"/>
        </w:rPr>
        <w:t>costs for products sold on long-term supply arrangements are expensed as incurred unless the Company has a contractual guarantee for reimbursement from the customer. If a contractual guarantee for reimbursement exists, unbilled customer-owned tooling costs are recorded as an asset within other prepaid expenses and other current assets. Costs for molds, dies and other tools owned by the Company to produce products under long-term supply arrangements are recorded at cost within property and equipment, net and amortized into cost of sales over the shorter of the term of the arrangement or over the estimated useful lives of the assets, which is generally three to 15 years.</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additions, including significant improvements, are recorded at cost. Upon retirement or disposal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the cost and accumulated depreciation are removed from the accounts, and any gain or loss is included in the accompanying consolidated statement of income. Repair and maintenance costs are charged to expense as incurred.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is computed principally using the straight-line method over the estimated useful lives of the assets.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Definite-Lived Intangible Assets. </w:t>
      </w:r>
      <w:r>
        <w:rPr>
          <w:rFonts w:ascii="Times New Roman" w:cs="Times New Roman" w:eastAsia="Times New Roman" w:hAnsi="Times New Roman"/>
          <w:sz w:val="18"/>
          <w:szCs w:val="18"/>
          <w:color w:val="auto"/>
        </w:rPr>
        <w:t>The Company reviews, on at least a quarterly basis, the financial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1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Company assesses goodwill for impairment on an annual basis (October 1 test date) by reviewing relevant qualitative and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More frequent evaluations may be required if the Company experiences changes in its business climate or as a result of other triggering events that take place. An impairment loss is recognized when the carrying value of a reporting unit's goodwill exceeds its fair value.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at the individual operating segment level, or one level below, when there is discrete financial information available that is regularly reviewed by segment management to evaluate operating results. For purposes of the Company's 2024 goodwill impairment test, the Company had six reporting units, four of which had goodwill, within its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begins its goodwill reviews by conducting a qualitative assessment, considering relevant events and circumstances that affect the fair value or carrying value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value. The Company places more weight on the events and circumstances that most affect a reporting unit's fair value or the carrying value of its net assets. The Company considers positive and mitigating events and circumstances that may affect its determination of whether it is more likely than not that the fair value of a reporting unit is less than its carrying value. The Company also considers its most recent valuations of its reporting units, including the difference between the most recent fair value estimate and the carrying value. Each of these factors is considered by management in reaching its conclusion about whether a quantitative goodwill impairment test is necessary to estimate the fair value of its reporting units.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concludes that conducting a quantitative assessment is required or if the Company elects the option to bypass the qualitative assessment, the Company determines the fair value of the reporting unit being evaluated utilizing a combination of two valuation techniques: discounted cash flow (income approach) and market comparable method (market approach). The income approach is based on management's operating plan and internal five-year forecast and utilizes forward-looking assumptions and projections, on a discounted basis,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valuation multiples to the financial projections of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quantitative test, if it is determined that the carrying value of the reporting unit is higher than its fair value, goodwill is impaired and is written down to the fair value amount; however, the loss recognized will not exceed the total amount of goodwill allocated to the reporting unit. See Note 7,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details regarding the Company's goodwill impairment testing.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Intangibles. </w:t>
      </w:r>
      <w:r>
        <w:rPr>
          <w:rFonts w:ascii="Times New Roman" w:cs="Times New Roman" w:eastAsia="Times New Roman" w:hAnsi="Times New Roman"/>
          <w:sz w:val="18"/>
          <w:szCs w:val="18"/>
          <w:color w:val="auto"/>
        </w:rPr>
        <w:t>The Company assesses indefinite-lived intangible assets (primarily trademark/trade names) for impairment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the asset exceeds its fair value.</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value of the Company's indefinite-lived intangible assets. The Company also considers its most recent valuations of its indefinite-lived intangible assets, including the difference between the most recent fair value estimates and the carrying values.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7,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details regarding the Company's indefinite-lived intangible asset impairment testing.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High Deductible Insurance. </w:t>
      </w:r>
      <w:r>
        <w:rPr>
          <w:rFonts w:ascii="Times New Roman" w:cs="Times New Roman" w:eastAsia="Times New Roman" w:hAnsi="Times New Roman"/>
          <w:sz w:val="18"/>
          <w:szCs w:val="18"/>
          <w:color w:val="auto"/>
        </w:rPr>
        <w:t>The Company generally has high deductible insurance programs for losses and liabilities related to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welfare claims and comprehensive general, product and vehicle liability. The Company is generally responsible for up to $0.8 million per occurrence under its retention program for workers' compensation, up to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Pension Plans. </w:t>
      </w:r>
      <w:r>
        <w:rPr>
          <w:rFonts w:ascii="Times New Roman" w:cs="Times New Roman" w:eastAsia="Times New Roman" w:hAnsi="Times New Roman"/>
          <w:sz w:val="18"/>
          <w:szCs w:val="18"/>
          <w:color w:val="auto"/>
        </w:rPr>
        <w:t>The Company engages independent actuaries to compute the amounts of liabilities and expenses under defined benefit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 See Note 16,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for further information.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Asbestos-related Matters. </w:t>
      </w:r>
      <w:r>
        <w:rPr>
          <w:rFonts w:ascii="Times New Roman" w:cs="Times New Roman" w:eastAsia="Times New Roman" w:hAnsi="Times New Roman"/>
          <w:sz w:val="18"/>
          <w:szCs w:val="18"/>
          <w:color w:val="auto"/>
        </w:rPr>
        <w:t>The Company accrues loss reserves for asbestos-related matters based upon an estimate of the ultimate liability for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whether reported or not, including an estimate of future settlement costs and costs to defend. The Company utilizes known facts and historical trends for Company-specific and general market asbestos-related activity, as well as an actuarial valuation in determining estimated required reserves, which it believes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 Pre-tax asbestos-related charges are included in selling, general and administrative expenses in the accompanying consolidated statement of income.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information.</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when control of promised goods is transferred to customers, which generally occurs when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elected to account for freight and shipping costs that occur after control of the related goods transfer to the customer as a fulfillment cost rather than an additional performance obligation. Freight and shipping costs charged to customers are included within net sales and freight and shipping costs incurred are included within cost of sales, all within the accompanying consolidated statement of income.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worthiness.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includes material, labor and overhead costs incurred in the manufacture of products sold in the period. Material costs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 purchased components, outside processing and freight costs. Overhead costs consist of variable and fixed manufacturing costs, wages and fringe benefits, and purchasing, receiving and inspection costs.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the following: costs related to the advertising,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distribution of the Company's products, amortization of customer intangible assets, costs of finance, human resources, legal functions, executive management costs and other administrative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computes income taxes using the asset and liability method, whereby deferred income taxes using current enacted tax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 See Note 21,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information.</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of the United States are measured using the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The impact of net foreign currency transactions was a loss of $1.3 million, gain of $0.3 million, and gain of $0.7 million for the years ended December 31, 2024, 2023 and 2022, respectively, and is included in other income (expense), net in the accompanying consolidated statement of income.</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 records derivative financial instruments at fair value on the balance sheet as either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 changes in the fair value of the derivative is recognized as a component of other comprehensive income (loss) until the underlying hedged item is recognized in earnings or the forecasted transaction is no longer probable of occurring. If a derivative is designated as a net investment hedge, such as the Company's cross-currency swaps, then the changes in the fair value of the derivative is recognized in other comprehensive income (loss) and will be subsequently reclassified to earnings when the hedged net investment is either sold or substantially liquidated. Net interest payments received on cross-currency swaps are recognized in interest expense in the accompanying consolidated statement of income and are generally classified within operating cash flows in the accompanying consolidated statement of cash flows. If a cross-currency swap is deemed to contain an other-than-insignificant financing element, then the cash flows related to the instrument are classified as financing activities in the accompanying consolidated statement of cash flows. The Company formally documents hedging relationships for its derivative transactions and the underlying hedged items, as well as its risk management objectives and strategies for undertaking the hedge transactions. See Note 12,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for further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In accounting for and disclosing the fair value of financial instruments, the Company uses the following hierarchy:</w:t>
      </w:r>
    </w:p>
    <w:p>
      <w:pPr>
        <w:spacing w:after="0" w:line="146" w:lineRule="exact"/>
        <w:rPr>
          <w:sz w:val="20"/>
          <w:szCs w:val="20"/>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Company has the ability to access at the measurement date;</w:t>
      </w:r>
    </w:p>
    <w:p>
      <w:pPr>
        <w:spacing w:after="0" w:line="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Valuation of the Company's cross-currency swaps are based on the income approach, which uses observable inputs such as interest rate yield curves and forward currency exchange rates, as applicable.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reported in the balance sheet for current assets and current liabilities approximates fair value due to the short maturity of these instruments.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The Company records assets acquired and liabilities assumed from acquisitions at fair value. The fair value of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recognizes compensation expense related to equity awards based on their fair values as of the grant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 only a service condition, awards granted to employees who are eligible for retirement on the date of the grant are expensed immediately, and awards granted to employees who will become retirement-eligible prior to the end of the vesting term are expensed over the period through which the employee will become retirement-eligible since these awards vest upon retirement from the Company. Compensation expense for awards granted to employees who will not become retirement-eligible prior to the end of the vesting term is recognized on a straight-line basis over the vesting period. Performance-based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 See Note 17,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for further information.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(Loss). </w:t>
      </w:r>
      <w:r>
        <w:rPr>
          <w:rFonts w:ascii="Times New Roman" w:cs="Times New Roman" w:eastAsia="Times New Roman" w:hAnsi="Times New Roman"/>
          <w:sz w:val="18"/>
          <w:szCs w:val="18"/>
          <w:color w:val="auto"/>
        </w:rPr>
        <w:t>The Company refers to other comprehensive income (loss) as revenues, expenses, gains and losses that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are included in comprehensive income (loss) but are excluded from net earnings as these amounts are recorded directly as an adjustment to shareholders'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 instruments.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2023, the Company acquired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 million of contingent consideration liability, with such estimate representing the Company's best estimate of fair value of contingent consideration based on Level 3 inputs under the fair value hierarchy, as defined. Located in El Cajon, California, and reported in the Company's Aerospace segment, Weldmac is a designer and manufacturer of complex metal fabricated components and assemblies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On October 25, 2024, the Company reached an agreement with the Weldmac sellers to pay $2.25 million as final contingent consideration for the Weldmac acquisition and made a cash payment during the fourth quarter of 2024. The settlement resulted in a $2.25 million gain on the reversal of the contingent consideration liability, which was recognized in other income (expense), net on the consolidated statement of income.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Realignment Actions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 incurred pre-tax realignment charges of $0.9 million in its Packaging segment, related to the closure of its facility in Irwindale, California. During 2024, $0.5 million and $0.4 million of these charges were included in cost of sales and selling, general and administrative expenses, respectively, in the accompanying consolidated statement of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Realignment Actions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incurred realignment charges in its Packaging segment, related to the closure and consolidation of two manufacturing facilities located in China into one new, larger facility in the Haining region, and for costs incurred to close and consolidate its Rohnert Park, California, manufacturing facility operations into other existing U.S. production locations. In connection with these actions, the Company recorded pre-tax realignment charges of $10.3 million, of which $2.1 million were for employee-related costs, $0.8 million were for inventory write-downs, $5.2 million were for other facility move and consolidation costs, and $2.2 million were related to charges to accelerate the depreciation of certain fixed assets. During 2023, $9.4 million and $0.9 million of these charges were included in cost of sales and selling, general and administrative expenses, respectively, in the accompanying consolidated statement of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Realignment Actions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$5.0 million, of which $2.7 million related to facility move and consolidation costs and $2.3 million was for employee-related costs. During 2022, $2.8 million of these charges were included in cost of sales, $2.0 million of these charges were included in selling, general and administrative expenses and $0.2 million of these charges were included in net gain (loss) on dispositions of assets in the accompanying consolidated statement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End Markets</w:t>
            </w:r>
          </w:p>
        </w:tc>
        <w:tc>
          <w:tcPr>
            <w:tcW w:w="3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418,110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419,410</w:t>
            </w:r>
          </w:p>
        </w:tc>
      </w:tr>
      <w:tr>
        <w:trPr>
          <w:trHeight w:val="22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188,090</w:t>
            </w:r>
          </w:p>
        </w:tc>
      </w:tr>
      <w:tr>
        <w:trPr>
          <w:trHeight w:val="229"/>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212,690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276,330</w:t>
            </w:r>
          </w:p>
        </w:tc>
      </w:tr>
      <w:tr>
        <w:trPr>
          <w:trHeight w:val="223"/>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925,010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883,830</w:t>
            </w:r>
          </w:p>
        </w:tc>
      </w:tr>
      <w:tr>
        <w:trPr>
          <w:trHeight w:val="21"/>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a qualitative assessment as part of its 2024 annual impairment tests (October 1 annual test date) for all reporting units except the packaging-related Life Sciences reporting unit, for which the Company elected to perform a quantitative assessment. The qualitative assessment included a review of the Company’s market capitalization. Based on results of the qualitative assessment for the 2024 annual impairment test, the Company determined there were no indications that the fair value of a reporting unit was less than its carrying value; therefore, the Company determined that quantitative goodwill impairment tests were not required for all reporting units included in the qualitative assessment.</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performed a quantitative assessment as part of its 2024 annual impairment test (October 1 annual test date) for the Life Sciences reporting unit within the Packaging segment, and in 2023 for all reporting units with goodwill after electing the option to bypass the qualitative assessment. In preparing the quantitative analysis, the Company utilized both income and market-based approaches. The income-based approach was conducted using the discounted cash flow method, for which management updated its internal five-year forecast. Assumptions in estimating the future cash flows were based on Level 3 inputs under the fair value hierarchy. The Company also selected appropriate terminal growth rates as well as weighted average cost of capital rates, which considered various factors including the level of inherent risk in achieving the forecast based on prior history and current market conditions. The market-based approach considered comparable publicly traded companies and transactions within the industries where the Company's reporting units participate, and applied their valuation multiples to management's forecast estimates.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results of the 2024 quantitative assessment, the Company determined there were no indications that the fair value of the Life Sciences reporting unit was less than its carrying value. The Company notes that a 1% increase in the weighted average cost of capital would have resulted in a goodwill impairment charge of approximately $7 million, while a 0.5% decrease in the terminal growth rate would have resulted in a goodwill impairment charge of approximately $2 million. If the future financial results of the Life Sciences reporting unit significantly differ from the assumptions inherent in this analysis, the Company may be subject to an impairment charge.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results of the quantitative assessment for the 2023 annual impairment test, the Company determined there were no indications that the fair value of a reporting unit was less than its carrying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31, 2024 and 2023 are as follows (dollars in thousands):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Specialty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3"/>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339,810</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287,350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356,360</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the Company's 2024 annual indefinite-lived intangible asset impairment test (as of October 1), the Company performed a qualitative assessment to determine whether it was more likely than not that the fair values of the indefinite-lived intangible assets were less than the carrying values for all indefinite-lived intangible assets except those for the Life Sciences reporting unit within the Packaging segment, for which the Company elected to perform a quantitative assessment.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2024 annual indefinite-lived intangible asset impairment test for all indefinite-lived intangible assets included in the qualitative assessment.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a quantitative assessment as part of its 2024 annual indefinite-lived intangible asset impairment test (as of October 1) for the indefinite-lived intangible assets for the Life Sciences reporting unit within the Packaging segment after electing the option to bypass the qualitative assessment. Significant management assumptions used under the relief-from-royalty method reflected the Company's current assessment of the risks and uncertainties associated with the cash flows of the respective underlying indefinite-lived intangible assets and represent Level 3 inputs under the fair value hierarchy. Upon completion of the 2024 quantitative impairment test, the Company determined that one of the Life Sciences trade names had a carrying value that exceeded its fair value, and therefore recorded an impairment charge of $0.2 million.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purpose of the Company's 2023 annual indefinite-lived intangible asset impairment test (as of October 1), the Company elected the option to bypass the qualitative assessment and performed a quantitative assessment for all of its indefinite-lived intangible assets except for the Aarts trade name, using the relief-from-royalty method. The Company performed a qualitative assessment for the Aarts trade name as it was acquired less than one year prior and has long-term sales projections consistent with those expected in the purchase price valuation. Significant management assumptions used under the relief-from-royalty method reflected the Company's current assessment of the risks and uncertainties associated with the cash flows of the respective underlying indefinite-lived intangible assets and represent Level 3 inputs under the fair value hierarchy. Upon completion of the 2023 quantitative impairment test, the Company determined that one of the Company's aerospace-related trade names had a carrying value that exceeded its fair value, and therefore recorded an impairment charge of $1.1 million.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purposes of the Company's 2022 annual indefinite-lived intangible asset impairment test (as of October 1), the Company performed a qualitative assessment to determine whether it was more likely than not that the fair values of the indefinite-lived intangible assets were less than the carrying values.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2022 annual indefinite-lived intangible asset impairment test.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the Company's other intangibles as of December 31, 2024 and 2023 are summarized below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60" w:type="dxa"/>
            <w:vAlign w:val="bottom"/>
          </w:tcPr>
          <w:p>
            <w:pPr>
              <w:spacing w:after="0"/>
              <w:rPr>
                <w:sz w:val="18"/>
                <w:szCs w:val="18"/>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58"/>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Trademark/Trade names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(252,200)</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beginning after December 31, 2024 is as follows (dollars in thousands):</w:t>
      </w:r>
    </w:p>
    <w:p>
      <w:pPr>
        <w:spacing w:after="0" w:line="282" w:lineRule="exact"/>
        <w:rPr>
          <w:sz w:val="20"/>
          <w:szCs w:val="20"/>
          <w:color w:val="auto"/>
        </w:rPr>
      </w:pPr>
    </w:p>
    <w:tbl>
      <w:tblPr>
        <w:tblLayout w:type="fixed"/>
        <w:tblInd w:w="2560" w:type="dxa"/>
        <w:tblCellMar>
          <w:top w:w="0" w:type="dxa"/>
          <w:left w:w="0" w:type="dxa"/>
          <w:bottom w:w="0" w:type="dxa"/>
          <w:right w:w="0" w:type="dxa"/>
        </w:tblCellMar>
      </w:tblPr>
      <w:tr>
        <w:trPr>
          <w:trHeight w:val="215"/>
        </w:trPr>
        <w:tc>
          <w:tcPr>
            <w:tcW w:w="2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Estimated Amortization Expense</w:t>
            </w:r>
          </w:p>
        </w:tc>
      </w:tr>
      <w:tr>
        <w:trPr>
          <w:trHeight w:val="226"/>
        </w:trPr>
        <w:tc>
          <w:tcPr>
            <w:tcW w:w="2600" w:type="dxa"/>
            <w:vAlign w:val="bottom"/>
            <w:shd w:val="clear" w:color="auto" w:fill="CCEEFF"/>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2025</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r>
      <w:tr>
        <w:trPr>
          <w:trHeight w:val="230"/>
        </w:trPr>
        <w:tc>
          <w:tcPr>
            <w:tcW w:w="2600" w:type="dxa"/>
            <w:vAlign w:val="bottom"/>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2026</w:t>
            </w:r>
          </w:p>
        </w:tc>
        <w:tc>
          <w:tcPr>
            <w:tcW w:w="58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229"/>
        </w:trPr>
        <w:tc>
          <w:tcPr>
            <w:tcW w:w="2600" w:type="dxa"/>
            <w:vAlign w:val="bottom"/>
            <w:shd w:val="clear" w:color="auto" w:fill="CCEEFF"/>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2027</w:t>
            </w:r>
          </w:p>
        </w:tc>
        <w:tc>
          <w:tcPr>
            <w:tcW w:w="58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w:t>
            </w:r>
          </w:p>
        </w:tc>
      </w:tr>
      <w:tr>
        <w:trPr>
          <w:trHeight w:val="230"/>
        </w:trPr>
        <w:tc>
          <w:tcPr>
            <w:tcW w:w="2600" w:type="dxa"/>
            <w:vAlign w:val="bottom"/>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2028</w:t>
            </w:r>
          </w:p>
        </w:tc>
        <w:tc>
          <w:tcPr>
            <w:tcW w:w="58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r>
      <w:tr>
        <w:trPr>
          <w:trHeight w:val="230"/>
        </w:trPr>
        <w:tc>
          <w:tcPr>
            <w:tcW w:w="2600" w:type="dxa"/>
            <w:vAlign w:val="bottom"/>
            <w:shd w:val="clear" w:color="auto" w:fill="CCEEFF"/>
          </w:tcPr>
          <w:p>
            <w:pPr>
              <w:jc w:val="right"/>
              <w:ind w:right="2132"/>
              <w:spacing w:after="0"/>
              <w:rPr>
                <w:sz w:val="20"/>
                <w:szCs w:val="20"/>
                <w:color w:val="auto"/>
              </w:rPr>
            </w:pPr>
            <w:r>
              <w:rPr>
                <w:rFonts w:ascii="Times New Roman" w:cs="Times New Roman" w:eastAsia="Times New Roman" w:hAnsi="Times New Roman"/>
                <w:sz w:val="18"/>
                <w:szCs w:val="18"/>
                <w:color w:val="auto"/>
                <w:w w:val="99"/>
              </w:rPr>
              <w:t>2029</w:t>
            </w:r>
          </w:p>
        </w:tc>
        <w:tc>
          <w:tcPr>
            <w:tcW w:w="58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192,450</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502,090</w:t>
            </w:r>
          </w:p>
        </w:tc>
      </w:tr>
      <w:tr>
        <w:trPr>
          <w:trHeight w:val="223"/>
        </w:trPr>
        <w:tc>
          <w:tcPr>
            <w:tcW w:w="8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634,160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304,170</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w:t>
            </w:r>
          </w:p>
        </w:tc>
      </w:tr>
      <w:tr>
        <w:trPr>
          <w:trHeight w:val="22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following a strategic profitability study of our cylinders products, the Company ceased use of certain machinery and equipment, resulting in accelerated depreciation expense of $8.2 million due to the shortening of the assets' expected useful lives within the Company's Specialty Products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 components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deductible insurance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liability</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59,640</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24"/>
                <w:szCs w:val="24"/>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395,660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$400.0 million aggregate principal amount of 4.125% senior notes outstanding due April 15, 2029 ("Senior Notes").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a credit agreement ("Credit Agreement") consisting of a $300.0 million senior secured revolving credit facility, which permits borrowings denominated in specific foreign currencies, subject to a $125.0 million sub limit, maturing on March 29, 2026.</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Company amended the Credit Agreement to replace LIBOR. As of December 31, 2024, monthly borrowings under the Credit Agreement are subject to benchmark interest rates that are based on the currency denomination of borrowings, with British pound sterling borrowings subject to the Sterling Overnight Index Average and Euro borrowings subject to the Euro InterBank Offered Rate, both plus a spread of 1.75%, and U.S. dollar borrowings subject to the Secured Overnight Financing Rate plus a spread of 1.85%. The interest rate spread is based upon the leverage ratio, as defined, as of the most recent determination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revolving credit facility allows for the issuance of letters of credit, not to exceed $40.0 million in aggregate. At December 31, 2024, the Company had $1.5 million outstanding under its revolving credit facility and had $292.2 million potentially available after giving effect to $6.3 million of letters of credit issued and outstanding. At December 31, 2023, the Company had no amounts outstanding under its revolving credit facility and had $294.0 million potentially available after giving effect to $6.0 million of letters of credit issued and outstanding. After consideration of leverage restrictions contained in the Credit Agreement, as of December 31, 2024 and 2023, the Company had $216.7 million and $256.9 million, respectively, of borrowing capacity available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2024, the Company was in compliance with the financial covenants contained in the Credit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December 31, 2024 or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the face value of long-term debt at December 31, 2024 are as follows (dollars in thousands):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Future Maturities</w:t>
            </w:r>
          </w:p>
        </w:tc>
      </w:tr>
      <w:tr>
        <w:trPr>
          <w:trHeight w:val="226"/>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3480" w:type="dxa"/>
            <w:vAlign w:val="bottom"/>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364,000</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unamortized debt issuance costs approximated $3.4 million and $4.3 million at December 31, 2024 and 2023,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$1.0 million, $0.9 million and $0.9 million in 2024, 2023 and 2022, respectively, and is included in interest expense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year ended December 31, 2024.</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fair value carrying amount of the Company's derivatives designated as hedging instruments are recorded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0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30"/>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income recognized in AOCI on derivative contracts designated as hedging instruments as of December 31, 2024 and 2023, and the amounts reclassified from AOCI into earnings for the years ended December 31, 2024, 2023 and 2022 (dollars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tc>
        <w:tc>
          <w:tcPr>
            <w:tcW w:w="2880" w:type="dxa"/>
            <w:vAlign w:val="bottom"/>
          </w:tcPr>
          <w:p>
            <w:pPr>
              <w:spacing w:after="0"/>
              <w:rPr>
                <w:sz w:val="16"/>
                <w:szCs w:val="16"/>
                <w:color w:val="auto"/>
              </w:rPr>
            </w:pPr>
          </w:p>
        </w:tc>
        <w:tc>
          <w:tcPr>
            <w:tcW w:w="3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Income (Loss) Reclassified from</w:t>
            </w:r>
          </w:p>
        </w:tc>
        <w:tc>
          <w:tcPr>
            <w:tcW w:w="0" w:type="dxa"/>
            <w:vAlign w:val="bottom"/>
          </w:tcPr>
          <w:p>
            <w:pPr>
              <w:spacing w:after="0"/>
              <w:rPr>
                <w:sz w:val="1"/>
                <w:szCs w:val="1"/>
                <w:color w:val="auto"/>
              </w:rPr>
            </w:pPr>
          </w:p>
        </w:tc>
      </w:tr>
      <w:tr>
        <w:trPr>
          <w:trHeight w:val="162"/>
        </w:trPr>
        <w:tc>
          <w:tcPr>
            <w:tcW w:w="2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 AOCI on Derivative</w:t>
            </w:r>
          </w:p>
        </w:tc>
        <w:tc>
          <w:tcPr>
            <w:tcW w:w="2880" w:type="dxa"/>
            <w:vAlign w:val="bottom"/>
          </w:tcPr>
          <w:p>
            <w:pPr>
              <w:spacing w:after="0"/>
              <w:rPr>
                <w:sz w:val="14"/>
                <w:szCs w:val="14"/>
                <w:color w:val="auto"/>
              </w:rPr>
            </w:pPr>
          </w:p>
        </w:tc>
        <w:tc>
          <w:tcPr>
            <w:tcW w:w="3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7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AOCI into Earnings</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300" w:type="dxa"/>
            <w:vAlign w:val="bottom"/>
            <w:tcBorders>
              <w:bottom w:val="single" w:sz="8" w:color="auto"/>
            </w:tcBorders>
            <w:gridSpan w:val="2"/>
            <w:vMerge w:val="continue"/>
          </w:tcPr>
          <w:p>
            <w:pPr>
              <w:spacing w:after="0"/>
              <w:rPr>
                <w:sz w:val="10"/>
                <w:szCs w:val="10"/>
                <w:color w:val="auto"/>
              </w:rPr>
            </w:pPr>
          </w:p>
        </w:tc>
        <w:tc>
          <w:tcPr>
            <w:tcW w:w="28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 into</w:t>
            </w:r>
          </w:p>
        </w:tc>
        <w:tc>
          <w:tcPr>
            <w:tcW w:w="7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80" w:type="dxa"/>
            <w:vAlign w:val="bottom"/>
            <w:vMerge w:val="continue"/>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line="20" w:lineRule="exact"/>
              <w:rPr>
                <w:sz w:val="1"/>
                <w:szCs w:val="1"/>
                <w:color w:val="auto"/>
              </w:rPr>
            </w:pPr>
          </w:p>
        </w:tc>
      </w:tr>
      <w:tr>
        <w:trPr>
          <w:trHeight w:val="212"/>
        </w:trPr>
        <w:tc>
          <w:tcPr>
            <w:tcW w:w="74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78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 w:lineRule="exact"/>
        <w:rPr>
          <w:sz w:val="20"/>
          <w:szCs w:val="20"/>
          <w:color w:val="auto"/>
        </w:rPr>
      </w:pPr>
    </w:p>
    <w:p>
      <w:pPr>
        <w:ind w:right="80" w:firstLine="139"/>
        <w:spacing w:after="0" w:line="542" w:lineRule="auto"/>
        <w:rPr>
          <w:sz w:val="20"/>
          <w:szCs w:val="20"/>
          <w:color w:val="auto"/>
        </w:rPr>
      </w:pPr>
      <w:r>
        <w:rPr>
          <w:rFonts w:ascii="Times New Roman" w:cs="Times New Roman" w:eastAsia="Times New Roman" w:hAnsi="Times New Roman"/>
          <w:sz w:val="18"/>
          <w:szCs w:val="18"/>
          <w:color w:val="auto"/>
        </w:rPr>
        <w:t>Cross-currency swaps $ 16,300 $ 13,260 Other income (expense), net $ — $ — $ — Over the next 12 months, the Company does not expect to reclassify any pre-tax deferred amounts from AOCI into earnings.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was party to foreign currency exchange forward contracts to economically hedge changes in foreign currency rates with notional amounts of $105.9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March 2025.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21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6"/>
          </w:tcPr>
          <w:p>
            <w:pPr>
              <w:jc w:val="center"/>
              <w:ind w:left="435"/>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29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29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220" w:type="dxa"/>
            <w:vAlign w:val="bottom"/>
          </w:tcPr>
          <w:p>
            <w:pPr>
              <w:spacing w:after="0"/>
              <w:rPr>
                <w:sz w:val="14"/>
                <w:szCs w:val="1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 instruments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December 31, 2024 and 2023 are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37,980</w:t>
            </w: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r>
      <w:tr>
        <w:trPr>
          <w:trHeight w:val="20"/>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$0.4 million and $0.2 million as of December 31, 2024 and 2023,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95" w:lineRule="exact"/>
        <w:rPr>
          <w:sz w:val="20"/>
          <w:szCs w:val="20"/>
          <w:color w:val="auto"/>
        </w:rPr>
      </w:pPr>
    </w:p>
    <w:tbl>
      <w:tblPr>
        <w:tblLayout w:type="fixed"/>
        <w:tblInd w:w="414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00" w:type="dxa"/>
            <w:vAlign w:val="bottom"/>
            <w:tcBorders>
              <w:bottom w:val="single" w:sz="8" w:color="auto"/>
            </w:tcBorders>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14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358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Cost of sales and Selling, general and</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580" w:type="dxa"/>
            <w:vAlign w:val="bottom"/>
          </w:tcPr>
          <w:p>
            <w:pPr>
              <w:spacing w:after="0"/>
              <w:rPr>
                <w:sz w:val="19"/>
                <w:szCs w:val="19"/>
                <w:color w:val="auto"/>
              </w:rPr>
            </w:pPr>
          </w:p>
        </w:tc>
      </w:tr>
      <w:tr>
        <w:trPr>
          <w:trHeight w:val="230"/>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r>
      <w:tr>
        <w:trPr>
          <w:trHeight w:val="229"/>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180"/>
        </w:trPr>
        <w:tc>
          <w:tcPr>
            <w:tcW w:w="3360" w:type="dxa"/>
            <w:vAlign w:val="bottom"/>
          </w:tcPr>
          <w:p>
            <w:pPr>
              <w:spacing w:after="0"/>
              <w:rPr>
                <w:sz w:val="15"/>
                <w:szCs w:val="15"/>
                <w:color w:val="auto"/>
              </w:rPr>
            </w:pPr>
          </w:p>
        </w:tc>
        <w:tc>
          <w:tcPr>
            <w:tcW w:w="3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Cost of sales and Selling, general and</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-728345</wp:posOffset>
            </wp:positionV>
            <wp:extent cx="71062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-436880</wp:posOffset>
            </wp:positionV>
            <wp:extent cx="7106285"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w:t>
            </w:r>
          </w:p>
        </w:tc>
      </w:tr>
      <w:tr>
        <w:trPr>
          <w:trHeight w:val="454"/>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tabs>
          <w:tab w:leader="none" w:pos="2500" w:val="left"/>
        </w:tabs>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1"/>
          <w:szCs w:val="21"/>
          <w:b w:val="1"/>
          <w:bCs w:val="1"/>
          <w:color w:val="auto"/>
          <w:vertAlign w:val="superscript"/>
        </w:rPr>
        <w:t>(a)</w:t>
      </w:r>
      <w:r>
        <w:rPr>
          <w:sz w:val="20"/>
          <w:szCs w:val="20"/>
          <w:color w:val="auto"/>
        </w:rPr>
        <w:tab/>
      </w:r>
      <w:r>
        <w:rPr>
          <w:rFonts w:ascii="Times New Roman" w:cs="Times New Roman" w:eastAsia="Times New Roman" w:hAnsi="Times New Roman"/>
          <w:sz w:val="15"/>
          <w:szCs w:val="15"/>
          <w:b w:val="1"/>
          <w:bCs w:val="1"/>
          <w:color w:val="auto"/>
        </w:rPr>
        <w:t>Finance Leases</w:t>
      </w:r>
      <w:r>
        <w:rPr>
          <w:rFonts w:ascii="Times New Roman" w:cs="Times New Roman" w:eastAsia="Times New Roman" w:hAnsi="Times New Roman"/>
          <w:sz w:val="20"/>
          <w:szCs w:val="20"/>
          <w:b w:val="1"/>
          <w:bCs w:val="1"/>
          <w:color w:val="auto"/>
          <w:vertAlign w:val="superscript"/>
        </w:rPr>
        <w:t>(a)</w:t>
      </w:r>
    </w:p>
    <w:p>
      <w:pPr>
        <w:spacing w:after="0" w:line="1" w:lineRule="exact"/>
        <w:rPr>
          <w:sz w:val="20"/>
          <w:szCs w:val="20"/>
          <w:color w:val="auto"/>
        </w:rPr>
      </w:pPr>
    </w:p>
    <w:p>
      <w:pPr>
        <w:sectPr>
          <w:pgSz w:w="11900" w:h="16838" w:orient="portrait"/>
          <w:cols w:equalWidth="0" w:num="2">
            <w:col w:w="6980" w:space="100"/>
            <w:col w:w="41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3"/>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8"/>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term of the Company's operating leases and finance leases as of December 31, 2024, is 6.1 and 2.6 years,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 for operating and finance leases as of December 31, 2024, is 4.2% and 2.6%,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year ended December 31, 2024, the Company recorded pre-tax charges of $3.6 million within selling, general and administrative expenses in the accompanying consolidated statement of income related to environmental remediation costs. As of December 31, 2024, the Company’s total environmental remediation obligation was $3.3 million.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was a party to 524 pending cases involving an aggregate of 4,968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60" w:type="dxa"/>
            <w:vAlign w:val="bottom"/>
          </w:tcPr>
          <w:p>
            <w:pPr>
              <w:spacing w:after="0"/>
              <w:rPr>
                <w:sz w:val="14"/>
                <w:szCs w:val="14"/>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12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 end</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60" w:type="dxa"/>
            <w:vAlign w:val="bottom"/>
          </w:tcPr>
          <w:p>
            <w:pPr>
              <w:spacing w:after="0"/>
              <w:rPr>
                <w:sz w:val="14"/>
                <w:szCs w:val="14"/>
                <w:color w:val="auto"/>
              </w:rPr>
            </w:pPr>
          </w:p>
        </w:tc>
        <w:tc>
          <w:tcPr>
            <w:tcW w:w="11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2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60" w:type="dxa"/>
            <w:vAlign w:val="bottom"/>
          </w:tcPr>
          <w:p>
            <w:pPr>
              <w:spacing w:after="0"/>
              <w:rPr>
                <w:sz w:val="18"/>
                <w:szCs w:val="18"/>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1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large majority of claims do not specify the amount sought. Of the 4,968 claims pending at December 31, 2024, 28 set forth specific amounts of damages (other than those stating the statutory minimum or maximum). At December 31, 2024, of the 28 claims that set forth specific amounts, there were no claims seeking more than $5 million for punitive damages. Below is a breakdown of the compensatory damages sought for those claims seeking specific amounts: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Range of damages sought (in millions)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23</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of the claims have reached the discovery stage and even fewer claims have gone past the discovery stage. Total settlement costs (exclusive of defense costs) for all such cases, some of which were filed over 30 years ago, have been $13.7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accrues for all asbestos-related future defense costs for both known and unknown claims, which the Company believes are reasonably estimable. The Company’s liability for asbestos-related claims is based on a study from the Company’s third-party actuary, the Company's review of the study, as well as the Company’s own review of asbestos claims and claim resolution activity. In 2022, the Company commissioned its actuary to update the asbestos study based on data as of September 30, 2022. The Company recorded a pre-tax charge of $5.6 million to increase the liability estimate to $29.6 million, at the low-end of the range of the 2022 study. In 2024, the Company commissioned its actuary to update the asbestos study based on data as of May 31, 2024, which yielded a range of possible future liability of $31.0 million to $39.8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$5.5 million to increase the liability estimate to $31.0 million, at the low-end of the range. As of December 31, 2024, the Company’s total asbestos-related liability was $29.7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most recent actuarial study, the Company believes it will reach the threshold of qualified future settlements required to commence excess carrier insurance coverage under the coverage-in-place agreement in 2025. As of December 31, 2024, the Company has not recognized an asbestos-related insurance recovery asset corresponding to its asbestos-related liability. The Company will continue to reassess its estimate of insurance recoveries and corresponding accounting for any such recoveries as the facts and circumstances change.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Profit-Sharing Benefits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income under this plan were $5.1 million, $4.6 million and $3.7 million in 2024, 2023 and 2022, respectively. Certain of the Company's non-U.S. and union hourly employees participate in defined benefit pension plans.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 Expenses and Obligations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2024, the Company entered into a buy-in contract with a third party insurer for the Company’s United Kingdom defined benefit obligations. The buy-in insurance contract covers substantially all future benefit plan payments for the U.K plan. The primary benefit obligation remains with the Company and the insurance contract remains an asset of the U.K. pension plan. The insurance contract is classified as a Level 3 investment and is valued on an insurer pricing basis based on the purchase price adjusted for changes in discount rates and other actuarial assumptions, which approximates fair value. The buy-in arrangement is a precursor to a possible future conversion into a buy-out arrangement where the insurance company would assume full responsibility for the U.K. pension plan pension obligations, at which time the Company would derecognize the assets and liabilities of the pension plan and realize a settlement charge as a component of the net periodic pension cost.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periodic pension benefit expense recorded in the Company's consolidated statement of income for defined benefit pension plans include the following components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768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Net periodic benefit expense (income)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8" w:lineRule="exact"/>
        <w:rPr>
          <w:sz w:val="20"/>
          <w:szCs w:val="20"/>
          <w:color w:val="auto"/>
        </w:rPr>
      </w:pPr>
    </w:p>
    <w:p>
      <w:pPr>
        <w:ind w:left="180" w:right="20" w:hanging="172"/>
        <w:spacing w:after="0" w:line="228" w:lineRule="auto"/>
        <w:tabs>
          <w:tab w:leader="none" w:pos="145"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net periodic benefit expense for the U.S. defined benefit pension plans was $0.5 million, $0.5 million and $0.9 million for 2024, 2023 and 2022, respectively. The net periodic benefit expense (income) for the non-U.S. defined benefit pension plans was $(0.5) million, $0.3 million and $(0.2) million for 2024, 2023 and 2022, respectively.</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expense is recorded in cost of goods sold and selling, general and administrative expenses, while non-service cost components are recorded in other income (expense), net in the accompanying consolidated statement of income.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Company recognized a one-time, pre-tax settlement charge of $1.0 million related to the purchase of an annuity contract to transfer the Company's Canadian defined benefit obligations to an insurance company.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Actuarial valuations of the Company's defined benefit pension plans were prepared as of December 31, 2024, 2023 and 2022. Weighted average assumptions used in accounting for the U.S. defined benefit pension plans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in accounting for the non-U.S. defined benefit pension plans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Company's defined benefit pension plans' projected benefit obligations and fair value of assets for each of the years ended December 31, 2024 and 2023 and the funded status as of December 31, 2024 and 2023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11"/>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8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Actuarial (loss) gain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3"/>
        </w:trPr>
        <w:tc>
          <w:tcPr>
            <w:tcW w:w="8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Projected benefit obligations at December 31 </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3"/>
        </w:trPr>
        <w:tc>
          <w:tcPr>
            <w:tcW w:w="8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Fair value of plan assets at December 31 </w:t>
            </w:r>
            <w:r>
              <w:rPr>
                <w:rFonts w:ascii="Times New Roman" w:cs="Times New Roman" w:eastAsia="Times New Roman" w:hAnsi="Times New Roman"/>
                <w:sz w:val="23"/>
                <w:szCs w:val="23"/>
                <w:color w:val="auto"/>
                <w:vertAlign w:val="superscript"/>
              </w:rPr>
              <w:t>(c)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r>
      <w:tr>
        <w:trPr>
          <w:trHeight w:val="223"/>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Funded status at December 31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180" w:hanging="172"/>
        <w:spacing w:after="0" w:line="238" w:lineRule="auto"/>
        <w:tabs>
          <w:tab w:leader="none" w:pos="145"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actuarial loss for the year ended December 31, 2024 was driven by a loss due to changes in financial assumptions and experience loss in the Non-U.S more than offsetting gains from an increase in the discount rate and demographic experience in the U.S. The actuarial loss for the year ended December 31, 2023 was primarily due to changes in demographic assumptions as well as a decrease in the discount rate utilized in measuring the projected benefit obligations, partially offset by experience gains.</w:t>
      </w:r>
    </w:p>
    <w:p>
      <w:pPr>
        <w:spacing w:after="0" w:line="28" w:lineRule="exact"/>
        <w:rPr>
          <w:rFonts w:ascii="Times New Roman" w:cs="Times New Roman" w:eastAsia="Times New Roman" w:hAnsi="Times New Roman"/>
          <w:sz w:val="18"/>
          <w:szCs w:val="18"/>
          <w:color w:val="auto"/>
          <w:vertAlign w:val="superscript"/>
        </w:rPr>
      </w:pPr>
    </w:p>
    <w:p>
      <w:pPr>
        <w:ind w:left="180" w:right="20" w:hanging="172"/>
        <w:spacing w:after="0" w:line="230" w:lineRule="auto"/>
        <w:tabs>
          <w:tab w:leader="none" w:pos="189"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U.S. projected benefit obligations were $12.5 million and $13.2 million at December 31, 2024 and 2023, respectively. Non-U.S. projected benefit obligations were $15.0 million and $14.3 million at December 31, 2024 and 2023, respectively.</w:t>
      </w:r>
    </w:p>
    <w:p>
      <w:pPr>
        <w:spacing w:after="0" w:line="14" w:lineRule="exact"/>
        <w:rPr>
          <w:rFonts w:ascii="Times New Roman" w:cs="Times New Roman" w:eastAsia="Times New Roman" w:hAnsi="Times New Roman"/>
          <w:sz w:val="19"/>
          <w:szCs w:val="19"/>
          <w:color w:val="auto"/>
          <w:vertAlign w:val="superscript"/>
        </w:rPr>
      </w:pPr>
    </w:p>
    <w:p>
      <w:pPr>
        <w:ind w:left="180" w:hanging="172"/>
        <w:spacing w:after="0" w:line="237" w:lineRule="auto"/>
        <w:tabs>
          <w:tab w:leader="none" w:pos="145"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fair value of U.S. plan assets was $10.5 million and $9.5 million at December 31, 2024 and 2023, respectively. The fair value of non-U.S. plan assets was $15.6 million and $18.3 million at December 31, 2024 and 2023,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11"/>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Balance Sheet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48"/>
        </w:trPr>
        <w:tc>
          <w:tcPr>
            <w:tcW w:w="8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 (liability) recognized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Pension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21590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 w:lineRule="exact"/>
        <w:rPr>
          <w:sz w:val="20"/>
          <w:szCs w:val="20"/>
          <w:color w:val="auto"/>
        </w:rPr>
      </w:pPr>
    </w:p>
    <w:p>
      <w:pPr>
        <w:jc w:val="both"/>
        <w:ind w:left="9280"/>
        <w:spacing w:after="0"/>
        <w:tabs>
          <w:tab w:leader="none" w:pos="104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ectPr>
          <w:pgSz w:w="11900" w:h="16838" w:orient="portrait"/>
          <w:cols w:equalWidth="0" w:num="1">
            <w:col w:w="11240"/>
          </w:cols>
          <w:pgMar w:left="320" w:top="12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151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Unrecognized net loss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accumulated other comprehensive loss recognized at December 31</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244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Benefit</w:t>
            </w:r>
          </w:p>
        </w:tc>
        <w:tc>
          <w:tcPr>
            <w:tcW w:w="2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Projected Benefit Obligations</w:t>
            </w:r>
          </w:p>
        </w:tc>
        <w:tc>
          <w:tcPr>
            <w:tcW w:w="0" w:type="dxa"/>
            <w:vAlign w:val="bottom"/>
          </w:tcPr>
          <w:p>
            <w:pPr>
              <w:spacing w:after="0"/>
              <w:rPr>
                <w:sz w:val="1"/>
                <w:szCs w:val="1"/>
                <w:color w:val="auto"/>
              </w:rPr>
            </w:pPr>
          </w:p>
        </w:tc>
      </w:tr>
      <w:tr>
        <w:trPr>
          <w:trHeight w:val="214"/>
        </w:trPr>
        <w:tc>
          <w:tcPr>
            <w:tcW w:w="740" w:type="dxa"/>
            <w:vAlign w:val="bottom"/>
          </w:tcPr>
          <w:p>
            <w:pPr>
              <w:spacing w:after="0"/>
              <w:rPr>
                <w:sz w:val="18"/>
                <w:szCs w:val="18"/>
                <w:color w:val="auto"/>
              </w:rPr>
            </w:pPr>
          </w:p>
        </w:tc>
        <w:tc>
          <w:tcPr>
            <w:tcW w:w="170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720"/>
            <w:col w:w="4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benefit 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(27,270)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(27,470)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benefit obligations exceeding plan assets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(12,910)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(13,110)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10,490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0" w:type="dxa"/>
            <w:vAlign w:val="bottom"/>
          </w:tcPr>
          <w:p>
            <w:pPr>
              <w:spacing w:after="0"/>
              <w:rPr>
                <w:sz w:val="1"/>
                <w:szCs w:val="1"/>
                <w:color w:val="auto"/>
              </w:rPr>
            </w:pPr>
          </w:p>
        </w:tc>
      </w:tr>
      <w:tr>
        <w:trPr>
          <w:trHeight w:val="158"/>
        </w:trPr>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3"/>
                <w:szCs w:val="13"/>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 Expense</w:t>
            </w:r>
          </w:p>
        </w:tc>
        <w:tc>
          <w:tcPr>
            <w:tcW w:w="0" w:type="dxa"/>
            <w:vAlign w:val="bottom"/>
          </w:tcPr>
          <w:p>
            <w:pPr>
              <w:spacing w:after="0"/>
              <w:rPr>
                <w:sz w:val="1"/>
                <w:szCs w:val="1"/>
                <w:color w:val="auto"/>
              </w:rPr>
            </w:pPr>
          </w:p>
        </w:tc>
      </w:tr>
      <w:tr>
        <w:trPr>
          <w:trHeight w:val="214"/>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Benefit Obligation</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assets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basis point increase</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 basis point decrease</w:t>
            </w:r>
          </w:p>
        </w:tc>
        <w:tc>
          <w:tcPr>
            <w:tcW w:w="160" w:type="dxa"/>
            <w:vAlign w:val="bottom"/>
          </w:tcPr>
          <w:p>
            <w:pPr>
              <w:spacing w:after="0"/>
              <w:rPr>
                <w:sz w:val="20"/>
                <w:szCs w:val="20"/>
                <w:color w:val="auto"/>
              </w:rPr>
            </w:pP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make contributions of $1.2 million to fund its pension plans during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weighted average asset allocation of the Company's domestic and foreign pension plans' assets at December 31, 2024 and 2023 and target allocations by class,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Domestic Pension</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Foreign Pension</w:t>
            </w:r>
          </w:p>
        </w:tc>
        <w:tc>
          <w:tcPr>
            <w:tcW w:w="880" w:type="dxa"/>
            <w:vAlign w:val="bottom"/>
            <w:tcBorders>
              <w:bottom w:val="single" w:sz="8" w:color="auto"/>
            </w:tcBorders>
          </w:tcPr>
          <w:p>
            <w:pPr>
              <w:spacing w:after="0"/>
              <w:rPr>
                <w:sz w:val="18"/>
                <w:szCs w:val="18"/>
                <w:color w:val="auto"/>
              </w:rPr>
            </w:pPr>
          </w:p>
        </w:tc>
      </w:tr>
      <w:tr>
        <w:trPr>
          <w:trHeight w:val="209"/>
        </w:trPr>
        <w:tc>
          <w:tcPr>
            <w:tcW w:w="3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80" w:type="dxa"/>
            <w:vAlign w:val="bottom"/>
            <w:tcBorders>
              <w:bottom w:val="single" w:sz="8" w:color="auto"/>
            </w:tcBorders>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0" w:type="dxa"/>
            <w:vAlign w:val="bottom"/>
            <w:gridSpan w:val="2"/>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00" w:type="dxa"/>
            <w:vAlign w:val="bottom"/>
          </w:tcPr>
          <w:p>
            <w:pPr>
              <w:spacing w:after="0"/>
              <w:rPr>
                <w:sz w:val="18"/>
                <w:szCs w:val="18"/>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3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The following table summarizes the level under the fair value hierarchy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that the Company's pension plan assets are measured, on a recurring basis as of December 31, 2024 and 2023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1"/>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subject to leveling</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29"/>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Plan assets measured at net asset value</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6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1"/>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subject to leveling</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Plan assets measured at net asset value</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53" w:lineRule="exact"/>
        <w:rPr>
          <w:sz w:val="20"/>
          <w:szCs w:val="20"/>
          <w:color w:val="auto"/>
        </w:rPr>
      </w:pPr>
    </w:p>
    <w:p>
      <w:pPr>
        <w:ind w:firstLine="8"/>
        <w:spacing w:after="0" w:line="230" w:lineRule="auto"/>
        <w:tabs>
          <w:tab w:leader="none" w:pos="154"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changes in Level 3 plan assets for the period ended December 31, 2024 (dollars in thousands):</w:t>
      </w:r>
    </w:p>
    <w:p>
      <w:pPr>
        <w:spacing w:after="0" w:line="194"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Level 3 Assets</w:t>
            </w:r>
          </w:p>
        </w:tc>
      </w:tr>
      <w:tr>
        <w:trPr>
          <w:trHeight w:val="223"/>
        </w:trPr>
        <w:tc>
          <w:tcPr>
            <w:tcW w:w="4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0"/>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benefit payments, which reflect expected future service, as appropriate, are expected to be paid during the following years (dollars in thousands):</w:t>
      </w:r>
    </w:p>
    <w:p>
      <w:pPr>
        <w:spacing w:after="0" w:line="198"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35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0" w:type="dxa"/>
            <w:vAlign w:val="bottom"/>
          </w:tcPr>
          <w:p>
            <w:pPr>
              <w:spacing w:after="0"/>
              <w:rPr>
                <w:sz w:val="1"/>
                <w:szCs w:val="1"/>
                <w:color w:val="auto"/>
              </w:rPr>
            </w:pPr>
          </w:p>
        </w:tc>
      </w:tr>
      <w:tr>
        <w:trPr>
          <w:trHeight w:val="225"/>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2030-2034</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the following long-term equity incentive plans (collectively, the "Plans"):</w:t>
      </w:r>
    </w:p>
    <w:p>
      <w:pPr>
        <w:spacing w:after="0" w:line="262"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Names</w:t>
            </w:r>
          </w:p>
        </w:tc>
        <w:tc>
          <w:tcPr>
            <w:tcW w:w="100" w:type="dxa"/>
            <w:vAlign w:val="bottom"/>
            <w:vMerge w:val="restart"/>
          </w:tcPr>
          <w:p>
            <w:pPr>
              <w:spacing w:after="0"/>
              <w:rPr>
                <w:sz w:val="16"/>
                <w:szCs w:val="16"/>
                <w:color w:val="auto"/>
              </w:rPr>
            </w:pP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Shares Approved for</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0" w:type="dxa"/>
            <w:vAlign w:val="bottom"/>
          </w:tcPr>
          <w:p>
            <w:pPr>
              <w:spacing w:after="0"/>
              <w:rPr>
                <w:sz w:val="1"/>
                <w:szCs w:val="1"/>
                <w:color w:val="auto"/>
              </w:rPr>
            </w:pPr>
          </w:p>
        </w:tc>
      </w:tr>
      <w:tr>
        <w:trPr>
          <w:trHeight w:val="37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TriMas Corporation 2023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2,151,359</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TriMas Corporation Director Retainer Share Election Program</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previously maintained the TriMas Corporation 2017 Equity and Incentive Compensation Plan, which was replaced by the TriMas Corporation 2023 Equity and Incentive Compensation Plan in 2023 such that, while existing grants remain outstanding until exercised, vested or canceled, no new shares may be issued under this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2024, 2023, and 2022:</w:t>
      </w:r>
    </w:p>
    <w:p>
      <w:pPr>
        <w:spacing w:after="0" w:line="158" w:lineRule="exact"/>
        <w:rPr>
          <w:sz w:val="20"/>
          <w:szCs w:val="20"/>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297,761, 275,515, and 209,617, RSUs, respectively, to certain employees, which are subject only to a service condition and vest ratably over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32,544, 27,560 and 22,554 RSUs, respectively, to its non-employee independent directors, which vest one year from date of grant so long as the director and/or Company does not terminate their service prior to the vesting date;</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4,581, 3,317 and 337 RSUs, respectively, related to director fee deferrals as certain of the Company's directors elected to defer all or a portion of their directors fees and to receive the amount in Company common stock at a future date;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125, 174 and 260 RSUs, respectively, to certain employees related to dividend equivalent rights on existing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RSUs during 2023:</w:t>
      </w:r>
    </w:p>
    <w:p>
      <w:pPr>
        <w:spacing w:after="0" w:line="144"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8,912 RSUs to certain employees, which are subject only to a service condition and fully vest at the end of three years so long as the employee remains with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also awarded 109,640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2024, and ending December 31, 2026.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4.50% and annualized volatility of 31.4%. Depending on the performance achieved for these two metrics, the amount of shares earned, if any, can vary for each metric from 0% of the target award to a maximum of 250% of the target. The Company awarded 95,017 of similar performance-based RSUs in 2023.</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Company awarded 85,156 performance-based RSUs to certain key employees which vest three years from the grant date as long as the employee remains with the Company. These awards are earned 50% based upon the Company's achievement of an EPS CAGR metric over a period beginning January 1, 2022, and ending December 31, 2024. The remaining 50% of the awards are earned based on the Company's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For similar performance-based RSUs awarded in 2019 and 2020, the Company attained 65.4% and 62.7%, respectively, of the target on a weighted average basis, resulting in a decrease of 24,975 and 32,430 shares during 2022 and 2023, respectively. For similar performance-based RSUs awarded in 2021, the Company did not meet the minimum performance threshold resulting in a decrease of 50,941 shares during 2024.</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the Company awarded performance-based RSUs to certain Company key employees which were earned based upon the Company's stock price performance over the period beginning January 1, 2020, and ending December 31, 2022. The stock price achievement was calculated based on the Company's average closing stock price for each quarter end for the 20 trading days up to and including March 31, June 30, September 30 and December 31, 2022, respectively. The Company did not meet the minimum performance threshold resulting in a decrease of 86,275 shares during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restricted shares as of and for the year ended December 31, 2024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4"/>
                <w:szCs w:val="14"/>
                <w:color w:val="auto"/>
              </w:rPr>
            </w:pPr>
          </w:p>
        </w:tc>
        <w:tc>
          <w:tcPr>
            <w:tcW w:w="13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Restricted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80" w:type="dxa"/>
            <w:vAlign w:val="bottom"/>
          </w:tcPr>
          <w:p>
            <w:pPr>
              <w:spacing w:after="0"/>
              <w:rPr>
                <w:sz w:val="18"/>
                <w:szCs w:val="18"/>
                <w:color w:val="auto"/>
              </w:rPr>
            </w:pPr>
          </w:p>
        </w:tc>
        <w:tc>
          <w:tcPr>
            <w:tcW w:w="13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2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20,260,758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$4.5 million of unrecognized compensation cost related to unvested restricted shares that is expected to be recorded over a weighted average period of 2.0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restricted shares of $7.0 million, $9.7 million and $9.8 million in 2024, 2023 and 2022, respectively. The stock-based compensation expense is included in selling, general and administrative expenses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year to calculate basic earnings per share. The following table summarizes the dilutive effect of RSUs on common stock:</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40,725,714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41,439,027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42,249,244</w:t>
            </w:r>
          </w:p>
        </w:tc>
      </w:tr>
      <w:tr>
        <w:trPr>
          <w:trHeight w:val="229"/>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330,279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228,771</w:t>
            </w:r>
          </w:p>
        </w:tc>
      </w:tr>
      <w:tr>
        <w:trPr>
          <w:trHeight w:val="248"/>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41,055,993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42,478,015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During 2024, 2023 and 2022, the Company purchased 771,067, 680,594 and 1,264,088 shares of its outstanding common stock for $19.3 million, $18.8 million and $36.9 million, respectively. As of December 31, 2024, the Company has $67.6 million remaining under the repurchase authorization.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Since the fourth quarter of 2021, we have declared dividends of $0.04 per share of common stock in each quarter, and total dividends declared and paid on common shares during 2024, 2023 and 2022 were $6.6 million, $6.7 million and $6.9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year ended December 31, 2024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180" w:hanging="172"/>
        <w:spacing w:after="0" w:line="238" w:lineRule="auto"/>
        <w:tabs>
          <w:tab w:leader="none" w:pos="145"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Defined benefit plans, net of income tax of $0.8 million. See Note 16,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 Derivative instruments, net of income tax of $0.9 million. See Note 12,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year ended December 31, 2023,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6" w:lineRule="exact"/>
        <w:rPr>
          <w:sz w:val="20"/>
          <w:szCs w:val="20"/>
          <w:color w:val="auto"/>
        </w:rPr>
      </w:pPr>
    </w:p>
    <w:p>
      <w:pPr>
        <w:ind w:left="180" w:hanging="172"/>
        <w:spacing w:after="0" w:line="222" w:lineRule="auto"/>
        <w:tabs>
          <w:tab w:leader="none" w:pos="162"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$0.4 million. See Note 16,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 Derivative instruments, net of income tax expense of $0.7 million. See Note 12,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34"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Defined benefit plans, net of income tax of $0.2 million. See Note 16, </w:t>
      </w:r>
      <w:r>
        <w:rPr>
          <w:rFonts w:ascii="Times New Roman" w:cs="Times New Roman" w:eastAsia="Times New Roman" w:hAnsi="Times New Roman"/>
          <w:sz w:val="12"/>
          <w:szCs w:val="12"/>
          <w:i w:val="1"/>
          <w:iCs w:val="1"/>
          <w:color w:val="auto"/>
        </w:rPr>
        <w:t>"Employee Benefit Plans,"</w:t>
      </w:r>
      <w:r>
        <w:rPr>
          <w:rFonts w:ascii="Times New Roman" w:cs="Times New Roman" w:eastAsia="Times New Roman" w:hAnsi="Times New Roman"/>
          <w:sz w:val="12"/>
          <w:szCs w:val="12"/>
          <w:color w:val="auto"/>
        </w:rPr>
        <w:t xml:space="preserve"> for additional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defines its segments consistent with how internally reported financial information is regularly reviewed by the chief operating decision maker to analyze financial performance, make decisions, and allocate resources. TriMas reports its operations in three segments: Packaging, Aerospace and Specialty Products. Each of these segments has discrete financial information that is regularly evaluated by TriMas' President and Chief Executive Officer (chief operating decision maker). The chief operating decision maker uses segment adjusted operating profit when assessing segment performance, determining resource and capital allocation and developing overall strategic direction of the Company. The chief operating decision maker analyzes segment adjusted operating profit on a monthly basis by comparing actual results to forecasted and budgeted expectations to assess performance. Segment adjusted operating profit is also used in compensation related decision-making under certain employee incentive programs. Segment adjusted operating profit is defined as operating profit excluding Special Items. Special Items include: realignment and severance costs; purchase accounting charges related to the step-up of inventory to fair value; third party costs related to the labor union strike; mergers, acquisitions, diligence and transaction costs; and impairment charges.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Affaba &amp; Ferrari, Taplast, Rapak, Plastic Srl, Aarts Packaging brands,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marketed under the TriMas Packaging brand, as well as the Intertech and Omega brands, which are also marketed under the TriMas Life Sciences brand. TriMas' Packaging business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includes the Monogram Aerospace Fasteners, Allfast Fastening Systems, Mac Fasteners, TFI Aerospace, 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Engineered Products, Martinic Engineering, and Weldmac Manufacturing Company brands, which are also marketed under the TriMas Aerospace brand. TriMas' Aerospace business develops, qualifies and manufactures highly-engineered, precision fasteners, tubular products and assemblies for fluid conveyance, and machined products and assemblies to serve the aerospace and defense market.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and Arrow 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for use within industrial and aerospace markets, natural gas-fired engines for remote power generation applications and compression systems for use within the North American industrial oil and gas markets.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consists of our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w:t>
      </w:r>
    </w:p>
    <w:p>
      <w:pPr>
        <w:ind w:left="240"/>
        <w:spacing w:after="0" w:line="232" w:lineRule="auto"/>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p>
      <w:pPr>
        <w:ind w:left="240"/>
        <w:spacing w:after="0" w:line="217" w:lineRule="auto"/>
        <w:rPr>
          <w:sz w:val="20"/>
          <w:szCs w:val="20"/>
          <w:color w:val="auto"/>
        </w:rPr>
      </w:pPr>
      <w:r>
        <w:rPr>
          <w:rFonts w:ascii="Times New Roman" w:cs="Times New Roman" w:eastAsia="Times New Roman" w:hAnsi="Times New Roman"/>
          <w:sz w:val="17"/>
          <w:szCs w:val="17"/>
          <w:color w:val="auto"/>
        </w:rPr>
        <w:t xml:space="preserve">Adjusted selling, general and administrative expenses </w:t>
      </w:r>
      <w:r>
        <w:rPr>
          <w:rFonts w:ascii="Times New Roman" w:cs="Times New Roman" w:eastAsia="Times New Roman" w:hAnsi="Times New Roman"/>
          <w:sz w:val="22"/>
          <w:szCs w:val="22"/>
          <w:color w:val="auto"/>
          <w:vertAlign w:val="superscript"/>
        </w:rPr>
        <w:t>(b)</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p>
      <w:pPr>
        <w:ind w:left="40"/>
        <w:spacing w:after="0" w:line="228" w:lineRule="auto"/>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Third-party and other costs incurred related to strike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Realignment and severance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Accelerated depreciation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 of indefinite-lived 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Mergers, acquisitions, diligence and transaction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w:t>
      </w:r>
    </w:p>
    <w:p>
      <w:pPr>
        <w:ind w:left="240"/>
        <w:spacing w:after="0" w:line="232" w:lineRule="auto"/>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p>
      <w:pPr>
        <w:ind w:left="240"/>
        <w:spacing w:after="0" w:line="217" w:lineRule="auto"/>
        <w:rPr>
          <w:sz w:val="20"/>
          <w:szCs w:val="20"/>
          <w:color w:val="auto"/>
        </w:rPr>
      </w:pPr>
      <w:r>
        <w:rPr>
          <w:rFonts w:ascii="Times New Roman" w:cs="Times New Roman" w:eastAsia="Times New Roman" w:hAnsi="Times New Roman"/>
          <w:sz w:val="17"/>
          <w:szCs w:val="17"/>
          <w:color w:val="auto"/>
        </w:rPr>
        <w:t xml:space="preserve">Adjusted selling, general and administrative expenses </w:t>
      </w:r>
      <w:r>
        <w:rPr>
          <w:rFonts w:ascii="Times New Roman" w:cs="Times New Roman" w:eastAsia="Times New Roman" w:hAnsi="Times New Roman"/>
          <w:sz w:val="22"/>
          <w:szCs w:val="22"/>
          <w:color w:val="auto"/>
          <w:vertAlign w:val="superscript"/>
        </w:rPr>
        <w:t>(b)</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p>
      <w:pPr>
        <w:ind w:left="40"/>
        <w:spacing w:after="0" w:line="228" w:lineRule="auto"/>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Realignment and severance costs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accounting costs</w:t>
      </w:r>
    </w:p>
    <w:p>
      <w:pPr>
        <w:spacing w:after="0" w:line="23" w:lineRule="exact"/>
        <w:rPr>
          <w:sz w:val="20"/>
          <w:szCs w:val="20"/>
          <w:color w:val="auto"/>
        </w:rPr>
      </w:pPr>
    </w:p>
    <w:p>
      <w:pPr>
        <w:ind w:left="20" w:right="1460"/>
        <w:spacing w:after="0" w:line="266" w:lineRule="auto"/>
        <w:rPr>
          <w:sz w:val="20"/>
          <w:szCs w:val="20"/>
          <w:color w:val="auto"/>
        </w:rPr>
      </w:pPr>
      <w:r>
        <w:rPr>
          <w:rFonts w:ascii="Times New Roman" w:cs="Times New Roman" w:eastAsia="Times New Roman" w:hAnsi="Times New Roman"/>
          <w:sz w:val="18"/>
          <w:szCs w:val="18"/>
          <w:color w:val="auto"/>
        </w:rPr>
        <w:t>Impairment of indefinite-lived intangible assets Interest expense</w:t>
      </w:r>
    </w:p>
    <w:p>
      <w:pPr>
        <w:ind w:left="2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22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Specialty</w:t>
            </w:r>
          </w:p>
        </w:tc>
        <w:tc>
          <w:tcPr>
            <w:tcW w:w="30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512,320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294,210</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118,480</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925,010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5"/>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893,550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(46,620)</w:t>
            </w: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-4259580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-3968115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-3676650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-3359785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-3068320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-2776855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-2485390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-2193925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-1962150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-1670685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-1379220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-1062355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-770890</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-479425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-187960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22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Specialty</w:t>
            </w:r>
          </w:p>
        </w:tc>
        <w:tc>
          <w:tcPr>
            <w:tcW w:w="30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(f)</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(g)</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(20,250)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Realignment and severance costs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6" w:lineRule="exact"/>
        <w:rPr>
          <w:sz w:val="20"/>
          <w:szCs w:val="20"/>
          <w:color w:val="auto"/>
        </w:rPr>
      </w:pPr>
    </w:p>
    <w:p>
      <w:pPr>
        <w:ind w:left="140" w:hanging="132"/>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cost of sales is defined as cost of sales excluding Special Items.</w:t>
      </w:r>
    </w:p>
    <w:p>
      <w:pPr>
        <w:spacing w:after="0" w:line="122"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selling, general and administrative expenses is defined as selling, general and administrative expenses excluding Special Items.</w:t>
      </w:r>
    </w:p>
    <w:p>
      <w:pPr>
        <w:spacing w:after="0" w:line="155"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includes net gain (loss) on dispositions of assets excluding Special Items.</w:t>
      </w:r>
    </w:p>
    <w:p>
      <w:pPr>
        <w:spacing w:after="0" w:line="122" w:lineRule="exact"/>
        <w:rPr>
          <w:rFonts w:ascii="Times New Roman" w:cs="Times New Roman" w:eastAsia="Times New Roman" w:hAnsi="Times New Roman"/>
          <w:sz w:val="17"/>
          <w:szCs w:val="17"/>
          <w:color w:val="auto"/>
          <w:vertAlign w:val="superscript"/>
        </w:rPr>
      </w:pPr>
    </w:p>
    <w:p>
      <w:pPr>
        <w:ind w:left="180" w:hanging="172"/>
        <w:spacing w:after="0" w:line="302" w:lineRule="auto"/>
        <w:tabs>
          <w:tab w:leader="none" w:pos="166"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$5.5 million of asbestos-related costs, $4.7 million of system implementation costs, $3.6 million of environmental remediation charges, $3.5 million of mergers, acquisition, diligence and transaction costs, and $3.5 million of realignment, severance and consulting costs.</w:t>
      </w:r>
    </w:p>
    <w:p>
      <w:pPr>
        <w:spacing w:after="0" w:line="8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$4.2 million of realignment, severance and consulting costs, $2.2 million of mergers, acquisition, diligence and transaction costs, and $0.7 million of system implementation costs.</w:t>
      </w:r>
    </w:p>
    <w:p>
      <w:pPr>
        <w:spacing w:after="0" w:line="122" w:lineRule="exact"/>
        <w:rPr>
          <w:rFonts w:ascii="Times New Roman" w:cs="Times New Roman" w:eastAsia="Times New Roman" w:hAnsi="Times New Roman"/>
          <w:sz w:val="17"/>
          <w:szCs w:val="17"/>
          <w:color w:val="auto"/>
          <w:vertAlign w:val="superscript"/>
        </w:rPr>
      </w:pPr>
    </w:p>
    <w:p>
      <w:pPr>
        <w:ind w:left="180" w:hanging="172"/>
        <w:spacing w:after="0" w:line="230" w:lineRule="auto"/>
        <w:tabs>
          <w:tab w:leader="none" w:pos="149"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for each reportable segment includes net gain (loss) on dispositions of assets. In 2022, the Company completed the sale of vacant land adjacent to the Company's Tolleson, Arizona, manufacturing facility for net proceeds of $5.0 million, and recognized a $4.8 million gain on the sale, which is included within the Aerospace segment.</w:t>
      </w:r>
    </w:p>
    <w:p>
      <w:pPr>
        <w:spacing w:after="0" w:line="122" w:lineRule="exact"/>
        <w:rPr>
          <w:rFonts w:ascii="Times New Roman" w:cs="Times New Roman" w:eastAsia="Times New Roman" w:hAnsi="Times New Roman"/>
          <w:sz w:val="19"/>
          <w:szCs w:val="19"/>
          <w:color w:val="auto"/>
          <w:vertAlign w:val="superscript"/>
        </w:rPr>
      </w:pPr>
    </w:p>
    <w:p>
      <w:pPr>
        <w:jc w:val="both"/>
        <w:ind w:left="180" w:hanging="172"/>
        <w:spacing w:after="0" w:line="281" w:lineRule="auto"/>
        <w:tabs>
          <w:tab w:leader="none" w:pos="15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2022, the Company sold a non-core facility in City of Industry, California, for net proceeds of $23.3 million, and recognized a $17.6 million gain on the sale, which is included in Corporate operating loss for 2022 and included within net gain (loss) on disposition of assets in the accompanying consolidated statement of income. In addition, includes $5.6 million of asbestos-related costs, $1.8 million of mergers, acquisition, diligence and transaction costs, and $0.8 million of realignment, severance and consulting costs.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80" w:type="dxa"/>
            <w:vAlign w:val="bottom"/>
          </w:tcPr>
          <w:p>
            <w:pPr>
              <w:spacing w:after="0"/>
              <w:rPr>
                <w:sz w:val="18"/>
                <w:szCs w:val="18"/>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Specialty</w:t>
            </w:r>
          </w:p>
        </w:tc>
        <w:tc>
          <w:tcPr>
            <w:tcW w:w="180" w:type="dxa"/>
            <w:vAlign w:val="bottom"/>
          </w:tcPr>
          <w:p>
            <w:pPr>
              <w:spacing w:after="0"/>
              <w:rPr>
                <w:sz w:val="18"/>
                <w:szCs w:val="18"/>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18"/>
                <w:szCs w:val="18"/>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1,324,180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1,341,660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53,220</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6"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Depreciation and amortization for the Specialty Products segment in 2024 includes $8.2 million of accelerated depreciation. See Note 9, "</w:t>
      </w:r>
      <w:r>
        <w:rPr>
          <w:rFonts w:ascii="Times New Roman" w:cs="Times New Roman" w:eastAsia="Times New Roman" w:hAnsi="Times New Roman"/>
          <w:sz w:val="13"/>
          <w:szCs w:val="13"/>
          <w:i w:val="1"/>
          <w:iCs w:val="1"/>
          <w:color w:val="auto"/>
        </w:rPr>
        <w:t>Property and Equipment, Net</w:t>
      </w:r>
      <w:r>
        <w:rPr>
          <w:rFonts w:ascii="Times New Roman" w:cs="Times New Roman" w:eastAsia="Times New Roman" w:hAnsi="Times New Roman"/>
          <w:sz w:val="13"/>
          <w:szCs w:val="13"/>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sales for each of the years ended December 31 and long-lived assets at each year ended December 31, by geographical area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80" w:type="dxa"/>
            <w:vAlign w:val="bottom"/>
          </w:tcPr>
          <w:p>
            <w:pPr>
              <w:spacing w:after="0"/>
              <w:rPr>
                <w:sz w:val="13"/>
                <w:szCs w:val="13"/>
                <w:color w:val="auto"/>
              </w:rPr>
            </w:pPr>
          </w:p>
        </w:tc>
        <w:tc>
          <w:tcPr>
            <w:tcW w:w="108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3"/>
                <w:szCs w:val="13"/>
                <w:color w:val="auto"/>
              </w:rPr>
            </w:pPr>
          </w:p>
        </w:tc>
        <w:tc>
          <w:tcPr>
            <w:tcW w:w="1060" w:type="dxa"/>
            <w:vAlign w:val="bottom"/>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3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264,160</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541,510</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805,670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export sales from the U.S. approximated $82.7 million, $72.2 million and $74.5 million in 2024, 2023 and 2022,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before income taxes and income tax expense (benefit), each by tax jurisdiction, consists of the following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w:t>
            </w:r>
          </w:p>
        </w:tc>
      </w:tr>
      <w:tr>
        <w:trPr>
          <w:trHeight w:val="223"/>
        </w:trPr>
        <w:tc>
          <w:tcPr>
            <w:tcW w:w="6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30,040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income tax expense: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r>
      <w:tr>
        <w:trPr>
          <w:trHeight w:val="223"/>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taxes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 long-term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costs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 foreign affiliates, including withholding tax</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(68,540)</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(13,060)</w:t>
            </w: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a valuation allowance for the deferred tax asset associated with its foreign tax credits due to the uncertainty in the ability to utilize these credits in future years. The increase in the consolidated valuation allowance is primarily driven by an increase in the cumulative foreign tax credit carryover.</w:t>
      </w:r>
    </w:p>
    <w:p>
      <w:pPr>
        <w:spacing w:after="0" w:line="1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income tax expense computed at the U.S. federal statutory rate to income tax expense allocated to income before income taxes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rate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6,310</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18,380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Differences in statutory foreign tax rates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recognized tax benefits</w:t>
            </w: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and incentives</w:t>
            </w: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(970)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5,790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21,500</w:t>
            </w: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recorded deferred tax assets on $24.6 million of various state operating loss carryforwards and $92.7 million of various foreign operating loss carryforwards. The majority of the state tax loss carryforwards expire between 2026 and 2032 and the majority of the foreign losses have indefinite carryforward periods.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$0.6 million and $0.8 million of unrecognized tax benefits ("UTBs") as of December 31, 2024 and 2023, respectively. If the UTBs were recognized, the impact to the Company's effective tax rate would be to reduce reported income tax expense for the years ended December 31, 2024 and 2023 by $0.6 million and $1.0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UTBs for the years ended December 31, 2024 and 2023 is as follows (dollars in thousands):</w:t>
      </w:r>
    </w:p>
    <w:p>
      <w:pPr>
        <w:spacing w:after="0" w:line="262"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Unrecognized</w:t>
            </w:r>
          </w:p>
        </w:tc>
      </w:tr>
      <w:tr>
        <w:trPr>
          <w:trHeight w:val="214"/>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Tax Benefits</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UTBs summarized above, the Company has recorded $0.3 million and $0.4 million in potential interest and penalties associated with uncertain tax positions as of December 31, 2024 and 2023,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state and local, and certain non-U.S. income tax examinations for tax years 2015 through 2024. In addition, there are currently several state and foreign income tax examinations in process. The Company does not believe that the results of these examinations will have a significant impact on the Company's tax position or its effective tax rate.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31, 2025, the Company announced the successful completion of the previously announced sale of its Arrow Engine business within the Specialty Products segment for a purchase price of $22.0 million.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2025, the Company announced it completed the previously announced acquisition of the aerospace business of GMT Gummi-Metall-Technik GmbH (“GMT”) for a purchase price of approximately €34.0 million. Based in Germany, GMT’s aerospace division (“GMT Aerospace”) develops and manufactures a wide range of tie-rods and rubber-metal anti-vibration systems for commercial and military aerospace applications with annual net sales of approximately €22.0 million. GMT Aerospace will become part of the Aerospace reportable segment.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2025, the Company announced that its Board of Directors had declared a cash dividend of $0.04 per share of TriMas Corporation common stock, which will be payable on March 7, 2025, to shareholders of record as of the close of business on 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2024, the Company's disclosure controls and procedures were effective to provide reasonable assurance that they would meet their objectives.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ensure that the Company's internal control over financial reporting is effective, management regularly assesses such controls and did so most recently for its financial reporting as of December 31, 2024.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who audited the Company's consolidated financial statements, has also audited the effectiveness of the Company's internal control over financial reporting as of December 31, 2024, as stated in their report below.</w:t>
      </w:r>
    </w:p>
    <w:p>
      <w:pPr>
        <w:spacing w:after="0" w:line="77" w:lineRule="exact"/>
        <w:rPr>
          <w:sz w:val="20"/>
          <w:szCs w:val="20"/>
          <w:color w:val="auto"/>
        </w:rPr>
      </w:pPr>
    </w:p>
    <w:p>
      <w:pPr>
        <w:ind w:right="5060"/>
        <w:spacing w:after="0" w:line="40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TriMas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TriMas Corporation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2024, of the Company and our report dated February 27, 2025, expressed an unqualified opinion on those financial statements and financial statement schedule.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disclosure controls and procedures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2024, that have materially affected, or are reasonably likely to materially affect, the Company's internal control over financial reporting.</w:t>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(as defined in Rule 16a-1(f) promulgated under the Exchange Act) of the Company adopted or terminated any “Rule 10b5-1 trading arrangement” or any “non-Rule 10b5-1 trading arrangement” (as each term is defined in Item 408 of Regulation S-K).</w:t>
      </w:r>
    </w:p>
    <w:p>
      <w:pPr>
        <w:spacing w:after="0" w:line="98" w:lineRule="exact"/>
        <w:rPr>
          <w:sz w:val="20"/>
          <w:szCs w:val="20"/>
          <w:color w:val="auto"/>
        </w:rPr>
      </w:pPr>
    </w:p>
    <w:p>
      <w:pPr>
        <w:ind w:right="51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executive officers is included in Part I of this Form 10-K under the heading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Code of Conduct is applicable to its directors, officers and employees. The Code of Conduct is available on the "Investors" portion of the Company's website under the "Corporate Governance" link. The Company's website address is www.trimas.com.</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adopted an insider trading policy applicable to our directors, officers and employees, and have implemented processes for the Company, that we believe are reasonably designed to promote compliance with insider trading laws, rules, and regulations, and the applicable Nasdaq listing standards. A copy of the Company’s insider trading policy is filed as Exhibit 19.1 to this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Shareholders.</w:t>
      </w:r>
    </w:p>
    <w:p>
      <w:pPr>
        <w:spacing w:after="0" w:line="15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Shareholders.</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Shareholders.</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Shareholders.</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aggregate fees billed to us by our principal accountant, Deloitte &amp; Touche LLP (PCAOB ID No. 34), as required by this item, is incorporated by reference from our definitive proxy statement for the 2025 Annual Meeting of Shareholders.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5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Listing of Documents</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Statements included in Item 8 hereof, as required at December 31, 2024 and December 31, 2023, and for the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December 31, 2023 and December 31, 2022, consist of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 of the Company appended hereto, as required for the periods ended December 31, 2024,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consists of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is otherwise included in the financial statements or the notes thereto.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documents referenced below were filed pursuant to the Securities Exchange Act of 1934, as amended, by TriMas Corporation (File No. 001-10716), unless otherwise noted.</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Fourth Amended and Restated Certificate of Incorporation of TriMas Corporation, incorporated by reference to Exhibit 3.1 to</w:t>
              </w:r>
            </w:hyperlink>
          </w:p>
        </w:tc>
      </w:tr>
      <w:tr>
        <w:trPr>
          <w:trHeight w:val="156"/>
        </w:trPr>
        <w:tc>
          <w:tcPr>
            <w:tcW w:w="1540" w:type="dxa"/>
            <w:vAlign w:val="bottom"/>
          </w:tcPr>
          <w:p>
            <w:pPr>
              <w:spacing w:after="0"/>
              <w:rPr>
                <w:sz w:val="13"/>
                <w:szCs w:val="13"/>
                <w:color w:val="auto"/>
              </w:rPr>
            </w:pPr>
          </w:p>
        </w:tc>
        <w:tc>
          <w:tcPr>
            <w:tcW w:w="90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the Company’s Quarterly Report on Form 10-Q filed on August 3,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20" w:type="dxa"/>
            <w:vAlign w:val="bottom"/>
            <w:tcBorders>
              <w:top w:val="single" w:sz="8" w:color="0000FF"/>
            </w:tcBorders>
            <w:gridSpan w:val="5"/>
          </w:tcPr>
          <w:p>
            <w:pPr>
              <w:spacing w:after="0" w:line="207" w:lineRule="exact"/>
              <w:rPr>
                <w:rFonts w:ascii="Times New Roman" w:cs="Times New Roman" w:eastAsia="Times New Roman" w:hAnsi="Times New Roman"/>
                <w:sz w:val="18"/>
                <w:szCs w:val="18"/>
                <w:color w:val="0000FF"/>
                <w:w w:val="95"/>
              </w:rPr>
            </w:pPr>
            <w:hyperlink r:id="rId127">
              <w:r>
                <w:rPr>
                  <w:rFonts w:ascii="Times New Roman" w:cs="Times New Roman" w:eastAsia="Times New Roman" w:hAnsi="Times New Roman"/>
                  <w:sz w:val="18"/>
                  <w:szCs w:val="18"/>
                  <w:color w:val="0000FF"/>
                  <w:w w:val="95"/>
                </w:rPr>
                <w:t>Third Amended and Restated By</w:t>
              </w:r>
              <w:r>
                <w:rPr>
                  <w:rFonts w:ascii="MS PGothic" w:cs="MS PGothic" w:eastAsia="MS PGothic" w:hAnsi="MS PGothic"/>
                  <w:sz w:val="18"/>
                  <w:szCs w:val="18"/>
                  <w:color w:val="0000FF"/>
                  <w:w w:val="95"/>
                </w:rPr>
                <w:t>‑</w:t>
              </w:r>
              <w:r>
                <w:rPr>
                  <w:rFonts w:ascii="Times New Roman" w:cs="Times New Roman" w:eastAsia="Times New Roman" w:hAnsi="Times New Roman"/>
                  <w:sz w:val="18"/>
                  <w:szCs w:val="18"/>
                  <w:color w:val="0000FF"/>
                  <w:w w:val="95"/>
                </w:rPr>
                <w:t>laws of TriMas Corporation, incorporated</w:t>
              </w:r>
            </w:hyperlink>
          </w:p>
        </w:tc>
        <w:tc>
          <w:tcPr>
            <w:tcW w:w="3940" w:type="dxa"/>
            <w:vAlign w:val="bottom"/>
            <w:gridSpan w:val="16"/>
          </w:tcPr>
          <w:p>
            <w:pPr>
              <w:ind w:left="260"/>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by reference to Exhibit 3.1 to the Company’s</w:t>
              </w:r>
            </w:hyperlink>
          </w:p>
        </w:tc>
      </w:tr>
      <w:tr>
        <w:trPr>
          <w:trHeight w:val="155"/>
        </w:trPr>
        <w:tc>
          <w:tcPr>
            <w:tcW w:w="1540" w:type="dxa"/>
            <w:vAlign w:val="bottom"/>
          </w:tcPr>
          <w:p>
            <w:pPr>
              <w:spacing w:after="0"/>
              <w:rPr>
                <w:sz w:val="13"/>
                <w:szCs w:val="13"/>
                <w:color w:val="auto"/>
              </w:rPr>
            </w:pPr>
          </w:p>
        </w:tc>
        <w:tc>
          <w:tcPr>
            <w:tcW w:w="87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Current Report on Form 8-K filed on December 18,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Indenture, dated as of March 29, 2021, among TriMas Corporation, the Guarantors named therein and Wells Fargo Bank,</w:t>
              </w:r>
            </w:hyperlink>
          </w:p>
        </w:tc>
      </w:tr>
      <w:tr>
        <w:trPr>
          <w:trHeight w:val="155"/>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National Association, as Trustee (including the Form of Note), incorporated by reference to Exhibit 4.1 to the Company’s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39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Current Report on Form 8-K filed on March 30, 2021.</w:t>
              </w:r>
            </w:hyperlink>
          </w:p>
        </w:tc>
        <w:tc>
          <w:tcPr>
            <w:tcW w:w="48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Description of Securities of TriMas Corporation, incorporated by reference to Exhibit 4.2 to the Company’s Annual Report on</w:t>
              </w:r>
            </w:hyperlink>
          </w:p>
        </w:tc>
      </w:tr>
      <w:tr>
        <w:trPr>
          <w:trHeight w:val="156"/>
        </w:trPr>
        <w:tc>
          <w:tcPr>
            <w:tcW w:w="154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Form 10-K filed on February 27, 2020.</w:t>
              </w:r>
            </w:hyperlink>
          </w:p>
        </w:tc>
        <w:tc>
          <w:tcPr>
            <w:tcW w:w="63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Credit Agreement, dated October 16, 2013, by and among TriMas Corporation, TriMas Company LLC and JPMorgan Chase</w:t>
              </w:r>
            </w:hyperlink>
          </w:p>
        </w:tc>
        <w:tc>
          <w:tcPr>
            <w:tcW w:w="180" w:type="dxa"/>
            <w:vAlign w:val="bottom"/>
            <w:gridSpan w:val="9"/>
          </w:tcPr>
          <w:p>
            <w:pPr>
              <w:spacing w:after="0"/>
              <w:rPr>
                <w:sz w:val="19"/>
                <w:szCs w:val="19"/>
                <w:color w:val="auto"/>
              </w:rPr>
            </w:pPr>
          </w:p>
        </w:tc>
      </w:tr>
      <w:tr>
        <w:trPr>
          <w:trHeight w:val="155"/>
        </w:trPr>
        <w:tc>
          <w:tcPr>
            <w:tcW w:w="1540" w:type="dxa"/>
            <w:vAlign w:val="bottom"/>
          </w:tcPr>
          <w:p>
            <w:pPr>
              <w:spacing w:after="0"/>
              <w:rPr>
                <w:sz w:val="13"/>
                <w:szCs w:val="13"/>
                <w:color w:val="auto"/>
              </w:rPr>
            </w:pPr>
          </w:p>
        </w:tc>
        <w:tc>
          <w:tcPr>
            <w:tcW w:w="9160" w:type="dxa"/>
            <w:vAlign w:val="bottom"/>
            <w:gridSpan w:val="21"/>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Bank, N.A., as Administrative Agent and Collateral Agent, and the various lenders from time to time thereto, incorporated by</w:t>
              </w:r>
            </w:hyperlink>
          </w:p>
        </w:tc>
      </w:tr>
      <w:tr>
        <w:trPr>
          <w:trHeight w:val="169"/>
        </w:trPr>
        <w:tc>
          <w:tcPr>
            <w:tcW w:w="154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reference to Exhibit 10.1 to the Company’s Current Report on Form 8-K filed on October 21, 2013.</w:t>
              </w:r>
            </w:hyperlink>
          </w:p>
        </w:tc>
        <w:tc>
          <w:tcPr>
            <w:tcW w:w="190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Credit Agreement, dated November 19, 2021, by and among TriMas Corporation, TriMas Company LLC and</w:t>
              </w:r>
            </w:hyperlink>
          </w:p>
        </w:tc>
      </w:tr>
      <w:tr>
        <w:trPr>
          <w:trHeight w:val="183"/>
        </w:trPr>
        <w:tc>
          <w:tcPr>
            <w:tcW w:w="154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JPMorgan Chase Bank, N.A., as Administrative Agent and Collateral Agent, and the various lenders from time to time thereto,</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9140" w:type="dxa"/>
            <w:vAlign w:val="bottom"/>
            <w:gridSpan w:val="20"/>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10.2 to the Company’s Annual Report on Form 10-K filed on March 1, 2022.</w:t>
              </w:r>
            </w:hyperlink>
          </w:p>
        </w:tc>
        <w:tc>
          <w:tcPr>
            <w:tcW w:w="2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900" w:type="dxa"/>
            <w:vAlign w:val="bottom"/>
            <w:gridSpan w:val="6"/>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Incremental Facility Agreement and Amendment dated as of October 17, 2014, among TriMas Company LLC, the other Loan</w:t>
              </w:r>
            </w:hyperlink>
          </w:p>
        </w:tc>
      </w:tr>
      <w:tr>
        <w:trPr>
          <w:trHeight w:val="155"/>
        </w:trPr>
        <w:tc>
          <w:tcPr>
            <w:tcW w:w="154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Parties party thereto, JPMorgan Chase Bank, N.A., as administrative agent, the Incremental Tranche A Term Lenders and the</w:t>
              </w:r>
            </w:hyperlink>
          </w:p>
        </w:tc>
        <w:tc>
          <w:tcPr>
            <w:tcW w:w="60" w:type="dxa"/>
            <w:vAlign w:val="bottom"/>
            <w:gridSpan w:val="3"/>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other Lenders party thereto, incorporated by reference to Exhibit 10.1 to the Company’s Current Report on Form 8-K filed on</w:t>
              </w:r>
            </w:hyperlink>
          </w:p>
        </w:tc>
        <w:tc>
          <w:tcPr>
            <w:tcW w:w="40" w:type="dxa"/>
            <w:vAlign w:val="bottom"/>
            <w:tcBorders>
              <w:bottom w:val="single" w:sz="8" w:color="0000FF"/>
            </w:tcBorders>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13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October 20, 2014.</w:t>
              </w:r>
            </w:hyperlink>
          </w:p>
        </w:tc>
        <w:tc>
          <w:tcPr>
            <w:tcW w:w="7740" w:type="dxa"/>
            <w:vAlign w:val="bottom"/>
            <w:gridSpan w:val="1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Replacement Facility Amendment, dated as of June 30, 2015, among TriMas Company LLC, the other Loan Parties party</w:t>
              </w:r>
            </w:hyperlink>
          </w:p>
        </w:tc>
      </w:tr>
      <w:tr>
        <w:trPr>
          <w:trHeight w:val="156"/>
        </w:trPr>
        <w:tc>
          <w:tcPr>
            <w:tcW w:w="15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thereto, JPMorgan Chase Bank, N.A., as administrative agent, and the Lenders party thereto, incorporated by reference to</w:t>
              </w:r>
            </w:hyperlink>
          </w:p>
        </w:tc>
        <w:tc>
          <w:tcPr>
            <w:tcW w:w="20" w:type="dxa"/>
            <w:vAlign w:val="bottom"/>
            <w:tcBorders>
              <w:top w:val="single" w:sz="8" w:color="0000FF"/>
            </w:tcBorders>
          </w:tcPr>
          <w:p>
            <w:pPr>
              <w:spacing w:after="0"/>
              <w:rPr>
                <w:sz w:val="13"/>
                <w:szCs w:val="13"/>
                <w:color w:val="auto"/>
              </w:rPr>
            </w:pPr>
          </w:p>
        </w:tc>
        <w:tc>
          <w:tcPr>
            <w:tcW w:w="380" w:type="dxa"/>
            <w:vAlign w:val="bottom"/>
            <w:gridSpan w:val="10"/>
          </w:tcPr>
          <w:p>
            <w:pPr>
              <w:spacing w:after="0"/>
              <w:rPr>
                <w:sz w:val="13"/>
                <w:szCs w:val="13"/>
                <w:color w:val="auto"/>
              </w:rPr>
            </w:pPr>
          </w:p>
        </w:tc>
      </w:tr>
    </w:tbl>
    <w:p>
      <w:pPr>
        <w:ind w:left="176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Exhibit 10.5 to the Company’s Current Report on Form 8-K filed on July 6, 2015.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Foreign Subsidiary Borrowing Agreement and Amendment dated as of January 10, 2017, among TriMas Company LLC,</w:t>
              </w:r>
            </w:hyperlink>
          </w:p>
        </w:tc>
      </w:tr>
      <w:tr>
        <w:trPr>
          <w:trHeight w:val="169"/>
        </w:trPr>
        <w:tc>
          <w:tcPr>
            <w:tcW w:w="15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TriMas Corporation, TriMas Corporation Limited, JPMorgan Chase Bank, N.A., as administrative agent for the Lenders</w:t>
              </w:r>
            </w:hyperlink>
          </w:p>
        </w:tc>
        <w:tc>
          <w:tcPr>
            <w:tcW w:w="2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85"/>
              </w:rPr>
            </w:pPr>
            <w:hyperlink r:id="rId135">
              <w:r>
                <w:rPr>
                  <w:rFonts w:ascii="Times New Roman" w:cs="Times New Roman" w:eastAsia="Times New Roman" w:hAnsi="Times New Roman"/>
                  <w:sz w:val="18"/>
                  <w:szCs w:val="18"/>
                  <w:color w:val="0000FF"/>
                  <w:w w:val="85"/>
                </w:rPr>
                <w:t>(as</w:t>
              </w:r>
            </w:hyperlink>
          </w:p>
        </w:tc>
        <w:tc>
          <w:tcPr>
            <w:tcW w:w="440" w:type="dxa"/>
            <w:vAlign w:val="bottom"/>
            <w:gridSpan w:val="15"/>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9340" w:type="dxa"/>
            <w:vAlign w:val="bottom"/>
            <w:gridSpan w:val="4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defined therein) and as Fronting Lender, JPMorgan Chase Bank, N.A., Bank of America, N.A. and Wells Fargo Bank, National</w:t>
              </w:r>
            </w:hyperlink>
          </w:p>
        </w:tc>
      </w:tr>
      <w:tr>
        <w:trPr>
          <w:trHeight w:val="156"/>
        </w:trPr>
        <w:tc>
          <w:tcPr>
            <w:tcW w:w="1540" w:type="dxa"/>
            <w:vAlign w:val="bottom"/>
          </w:tcPr>
          <w:p>
            <w:pPr>
              <w:spacing w:after="0"/>
              <w:rPr>
                <w:sz w:val="13"/>
                <w:szCs w:val="13"/>
                <w:color w:val="auto"/>
              </w:rPr>
            </w:pPr>
          </w:p>
        </w:tc>
        <w:tc>
          <w:tcPr>
            <w:tcW w:w="91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Association, J.P. Morgan Europe Limited, in its capacity as Foreign Currency Agent, and the Revolving Lenders party hereto,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incorporated by reference to Exhibit 10.4 to the Company’s Quarterly Report on Form 10-Q filed on April 27, 2017.</w:t>
              </w:r>
            </w:hyperlink>
          </w:p>
        </w:tc>
        <w:tc>
          <w:tcPr>
            <w:tcW w:w="6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dated as of March 8, 2017 to the Credit Agreement, dated as of October 16, 2013 (as amended, amended and</w:t>
              </w:r>
            </w:hyperlink>
          </w:p>
        </w:tc>
      </w:tr>
      <w:tr>
        <w:trPr>
          <w:trHeight w:val="169"/>
        </w:trPr>
        <w:tc>
          <w:tcPr>
            <w:tcW w:w="1540" w:type="dxa"/>
            <w:vAlign w:val="bottom"/>
          </w:tcPr>
          <w:p>
            <w:pPr>
              <w:spacing w:after="0"/>
              <w:rPr>
                <w:sz w:val="14"/>
                <w:szCs w:val="14"/>
                <w:color w:val="auto"/>
              </w:rPr>
            </w:pPr>
          </w:p>
        </w:tc>
        <w:tc>
          <w:tcPr>
            <w:tcW w:w="88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restated, supplemented or otherwise modified from time to time), among TriMas Corporation, TriMas Company LLC, the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8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subsidiary borrowers from time to time parties thereto, the Lenders party thereto, JPMorgan Chase Bank, N.A., as</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administrative agent, and the other agents party thereto, incorporated by reference to Exhibit 10.5 to the Company’s</w:t>
              </w:r>
            </w:hyperlink>
          </w:p>
        </w:tc>
        <w:tc>
          <w:tcPr>
            <w:tcW w:w="160" w:type="dxa"/>
            <w:vAlign w:val="bottom"/>
          </w:tcPr>
          <w:p>
            <w:pPr>
              <w:spacing w:after="0"/>
              <w:rPr>
                <w:sz w:val="13"/>
                <w:szCs w:val="13"/>
                <w:color w:val="auto"/>
              </w:rPr>
            </w:pPr>
          </w:p>
        </w:tc>
        <w:tc>
          <w:tcPr>
            <w:tcW w:w="980" w:type="dxa"/>
            <w:vAlign w:val="bottom"/>
            <w:gridSpan w:val="27"/>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Quarterly</w:t>
              </w:r>
            </w:hyperlink>
          </w:p>
        </w:tc>
      </w:tr>
      <w:tr>
        <w:trPr>
          <w:trHeight w:val="169"/>
        </w:trPr>
        <w:tc>
          <w:tcPr>
            <w:tcW w:w="1540" w:type="dxa"/>
            <w:vAlign w:val="bottom"/>
          </w:tcPr>
          <w:p>
            <w:pPr>
              <w:spacing w:after="0"/>
              <w:rPr>
                <w:sz w:val="14"/>
                <w:szCs w:val="14"/>
                <w:color w:val="auto"/>
              </w:rPr>
            </w:pPr>
          </w:p>
        </w:tc>
        <w:tc>
          <w:tcPr>
            <w:tcW w:w="90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Report on Form 10-Q filed on April 27, 2017.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Replacement Facility Amendment, dated as September 20, 2017, among TriMas Company LLC, the other Loan Parties party</w:t>
              </w:r>
            </w:hyperlink>
          </w:p>
        </w:tc>
      </w:tr>
      <w:tr>
        <w:trPr>
          <w:trHeight w:val="169"/>
        </w:trPr>
        <w:tc>
          <w:tcPr>
            <w:tcW w:w="1540" w:type="dxa"/>
            <w:vAlign w:val="bottom"/>
          </w:tcPr>
          <w:p>
            <w:pPr>
              <w:spacing w:after="0"/>
              <w:rPr>
                <w:sz w:val="14"/>
                <w:szCs w:val="14"/>
                <w:color w:val="auto"/>
              </w:rPr>
            </w:pPr>
          </w:p>
        </w:tc>
        <w:tc>
          <w:tcPr>
            <w:tcW w:w="90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thereto, JPMorgan Chase Bank, N.A., as administrative agent, and the Lenders party thereto, incorporated by reference to</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8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Exhibit 10.1 to the Company’s Current Report on Form 8-K filed on September 20, 2017.**</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TriMas Corporation 2017 Equity and Incentive Compensation Plan, incorporated by reference to Exhibit 10.1 to the Company’s</w:t>
              </w:r>
            </w:hyperlink>
          </w:p>
        </w:tc>
      </w:tr>
      <w:tr>
        <w:trPr>
          <w:trHeight w:val="169"/>
        </w:trPr>
        <w:tc>
          <w:tcPr>
            <w:tcW w:w="1540" w:type="dxa"/>
            <w:vAlign w:val="bottom"/>
          </w:tcPr>
          <w:p>
            <w:pPr>
              <w:spacing w:after="0"/>
              <w:rPr>
                <w:sz w:val="14"/>
                <w:szCs w:val="14"/>
                <w:color w:val="auto"/>
              </w:rPr>
            </w:pPr>
          </w:p>
        </w:tc>
        <w:tc>
          <w:tcPr>
            <w:tcW w:w="92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Quarterly Report on Form 10-Q filed on July 27,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2013 Form of Indemnification Agreement, incorporated by reference to Exhibit 10.1 to the Company’s Current Report on Form</w:t>
              </w:r>
            </w:hyperlink>
          </w:p>
        </w:tc>
      </w:tr>
      <w:tr>
        <w:trPr>
          <w:trHeight w:val="169"/>
        </w:trPr>
        <w:tc>
          <w:tcPr>
            <w:tcW w:w="1540" w:type="dxa"/>
            <w:vAlign w:val="bottom"/>
          </w:tcPr>
          <w:p>
            <w:pPr>
              <w:spacing w:after="0"/>
              <w:rPr>
                <w:sz w:val="14"/>
                <w:szCs w:val="14"/>
                <w:color w:val="auto"/>
              </w:rPr>
            </w:pPr>
          </w:p>
        </w:tc>
        <w:tc>
          <w:tcPr>
            <w:tcW w:w="92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8-K filed on November 13, 2013.*</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Offer Letter between TriMas Corporation and Thomas A. Amato dated July 23, 2016, incorporated by reference to Exhibit 10.2</w:t>
              </w:r>
            </w:hyperlink>
          </w:p>
        </w:tc>
      </w:tr>
      <w:tr>
        <w:trPr>
          <w:trHeight w:val="169"/>
        </w:trPr>
        <w:tc>
          <w:tcPr>
            <w:tcW w:w="154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to the Company’s Quarterly Report on Form 10-Q filed on October 27, 2016.</w:t>
              </w:r>
            </w:hyperlink>
          </w:p>
        </w:tc>
        <w:tc>
          <w:tcPr>
            <w:tcW w:w="362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Second Replacement Revolving Facility Amendment, dated as of March 29, 2021, among TriMas Corporation, TriMas</w:t>
              </w:r>
            </w:hyperlink>
          </w:p>
        </w:tc>
      </w:tr>
      <w:tr>
        <w:trPr>
          <w:trHeight w:val="169"/>
        </w:trPr>
        <w:tc>
          <w:tcPr>
            <w:tcW w:w="1540" w:type="dxa"/>
            <w:vAlign w:val="bottom"/>
          </w:tcPr>
          <w:p>
            <w:pPr>
              <w:spacing w:after="0"/>
              <w:rPr>
                <w:sz w:val="14"/>
                <w:szCs w:val="14"/>
                <w:color w:val="auto"/>
              </w:rPr>
            </w:pPr>
          </w:p>
        </w:tc>
        <w:tc>
          <w:tcPr>
            <w:tcW w:w="85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Company LLC, the subsidiary borrowers party thereto, JPMorgan Chase Bank, N.A., as administrative agent, and the</w:t>
              </w:r>
            </w:hyperlink>
          </w:p>
        </w:tc>
        <w:tc>
          <w:tcPr>
            <w:tcW w:w="780" w:type="dxa"/>
            <w:vAlign w:val="bottom"/>
            <w:gridSpan w:val="24"/>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other</w:t>
              </w:r>
            </w:hyperlink>
          </w:p>
        </w:tc>
      </w:tr>
      <w:tr>
        <w:trPr>
          <w:trHeight w:val="156"/>
        </w:trPr>
        <w:tc>
          <w:tcPr>
            <w:tcW w:w="1540" w:type="dxa"/>
            <w:vAlign w:val="bottom"/>
          </w:tcPr>
          <w:p>
            <w:pPr>
              <w:spacing w:after="0"/>
              <w:rPr>
                <w:sz w:val="13"/>
                <w:szCs w:val="13"/>
                <w:color w:val="auto"/>
              </w:rPr>
            </w:pPr>
          </w:p>
        </w:tc>
        <w:tc>
          <w:tcPr>
            <w:tcW w:w="88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agents and Lenders party thereto, incorporated by reference to Exhibit 10.1 to the Company’s Current Report on Form 8-K</w:t>
              </w:r>
            </w:hyperlink>
          </w:p>
        </w:tc>
        <w:tc>
          <w:tcPr>
            <w:tcW w:w="20" w:type="dxa"/>
            <w:vAlign w:val="bottom"/>
          </w:tcPr>
          <w:p>
            <w:pPr>
              <w:spacing w:after="0"/>
              <w:rPr>
                <w:sz w:val="13"/>
                <w:szCs w:val="13"/>
                <w:color w:val="auto"/>
              </w:rPr>
            </w:pPr>
          </w:p>
        </w:tc>
        <w:tc>
          <w:tcPr>
            <w:tcW w:w="460" w:type="dxa"/>
            <w:vAlign w:val="bottom"/>
            <w:gridSpan w:val="1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filed</w:t>
              </w:r>
            </w:hyperlink>
          </w:p>
        </w:tc>
      </w:tr>
      <w:tr>
        <w:trPr>
          <w:trHeight w:val="156"/>
        </w:trPr>
        <w:tc>
          <w:tcPr>
            <w:tcW w:w="1540" w:type="dxa"/>
            <w:vAlign w:val="bottom"/>
          </w:tcPr>
          <w:p>
            <w:pPr>
              <w:spacing w:after="0"/>
              <w:rPr>
                <w:sz w:val="13"/>
                <w:szCs w:val="13"/>
                <w:color w:val="auto"/>
              </w:rPr>
            </w:pPr>
          </w:p>
        </w:tc>
        <w:tc>
          <w:tcPr>
            <w:tcW w:w="92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on March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Offer Letter between TriMas Corporation and Scott Mell dated March 15, 2021, incorporated by reference to Exhibit 10.2 to the</w:t>
              </w:r>
            </w:hyperlink>
          </w:p>
        </w:tc>
      </w:tr>
      <w:tr>
        <w:trPr>
          <w:trHeight w:val="169"/>
        </w:trPr>
        <w:tc>
          <w:tcPr>
            <w:tcW w:w="15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Company’s Quarterly Report on Form 10-Q filed on July 29, 2021.*</w:t>
              </w:r>
            </w:hyperlink>
          </w:p>
        </w:tc>
        <w:tc>
          <w:tcPr>
            <w:tcW w:w="43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Executive Severance / Change in Control Policy, incorporated by reference to Exhibit 10.1 to the Company’s Current Report on</w:t>
              </w:r>
            </w:hyperlink>
          </w:p>
        </w:tc>
      </w:tr>
      <w:tr>
        <w:trPr>
          <w:trHeight w:val="169"/>
        </w:trPr>
        <w:tc>
          <w:tcPr>
            <w:tcW w:w="154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Form 8-K filed on August 11, 2021.*</w:t>
              </w:r>
            </w:hyperlink>
          </w:p>
        </w:tc>
        <w:tc>
          <w:tcPr>
            <w:tcW w:w="6540" w:type="dxa"/>
            <w:vAlign w:val="bottom"/>
            <w:tcBorders>
              <w:top w:val="single" w:sz="8" w:color="0000FF"/>
            </w:tcBorders>
            <w:gridSpan w:val="30"/>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Performance Stock Units Agreement - 2022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incorporated by reference to Exhibit 10.1 to the Company’s Quarterly Report on Form 10-Q filed on April 28, 2022.</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44">
              <w:r>
                <w:rPr>
                  <w:rFonts w:ascii="Times New Roman" w:cs="Times New Roman" w:eastAsia="Times New Roman" w:hAnsi="Times New Roman"/>
                  <w:sz w:val="18"/>
                  <w:szCs w:val="18"/>
                  <w:color w:val="0000FF"/>
                  <w:w w:val="88"/>
                </w:rPr>
                <w:t>*</w:t>
              </w:r>
            </w:hyperlink>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6"/>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Restricted Stock Units Agreement (Three-Year Vest) - 2022 LTI - under the 2017 Equity and Incentive Compensation</w:t>
              </w:r>
            </w:hyperlink>
          </w:p>
        </w:tc>
      </w:tr>
      <w:tr>
        <w:trPr>
          <w:trHeight w:val="169"/>
        </w:trPr>
        <w:tc>
          <w:tcPr>
            <w:tcW w:w="15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Plan, incorporated by reference to Exhibit 10.2 to the Company’s Quarterly Report on Form 10-Q filed on April 28, 2022.*</w:t>
              </w:r>
            </w:hyperlink>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Performance Stock Units Agreement - 2023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incorporated by reference to Exhibit 10.1 to the Company’s Quarterly Report on Form 10-Q filed on April 27, 2023.</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46">
              <w:r>
                <w:rPr>
                  <w:rFonts w:ascii="Times New Roman" w:cs="Times New Roman" w:eastAsia="Times New Roman" w:hAnsi="Times New Roman"/>
                  <w:sz w:val="18"/>
                  <w:szCs w:val="18"/>
                  <w:color w:val="0000FF"/>
                  <w:w w:val="88"/>
                </w:rPr>
                <w:t>*</w:t>
              </w:r>
            </w:hyperlink>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Restricted Stock Units Agreement (Three-Year Vest) - 2023 LTI - under the 2017 Equity and Incentive Compensation</w:t>
              </w:r>
            </w:hyperlink>
          </w:p>
        </w:tc>
      </w:tr>
      <w:tr>
        <w:trPr>
          <w:trHeight w:val="169"/>
        </w:trPr>
        <w:tc>
          <w:tcPr>
            <w:tcW w:w="15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Plan, incorporated by reference to Exhibit 10.2 to the Company’s Quarterly Report on Form 10-Q filed on April 27, 2023.*</w:t>
              </w:r>
            </w:hyperlink>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Restricted Stock Units Agreement (Board of Directors) (One-Year Vest) - 2023 LTI - under the 2017 Equity and</w:t>
              </w:r>
            </w:hyperlink>
          </w:p>
        </w:tc>
      </w:tr>
      <w:tr>
        <w:trPr>
          <w:trHeight w:val="169"/>
        </w:trPr>
        <w:tc>
          <w:tcPr>
            <w:tcW w:w="1540" w:type="dxa"/>
            <w:vAlign w:val="bottom"/>
          </w:tcPr>
          <w:p>
            <w:pPr>
              <w:spacing w:after="0"/>
              <w:rPr>
                <w:sz w:val="14"/>
                <w:szCs w:val="14"/>
                <w:color w:val="auto"/>
              </w:rPr>
            </w:pPr>
          </w:p>
        </w:tc>
        <w:tc>
          <w:tcPr>
            <w:tcW w:w="86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Incentive Compensation Plan, incorporated by reference to Exhibit 10.3 to the Company’s Quarterly Report on Form 10-</w:t>
              </w:r>
            </w:hyperlink>
          </w:p>
        </w:tc>
        <w:tc>
          <w:tcPr>
            <w:tcW w:w="660" w:type="dxa"/>
            <w:vAlign w:val="bottom"/>
            <w:gridSpan w:val="22"/>
          </w:tcPr>
          <w:p>
            <w:pPr>
              <w:ind w:left="20"/>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Q filed</w:t>
              </w:r>
            </w:hyperlink>
          </w:p>
        </w:tc>
      </w:tr>
      <w:tr>
        <w:trPr>
          <w:trHeight w:val="155"/>
        </w:trPr>
        <w:tc>
          <w:tcPr>
            <w:tcW w:w="1540" w:type="dxa"/>
            <w:vAlign w:val="bottom"/>
          </w:tcPr>
          <w:p>
            <w:pPr>
              <w:spacing w:after="0"/>
              <w:rPr>
                <w:sz w:val="13"/>
                <w:szCs w:val="13"/>
                <w:color w:val="auto"/>
              </w:rPr>
            </w:pPr>
          </w:p>
        </w:tc>
        <w:tc>
          <w:tcPr>
            <w:tcW w:w="92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on April 27,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TriMas Corporation 2023 Equity and Incentive Compensation Plan, incorporated by reference to Exhibit 10.1 to the Company’s</w:t>
              </w:r>
            </w:hyperlink>
          </w:p>
        </w:tc>
      </w:tr>
      <w:tr>
        <w:trPr>
          <w:trHeight w:val="169"/>
        </w:trPr>
        <w:tc>
          <w:tcPr>
            <w:tcW w:w="1540" w:type="dxa"/>
            <w:vAlign w:val="bottom"/>
          </w:tcPr>
          <w:p>
            <w:pPr>
              <w:spacing w:after="0"/>
              <w:rPr>
                <w:sz w:val="14"/>
                <w:szCs w:val="14"/>
                <w:color w:val="auto"/>
              </w:rPr>
            </w:pPr>
          </w:p>
        </w:tc>
        <w:tc>
          <w:tcPr>
            <w:tcW w:w="92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Current Report on Form 8-K filed on May 11, 2023.*</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Seventh Amendment to the Credit Agreement, dated as of April 7, 2023, by and among TriMas Corporation, TriMas Company</w:t>
              </w:r>
            </w:hyperlink>
          </w:p>
        </w:tc>
      </w:tr>
      <w:tr>
        <w:trPr>
          <w:trHeight w:val="169"/>
        </w:trPr>
        <w:tc>
          <w:tcPr>
            <w:tcW w:w="1540" w:type="dxa"/>
            <w:vAlign w:val="bottom"/>
          </w:tcPr>
          <w:p>
            <w:pPr>
              <w:spacing w:after="0"/>
              <w:rPr>
                <w:sz w:val="14"/>
                <w:szCs w:val="14"/>
                <w:color w:val="auto"/>
              </w:rPr>
            </w:pPr>
          </w:p>
        </w:tc>
        <w:tc>
          <w:tcPr>
            <w:tcW w:w="912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LLC and JPMorgan Chase Bank, N.A., as Administrative Agent, and the various lenders from time to time thereto, incorporated</w:t>
              </w:r>
            </w:hyperlink>
          </w:p>
        </w:tc>
        <w:tc>
          <w:tcPr>
            <w:tcW w:w="20" w:type="dxa"/>
            <w:vAlign w:val="bottom"/>
            <w:tcBorders>
              <w:bottom w:val="single" w:sz="8" w:color="0000FF"/>
            </w:tcBorders>
          </w:tcPr>
          <w:p>
            <w:pPr>
              <w:spacing w:after="0"/>
              <w:rPr>
                <w:sz w:val="14"/>
                <w:szCs w:val="14"/>
                <w:color w:val="auto"/>
              </w:rPr>
            </w:pPr>
          </w:p>
        </w:tc>
        <w:tc>
          <w:tcPr>
            <w:tcW w:w="180" w:type="dxa"/>
            <w:vAlign w:val="bottom"/>
            <w:tcBorders>
              <w:bottom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9320" w:type="dxa"/>
            <w:vAlign w:val="bottom"/>
            <w:gridSpan w:val="4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by reference to Exhibit 10.1 to the Company’s Quarterly Report on Form 10-Q filed on July 27, 2023.**</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5"/>
            <w:shd w:val="clear" w:color="auto" w:fill="0000FF"/>
          </w:tcPr>
          <w:p>
            <w:pPr>
              <w:spacing w:after="0" w:line="20" w:lineRule="exact"/>
              <w:rPr>
                <w:sz w:val="1"/>
                <w:szCs w:val="1"/>
                <w:color w:val="auto"/>
              </w:rPr>
            </w:pPr>
          </w:p>
        </w:tc>
        <w:tc>
          <w:tcPr>
            <w:tcW w:w="4200" w:type="dxa"/>
            <w:vAlign w:val="bottom"/>
            <w:gridSpan w:val="6"/>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Performance Stock Units Agreement - 2024 LTI - under the 2023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incorporated by reference to Exhibit 10.1 to the Company’s Quarterly Report on Form 10-Q filed on April 30, 2024.</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51">
              <w:r>
                <w:rPr>
                  <w:rFonts w:ascii="Times New Roman" w:cs="Times New Roman" w:eastAsia="Times New Roman" w:hAnsi="Times New Roman"/>
                  <w:sz w:val="18"/>
                  <w:szCs w:val="18"/>
                  <w:color w:val="0000FF"/>
                  <w:w w:val="88"/>
                </w:rPr>
                <w:t>*</w:t>
              </w:r>
            </w:hyperlink>
          </w:p>
        </w:tc>
        <w:tc>
          <w:tcPr>
            <w:tcW w:w="140" w:type="dxa"/>
            <w:vAlign w:val="bottom"/>
            <w:gridSpan w:val="2"/>
          </w:tcPr>
          <w:p>
            <w:pPr>
              <w:spacing w:after="0"/>
              <w:rPr>
                <w:sz w:val="14"/>
                <w:szCs w:val="14"/>
                <w:color w:val="auto"/>
              </w:rPr>
            </w:pPr>
          </w:p>
        </w:tc>
        <w:tc>
          <w:tcPr>
            <w:tcW w:w="540" w:type="dxa"/>
            <w:vAlign w:val="bottom"/>
            <w:gridSpan w:val="14"/>
          </w:tcPr>
          <w:p>
            <w:pPr>
              <w:spacing w:after="0"/>
              <w:rPr>
                <w:sz w:val="14"/>
                <w:szCs w:val="14"/>
                <w:color w:val="auto"/>
              </w:rPr>
            </w:pPr>
          </w:p>
        </w:tc>
        <w:tc>
          <w:tcPr>
            <w:tcW w:w="200" w:type="dxa"/>
            <w:vAlign w:val="bottom"/>
            <w:gridSpan w:val="9"/>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Restricted Stock Units Agreement (Three-Year Ratable Vest) - 2024 LTI - under the 2023 Equity and Incentive</w:t>
              </w:r>
            </w:hyperlink>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5"/>
            <w:shd w:val="clear" w:color="auto" w:fill="0000FF"/>
          </w:tcPr>
          <w:p>
            <w:pPr>
              <w:spacing w:after="0" w:line="20" w:lineRule="exact"/>
              <w:rPr>
                <w:sz w:val="1"/>
                <w:szCs w:val="1"/>
                <w:color w:val="auto"/>
              </w:rPr>
            </w:pPr>
          </w:p>
        </w:tc>
        <w:tc>
          <w:tcPr>
            <w:tcW w:w="5300" w:type="dxa"/>
            <w:vAlign w:val="bottom"/>
            <w:gridSpan w:val="12"/>
            <w:shd w:val="clear" w:color="auto" w:fill="0000FF"/>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169"/>
        </w:trPr>
        <w:tc>
          <w:tcPr>
            <w:tcW w:w="1540" w:type="dxa"/>
            <w:vAlign w:val="bottom"/>
          </w:tcPr>
          <w:p>
            <w:pPr>
              <w:spacing w:after="0"/>
              <w:rPr>
                <w:sz w:val="14"/>
                <w:szCs w:val="14"/>
                <w:color w:val="auto"/>
              </w:rPr>
            </w:pPr>
          </w:p>
        </w:tc>
        <w:tc>
          <w:tcPr>
            <w:tcW w:w="9340" w:type="dxa"/>
            <w:vAlign w:val="bottom"/>
            <w:gridSpan w:val="41"/>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Compensation Plan, incorporated by reference to Exhibit 10.2 to the Company’s Quarterly Report on Form 10-Q filed on April</w:t>
              </w:r>
            </w:hyperlink>
          </w:p>
        </w:tc>
      </w:tr>
      <w:tr>
        <w:trPr>
          <w:trHeight w:val="156"/>
        </w:trPr>
        <w:tc>
          <w:tcPr>
            <w:tcW w:w="15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30, 2024.*</w:t>
              </w:r>
            </w:hyperlink>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340" w:type="dxa"/>
            <w:vAlign w:val="bottom"/>
            <w:gridSpan w:val="4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Units Agreement (Board of Directors) (One-Year Vest) - 2024 LTI - under the 2023 Equity and</w:t>
              </w:r>
            </w:hyperlink>
          </w:p>
        </w:tc>
      </w:tr>
      <w:tr>
        <w:trPr>
          <w:trHeight w:val="169"/>
        </w:trPr>
        <w:tc>
          <w:tcPr>
            <w:tcW w:w="1540" w:type="dxa"/>
            <w:vAlign w:val="bottom"/>
          </w:tcPr>
          <w:p>
            <w:pPr>
              <w:spacing w:after="0"/>
              <w:rPr>
                <w:sz w:val="14"/>
                <w:szCs w:val="14"/>
                <w:color w:val="auto"/>
              </w:rPr>
            </w:pPr>
          </w:p>
        </w:tc>
        <w:tc>
          <w:tcPr>
            <w:tcW w:w="86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Incentive Compensation Plan, incorporated by reference to Exhibit 10.3 to the Company’s Quarterly Report on Form 10-</w:t>
              </w:r>
            </w:hyperlink>
          </w:p>
        </w:tc>
        <w:tc>
          <w:tcPr>
            <w:tcW w:w="660" w:type="dxa"/>
            <w:vAlign w:val="bottom"/>
            <w:gridSpan w:val="22"/>
          </w:tcPr>
          <w:p>
            <w:pPr>
              <w:ind w:left="20"/>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Q filed</w:t>
              </w:r>
            </w:hyperlink>
          </w:p>
        </w:tc>
      </w:tr>
      <w:tr>
        <w:trPr>
          <w:trHeight w:val="155"/>
        </w:trPr>
        <w:tc>
          <w:tcPr>
            <w:tcW w:w="1540" w:type="dxa"/>
            <w:vAlign w:val="bottom"/>
          </w:tcPr>
          <w:p>
            <w:pPr>
              <w:spacing w:after="0"/>
              <w:rPr>
                <w:sz w:val="13"/>
                <w:szCs w:val="13"/>
                <w:color w:val="auto"/>
              </w:rPr>
            </w:pPr>
          </w:p>
        </w:tc>
        <w:tc>
          <w:tcPr>
            <w:tcW w:w="92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on April 30, 2024.*</w:t>
              </w:r>
            </w:hyperlink>
          </w:p>
        </w:tc>
        <w:tc>
          <w:tcPr>
            <w:tcW w:w="60" w:type="dxa"/>
            <w:vAlign w:val="bottom"/>
            <w:gridSpan w:val="3"/>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040" w:type="dxa"/>
            <w:vAlign w:val="bottom"/>
            <w:gridSpan w:val="35"/>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Federal Securities Law Compliance Program.</w:t>
            </w:r>
          </w:p>
        </w:tc>
        <w:tc>
          <w:tcPr>
            <w:tcW w:w="6040" w:type="dxa"/>
            <w:vAlign w:val="bottom"/>
            <w:gridSpan w:val="35"/>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TriMas Corporation Subsidiary List.</w:t>
            </w:r>
          </w:p>
        </w:tc>
        <w:tc>
          <w:tcPr>
            <w:tcW w:w="6460" w:type="dxa"/>
            <w:vAlign w:val="bottom"/>
            <w:gridSpan w:val="5"/>
          </w:tcPr>
          <w:p>
            <w:pPr>
              <w:spacing w:after="0"/>
              <w:rPr>
                <w:sz w:val="17"/>
                <w:szCs w:val="17"/>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3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w:t>
            </w:r>
          </w:p>
        </w:tc>
        <w:tc>
          <w:tcPr>
            <w:tcW w:w="4720" w:type="dxa"/>
            <w:vAlign w:val="bottom"/>
            <w:gridSpan w:val="4"/>
          </w:tcPr>
          <w:p>
            <w:pPr>
              <w:ind w:left="40"/>
              <w:spacing w:after="0" w:line="207" w:lineRule="exact"/>
              <w:rPr>
                <w:sz w:val="20"/>
                <w:szCs w:val="20"/>
                <w:color w:val="auto"/>
              </w:rPr>
            </w:pPr>
            <w:r>
              <w:rPr>
                <w:rFonts w:ascii="Times New Roman" w:cs="Times New Roman" w:eastAsia="Times New Roman" w:hAnsi="Times New Roman"/>
                <w:sz w:val="18"/>
                <w:szCs w:val="18"/>
                <w:color w:val="0000FF"/>
              </w:rPr>
              <w:t>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20" w:type="dxa"/>
            <w:vAlign w:val="bottom"/>
            <w:tcBorders>
              <w:top w:val="single" w:sz="8" w:color="0000FF"/>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tcBorders>
              <w:bottom w:val="single" w:sz="8" w:color="0000FF"/>
            </w:tcBorders>
            <w:gridSpan w:val="5"/>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20" w:type="dxa"/>
            <w:vAlign w:val="bottom"/>
            <w:tcBorders>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080" w:type="dxa"/>
            <w:vAlign w:val="bottom"/>
            <w:gridSpan w:val="7"/>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Compensation Clawback Policy, incorporated by reference to Exhibit 97 to the Company's Annual Report on Form 10-K filed</w:t>
              </w:r>
            </w:hyperlink>
          </w:p>
        </w:tc>
      </w:tr>
      <w:tr>
        <w:trPr>
          <w:trHeight w:val="169"/>
        </w:trPr>
        <w:tc>
          <w:tcPr>
            <w:tcW w:w="1540" w:type="dxa"/>
            <w:vAlign w:val="bottom"/>
          </w:tcPr>
          <w:p>
            <w:pPr>
              <w:spacing w:after="0"/>
              <w:rPr>
                <w:sz w:val="14"/>
                <w:szCs w:val="14"/>
                <w:color w:val="auto"/>
              </w:rPr>
            </w:pPr>
          </w:p>
        </w:tc>
        <w:tc>
          <w:tcPr>
            <w:tcW w:w="90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on February 29, 2024.</w:t>
              </w:r>
            </w:hyperlink>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 w:lineRule="exact"/>
        <w:rPr>
          <w:sz w:val="20"/>
          <w:szCs w:val="20"/>
          <w:color w:val="auto"/>
        </w:rPr>
      </w:pPr>
    </w:p>
    <w:p>
      <w:pPr>
        <w:ind w:left="1760" w:right="260" w:hanging="1532"/>
        <w:spacing w:after="0" w:line="223" w:lineRule="auto"/>
        <w:tabs>
          <w:tab w:leader="none" w:pos="1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TriMas Corporation's Annual Report on Form 10-K for the fiscal year ended December 31, 2024 ,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p>
      <w:pPr>
        <w:spacing w:after="0" w:line="2" w:lineRule="exact"/>
        <w:rPr>
          <w:sz w:val="20"/>
          <w:szCs w:val="20"/>
          <w:color w:val="auto"/>
        </w:rPr>
      </w:pPr>
    </w:p>
    <w:p>
      <w:pPr>
        <w:ind w:left="22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 required to be filed as an exhibit pursuant to Item 15(b) of Form 10-K.</w:t>
      </w:r>
    </w:p>
    <w:p>
      <w:pPr>
        <w:spacing w:after="0" w:line="252" w:lineRule="exact"/>
        <w:rPr>
          <w:sz w:val="20"/>
          <w:szCs w:val="20"/>
          <w:color w:val="auto"/>
        </w:rPr>
      </w:pPr>
    </w:p>
    <w:p>
      <w:pPr>
        <w:ind w:firstLine="8"/>
        <w:spacing w:after="0" w:line="282" w:lineRule="auto"/>
        <w:tabs>
          <w:tab w:leader="none" w:pos="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TRIMAS CORPORATION</w:t>
      </w:r>
    </w:p>
    <w:p>
      <w:pPr>
        <w:ind w:left="3200"/>
        <w:spacing w:after="0"/>
        <w:rPr>
          <w:sz w:val="20"/>
          <w:szCs w:val="20"/>
          <w:color w:val="auto"/>
        </w:rPr>
      </w:pPr>
      <w:r>
        <w:rPr>
          <w:rFonts w:ascii="Times New Roman" w:cs="Times New Roman" w:eastAsia="Times New Roman" w:hAnsi="Times New Roman"/>
          <w:sz w:val="18"/>
          <w:szCs w:val="18"/>
          <w:color w:val="auto"/>
        </w:rPr>
        <w:t>(Registrant)</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6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A. AMATO</w:t>
            </w:r>
          </w:p>
        </w:tc>
      </w:tr>
      <w:tr>
        <w:trPr>
          <w:trHeight w:val="169"/>
        </w:trPr>
        <w:tc>
          <w:tcPr>
            <w:tcW w:w="3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7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Name: Thomas A. Amato</w:t>
            </w:r>
          </w:p>
        </w:tc>
      </w:tr>
      <w:tr>
        <w:trPr>
          <w:trHeight w:val="243"/>
        </w:trPr>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February 27, 2025</w:t>
            </w: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9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286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16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THOMAS A. AMATO</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Thomas A. Amato</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SCOTT A. MELL</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Scott A. Mell</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HERBERT K. PARKER</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Herbert K. Parker</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HOLLY M. BOEHNE</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Holly M. Boehne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JEFFREY A. FIELKOW</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Jeffrey A. Fielkow</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TERESA M. FINLEY</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Teresa M. Finley</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M. GREENE</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Jeffrey M. Greene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NICK L. STANAGE</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Nick L. Stanage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DANIEL P. TREDWELL</w:t>
            </w:r>
          </w:p>
        </w:tc>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Daniel P. Tredwell</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ITEM 15(a)(2)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FORM 10-K VALUATION AND QUALIFYING ACCOUNTS FOR THE YEARS ENDED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CHARGED</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15"/>
              <w:spacing w:after="0" w:line="161" w:lineRule="exact"/>
              <w:rPr>
                <w:sz w:val="20"/>
                <w:szCs w:val="20"/>
                <w:color w:val="auto"/>
              </w:rPr>
            </w:pPr>
            <w:r>
              <w:rPr>
                <w:rFonts w:ascii="Times New Roman" w:cs="Times New Roman" w:eastAsia="Times New Roman" w:hAnsi="Times New Roman"/>
                <w:sz w:val="16"/>
                <w:szCs w:val="16"/>
                <w:b w:val="1"/>
                <w:bCs w:val="1"/>
                <w:color w:val="auto"/>
              </w:rPr>
              <w:t>CHARGED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0"/>
              <w:spacing w:after="0" w:line="162" w:lineRule="exact"/>
              <w:rPr>
                <w:sz w:val="20"/>
                <w:szCs w:val="20"/>
                <w:color w:val="auto"/>
              </w:rPr>
            </w:pPr>
            <w:r>
              <w:rPr>
                <w:rFonts w:ascii="Times New Roman" w:cs="Times New Roman" w:eastAsia="Times New Roman" w:hAnsi="Times New Roman"/>
                <w:sz w:val="16"/>
                <w:szCs w:val="16"/>
                <w:b w:val="1"/>
                <w:bCs w:val="1"/>
                <w:color w:val="auto"/>
              </w:rPr>
              <w:t>AT</w:t>
            </w:r>
          </w:p>
        </w:tc>
        <w:tc>
          <w:tcPr>
            <w:tcW w:w="140" w:type="dxa"/>
            <w:vAlign w:val="bottom"/>
          </w:tcPr>
          <w:p>
            <w:pPr>
              <w:spacing w:after="0"/>
              <w:rPr>
                <w:sz w:val="14"/>
                <w:szCs w:val="14"/>
                <w:color w:val="auto"/>
              </w:rPr>
            </w:pPr>
          </w:p>
        </w:tc>
        <w:tc>
          <w:tcPr>
            <w:tcW w:w="1280" w:type="dxa"/>
            <w:vAlign w:val="bottom"/>
            <w:gridSpan w:val="2"/>
          </w:tcPr>
          <w:p>
            <w:pPr>
              <w:ind w:left="40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(CREDITED)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TO OTHER</w:t>
            </w:r>
          </w:p>
        </w:tc>
        <w:tc>
          <w:tcPr>
            <w:tcW w:w="18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DEDUCTIONS</w:t>
            </w:r>
            <w:r>
              <w:rPr>
                <w:rFonts w:ascii="Times New Roman" w:cs="Times New Roman" w:eastAsia="Times New Roman" w:hAnsi="Times New Roman"/>
                <w:sz w:val="21"/>
                <w:szCs w:val="21"/>
                <w:b w:val="1"/>
                <w:bCs w:val="1"/>
                <w:color w:val="auto"/>
                <w:vertAlign w:val="superscript"/>
              </w:rPr>
              <w:t>(A)</w:t>
            </w:r>
          </w:p>
        </w:tc>
        <w:tc>
          <w:tcPr>
            <w:tcW w:w="160" w:type="dxa"/>
            <w:vAlign w:val="bottom"/>
          </w:tcPr>
          <w:p>
            <w:pPr>
              <w:spacing w:after="0"/>
              <w:rPr>
                <w:sz w:val="14"/>
                <w:szCs w:val="14"/>
                <w:color w:val="auto"/>
              </w:rPr>
            </w:pPr>
          </w:p>
        </w:tc>
        <w:tc>
          <w:tcPr>
            <w:tcW w:w="114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6"/>
              </w:rPr>
              <w:t>AT END</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EXPENSES</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0" w:type="dxa"/>
            <w:vAlign w:val="bottom"/>
          </w:tcPr>
          <w:p>
            <w:pPr>
              <w:spacing w:after="0"/>
              <w:rPr>
                <w:sz w:val="1"/>
                <w:szCs w:val="1"/>
                <w:color w:val="auto"/>
              </w:rPr>
            </w:pPr>
          </w:p>
        </w:tc>
      </w:tr>
      <w:tr>
        <w:trPr>
          <w:trHeight w:val="164"/>
        </w:trPr>
        <w:tc>
          <w:tcPr>
            <w:tcW w:w="354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Allowance for doubtful accounts deducted</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accounts receivable in the balance sheet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4,180,000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2,930,000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3,180,000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1,730,000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3,320,000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rPr>
              <w:t>1,570,000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rPr>
              <w:t>1,480,000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1,400,000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1,730,000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Deductions, representing uncollectible accounts written-off, less recoveries of amounts reserved in prior years.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80"/>
          </w:cols>
          <w:pgMar w:left="320" w:top="121" w:right="399" w:bottom="1440" w:gutter="0" w:footer="0" w:header="0"/>
        </w:sectPr>
      </w:pPr>
    </w:p>
    <w:bookmarkStart w:id="96" w:name="page97"/>
    <w:bookmarkEnd w:id="96"/>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363855</wp:posOffset>
            </wp:positionV>
            <wp:extent cx="1440180"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E6D"/>
        </w:rPr>
        <w:t>Federal Securities Law Compliance Program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2060"/>
        </w:rPr>
        <w:t>Memorandum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All Section 16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Jodi Robin, General Counsel and Secretary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memorandum provides a brief overview of (i) TriMas Corporation’s (the “Company”) policy concerning insider trading and the pre-clearance of trading transactions, (ii) the primary responsibilities of the members of the Company’s Board of Directors (“Directors”) and Executive Officers under the federal securities laws, and (iii) the Company’s program to assist Directors and Executive Officers in meeting those responsibilities. “Executive Officers” refers to those persons required to file stock ownership reports with the Securities and Exchange Commission (“SEC”). This memorandum has been prepared both as a periodic reminder of your responsibilities under these laws and to warn you of the severe civil and criminal penalties which can result from noncompliance. The SEC recently has stepped up its enforcement activities against persons who fail to meet their filing obligations.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with any outline, this does not purport to be a complete discussion of all responsibilities imposed upon the Company’s Directors and Executive Officers under the federal securities laws. Rather, this memorandum only highlights areas of the law that can be quite complex in actual application. Actual legal requirements may vary with specific transactions, and the legal provisions described in this memorandum may change from time to time. CONSULTATION WITH THE COMPANY’S GENERAL COUNSEL ON ANY MATTER OF SUBSTANCE PRIOR TO ENGAGING IN ANY TRANSACTION IS HIGHLY RECOMMENDED.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You Have the Ultimate Responsibility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Although the Company provides assistance to help you comply with your responsibilities under the federal securities laws, please recognize that </w:t>
      </w:r>
      <w:r>
        <w:rPr>
          <w:rFonts w:ascii="Arial" w:cs="Arial" w:eastAsia="Arial" w:hAnsi="Arial"/>
          <w:sz w:val="18"/>
          <w:szCs w:val="18"/>
          <w:u w:val="single" w:color="auto"/>
          <w:color w:val="auto"/>
        </w:rPr>
        <w:t>it remains your obligation to see that your filings are made timely and correctly and to refrain from engaging in unlawful transactions.</w:t>
      </w:r>
      <w:r>
        <w:rPr>
          <w:rFonts w:ascii="Arial" w:cs="Arial" w:eastAsia="Arial" w:hAnsi="Arial"/>
          <w:sz w:val="18"/>
          <w:szCs w:val="18"/>
          <w:color w:val="auto"/>
        </w:rPr>
        <w:t xml:space="preserve"> The best protection is provided by your awareness of the requirements and potential pitfalls under the rules.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Executive Summary of Important Federal Securities Law Provisions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Reporting of Holdings - Section 16(a) </w:t>
      </w:r>
      <w:r>
        <w:rPr>
          <w:rFonts w:ascii="Arial" w:cs="Arial" w:eastAsia="Arial" w:hAnsi="Arial"/>
          <w:sz w:val="18"/>
          <w:szCs w:val="18"/>
          <w:color w:val="auto"/>
        </w:rPr>
        <w:t>of the Securities Exchange Act of 1934 (the “1934 Act”) requires that the Company’s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Officers report </w:t>
      </w:r>
      <w:r>
        <w:rPr>
          <w:rFonts w:ascii="Arial" w:cs="Arial" w:eastAsia="Arial" w:hAnsi="Arial"/>
          <w:sz w:val="18"/>
          <w:szCs w:val="18"/>
          <w:b w:val="1"/>
          <w:bCs w:val="1"/>
          <w:u w:val="single" w:color="auto"/>
          <w:color w:val="auto"/>
        </w:rPr>
        <w:t>all</w:t>
      </w:r>
      <w:r>
        <w:rPr>
          <w:rFonts w:ascii="Arial" w:cs="Arial" w:eastAsia="Arial" w:hAnsi="Arial"/>
          <w:sz w:val="18"/>
          <w:szCs w:val="18"/>
          <w:color w:val="auto"/>
        </w:rPr>
        <w:t xml:space="preserve"> holdings and transactions in the common stock of the Company (the “Common Stock”) on a Form 3, Form 4, or Form 5, depending on the circumstances. Directors and Executive Officers must also report transactions in “derivative securities,” such as options, warrants, puts, calls, and convertible debt. To assist in SEC enforcement efforts, SEC rules require the Company to report in its proxy statement and Form 10-K the names of any Directors or Executive Officers who during the preceding fiscal year failed to file a Form or were late in filing any Form required under the Section 16(a) rules. The SEC is authorized to impose monetary penalties for violations of the reporting requirements against the delinquent filer and against a reporting company for failure to disclose delinquent filers and has done so on numerous occasions in recent years. Forms 3, 4, and 5 must also be filed by each beneficial owner of at least ten percent of the outstanding Common Stock (a “Ten Percent Beneficial Owner”).</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Short-Swing Profit Liability - Section 16(b) </w:t>
      </w:r>
      <w:r>
        <w:rPr>
          <w:rFonts w:ascii="Arial" w:cs="Arial" w:eastAsia="Arial" w:hAnsi="Arial"/>
          <w:sz w:val="18"/>
          <w:szCs w:val="18"/>
          <w:color w:val="auto"/>
        </w:rPr>
        <w:t>of the 1934 Act, the so-called Short-Swing Profit Rule, is designed to prohibit trading by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Executive Officers, and Ten Percent Beneficial Owners with knowledge of inside information by imposing strict liability on such persons to return any “profits” resulting from purchases and sales or sales and purchases of the Common Stock (or a derivative security) within any six-month period.</w:t>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Page 1 of 5</w:t>
      </w:r>
    </w:p>
    <w:p>
      <w:pPr>
        <w:sectPr>
          <w:pgSz w:w="11900" w:h="16838" w:orient="portrait"/>
          <w:cols w:equalWidth="0" w:num="2">
            <w:col w:w="2340" w:space="440"/>
            <w:col w:w="8460"/>
          </w:cols>
          <w:pgMar w:left="320" w:top="443" w:right="339" w:bottom="1440" w:gutter="0" w:footer="0" w:header="0"/>
          <w:type w:val="continuous"/>
        </w:sectPr>
      </w:pPr>
    </w:p>
    <w:bookmarkStart w:id="97" w:name="page98"/>
    <w:bookmarkEnd w:id="97"/>
    <w:p>
      <w:pPr>
        <w:jc w:val="both"/>
        <w:spacing w:after="0" w:line="287" w:lineRule="auto"/>
        <w:rPr>
          <w:sz w:val="20"/>
          <w:szCs w:val="20"/>
          <w:color w:val="auto"/>
        </w:rPr>
      </w:pPr>
      <w:r>
        <w:rPr>
          <w:rFonts w:ascii="Arial" w:cs="Arial" w:eastAsia="Arial" w:hAnsi="Arial"/>
          <w:sz w:val="18"/>
          <w:szCs w:val="18"/>
          <w:b w:val="1"/>
          <w:bCs w:val="1"/>
          <w:color w:val="auto"/>
        </w:rPr>
        <w:t xml:space="preserve">Sales “Against the Box” - Section 16(c) </w:t>
      </w:r>
      <w:r>
        <w:rPr>
          <w:rFonts w:ascii="Arial" w:cs="Arial" w:eastAsia="Arial" w:hAnsi="Arial"/>
          <w:sz w:val="18"/>
          <w:szCs w:val="18"/>
          <w:color w:val="auto"/>
        </w:rPr>
        <w:t>of the 1934 Act prohibits a Director, Executive Officer, or Ten Percent Beneficial Owner from</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in short sales, sales “against the box,” and delayed delivery sales of the Common Stock.</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Insider Trading - Section 21A </w:t>
      </w:r>
      <w:r>
        <w:rPr>
          <w:rFonts w:ascii="Arial" w:cs="Arial" w:eastAsia="Arial" w:hAnsi="Arial"/>
          <w:sz w:val="18"/>
          <w:szCs w:val="18"/>
          <w:color w:val="auto"/>
        </w:rPr>
        <w:t>of the 1934 Act prohibits any person from trading in the Common Stock while in the possession of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Of course, this applies regardless of whether the trade occurs during a “trading window.”</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Sales by Affiliates - Rule 144 </w:t>
      </w:r>
      <w:r>
        <w:rPr>
          <w:rFonts w:ascii="Arial" w:cs="Arial" w:eastAsia="Arial" w:hAnsi="Arial"/>
          <w:sz w:val="18"/>
          <w:szCs w:val="18"/>
          <w:color w:val="auto"/>
        </w:rPr>
        <w:t>under the Securities Act of 1933 (the “1933 Act”) provides a safe harbor for the sale of the Common Stock by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which otherwise can occur in only very limited situations.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Reporting by Five Percent Shareholders - Section 13(d) </w:t>
      </w:r>
      <w:r>
        <w:rPr>
          <w:rFonts w:ascii="Arial" w:cs="Arial" w:eastAsia="Arial" w:hAnsi="Arial"/>
          <w:sz w:val="18"/>
          <w:szCs w:val="18"/>
          <w:color w:val="auto"/>
        </w:rPr>
        <w:t>of the 1934 Act requires any person, or group of persons acting together, who</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owns five percent or more of the outstanding Common Stock to file with the SEC a Schedule 13D or Schedule 13G, as appropriate, within a specified period of time after acquiring five percent beneficial ownership, and to file amendments from time to time to report changes in holdings.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Trading Plans – Rule 10b-5 </w:t>
      </w:r>
      <w:r>
        <w:rPr>
          <w:rFonts w:ascii="Arial" w:cs="Arial" w:eastAsia="Arial" w:hAnsi="Arial"/>
          <w:sz w:val="18"/>
          <w:szCs w:val="18"/>
          <w:color w:val="auto"/>
        </w:rPr>
        <w:t>of the 1934 Act makes it illegal for any person to make any untrue statement of material fact or omit to state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fact necessary in order to make the statements made, in light of the circumstances in which they were made, not misleading, or to use any measure or engage in any act, practice or course of business which operates as a fraud or deceit upon any person, in connection with the purchase or sale of any security. Rule 10b5-1 provides an affirmative defense against accusations of insider trading to persons executing pre-planned transactions pursuant to a Rule 10b5-1 trading plan that was established in good faith at a time when the person was unaware of material non-public information, even if actual trades made pursuant to the plan are executed at a time when the individual may be aware of material non-public information that would otherwise subject that person to liability under Section 10(b) of the 1934 Act.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Compliance Program</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order to facilitate compliance with the foregoing provisions and to help Directors and Executive Officers prevent inadvertent violations of those provisions, the Company requires the following compliance procedure:</w:t>
      </w:r>
    </w:p>
    <w:p>
      <w:pPr>
        <w:spacing w:after="0" w:line="153" w:lineRule="exact"/>
        <w:rPr>
          <w:sz w:val="20"/>
          <w:szCs w:val="20"/>
          <w:color w:val="auto"/>
        </w:rPr>
      </w:pPr>
    </w:p>
    <w:p>
      <w:pPr>
        <w:jc w:val="both"/>
        <w:ind w:left="660" w:hanging="328"/>
        <w:spacing w:after="0" w:line="255"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Policy Statement – Insider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No Director or Executive Officer who is aware of material nonpublic information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directly or through family members or other persons or entities, (a) buy or sell securities of the Company, including without limitation, common stock, derivative securities, debt securities or any other securities of the Company (collectively, “Securities”) or engage in any other action to take personal advantage of that information, or (b) pass that information on to others outside the Company, including family and friends. In addition, it is the policy of the Company that no Director or Executive Officer who, in the course of working for the Company, learns of material nonpublic information about another company with which the Company does business, including a customer or supplier of the Company, shall trade in that company’s securities until the information becomes public or is no longer material.</w:t>
      </w:r>
    </w:p>
    <w:p>
      <w:pPr>
        <w:spacing w:after="0" w:line="184"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Policy Statement - Pre-Clearance of Transactions; Transaction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No Director or Executive Officer shall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involving Securities , without first obtaining pre-clearance of the transaction with a Compliance Administrator who will review with you any matchable transactions that are revealed on prior filings as well as any transactions that may occur in the coming months. For clarity, transactions covered by this policy include all transactions with respect to Securities, including Common Stock and derivative securities. In addition, since the Compliance Administrator will generally be aware of any major developments involving the Company, this pre-clearance procedure will also help to avoid inadvertent violations of Section 21A or Rule 144. In addition to the foregoing, with regard to transactions involving Common Stock (including derivative securities) acquired pursuant to the Company’s benefit plans and held at Fidelity, after obtaining pre-clearance of a transaction, the Director or Executive Officer may only execute the proposed transaction (regardless of the involvement of a broker in such transaction) following telephonic contact with a representative of the Company’s stock plan administrator, Fidelity Stock Plan Services (“Fidelity”) (1-800-823-0217). Fidelity will confirm pre-clearance in accordance with this policy.</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Page 2 of 5</w:t>
      </w:r>
    </w:p>
    <w:p>
      <w:pPr>
        <w:sectPr>
          <w:pgSz w:w="11900" w:h="16838" w:orient="portrait"/>
          <w:cols w:equalWidth="0" w:num="2">
            <w:col w:w="2340" w:space="360"/>
            <w:col w:w="8540"/>
          </w:cols>
          <w:pgMar w:left="320" w:top="1376" w:right="339" w:bottom="1440" w:gutter="0" w:footer="0" w:header="0"/>
          <w:type w:val="continuous"/>
        </w:sectPr>
      </w:pPr>
    </w:p>
    <w:bookmarkStart w:id="98" w:name="page99"/>
    <w:bookmarkEnd w:id="98"/>
    <w:p>
      <w:pPr>
        <w:jc w:val="both"/>
        <w:ind w:left="660" w:hanging="328"/>
        <w:spacing w:after="0" w:line="26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Compliance Administrator assists all Directors and Executive Officers concerning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pre-clearance and filing requirements. Jodi Robin, General Counsel and Secretary (248-631-5475), has been designated as the Compliance Administrator and will provide assistance in preparing and filing all Form 3, Form 4, and Form 5 filings.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660" w:hanging="328"/>
        <w:spacing w:after="0" w:line="25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Notify Administrator No Later than One Business Day Prior to Date of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In light of the accelerated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that require that virtually all transactions be reported to the SEC by the end of the second business day after the transaction is executed, it is critical that Directors and Executive Officers notify a Compliance Administrator of an anticipated transaction no later than one business day prior to the date of the proposed transaction; provided that with respect to Directors, general advance notice of not less than one business day of the intent to engage in a reportable transaction within the then current trading window is sufficient.</w:t>
      </w:r>
    </w:p>
    <w:p>
      <w:pPr>
        <w:spacing w:after="0" w:line="182"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Trading “Window”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are to engage in purchases or sales of Securities only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commencing one full trading day after the date on which quarterly or year-end financial results are publicly released (typically by a press release) and ending on the tenth day of the third month of each quarter (March 10, June 10, September 10, and December 10). However, even within those periods, no transactions are to be entered into when the Director or Executive Officer is in possession of material information which has not yet been publicly disclosed.</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Periods of Suspended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are not to buy or sell Securities at any time while in possession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nonpublic information regarding the Company or during any period for which a Compliance Administrator or legal counsel has recommended the suspension of trading. Such periods usually relate to the time between the internal identification of material information and the public disclosure of that information.</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Prohibited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considers it improper and inappropriate for any Director or Executive Officer to</w:t>
      </w:r>
      <w:r>
        <w:rPr>
          <w:rFonts w:ascii="Arial" w:cs="Arial" w:eastAsia="Arial" w:hAnsi="Arial"/>
          <w:sz w:val="18"/>
          <w:szCs w:val="18"/>
          <w:b w:val="1"/>
          <w:bCs w:val="1"/>
          <w:color w:val="auto"/>
        </w:rPr>
        <w:t xml:space="preserve"> </w:t>
      </w:r>
      <w:r>
        <w:rPr>
          <w:rFonts w:ascii="Arial" w:cs="Arial" w:eastAsia="Arial" w:hAnsi="Arial"/>
          <w:sz w:val="18"/>
          <w:szCs w:val="18"/>
          <w:color w:val="auto"/>
        </w:rPr>
        <w:t>engage in short-term or speculative transactions in the Company’s securities. It is the Company’s policy that Directors and Executive Officers shall not engage in any of the following transactions:</w:t>
      </w:r>
    </w:p>
    <w:p>
      <w:pPr>
        <w:spacing w:after="0" w:line="170"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Publicly Traded Options and Other Hedging Activities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transaction in options is, in effect, a bet on the short-term movement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and therefore creates the appearance that the Director or Executive Officer is trading based on inside information. Transactions in options also may focus the Director or Executive Officer’s attention on short-term performance at the expense of the Company’s long-term objectives. Accordingly, transactions in puts or calls or engaging in any other transaction, such as a prepaid variable forward contract, equity swap, collar, or exchange fund, that is designed to hedge or offset any decrease in the market value of Company securities on an exchange or in any other organized market, are prohibited by this Compliance Program.</w:t>
      </w:r>
    </w:p>
    <w:p>
      <w:pPr>
        <w:spacing w:after="0" w:line="182" w:lineRule="exact"/>
        <w:rPr>
          <w:rFonts w:ascii="Arial" w:cs="Arial" w:eastAsia="Arial" w:hAnsi="Arial"/>
          <w:sz w:val="18"/>
          <w:szCs w:val="18"/>
          <w:color w:val="auto"/>
        </w:rPr>
      </w:pPr>
    </w:p>
    <w:p>
      <w:pPr>
        <w:ind w:left="660" w:right="20"/>
        <w:spacing w:after="0" w:line="28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Margin Accounts and Pledges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Executive Officers are prohibited from holding Securities in margin accounts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pledging Securities.</w:t>
      </w:r>
    </w:p>
    <w:p>
      <w:pPr>
        <w:spacing w:after="0" w:line="152"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For the purposes of this policy, “pledging” is defined as any instrument or transaction through which a Director or Executive Officer offers or uses Securities held by the Director or Executive Officer as security for a loan or other obligation of the Director or Executive Officer</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Rule 10b5-1 Trading Plans.</w:t>
      </w:r>
      <w:r>
        <w:rPr>
          <w:rFonts w:ascii="Arial" w:cs="Arial" w:eastAsia="Arial" w:hAnsi="Arial"/>
          <w:sz w:val="18"/>
          <w:szCs w:val="18"/>
          <w:b w:val="1"/>
          <w:bCs w:val="1"/>
          <w:color w:val="auto"/>
        </w:rPr>
        <w:t xml:space="preserve"> </w:t>
      </w:r>
      <w:r>
        <w:rPr>
          <w:rFonts w:ascii="Arial" w:cs="Arial" w:eastAsia="Arial" w:hAnsi="Arial"/>
          <w:sz w:val="18"/>
          <w:szCs w:val="18"/>
          <w:color w:val="auto"/>
        </w:rPr>
        <w:t>Rule 10b5-1 of the 1934 Act creates an affirmative defense to charges of insider trading by allowing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to create a plan for future sales of Securities. Pursuant to Rule 10b5-1, insiders may enter into a plan for the purchase or sale of Securities provided, among other requirements, the trading plan (a) is adopted in writing when the insider does not possess or is not aware of material nonpublic information, (b) is entered into in good faith and not part of a scheme to evade Rule 10b-5, (c) restricts the insider from having any influence over how, when or whether to effect a sale, and (d) specifies for each trade, the amount of shares or principal amount, the price, and dates or a formula for</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Page 3 of 5</w:t>
      </w:r>
    </w:p>
    <w:p>
      <w:pPr>
        <w:sectPr>
          <w:pgSz w:w="11900" w:h="16838" w:orient="portrait"/>
          <w:cols w:equalWidth="0" w:num="2">
            <w:col w:w="2340" w:space="360"/>
            <w:col w:w="8540"/>
          </w:cols>
          <w:pgMar w:left="320" w:top="1376" w:right="339" w:bottom="1440" w:gutter="0" w:footer="0" w:header="0"/>
          <w:type w:val="continuous"/>
        </w:sectPr>
      </w:pPr>
    </w:p>
    <w:bookmarkStart w:id="99" w:name="page100"/>
    <w:bookmarkEnd w:id="99"/>
    <w:p>
      <w:pPr>
        <w:jc w:val="both"/>
        <w:ind w:left="660"/>
        <w:spacing w:after="0" w:line="287" w:lineRule="auto"/>
        <w:rPr>
          <w:sz w:val="20"/>
          <w:szCs w:val="20"/>
          <w:color w:val="auto"/>
        </w:rPr>
      </w:pPr>
      <w:r>
        <w:rPr>
          <w:rFonts w:ascii="Arial" w:cs="Arial" w:eastAsia="Arial" w:hAnsi="Arial"/>
          <w:sz w:val="18"/>
          <w:szCs w:val="18"/>
          <w:color w:val="auto"/>
        </w:rPr>
        <w:t>determining sales or purchases. In addition to complying with the foregoing principles, Directors and Executive Officers who wish to put a trading plan in place must comply with the requirements in this memorandum.</w:t>
      </w:r>
    </w:p>
    <w:p>
      <w:pPr>
        <w:spacing w:after="0" w:line="15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Notwithstanding anything to the contrary contained herein, to be effective, trading plans may only be adopted during open trading windows and with pre-approval from the Compliance Administrator. All trading plans must comply with the Company’s stock ownership guidelines and include a 30-day waiting period before the first trade. The existence of all trading plans must be publicly disclosed and all trading plans must include a restriction on amendments and the Director’s and/or Executive Officer’s ability to terminate the plan, except in each case with approval from the Compliance Administrator. Executive Officers and insiders can only have one trading plan in place at a time and if a trading plan is terminated for any reason other than by expiration by its terms, 90 days must elapse before a new trading plan can be put in place.</w:t>
      </w:r>
    </w:p>
    <w:p>
      <w:pPr>
        <w:spacing w:after="0" w:line="183"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Gifts and Transactions under Company Plans.</w:t>
      </w:r>
    </w:p>
    <w:p>
      <w:pPr>
        <w:spacing w:after="0" w:line="225"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Bona-Fide Gifts.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 trading policy does not prohibit bona-fide gifts (including those to family members or to</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organizations) during time periods outside of the trading windows, unless the Director or Executive Officer making the gift has reason to believe that the recipient intends to sell the Securities while the Director or Executive Officer is in possession of material nonpublic information regarding the Company. In the event that a Director or Executive Officer wishes to make a bona-fide gift of Securities at a time when the Director or Executive Officer is in possession of material nonpublic information regarding the Company and has reason to believe that the recipient intends to sell the Securities, that gift will be considered a transaction subject to the insider trading policy, and trading windows and pre-clearance procedures will apply.</w:t>
      </w:r>
    </w:p>
    <w:p>
      <w:pPr>
        <w:spacing w:after="0" w:line="182"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Bona-fide gift transactions do need to be reported on a Form 4 or a Form 5, but they are “exempt” from Section 16 liability. Whether the recipient of the gift will be subject to any SEC limitations on the sale of the gifted stock depends on the circumstances. A Compliance Administrator can assist you in determining whether any SEC compliance rules apply.</w:t>
      </w:r>
    </w:p>
    <w:p>
      <w:pPr>
        <w:spacing w:after="0" w:line="170"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Stock Option Exercises</w:t>
      </w:r>
      <w:r>
        <w:rPr>
          <w:rFonts w:ascii="Arial" w:cs="Arial" w:eastAsia="Arial" w:hAnsi="Arial"/>
          <w:sz w:val="18"/>
          <w:szCs w:val="18"/>
          <w:color w:val="auto"/>
        </w:rPr>
        <w:t>. The Company’s insider trading policy also does not prohibit the exercise of an employee stock option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periods outside of the trading windows, or the exercise of a tax withholding right pursuant to which you elect to have the Company withhold shares subject to an option to satisfy tax withholding requirements. The policy does prohibit during non-trading-window periods, however, any sale of stock as part of a broker-assisted cashless exercise of an option, or any other market sale for the purpose of generating the cash needed to pay the exercise price of an option.</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3"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will advise any broker used in connection with a transaction covered by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Director or Executive Officer’s obligations under this policy, including (1) not to execute any transaction in Securities without first contacting a Compliance Administrator, (2) to execute any transaction in Common Stock acquired pursuant to the Company’s benefit plans and held at Fidelity, requires telephone contact with a designated representative of Fidelity (which such Director or Executive Officer can authorize the broker to undertake), and (3) to report each transaction to a Compliance Administrator immediately following the execution of a transaction.</w:t>
      </w:r>
    </w:p>
    <w:p>
      <w:pPr>
        <w:spacing w:after="0" w:line="182" w:lineRule="exact"/>
        <w:rPr>
          <w:rFonts w:ascii="Arial" w:cs="Arial" w:eastAsia="Arial" w:hAnsi="Arial"/>
          <w:sz w:val="18"/>
          <w:szCs w:val="18"/>
          <w:color w:val="auto"/>
        </w:rPr>
      </w:pPr>
    </w:p>
    <w:p>
      <w:pPr>
        <w:jc w:val="both"/>
        <w:ind w:left="660" w:hanging="328"/>
        <w:spacing w:after="0" w:line="255"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Preparing and Reviewing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 Compliance Administrator will prepare a Form 3 upon an individual’s assumption of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status. In addition, a Compliance Administrator will assist all Directors and Executive Officers in preparing a Form 4 or Form 5, as applicable, whenever there is an acquisition or disposition of the Common Stock (or a derivative security). Obviously, your input will be required to make the Compliance Administrator aware of any such change. </w:t>
      </w:r>
      <w:r>
        <w:rPr>
          <w:rFonts w:ascii="Arial" w:cs="Arial" w:eastAsia="Arial" w:hAnsi="Arial"/>
          <w:sz w:val="18"/>
          <w:szCs w:val="18"/>
          <w:b w:val="1"/>
          <w:bCs w:val="1"/>
          <w:color w:val="auto"/>
        </w:rPr>
        <w:t>Information regarding anticipated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changes in beneficial ownership must be forwarded to a Compliance Administrator’s office as soon as possible but no later than one business day prior to the date of the proposed transaction in order to allow sufficient time for the timely preparation and filing of the Form 4. </w:t>
      </w:r>
      <w:r>
        <w:rPr>
          <w:rFonts w:ascii="Arial" w:cs="Arial" w:eastAsia="Arial" w:hAnsi="Arial"/>
          <w:sz w:val="18"/>
          <w:szCs w:val="18"/>
          <w:color w:val="auto"/>
        </w:rPr>
        <w:t>At year end, you must respond promptly to requests for information regarding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on Form 5. The Company will retain a signed copy of each Form 3, 4, and 5 in its files for approximately two years.</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Page 4 of 5</w:t>
      </w:r>
    </w:p>
    <w:p>
      <w:pPr>
        <w:sectPr>
          <w:pgSz w:w="11900" w:h="16838" w:orient="portrait"/>
          <w:cols w:equalWidth="0" w:num="2">
            <w:col w:w="2340" w:space="360"/>
            <w:col w:w="8540"/>
          </w:cols>
          <w:pgMar w:left="320" w:top="1376" w:right="339" w:bottom="1440" w:gutter="0" w:footer="0" w:header="0"/>
          <w:type w:val="continuous"/>
        </w:sectPr>
      </w:pPr>
    </w:p>
    <w:bookmarkStart w:id="100" w:name="page101"/>
    <w:bookmarkEnd w:id="100"/>
    <w:p>
      <w:pPr>
        <w:jc w:val="both"/>
        <w:ind w:left="660"/>
        <w:spacing w:after="0" w:line="268" w:lineRule="auto"/>
        <w:rPr>
          <w:sz w:val="20"/>
          <w:szCs w:val="20"/>
          <w:color w:val="auto"/>
        </w:rPr>
      </w:pPr>
      <w:r>
        <w:rPr>
          <w:rFonts w:ascii="Arial" w:cs="Arial" w:eastAsia="Arial" w:hAnsi="Arial"/>
          <w:sz w:val="18"/>
          <w:szCs w:val="18"/>
          <w:color w:val="auto"/>
        </w:rPr>
        <w:t>Because transactions under the Company’s employee benefit plans raise even more complex reporting issues than the ordinary purchases or sales of stock, a Compliance Administrator will automatically prepare the appropriate Form on your behalf whenever you acquire options for or shares of the Common Stock under the Company’s benefit plans.</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SEC permits Forms 3, 4, and 5 to be signed by another person acting under a power of attorney. Each of the Directors and Executive Officers has executed such a power of attorney to enable the Company to file all Forms 3, 4, and 5 with the SEC electronically via EDGAR. All Forms 3, 4, and 5 filings now must be made electronically via EDGAR to comply with the accelerated reporting requirements that require virtually all transactions be reported to the SEC by the end of the second business day after the transaction is executed.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Compliance Checklist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this checklist when considering any transaction in the Common Stock:</w:t>
      </w:r>
    </w:p>
    <w:p>
      <w:pPr>
        <w:spacing w:after="0" w:line="225" w:lineRule="exact"/>
        <w:rPr>
          <w:sz w:val="20"/>
          <w:szCs w:val="20"/>
          <w:color w:val="auto"/>
        </w:rPr>
      </w:pPr>
    </w:p>
    <w:p>
      <w:pPr>
        <w:ind w:left="700" w:hanging="61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Notify a Compliance Administrator before engaging in any transaction.</w:t>
      </w:r>
    </w:p>
    <w:p>
      <w:pPr>
        <w:spacing w:after="0" w:line="225" w:lineRule="exact"/>
        <w:rPr>
          <w:rFonts w:ascii="Arial" w:cs="Arial" w:eastAsia="Arial" w:hAnsi="Arial"/>
          <w:sz w:val="18"/>
          <w:szCs w:val="18"/>
          <w:color w:val="auto"/>
        </w:rPr>
      </w:pPr>
    </w:p>
    <w:p>
      <w:pPr>
        <w:jc w:val="both"/>
        <w:ind w:left="500" w:hanging="411"/>
        <w:spacing w:after="0" w:line="268" w:lineRule="auto"/>
        <w:tabs>
          <w:tab w:leader="none" w:pos="4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Forward transaction information to the Compliance Administrator no later than one business day prior to the date of the transaction, provided that general advance notice by a Director of the intent to engage in a reportable transaction within the then current trading window is sufficient.</w:t>
      </w:r>
    </w:p>
    <w:p>
      <w:pPr>
        <w:spacing w:after="0" w:line="170" w:lineRule="exact"/>
        <w:rPr>
          <w:rFonts w:ascii="Arial" w:cs="Arial" w:eastAsia="Arial" w:hAnsi="Arial"/>
          <w:sz w:val="18"/>
          <w:szCs w:val="18"/>
          <w:color w:val="auto"/>
        </w:rPr>
      </w:pPr>
    </w:p>
    <w:p>
      <w:pPr>
        <w:ind w:left="700" w:hanging="61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Notify Fidelity if the transaction involves Common Stock acquired pursuant to the Company’s benefit plans.</w:t>
      </w:r>
    </w:p>
    <w:p>
      <w:pPr>
        <w:spacing w:after="0" w:line="225" w:lineRule="exact"/>
        <w:rPr>
          <w:rFonts w:ascii="Arial" w:cs="Arial" w:eastAsia="Arial" w:hAnsi="Arial"/>
          <w:sz w:val="18"/>
          <w:szCs w:val="18"/>
          <w:color w:val="auto"/>
        </w:rPr>
      </w:pPr>
    </w:p>
    <w:p>
      <w:pPr>
        <w:ind w:left="700" w:hanging="61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the transaction occur during a trading window period?</w:t>
      </w:r>
    </w:p>
    <w:p>
      <w:pPr>
        <w:spacing w:after="0" w:line="225" w:lineRule="exact"/>
        <w:rPr>
          <w:rFonts w:ascii="Arial" w:cs="Arial" w:eastAsia="Arial" w:hAnsi="Arial"/>
          <w:sz w:val="18"/>
          <w:szCs w:val="18"/>
          <w:color w:val="auto"/>
        </w:rPr>
      </w:pPr>
    </w:p>
    <w:p>
      <w:pPr>
        <w:ind w:left="700" w:hanging="61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Are you aware of any material nonpublic information concerning the Company?</w:t>
      </w:r>
    </w:p>
    <w:p>
      <w:pPr>
        <w:spacing w:after="0" w:line="225" w:lineRule="exact"/>
        <w:rPr>
          <w:rFonts w:ascii="Arial" w:cs="Arial" w:eastAsia="Arial" w:hAnsi="Arial"/>
          <w:sz w:val="18"/>
          <w:szCs w:val="18"/>
          <w:color w:val="auto"/>
        </w:rPr>
      </w:pPr>
    </w:p>
    <w:p>
      <w:pPr>
        <w:ind w:left="500" w:hanging="411"/>
        <w:spacing w:after="0" w:line="287" w:lineRule="auto"/>
        <w:tabs>
          <w:tab w:leader="none" w:pos="4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Did you engage in a matching transaction (sale vs. purchase or purchase vs. sale) within the last six months or do you expect to engage in a matching transaction within the next six months?</w:t>
      </w:r>
    </w:p>
    <w:p>
      <w:pPr>
        <w:spacing w:after="0" w:line="152" w:lineRule="exact"/>
        <w:rPr>
          <w:rFonts w:ascii="Arial" w:cs="Arial" w:eastAsia="Arial" w:hAnsi="Arial"/>
          <w:sz w:val="18"/>
          <w:szCs w:val="18"/>
          <w:color w:val="auto"/>
        </w:rPr>
      </w:pPr>
    </w:p>
    <w:p>
      <w:pPr>
        <w:ind w:left="480" w:hanging="391"/>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you complied with Rule 144?</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Page 5 of 5</w:t>
      </w:r>
    </w:p>
    <w:p>
      <w:pPr>
        <w:sectPr>
          <w:pgSz w:w="11900" w:h="16838" w:orient="portrait"/>
          <w:cols w:equalWidth="0" w:num="2">
            <w:col w:w="2340" w:space="360"/>
            <w:col w:w="8540"/>
          </w:cols>
          <w:pgMar w:left="320" w:top="1376" w:right="33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TriMas Corporation Subsidiary List</w:t>
      </w:r>
    </w:p>
    <w:p>
      <w:pPr>
        <w:spacing w:after="0" w:line="31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In accordance with Item 601(b)(21)(ii) of Regulation S-K, the following list of subsidiaries of TriMas Corporation excludes certain subsidiaries that, considered in the aggregate as a single subsidiary, did not constitute a significant subsidiary (as defined in Rule 1-02(w) of Regulation S-X) at December 31, 2024.</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5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Aarts Packaging B.V.</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Affaba &amp; Ferrari S.r.L</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Allfast Fastening Systems,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Arrow Engine Company</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Haining Rieke Packaging Systems Co., Ltd.</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Intertech Medical, LLC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Intertech Plastics,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 Fasteners, Inc.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Kansas</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Martinic Engineering, Inc.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Monogram Aerospace Fasteners, Inc.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Norris Cylinder Company</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Omega Plastics, Inc.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Plastic S.r.L.</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Rapak, LLC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Rieke de Mexico Manufacturing, S. de R.L. de C.V.</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Rieke do Brasil Embalagens Ltda.</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Rieke Germany Holdings GmbH</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Rieke LLC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Rieke Packaging India Private Limited</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Rieke Packaging Systems Limited</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 Engineered Products,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Taplast S.r.L.</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Taplast SK, s.r.o.</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Slovakia</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TFI Aerospace Corporation</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Ontario</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companies may also use trade names or other assumed names in the conduct of their business.</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333-190666, 333-218867, and 333-271935 on Form S-8 of our reports dated February 27, 2025,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TriMas Corporation;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8516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Thomas A. Amato</w:t>
      </w:r>
    </w:p>
    <w:p>
      <w:pPr>
        <w:ind w:left="3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TriMas Corporation;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8516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Scott A. Mell</w:t>
      </w:r>
    </w:p>
    <w:p>
      <w:pPr>
        <w:ind w:left="3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TriMas Corporation (the "Company") on Form 10-K for the period ended December 31, 2024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61"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27, 2025</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945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Thomas A. Amato</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TriMas Corporation (the "Company") on Form 10-K for the period ended December 31, 2024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61"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27, 2025</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9456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Scott A. Mell</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Roman"/>
      <w:start w:val="2"/>
    </w:lvl>
  </w:abstractNum>
  <w:abstractNum w:abstractNumId="19">
    <w:nsid w:val="6CEAF087"/>
    <w:multiLevelType w:val="hybridMultilevel"/>
    <w:lvl w:ilvl="0">
      <w:lvlJc w:val="left"/>
      <w:lvlText w:val="•"/>
      <w:numFmt w:val="bullet"/>
      <w:start w:val="1"/>
    </w:lvl>
    <w:lvl w:ilvl="1">
      <w:lvlJc w:val="left"/>
      <w:lvlText w:val="%2."/>
      <w:numFmt w:val="lowerRoman"/>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10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upperLetter"/>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decimal"/>
      <w:start w:val="9"/>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4" Type="http://schemas.openxmlformats.org/officeDocument/2006/relationships/image" Target="media/image119.png"/><Relationship Id="rId154"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jpe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26" Type="http://schemas.openxmlformats.org/officeDocument/2006/relationships/hyperlink" Target="https://www.sec.gov/Archives/edgar/data/842633/000110465907058776/a07-19157_1ex3d1.htm" TargetMode="External"/><Relationship Id="rId127" Type="http://schemas.openxmlformats.org/officeDocument/2006/relationships/hyperlink" Target="https://www.sec.gov/Archives/edgar/data/842633/000084263315000161/thirdamendedandrestatedbyl.htm" TargetMode="External"/><Relationship Id="rId128" Type="http://schemas.openxmlformats.org/officeDocument/2006/relationships/hyperlink" Target="https://www.sec.gov/Archives/edgar/data/0000842633/000119312521100309/d159208dex41.htm" TargetMode="External"/><Relationship Id="rId129" Type="http://schemas.openxmlformats.org/officeDocument/2006/relationships/hyperlink" Target="https://www.sec.gov/Archives/edgar/data/842633/000084263320000014/trs-123119xexh42.htm" TargetMode="External"/><Relationship Id="rId130" Type="http://schemas.openxmlformats.org/officeDocument/2006/relationships/hyperlink" Target="https://www.sec.gov/Archives/edgar/data/842633/000119312513405477/d614258dex101.htm" TargetMode="External"/><Relationship Id="rId131" Type="http://schemas.openxmlformats.org/officeDocument/2006/relationships/hyperlink" Target="https://www.sec.gov/Archives/edgar/data/842633/000084263322000008/trs-123121xexh102.htm" TargetMode="External"/><Relationship Id="rId132" Type="http://schemas.openxmlformats.org/officeDocument/2006/relationships/hyperlink" Target="https://www.sec.gov/Archives/edgar/data/842633/000119312514376398/d804320dex101.htm" TargetMode="External"/><Relationship Id="rId133" Type="http://schemas.openxmlformats.org/officeDocument/2006/relationships/hyperlink" Target="https://www.sec.gov/Archives/edgar/data/842633/000119312515245544/d17730dex105.htm" TargetMode="External"/><Relationship Id="rId135" Type="http://schemas.openxmlformats.org/officeDocument/2006/relationships/hyperlink" Target="https://www.sec.gov/Archives/edgar/data/842633/000084263317000059/trs_03312017xexh104.htm" TargetMode="External"/><Relationship Id="rId136" Type="http://schemas.openxmlformats.org/officeDocument/2006/relationships/hyperlink" Target="https://www.sec.gov/Archives/edgar/data/842633/000084263317000059/trs_03312017xexh105.htm" TargetMode="External"/><Relationship Id="rId137" Type="http://schemas.openxmlformats.org/officeDocument/2006/relationships/hyperlink" Target="https://www.sec.gov/Archives/edgar/data/842633/000119312517289439/d431929dex101.htm" TargetMode="External"/><Relationship Id="rId138" Type="http://schemas.openxmlformats.org/officeDocument/2006/relationships/hyperlink" Target="https://www.sec.gov/Archives/edgar/data/842633/000084263317000084/trs_06302017xexh101.htm" TargetMode="External"/><Relationship Id="rId139" Type="http://schemas.openxmlformats.org/officeDocument/2006/relationships/hyperlink" Target="https://www.sec.gov/Archives/edgar/data/842633/000084263313000204/a101_formofindemnification.htm" TargetMode="External"/><Relationship Id="rId140" Type="http://schemas.openxmlformats.org/officeDocument/2006/relationships/hyperlink" Target="https://www.sec.gov/Archives/edgar/data/842633/000084263316000271/trs_09302016xexh102.htm" TargetMode="External"/><Relationship Id="rId141" Type="http://schemas.openxmlformats.org/officeDocument/2006/relationships/hyperlink" Target="https://www.sec.gov/Archives/edgar/data/0000842633/000119312521100309/d159208dex101.htm" TargetMode="External"/><Relationship Id="rId142" Type="http://schemas.openxmlformats.org/officeDocument/2006/relationships/hyperlink" Target="https://www.sec.gov/Archives/edgar/data/0000842633/000084263321000076/trs_06302021xexhibit102.htm" TargetMode="External"/><Relationship Id="rId143" Type="http://schemas.openxmlformats.org/officeDocument/2006/relationships/hyperlink" Target="https://www.sec.gov/Archives/edgar/data/842633/000084263321000079/aex101_trimasxexecutivesev.htm" TargetMode="External"/><Relationship Id="rId144" Type="http://schemas.openxmlformats.org/officeDocument/2006/relationships/hyperlink" Target="https://www.sec.gov/Archives/edgar/data/842633/000084263322000044/trs_03312022xexh101.htm" TargetMode="External"/><Relationship Id="rId145" Type="http://schemas.openxmlformats.org/officeDocument/2006/relationships/hyperlink" Target="https://www.sec.gov/Archives/edgar/data/842633/000084263322000044/trs_03312022exh102.htm" TargetMode="External"/><Relationship Id="rId146" Type="http://schemas.openxmlformats.org/officeDocument/2006/relationships/hyperlink" Target="https://www.sec.gov/Archives/edgar/data/842633/000084263323000068/trs_03312023xexh101.htm" TargetMode="External"/><Relationship Id="rId147" Type="http://schemas.openxmlformats.org/officeDocument/2006/relationships/hyperlink" Target="https://www.sec.gov/Archives/edgar/data/842633/000084263323000068/trs_03312023xexh102.htm" TargetMode="External"/><Relationship Id="rId148" Type="http://schemas.openxmlformats.org/officeDocument/2006/relationships/hyperlink" Target="https://www.sec.gov/Archives/edgar/data/842633/000084263323000068/trs_03312023xexh103.htm" TargetMode="External"/><Relationship Id="rId149" Type="http://schemas.openxmlformats.org/officeDocument/2006/relationships/hyperlink" Target="https://www.sec.gov/Archives/edgar/data/842633/000084263323000074/exhibit101trs2023equityand.htm" TargetMode="External"/><Relationship Id="rId150" Type="http://schemas.openxmlformats.org/officeDocument/2006/relationships/hyperlink" Target="https://www.sec.gov/Archives/edgar/data/842633/000084263323000097/trs_06302023xexh101.htm" TargetMode="External"/><Relationship Id="rId151" Type="http://schemas.openxmlformats.org/officeDocument/2006/relationships/hyperlink" Target="https://www.sec.gov/Archives/edgar/data/842633/000084263324000053/trs_03312024xexh101.htm" TargetMode="External"/><Relationship Id="rId152" Type="http://schemas.openxmlformats.org/officeDocument/2006/relationships/hyperlink" Target="https://www.sec.gov/Archives/edgar/data/842633/000084263324000053/trs_03312024xexh102.htm" TargetMode="External"/><Relationship Id="rId153" Type="http://schemas.openxmlformats.org/officeDocument/2006/relationships/hyperlink" Target="https://www.sec.gov/Archives/edgar/data/842633/000084263324000053/trs_03312024xexh103.htm" TargetMode="External"/><Relationship Id="rId155" Type="http://schemas.openxmlformats.org/officeDocument/2006/relationships/hyperlink" Target="https://www.sec.gov/Archives/edgar/data/842633/000084263324000004/trs-123123xexh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2025-02-27T16:56:56Z</dcterms:created>
  <dcterms:modified xsi:type="dcterms:W3CDTF">2025-02-27T16:56:56Z</dcterms:modified>
</cp:coreProperties>
</file>