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-199390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42"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760" w:hanging="1212"/>
        <w:spacing w:after="0"/>
        <w:tabs>
          <w:tab w:leader="none" w:pos="176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ANNUAL REPORT PURSUANT TO SECTION 13 OR 15(d) OF THE SECURITIES EXCHANGE</w:t>
      </w:r>
    </w:p>
    <w:p>
      <w:pPr>
        <w:spacing w:after="0" w:line="14"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ACT OF 1934</w:t>
      </w:r>
    </w:p>
    <w:p>
      <w:pPr>
        <w:spacing w:after="0" w:line="25"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2"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1760" w:hanging="1205"/>
        <w:spacing w:after="0"/>
        <w:tabs>
          <w:tab w:leader="none" w:pos="17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w:t>
      </w:r>
    </w:p>
    <w:p>
      <w:pPr>
        <w:spacing w:after="0" w:line="26"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ACT OF 1934</w:t>
      </w:r>
    </w:p>
    <w:p>
      <w:pPr>
        <w:spacing w:after="0" w:line="25" w:lineRule="exact"/>
        <w:rPr>
          <w:sz w:val="24"/>
          <w:szCs w:val="24"/>
          <w:color w:val="auto"/>
        </w:rPr>
      </w:pPr>
    </w:p>
    <w:tbl>
      <w:tblPr>
        <w:tblLayout w:type="fixed"/>
        <w:tblInd w:w="1240" w:type="dxa"/>
        <w:tblCellMar>
          <w:top w:w="0" w:type="dxa"/>
          <w:left w:w="0" w:type="dxa"/>
          <w:bottom w:w="0" w:type="dxa"/>
          <w:right w:w="0" w:type="dxa"/>
        </w:tblCellMar>
      </w:tblPr>
      <w:tr>
        <w:trPr>
          <w:trHeight w:val="176"/>
        </w:trPr>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0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transition period from</w:t>
            </w:r>
          </w:p>
        </w:tc>
        <w:tc>
          <w:tcPr>
            <w:tcW w:w="34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w:t>
            </w:r>
          </w:p>
        </w:tc>
      </w:tr>
      <w:tr>
        <w:trPr>
          <w:trHeight w:val="171"/>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b w:val="1"/>
                <w:bCs w:val="1"/>
                <w:color w:val="auto"/>
                <w:w w:val="92"/>
              </w:rPr>
              <w:t>Commission file number 001-10716</w:t>
            </w:r>
          </w:p>
        </w:tc>
      </w:tr>
      <w:tr>
        <w:trPr>
          <w:trHeight w:val="108"/>
        </w:trPr>
        <w:tc>
          <w:tcPr>
            <w:tcW w:w="8600" w:type="dxa"/>
            <w:vAlign w:val="bottom"/>
            <w:gridSpan w:val="8"/>
          </w:tcPr>
          <w:p>
            <w:pPr>
              <w:jc w:val="right"/>
              <w:ind w:right="1405"/>
              <w:spacing w:after="0" w:line="109" w:lineRule="exact"/>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w:t>
            </w:r>
          </w:p>
        </w:tc>
      </w:tr>
      <w:tr>
        <w:trPr>
          <w:trHeight w:val="346"/>
        </w:trPr>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29"/>
                <w:szCs w:val="29"/>
                <w:b w:val="1"/>
                <w:bCs w:val="1"/>
                <w:color w:val="auto"/>
              </w:rPr>
              <w:t>TRIMAS CORPORATION</w:t>
            </w:r>
          </w:p>
        </w:tc>
      </w:tr>
      <w:tr>
        <w:trPr>
          <w:trHeight w:val="182"/>
        </w:trPr>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357"/>
        </w:trPr>
        <w:tc>
          <w:tcPr>
            <w:tcW w:w="1040" w:type="dxa"/>
            <w:vAlign w:val="bottom"/>
          </w:tcPr>
          <w:p>
            <w:pPr>
              <w:spacing w:after="0"/>
              <w:rPr>
                <w:sz w:val="24"/>
                <w:szCs w:val="24"/>
                <w:color w:val="auto"/>
              </w:rPr>
            </w:pPr>
          </w:p>
        </w:tc>
        <w:tc>
          <w:tcPr>
            <w:tcW w:w="1600" w:type="dxa"/>
            <w:vAlign w:val="bottom"/>
            <w:gridSpan w:val="2"/>
          </w:tcPr>
          <w:p>
            <w:pPr>
              <w:jc w:val="center"/>
              <w:ind w:right="588"/>
              <w:spacing w:after="0"/>
              <w:rPr>
                <w:sz w:val="20"/>
                <w:szCs w:val="20"/>
                <w:color w:val="auto"/>
              </w:rPr>
            </w:pPr>
            <w:r>
              <w:rPr>
                <w:rFonts w:ascii="Arial" w:cs="Arial" w:eastAsia="Arial" w:hAnsi="Arial"/>
                <w:sz w:val="16"/>
                <w:szCs w:val="16"/>
                <w:b w:val="1"/>
                <w:bCs w:val="1"/>
                <w:color w:val="auto"/>
                <w:w w:val="93"/>
              </w:rPr>
              <w:t>Delaware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2"/>
          </w:tcPr>
          <w:p>
            <w:pPr>
              <w:jc w:val="right"/>
              <w:ind w:right="685"/>
              <w:spacing w:after="0"/>
              <w:rPr>
                <w:sz w:val="20"/>
                <w:szCs w:val="20"/>
                <w:color w:val="auto"/>
              </w:rPr>
            </w:pPr>
            <w:r>
              <w:rPr>
                <w:rFonts w:ascii="Arial" w:cs="Arial" w:eastAsia="Arial" w:hAnsi="Arial"/>
                <w:sz w:val="16"/>
                <w:szCs w:val="16"/>
                <w:b w:val="1"/>
                <w:bCs w:val="1"/>
                <w:color w:val="auto"/>
              </w:rPr>
              <w:t>38-2687639</w:t>
            </w:r>
          </w:p>
        </w:tc>
      </w:tr>
      <w:tr>
        <w:trPr>
          <w:trHeight w:val="253"/>
        </w:trPr>
        <w:tc>
          <w:tcPr>
            <w:tcW w:w="5140" w:type="dxa"/>
            <w:vAlign w:val="bottom"/>
            <w:gridSpan w:val="6"/>
          </w:tcPr>
          <w:p>
            <w:pPr>
              <w:jc w:val="center"/>
              <w:ind w:right="2120"/>
              <w:spacing w:after="0"/>
              <w:rPr>
                <w:sz w:val="20"/>
                <w:szCs w:val="20"/>
                <w:color w:val="auto"/>
              </w:rPr>
            </w:pPr>
            <w:r>
              <w:rPr>
                <w:rFonts w:ascii="Arial" w:cs="Arial" w:eastAsia="Arial" w:hAnsi="Arial"/>
                <w:sz w:val="16"/>
                <w:szCs w:val="16"/>
                <w:color w:val="auto"/>
                <w:w w:val="93"/>
              </w:rPr>
              <w:t>(State or Other Jurisdiction of Incorporation or</w:t>
            </w:r>
          </w:p>
        </w:tc>
        <w:tc>
          <w:tcPr>
            <w:tcW w:w="600" w:type="dxa"/>
            <w:vAlign w:val="bottom"/>
          </w:tcPr>
          <w:p>
            <w:pPr>
              <w:spacing w:after="0"/>
              <w:rPr>
                <w:sz w:val="21"/>
                <w:szCs w:val="21"/>
                <w:color w:val="auto"/>
              </w:rPr>
            </w:pPr>
          </w:p>
        </w:tc>
        <w:tc>
          <w:tcPr>
            <w:tcW w:w="2860" w:type="dxa"/>
            <w:vAlign w:val="bottom"/>
          </w:tcPr>
          <w:p>
            <w:pPr>
              <w:jc w:val="center"/>
              <w:ind w:left="465"/>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1040" w:type="dxa"/>
            <w:vAlign w:val="bottom"/>
          </w:tcPr>
          <w:p>
            <w:pPr>
              <w:spacing w:after="0"/>
              <w:rPr>
                <w:sz w:val="17"/>
                <w:szCs w:val="17"/>
                <w:color w:val="auto"/>
              </w:rPr>
            </w:pPr>
          </w:p>
        </w:tc>
        <w:tc>
          <w:tcPr>
            <w:tcW w:w="1600" w:type="dxa"/>
            <w:vAlign w:val="bottom"/>
            <w:gridSpan w:val="2"/>
          </w:tcPr>
          <w:p>
            <w:pPr>
              <w:jc w:val="center"/>
              <w:ind w:right="588"/>
              <w:spacing w:after="0"/>
              <w:rPr>
                <w:sz w:val="20"/>
                <w:szCs w:val="20"/>
                <w:color w:val="auto"/>
              </w:rPr>
            </w:pPr>
            <w:r>
              <w:rPr>
                <w:rFonts w:ascii="Arial" w:cs="Arial" w:eastAsia="Arial" w:hAnsi="Arial"/>
                <w:sz w:val="16"/>
                <w:szCs w:val="16"/>
                <w:color w:val="auto"/>
                <w:w w:val="93"/>
              </w:rPr>
              <w:t>Organization)</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07"/>
        </w:trPr>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b w:val="1"/>
                <w:bCs w:val="1"/>
                <w:color w:val="auto"/>
                <w:w w:val="92"/>
              </w:rPr>
              <w:t>38505 Woodward Avenue, Suite 200</w:t>
            </w:r>
          </w:p>
        </w:tc>
      </w:tr>
      <w:tr>
        <w:trPr>
          <w:trHeight w:val="166"/>
        </w:trPr>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b w:val="1"/>
                <w:bCs w:val="1"/>
                <w:color w:val="auto"/>
                <w:w w:val="93"/>
              </w:rPr>
              <w:t>Bloomfield Hills, Michigan 48304</w:t>
            </w:r>
          </w:p>
        </w:tc>
      </w:tr>
      <w:tr>
        <w:trPr>
          <w:trHeight w:val="182"/>
        </w:trPr>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60" w:type="dxa"/>
            <w:vAlign w:val="bottom"/>
            <w:gridSpan w:val="5"/>
          </w:tcPr>
          <w:p>
            <w:pPr>
              <w:jc w:val="center"/>
              <w:ind w:right="2225"/>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412"/>
        </w:trPr>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(248) 631-5450</w:t>
            </w:r>
          </w:p>
        </w:tc>
        <w:tc>
          <w:tcPr>
            <w:tcW w:w="6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2"/>
        </w:trPr>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97"/>
        </w:trPr>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60" w:type="dxa"/>
            <w:vAlign w:val="bottom"/>
            <w:gridSpan w:val="5"/>
          </w:tcPr>
          <w:p>
            <w:pPr>
              <w:jc w:val="center"/>
              <w:ind w:right="2205"/>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96"/>
        </w:trPr>
        <w:tc>
          <w:tcPr>
            <w:tcW w:w="1040" w:type="dxa"/>
            <w:vAlign w:val="bottom"/>
          </w:tcPr>
          <w:p>
            <w:pPr>
              <w:spacing w:after="0"/>
              <w:rPr>
                <w:sz w:val="24"/>
                <w:szCs w:val="24"/>
                <w:color w:val="auto"/>
              </w:rPr>
            </w:pPr>
          </w:p>
        </w:tc>
        <w:tc>
          <w:tcPr>
            <w:tcW w:w="16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2"/>
              </w:rPr>
              <w:t>Title of Each Class:</w:t>
            </w:r>
          </w:p>
        </w:tc>
        <w:tc>
          <w:tcPr>
            <w:tcW w:w="2500" w:type="dxa"/>
            <w:vAlign w:val="bottom"/>
            <w:gridSpan w:val="3"/>
          </w:tcPr>
          <w:p>
            <w:pPr>
              <w:jc w:val="center"/>
              <w:ind w:left="821"/>
              <w:spacing w:after="0"/>
              <w:rPr>
                <w:sz w:val="20"/>
                <w:szCs w:val="20"/>
                <w:color w:val="auto"/>
              </w:rPr>
            </w:pPr>
            <w:r>
              <w:rPr>
                <w:rFonts w:ascii="Arial" w:cs="Arial" w:eastAsia="Arial" w:hAnsi="Arial"/>
                <w:sz w:val="14"/>
                <w:szCs w:val="14"/>
                <w:b w:val="1"/>
                <w:bCs w:val="1"/>
                <w:color w:val="auto"/>
                <w:w w:val="92"/>
              </w:rPr>
              <w:t>Trading symbol(s)</w:t>
            </w:r>
          </w:p>
        </w:tc>
        <w:tc>
          <w:tcPr>
            <w:tcW w:w="60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11"/>
        </w:trPr>
        <w:tc>
          <w:tcPr>
            <w:tcW w:w="2640" w:type="dxa"/>
            <w:vAlign w:val="bottom"/>
            <w:gridSpan w:val="3"/>
          </w:tcPr>
          <w:p>
            <w:pPr>
              <w:jc w:val="center"/>
              <w:ind w:left="571"/>
              <w:spacing w:after="0"/>
              <w:rPr>
                <w:sz w:val="20"/>
                <w:szCs w:val="20"/>
                <w:color w:val="auto"/>
              </w:rPr>
            </w:pPr>
            <w:r>
              <w:rPr>
                <w:rFonts w:ascii="Arial" w:cs="Arial" w:eastAsia="Arial" w:hAnsi="Arial"/>
                <w:sz w:val="14"/>
                <w:szCs w:val="14"/>
                <w:color w:val="auto"/>
                <w:w w:val="93"/>
              </w:rPr>
              <w:t>Common stock, $0.01 par value</w:t>
            </w:r>
          </w:p>
        </w:tc>
        <w:tc>
          <w:tcPr>
            <w:tcW w:w="11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TRS</w:t>
            </w: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4"/>
                <w:szCs w:val="14"/>
                <w:color w:val="auto"/>
                <w:w w:val="98"/>
              </w:rPr>
              <w:t>The NASDAQ Global Market LLC</w:t>
            </w:r>
          </w:p>
        </w:tc>
      </w:tr>
    </w:tbl>
    <w:p>
      <w:pPr>
        <w:ind w:left="404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49" w:lineRule="exact"/>
        <w:rPr>
          <w:sz w:val="24"/>
          <w:szCs w:val="24"/>
          <w:color w:val="auto"/>
        </w:rPr>
      </w:pPr>
    </w:p>
    <w:p>
      <w:pPr>
        <w:spacing w:after="0" w:line="161" w:lineRule="exact"/>
        <w:tabs>
          <w:tab w:leader="none" w:pos="7320" w:val="left"/>
        </w:tabs>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3"/>
          <w:szCs w:val="13"/>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84" w:lineRule="exact"/>
        <w:tabs>
          <w:tab w:leader="none" w:pos="744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2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ind w:left="1460"/>
        <w:spacing w:after="0" w:line="368" w:lineRule="exact"/>
        <w:tabs>
          <w:tab w:leader="none" w:pos="4100" w:val="left"/>
          <w:tab w:leader="none" w:pos="6560" w:val="left"/>
          <w:tab w:leader="none" w:pos="90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32"/>
          <w:szCs w:val="32"/>
          <w:color w:val="auto"/>
          <w:vertAlign w:val="subscript"/>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28"/>
          <w:szCs w:val="28"/>
          <w:color w:val="auto"/>
          <w:vertAlign w:val="subscript"/>
        </w:rPr>
        <w:t>☐</w:t>
      </w:r>
    </w:p>
    <w:p>
      <w:pPr>
        <w:sectPr>
          <w:pgSz w:w="11900" w:h="16838" w:orient="portrait"/>
          <w:cols w:equalWidth="0" w:num="1">
            <w:col w:w="11420"/>
          </w:cols>
          <w:pgMar w:left="240" w:top="513" w:right="239" w:bottom="1440" w:gutter="0" w:footer="0" w:header="0"/>
        </w:sectPr>
      </w:pPr>
    </w:p>
    <w:p>
      <w:pPr>
        <w:spacing w:after="0" w:line="200" w:lineRule="exact"/>
        <w:rPr>
          <w:sz w:val="24"/>
          <w:szCs w:val="24"/>
          <w:color w:val="auto"/>
        </w:rPr>
      </w:pPr>
    </w:p>
    <w:p>
      <w:pPr>
        <w:spacing w:after="0" w:line="209" w:lineRule="exact"/>
        <w:rPr>
          <w:sz w:val="24"/>
          <w:szCs w:val="24"/>
          <w:color w:val="auto"/>
        </w:rPr>
      </w:pPr>
    </w:p>
    <w:p>
      <w:pPr>
        <w:ind w:left="90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9" w:lineRule="exact"/>
        <w:rPr>
          <w:sz w:val="24"/>
          <w:szCs w:val="24"/>
          <w:color w:val="auto"/>
        </w:rPr>
      </w:pPr>
    </w:p>
    <w:p>
      <w:pPr>
        <w:sectPr>
          <w:pgSz w:w="11900" w:h="16838" w:orient="portrait"/>
          <w:cols w:equalWidth="0" w:num="2">
            <w:col w:w="10640" w:space="60"/>
            <w:col w:w="720"/>
          </w:cols>
          <w:pgMar w:left="240" w:top="513" w:right="239" w:bottom="1440" w:gutter="0" w:footer="0" w:header="0"/>
          <w:type w:val="continuous"/>
        </w:sectPr>
      </w:pPr>
    </w:p>
    <w:p>
      <w:pPr>
        <w:jc w:val="both"/>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65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3"/>
          <w:szCs w:val="13"/>
          <w:color w:val="auto"/>
        </w:rPr>
        <w:t>☒</w:t>
      </w:r>
    </w:p>
    <w:p>
      <w:pPr>
        <w:spacing w:after="0" w:line="94"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The aggregate market value of the voting common equity held by non-affiliates of the Registrant as of June 28, 2019 was approximately $1.4 billion, based upon the closing sales price of the Registrant's common stock, $0.01 par value, reported for such date on the NASDAQ Global Select Market. For purposes of this calculation only, directors, executive officers and the principal controlling shareholder or entities controlled by such controlling shareholder are deemed to be affiliates of the Registrant.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21, 2020, the number of outstanding shares of the Registrant's common stock, $0.01 par value, was 44,262,679 shares.</w:t>
      </w:r>
    </w:p>
    <w:p>
      <w:pPr>
        <w:spacing w:after="0" w:line="5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Portions of the Registrant's Proxy Statement for the 2020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156845</wp:posOffset>
            </wp:positionV>
            <wp:extent cx="72123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71120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18"/>
          </w:tcPr>
          <w:p>
            <w:pPr>
              <w:jc w:val="center"/>
              <w:ind w:right="3000"/>
              <w:spacing w:after="0"/>
              <w:rPr>
                <w:sz w:val="20"/>
                <w:szCs w:val="20"/>
                <w:color w:val="auto"/>
              </w:rPr>
            </w:pPr>
            <w:r>
              <w:rPr>
                <w:rFonts w:ascii="Arial" w:cs="Arial" w:eastAsia="Arial" w:hAnsi="Arial"/>
                <w:sz w:val="18"/>
                <w:szCs w:val="18"/>
                <w:b w:val="1"/>
                <w:bCs w:val="1"/>
                <w:color w:val="auto"/>
              </w:rPr>
              <w:t>TRIMAS CORPORATION INDEX</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4"/>
          </w:tcPr>
          <w:p>
            <w:pPr>
              <w:ind w:left="2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2240" w:type="dxa"/>
            <w:vAlign w:val="bottom"/>
            <w:gridSpan w:val="10"/>
            <w:vMerge w:val="restart"/>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Forward-Looking Statements</w:t>
              </w:r>
            </w:hyperlink>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tcBorders>
              <w:bottom w:val="single" w:sz="8" w:color="0000FF"/>
            </w:tcBorders>
            <w:gridSpan w:val="10"/>
            <w:vMerge w:val="continue"/>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40" w:type="dxa"/>
            <w:vAlign w:val="bottom"/>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Trademarks and Service Marks</w:t>
              </w:r>
            </w:hyperlink>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547"/>
        </w:trPr>
        <w:tc>
          <w:tcPr>
            <w:tcW w:w="580" w:type="dxa"/>
            <w:vAlign w:val="bottom"/>
            <w:tcBorders>
              <w:top w:val="single" w:sz="8" w:color="0000EE"/>
              <w:bottom w:val="single" w:sz="8" w:color="0000FF"/>
            </w:tcBorders>
            <w:gridSpan w:val="2"/>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PART I.</w:t>
              </w:r>
            </w:hyperlink>
          </w:p>
        </w:tc>
        <w:tc>
          <w:tcPr>
            <w:tcW w:w="1660" w:type="dxa"/>
            <w:vAlign w:val="bottom"/>
            <w:tcBorders>
              <w:top w:val="single" w:sz="8" w:color="0000EE"/>
            </w:tcBorders>
            <w:gridSpan w:val="8"/>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14">
              <w:r>
                <w:rPr>
                  <w:rFonts w:ascii="Arial" w:cs="Arial" w:eastAsia="Arial" w:hAnsi="Arial"/>
                  <w:sz w:val="18"/>
                  <w:szCs w:val="18"/>
                  <w:color w:val="0000FF"/>
                  <w:w w:val="83"/>
                </w:rPr>
                <w:t>Item 1A.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Risk Factors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23">
              <w:r>
                <w:rPr>
                  <w:rFonts w:ascii="Arial" w:cs="Arial" w:eastAsia="Arial" w:hAnsi="Arial"/>
                  <w:sz w:val="18"/>
                  <w:szCs w:val="18"/>
                  <w:color w:val="0000FF"/>
                  <w:w w:val="83"/>
                </w:rPr>
                <w:t>Item 1B.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Properties</w:t>
              </w:r>
            </w:hyperlink>
          </w:p>
        </w:tc>
        <w:tc>
          <w:tcPr>
            <w:tcW w:w="500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3.</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4.</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vMerge w:val="restart"/>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Supplementary Item.</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Information about our Executive Officers</w:t>
              </w:r>
            </w:hyperlink>
          </w:p>
        </w:tc>
        <w:tc>
          <w:tcPr>
            <w:tcW w:w="1140" w:type="dxa"/>
            <w:vAlign w:val="bottom"/>
            <w:gridSpan w:val="4"/>
            <w:vMerge w:val="restart"/>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15"/>
        </w:trPr>
        <w:tc>
          <w:tcPr>
            <w:tcW w:w="2240" w:type="dxa"/>
            <w:vAlign w:val="bottom"/>
            <w:gridSpan w:val="10"/>
            <w:vMerge w:val="continue"/>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3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8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7"/>
        </w:trPr>
        <w:tc>
          <w:tcPr>
            <w:tcW w:w="660" w:type="dxa"/>
            <w:vAlign w:val="bottom"/>
            <w:tcBorders>
              <w:top w:val="single" w:sz="8" w:color="0000EE"/>
              <w:bottom w:val="single" w:sz="8" w:color="0000FF"/>
            </w:tcBorders>
            <w:gridSpan w:val="4"/>
          </w:tcPr>
          <w:p>
            <w:pPr>
              <w:spacing w:after="0"/>
              <w:rPr>
                <w:rFonts w:ascii="Arial" w:cs="Arial" w:eastAsia="Arial" w:hAnsi="Arial"/>
                <w:sz w:val="18"/>
                <w:szCs w:val="18"/>
                <w:color w:val="0000FF"/>
                <w:w w:val="94"/>
              </w:rPr>
            </w:pPr>
            <w:hyperlink w:anchor="page25">
              <w:r>
                <w:rPr>
                  <w:rFonts w:ascii="Arial" w:cs="Arial" w:eastAsia="Arial" w:hAnsi="Arial"/>
                  <w:sz w:val="18"/>
                  <w:szCs w:val="18"/>
                  <w:color w:val="0000FF"/>
                  <w:w w:val="94"/>
                </w:rPr>
                <w:t>PART II.</w:t>
              </w:r>
            </w:hyperlink>
          </w:p>
        </w:tc>
        <w:tc>
          <w:tcPr>
            <w:tcW w:w="840" w:type="dxa"/>
            <w:vAlign w:val="bottom"/>
            <w:tcBorders>
              <w:top w:val="single" w:sz="8" w:color="0000EE"/>
            </w:tcBorders>
            <w:gridSpan w:val="4"/>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5.</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3"/>
              </w:rPr>
            </w:pPr>
            <w:hyperlink w:anchor="page25">
              <w:r>
                <w:rPr>
                  <w:rFonts w:ascii="Arial" w:cs="Arial" w:eastAsia="Arial" w:hAnsi="Arial"/>
                  <w:sz w:val="18"/>
                  <w:szCs w:val="18"/>
                  <w:color w:val="0000FF"/>
                  <w:w w:val="93"/>
                </w:rPr>
                <w:t>Market for Registrant's Common Equity, Related Stockholder Matters and Issuer Purchases of</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40" w:type="dxa"/>
            <w:vAlign w:val="bottom"/>
            <w:tcBorders>
              <w:top w:val="single" w:sz="8" w:color="0000FF"/>
            </w:tcBorders>
            <w:gridSpan w:val="5"/>
          </w:tcPr>
          <w:p>
            <w:pPr>
              <w:spacing w:after="0" w:line="196" w:lineRule="exact"/>
              <w:rPr>
                <w:rFonts w:ascii="Arial" w:cs="Arial" w:eastAsia="Arial" w:hAnsi="Arial"/>
                <w:sz w:val="18"/>
                <w:szCs w:val="18"/>
                <w:color w:val="0000FF"/>
                <w:w w:val="90"/>
              </w:rPr>
            </w:pPr>
            <w:hyperlink w:anchor="page25">
              <w:r>
                <w:rPr>
                  <w:rFonts w:ascii="Arial" w:cs="Arial" w:eastAsia="Arial" w:hAnsi="Arial"/>
                  <w:sz w:val="18"/>
                  <w:szCs w:val="18"/>
                  <w:color w:val="0000FF"/>
                  <w:w w:val="90"/>
                </w:rPr>
                <w:t>Equity Securities</w:t>
              </w:r>
            </w:hyperlink>
          </w:p>
        </w:tc>
        <w:tc>
          <w:tcPr>
            <w:tcW w:w="5540" w:type="dxa"/>
            <w:vAlign w:val="bottom"/>
            <w:tcBorders>
              <w:top w:val="single" w:sz="8" w:color="0000FF"/>
            </w:tcBorders>
            <w:gridSpan w:val="16"/>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6.</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Selected Financial Data</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7.</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Item 7A.</w:t>
              </w:r>
            </w:hyperlink>
          </w:p>
        </w:tc>
        <w:tc>
          <w:tcPr>
            <w:tcW w:w="156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436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Quantitative and Qualitative Disclosures About Market Risk</w:t>
              </w:r>
            </w:hyperlink>
          </w:p>
        </w:tc>
        <w:tc>
          <w:tcPr>
            <w:tcW w:w="268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Item 8.</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Financial Statements and Supplementary Data</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Item 9.</w:t>
              </w:r>
            </w:hyperlink>
          </w:p>
        </w:tc>
        <w:tc>
          <w:tcPr>
            <w:tcW w:w="1660" w:type="dxa"/>
            <w:vAlign w:val="bottom"/>
            <w:gridSpan w:val="8"/>
          </w:tcPr>
          <w:p>
            <w:pPr>
              <w:spacing w:after="0"/>
              <w:rPr>
                <w:sz w:val="21"/>
                <w:szCs w:val="21"/>
                <w:color w:val="auto"/>
              </w:rPr>
            </w:pPr>
          </w:p>
        </w:tc>
        <w:tc>
          <w:tcPr>
            <w:tcW w:w="960" w:type="dxa"/>
            <w:vAlign w:val="bottom"/>
          </w:tcPr>
          <w:p>
            <w:pPr>
              <w:spacing w:after="0"/>
              <w:rPr>
                <w:sz w:val="21"/>
                <w:szCs w:val="21"/>
                <w:color w:val="auto"/>
              </w:rPr>
            </w:pPr>
          </w:p>
        </w:tc>
        <w:tc>
          <w:tcPr>
            <w:tcW w:w="648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Changes in and Disagreements with Accountants on Accounting and Financial Disclosure</w:t>
              </w:r>
            </w:hyperlink>
          </w:p>
        </w:tc>
        <w:tc>
          <w:tcPr>
            <w:tcW w:w="560" w:type="dxa"/>
            <w:vAlign w:val="bottom"/>
            <w:gridSpan w:val="3"/>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87">
              <w:r>
                <w:rPr>
                  <w:rFonts w:ascii="Arial" w:cs="Arial" w:eastAsia="Arial" w:hAnsi="Arial"/>
                  <w:sz w:val="18"/>
                  <w:szCs w:val="18"/>
                  <w:color w:val="0000FF"/>
                  <w:w w:val="83"/>
                </w:rPr>
                <w:t>Item 9A.</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Controls and Procedures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3"/>
              </w:rPr>
            </w:pPr>
            <w:hyperlink w:anchor="page89">
              <w:r>
                <w:rPr>
                  <w:rFonts w:ascii="Arial" w:cs="Arial" w:eastAsia="Arial" w:hAnsi="Arial"/>
                  <w:sz w:val="18"/>
                  <w:szCs w:val="18"/>
                  <w:color w:val="0000FF"/>
                  <w:w w:val="83"/>
                </w:rPr>
                <w:t>Item 9B.</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Other Information</w:t>
              </w:r>
            </w:hyperlink>
          </w:p>
        </w:tc>
        <w:tc>
          <w:tcPr>
            <w:tcW w:w="534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0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90">
              <w:r>
                <w:rPr>
                  <w:rFonts w:ascii="Arial" w:cs="Arial" w:eastAsia="Arial" w:hAnsi="Arial"/>
                  <w:sz w:val="18"/>
                  <w:szCs w:val="18"/>
                  <w:color w:val="0000FF"/>
                  <w:w w:val="93"/>
                </w:rPr>
                <w:t>PART III.</w:t>
              </w:r>
            </w:hyperlink>
          </w:p>
        </w:tc>
        <w:tc>
          <w:tcPr>
            <w:tcW w:w="154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0">
              <w:r>
                <w:rPr>
                  <w:rFonts w:ascii="Arial" w:cs="Arial" w:eastAsia="Arial" w:hAnsi="Arial"/>
                  <w:sz w:val="18"/>
                  <w:szCs w:val="18"/>
                  <w:color w:val="0000FF"/>
                  <w:w w:val="86"/>
                </w:rPr>
                <w:t>Item 10.</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410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Directors, Executive Officers and Corporate Governance</w:t>
              </w:r>
            </w:hyperlink>
          </w:p>
        </w:tc>
        <w:tc>
          <w:tcPr>
            <w:tcW w:w="294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Item 11.</w:t>
              </w:r>
            </w:hyperlink>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Executive Compensation</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0000FF"/>
            </w:tcBorders>
            <w:gridSpan w:val="3"/>
          </w:tcPr>
          <w:p>
            <w:pPr>
              <w:spacing w:after="0"/>
              <w:rPr>
                <w:rFonts w:ascii="Arial" w:cs="Arial" w:eastAsia="Arial" w:hAnsi="Arial"/>
                <w:sz w:val="18"/>
                <w:szCs w:val="18"/>
                <w:color w:val="0000FF"/>
                <w:w w:val="86"/>
              </w:rPr>
            </w:pPr>
            <w:hyperlink w:anchor="page90">
              <w:r>
                <w:rPr>
                  <w:rFonts w:ascii="Arial" w:cs="Arial" w:eastAsia="Arial" w:hAnsi="Arial"/>
                  <w:sz w:val="18"/>
                  <w:szCs w:val="18"/>
                  <w:color w:val="0000FF"/>
                  <w:w w:val="86"/>
                </w:rPr>
                <w:t>Item 12.</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670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90">
              <w:r>
                <w:rPr>
                  <w:rFonts w:ascii="Arial" w:cs="Arial" w:eastAsia="Arial" w:hAnsi="Arial"/>
                  <w:sz w:val="18"/>
                  <w:szCs w:val="18"/>
                  <w:color w:val="0000FF"/>
                  <w:w w:val="90"/>
                </w:rPr>
                <w:t>Security Ownership of Certain Beneficial Owners and Management and Related Stockholder</w:t>
              </w:r>
            </w:hyperlink>
          </w:p>
        </w:tc>
        <w:tc>
          <w:tcPr>
            <w:tcW w:w="34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40" w:type="dxa"/>
            <w:vAlign w:val="bottom"/>
            <w:gridSpan w:val="22"/>
          </w:tcPr>
          <w:p>
            <w:pPr>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Matters</w:t>
              </w:r>
            </w:hyperlink>
          </w:p>
        </w:tc>
        <w:tc>
          <w:tcPr>
            <w:tcW w:w="1140" w:type="dxa"/>
            <w:vAlign w:val="bottom"/>
            <w:gridSpan w:val="4"/>
          </w:tcPr>
          <w:p>
            <w:pPr>
              <w:jc w:val="right"/>
              <w:ind w:right="20"/>
              <w:spacing w:after="0" w:line="196" w:lineRule="exact"/>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0">
              <w:r>
                <w:rPr>
                  <w:rFonts w:ascii="Arial" w:cs="Arial" w:eastAsia="Arial" w:hAnsi="Arial"/>
                  <w:sz w:val="18"/>
                  <w:szCs w:val="18"/>
                  <w:color w:val="0000FF"/>
                  <w:w w:val="86"/>
                </w:rPr>
                <w:t>Item 13.</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7040" w:type="dxa"/>
            <w:vAlign w:val="bottom"/>
            <w:gridSpan w:val="2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Certain Relationships and Related Transactions, and Director Independence</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FF"/>
                <w:w w:val="86"/>
              </w:rPr>
            </w:pPr>
            <w:hyperlink w:anchor="page90">
              <w:r>
                <w:rPr>
                  <w:rFonts w:ascii="Arial" w:cs="Arial" w:eastAsia="Arial" w:hAnsi="Arial"/>
                  <w:sz w:val="18"/>
                  <w:szCs w:val="18"/>
                  <w:color w:val="0000FF"/>
                  <w:w w:val="86"/>
                </w:rPr>
                <w:t>Item 14.</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2860" w:type="dxa"/>
            <w:vAlign w:val="bottom"/>
            <w:gridSpan w:val="11"/>
          </w:tcPr>
          <w:p>
            <w:pP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Principal Accountant Fees and Services</w:t>
              </w:r>
            </w:hyperlink>
          </w:p>
        </w:tc>
        <w:tc>
          <w:tcPr>
            <w:tcW w:w="2580" w:type="dxa"/>
            <w:vAlign w:val="bottom"/>
            <w:gridSpan w:val="6"/>
          </w:tcPr>
          <w:p>
            <w:pPr>
              <w:spacing w:after="0"/>
              <w:rPr>
                <w:sz w:val="21"/>
                <w:szCs w:val="21"/>
                <w:color w:val="auto"/>
              </w:rPr>
            </w:pPr>
          </w:p>
        </w:tc>
        <w:tc>
          <w:tcPr>
            <w:tcW w:w="160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240" w:type="dxa"/>
            <w:vAlign w:val="bottom"/>
            <w:gridSpan w:val="1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PART IV.</w:t>
              </w:r>
            </w:hyperlink>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91">
              <w:r>
                <w:rPr>
                  <w:rFonts w:ascii="Arial" w:cs="Arial" w:eastAsia="Arial" w:hAnsi="Arial"/>
                  <w:sz w:val="18"/>
                  <w:szCs w:val="18"/>
                  <w:color w:val="0000EE"/>
                  <w:w w:val="86"/>
                </w:rPr>
                <w:t>Item 15.</w:t>
              </w:r>
            </w:hyperlink>
          </w:p>
        </w:tc>
        <w:tc>
          <w:tcPr>
            <w:tcW w:w="80" w:type="dxa"/>
            <w:vAlign w:val="bottom"/>
            <w:tcBorders>
              <w:top w:val="single" w:sz="8" w:color="0000EE"/>
            </w:tcBorders>
            <w:gridSpan w:val="2"/>
          </w:tcPr>
          <w:p>
            <w:pPr>
              <w:spacing w:after="0"/>
              <w:rPr>
                <w:sz w:val="21"/>
                <w:szCs w:val="21"/>
                <w:color w:val="auto"/>
              </w:rPr>
            </w:pPr>
          </w:p>
        </w:tc>
        <w:tc>
          <w:tcPr>
            <w:tcW w:w="156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Exhibits and Financial Statement Schedules</w:t>
              </w:r>
            </w:hyperlink>
          </w:p>
        </w:tc>
        <w:tc>
          <w:tcPr>
            <w:tcW w:w="388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Item 16.</w:t>
              </w:r>
            </w:hyperlink>
          </w:p>
        </w:tc>
        <w:tc>
          <w:tcPr>
            <w:tcW w:w="1640" w:type="dxa"/>
            <w:vAlign w:val="bottom"/>
            <w:gridSpan w:val="7"/>
          </w:tcPr>
          <w:p>
            <w:pPr>
              <w:spacing w:after="0"/>
              <w:rPr>
                <w:sz w:val="21"/>
                <w:szCs w:val="21"/>
                <w:color w:val="auto"/>
              </w:rPr>
            </w:pPr>
          </w:p>
        </w:tc>
        <w:tc>
          <w:tcPr>
            <w:tcW w:w="960" w:type="dxa"/>
            <w:vAlign w:val="bottom"/>
          </w:tcPr>
          <w:p>
            <w:pPr>
              <w:spacing w:after="0"/>
              <w:rPr>
                <w:sz w:val="21"/>
                <w:szCs w:val="21"/>
                <w:color w:val="auto"/>
              </w:rPr>
            </w:pPr>
          </w:p>
        </w:tc>
        <w:tc>
          <w:tcPr>
            <w:tcW w:w="3160" w:type="dxa"/>
            <w:vAlign w:val="bottom"/>
            <w:gridSpan w:val="13"/>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Form 10-K Summary</w:t>
              </w:r>
            </w:hyperlink>
          </w:p>
        </w:tc>
        <w:tc>
          <w:tcPr>
            <w:tcW w:w="388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10"/>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Signatures</w:t>
              </w:r>
            </w:hyperlink>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858"/>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gridSpan w:val="12"/>
          </w:tcPr>
          <w:p>
            <w:pPr>
              <w:jc w:val="right"/>
              <w:ind w:right="3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3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and public health crises; the potential impact of Brexit; tax considerations relating to the Cequent spin-off; our future prospects; and other risks that are discussed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The risks described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We own or have rights to trademarks, service marks or trade names that we use in connection with the operation of our business. Solely for convenience, some of the copyrights, trademarks, service marks and trade names referred to in this Annual Report on Form 10-K are listed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 symbols, but we will assert, to the fullest extent under applicable law, our rights to our copyrights, trademarks, service marks, trade names and domain names. The trademarks, service marks and trade names of other companies appearing in this Annual Report on Form 10-K are, to our knowledge, the property of their respective owners.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TriMas is a diversified global manufacturer and provider of products for customers primarily in the consumer products, aerospace and industrial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With approximately 3,500 employees in eleven countries, we manufacture and supply products globally to a wide range of companies, with approximately 75% of our 2019 revenue generated from sales into North America. In addition, we generated nearly 70% of our 2019 revenue from sales to the less cyclical consumer product and aerospace end markets.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During 2019, our net sales were $723.5 million, operating profit was $91.2 million, and net cash provided by operating activities was $95.7 million.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we completed the previously announced divestiture of our Lamons business ("Lamons"), a transaction entered into on November 1, 2019 with an investment fund sponsored by First Reserve. Lamons was sold for approximately $135 million in cash, subject to customary post-closing adjustments. The financial results of Lamons were previously reported within our Specialty Products reportable segment, and are presented as discontinued operations for all periods presented in the financial statements attached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reported in three segments: Packaging, Aerospace and Specialty Products. We believe TriMas is uniquely positioned because of a number of competitive strengths, including:</w:t>
      </w:r>
    </w:p>
    <w:p>
      <w:pPr>
        <w:spacing w:after="0" w:line="170"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Well-Recognized and Established Brands. </w:t>
      </w:r>
      <w:r>
        <w:rPr>
          <w:rFonts w:ascii="Arial" w:cs="Arial" w:eastAsia="Arial" w:hAnsi="Arial"/>
          <w:sz w:val="18"/>
          <w:szCs w:val="18"/>
          <w:color w:val="auto"/>
        </w:rPr>
        <w:t>Our main brands include Rieke</w:t>
      </w:r>
      <w:r>
        <w:rPr>
          <w:rFonts w:ascii="Arial" w:cs="Arial" w:eastAsia="Arial" w:hAnsi="Arial"/>
          <w:sz w:val="18"/>
          <w:szCs w:val="18"/>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Taplast™ and Stolz (reported in Packaging); TriMas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Monogram Aerospace Fasteners™, Allfast Fastening Systems</w:t>
      </w:r>
      <w:r>
        <w:rPr>
          <w:rFonts w:ascii="Arial" w:cs="Arial" w:eastAsia="Arial" w:hAnsi="Arial"/>
          <w:sz w:val="18"/>
          <w:szCs w:val="18"/>
          <w:color w:val="auto"/>
          <w:vertAlign w:val="superscript"/>
        </w:rPr>
        <w:t>®</w:t>
      </w:r>
      <w:r>
        <w:rPr>
          <w:rFonts w:ascii="Arial" w:cs="Arial" w:eastAsia="Arial" w:hAnsi="Arial"/>
          <w:sz w:val="18"/>
          <w:szCs w:val="18"/>
          <w:color w:val="auto"/>
        </w:rPr>
        <w:t>, and Mac Fasteners™ (reported in Aerospace); and Norris Cylinder,™ Arrow</w:t>
      </w:r>
      <w:r>
        <w:rPr>
          <w:rFonts w:ascii="Arial" w:cs="Arial" w:eastAsia="Arial" w:hAnsi="Arial"/>
          <w:sz w:val="18"/>
          <w:szCs w:val="18"/>
          <w:color w:val="auto"/>
          <w:vertAlign w:val="superscript"/>
        </w:rPr>
        <w:t>®</w:t>
      </w:r>
      <w:r>
        <w:rPr>
          <w:rFonts w:ascii="Arial" w:cs="Arial" w:eastAsia="Arial" w:hAnsi="Arial"/>
          <w:sz w:val="18"/>
          <w:szCs w:val="18"/>
          <w:color w:val="auto"/>
        </w:rPr>
        <w:t xml:space="preserve"> Engine Company and Martinic Engineering,™ (reported in Specialty Products). We believe each of our go-to-market brands are well-recognized and firmly established in the focused markets we serve. We believe our brands represent high standards and a commitment to quality and service that our customers rely on when they make their sourcing decisions.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Innovative and Proprietary Manufacturing and Product Technologies. </w:t>
      </w:r>
      <w:r>
        <w:rPr>
          <w:rFonts w:ascii="Arial" w:cs="Arial" w:eastAsia="Arial" w:hAnsi="Arial"/>
          <w:sz w:val="17"/>
          <w:szCs w:val="17"/>
          <w:color w:val="auto"/>
        </w:rPr>
        <w:t>We believe each of our businesses is well-positioned through years of refined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know-how, innovative product development, application engineering and solutions design. We believe our manufacturing competencies and installed capital base would be difficult and costly to replicate, providing us an advantage. We continue to place a priority on investing in innovation to protect and enhance our product designs, brand names and manufacturing methods.</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Customer-Focused Solutions and Long-Term Customer Relationships. </w:t>
      </w:r>
      <w:r>
        <w:rPr>
          <w:rFonts w:ascii="Arial" w:cs="Arial" w:eastAsia="Arial" w:hAnsi="Arial"/>
          <w:sz w:val="18"/>
          <w:szCs w:val="18"/>
          <w:color w:val="auto"/>
        </w:rPr>
        <w:t>We work collaboratively with our customers to design new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that help satisfy rapidly changing preferences in the consumer product marketplace. As a recognized leader in many of our markets, customers partner with us during both the product development and production life cycle. These ongoing relationships, often developed over decades, coupled with our expertise in innovation and application engineering, position us to win new and replacement business with our customers when they launch new products or programs. Customers look to TriMas’ businesses for these product innovations because of our long-standing, trusted relationships.</w:t>
      </w:r>
    </w:p>
    <w:p>
      <w:pPr>
        <w:spacing w:after="0" w:line="193"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Well-Established, Extensive Distribution Channels. </w:t>
      </w:r>
      <w:r>
        <w:rPr>
          <w:rFonts w:ascii="Arial" w:cs="Arial" w:eastAsia="Arial" w:hAnsi="Arial"/>
          <w:sz w:val="17"/>
          <w:szCs w:val="17"/>
          <w:color w:val="auto"/>
        </w:rPr>
        <w:t>Each of our businesses provides products through established distribution channels that cater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specific needs of our customers’ purchasing preferences. We developed many of these channels over decades, and believe they are a competitive differentiator for us across the markets we serve. In many cases, we provide products directly to our end markets through our locations, while in other cases, we supply to distribution companies that provide our customers with flexible purchasing solutions.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7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TriMas Business Model. </w:t>
      </w:r>
      <w:r>
        <w:rPr>
          <w:rFonts w:ascii="Arial" w:cs="Arial" w:eastAsia="Arial" w:hAnsi="Arial"/>
          <w:sz w:val="17"/>
          <w:szCs w:val="17"/>
          <w:color w:val="auto"/>
        </w:rPr>
        <w:t>We implemented the TriMas Business Model ("TBM") in late 2016 to improve the management, performance and oversight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businesses. The TBM provides a platform to set near- and long-term performance objectives and goals, including safety, financial, and talent development, measure these against defined objectives, and utilize a reliable communication and escalation process that provides for flexibility and adjustments if market expectations change. We believe the TBM connects our operations, and allows us to benefit from sharing best practices across each of our businesses. We believe that the TBM, through a culture of Kaizen and continuous improvement, helps drive long-term improvement in our performance. Since implementation, we have rationalized manufacturing, warehousing and office locations, streamlined fixed expenses and selling, general and administrative expenses in certain of our businesses, increased our focus on optimizing inventory levels and improved certain of our manufacturing processes. We believe actions driven by the TBM have provided a benefit to us and have augmented our cash conversion characteristics and performance overall. We will continue to rely on the TBM to drive continuous improvement and to unlock TriMas’ value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Guided by our experienced management team and our commitment to operational excellence, we are focused on the following components that form our core growth strategy:</w:t>
      </w:r>
    </w:p>
    <w:p>
      <w:pPr>
        <w:spacing w:after="0" w:line="170"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TriMas Business Model to Drive Performance. </w:t>
      </w:r>
      <w:r>
        <w:rPr>
          <w:rFonts w:ascii="Arial" w:cs="Arial" w:eastAsia="Arial" w:hAnsi="Arial"/>
          <w:sz w:val="18"/>
          <w:szCs w:val="18"/>
          <w:color w:val="auto"/>
        </w:rPr>
        <w:t>A key tenet of the TBM is our commitment to operational excellence and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We adopted the use of Kaizen methodology within our operations, which is predicated on engaging our employees to improve all aspects of our businesses. We believe our operating performance will continue to benefit from the use of Kaizen as a means to drive our decision-making processes. In addition to continuous improvement, the TBM is also focused on environmental, health and safety, annual goal setting and measurement, flawless launches and talent development.</w:t>
      </w:r>
    </w:p>
    <w:p>
      <w:pPr>
        <w:spacing w:after="0" w:line="188"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Accelerate Organic Growth through Innovation. </w:t>
      </w:r>
      <w:r>
        <w:rPr>
          <w:rFonts w:ascii="Arial" w:cs="Arial" w:eastAsia="Arial" w:hAnsi="Arial"/>
          <w:sz w:val="17"/>
          <w:szCs w:val="17"/>
          <w:color w:val="auto"/>
        </w:rPr>
        <w:t>We will invest in organic growth in our most compelling market segments with the highest return</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We intend to leverage our brands, expand our product offerings to current and new customers, and introduce innovative products to meet our customers' needs and help solve their challenges. We believe our disciplined approach will allow us to defend and expand our product offerings, and grow our business over the longer term. In addition to product innovation, we also value process innovation and believe we can solidify our customer relationships as innovative new processes and manufacturing "know-how" allow us to improve our quality, speed to market and overall competitiveness, increasing customer satisfaction, as well as our performance.</w:t>
      </w:r>
    </w:p>
    <w:p>
      <w:pPr>
        <w:spacing w:after="0" w:line="17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 our Core Platforms through Strategic Acquisitions. </w:t>
      </w:r>
      <w:r>
        <w:rPr>
          <w:rFonts w:ascii="Arial" w:cs="Arial" w:eastAsia="Arial" w:hAnsi="Arial"/>
          <w:sz w:val="17"/>
          <w:szCs w:val="17"/>
          <w:color w:val="auto"/>
        </w:rPr>
        <w:t>We believe that TriMas has opportunities to grow through strategic acquisitions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enhance the strengths of our core businesses. Our primary focus is on acquisition candidates to build out our Packaging and Aerospace platforms, as we believe the markets they serve offer the highest growth and performance profile.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w:t>
      </w:r>
    </w:p>
    <w:p>
      <w:pPr>
        <w:spacing w:after="0" w:line="172"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Enhanced Cash Conversion. </w:t>
      </w:r>
      <w:r>
        <w:rPr>
          <w:rFonts w:ascii="Arial" w:cs="Arial" w:eastAsia="Arial" w:hAnsi="Arial"/>
          <w:sz w:val="18"/>
          <w:szCs w:val="18"/>
          <w:color w:val="auto"/>
        </w:rPr>
        <w:t>We use the TBM to drive management’s decision-making processes to achieve our annual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targets, as well as drive our businesses toward achieving market-leading returns and cash flow conversion. We believe our commitment to having well-defined strategies in place, setting and executing against annual goals and long-range targets, operating in a data-driven environment, and awarding our team on annual cash flow achievement will allow us to grow our businesses and enhance our cash flow and related cash conversion. We believe we have the ability to generate substantial free cash flow for reinvestment in our businesses, strategic acquisitions and other capital allocation actions consistent with our long-term financial goals.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report the results of our operations in three segments, which had net sales and operating profit for the year ended December 31, 2019 as follows: Packaging (net sales: $392.3 million; operating profit: $80.8 million), Aerospace (net sales: $164.8 million; operating profit: $28.4 million) and Specialty Products (net sales: $166.4 million; operating profit: $16.6 million). For information pertaining to the net sales and operating profit attributed to our reportable segments, refer to Note 19, "</w:t>
      </w:r>
      <w:r>
        <w:rPr>
          <w:rFonts w:ascii="Arial" w:cs="Arial" w:eastAsia="Arial" w:hAnsi="Arial"/>
          <w:sz w:val="16"/>
          <w:szCs w:val="16"/>
          <w:i w:val="1"/>
          <w:iCs w:val="1"/>
          <w:color w:val="auto"/>
        </w:rPr>
        <w:t>Segment Information</w:t>
      </w:r>
      <w:r>
        <w:rPr>
          <w:rFonts w:ascii="Arial" w:cs="Arial" w:eastAsia="Arial" w:hAnsi="Arial"/>
          <w:sz w:val="16"/>
          <w:szCs w:val="16"/>
          <w:color w:val="auto"/>
        </w:rPr>
        <w:t>,"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with the first quarter of 2020, we will report our Martinic Engineering business, with operations in Stanton, California and Tolleson, Arizona, in the Aerospace segment. Prior to this change, it has been reported in the Specialty Products segment. In connection with the first quarter 2020 announcement of our acquisition of RSA Engineered Products ("RSA"), a manufacturer of complex, highly-engineered, metallic air ducting products for aerospace and defense environmental control system applications, we announced that RSA and Martinic Engineering would achieve enhanced long-term benefits under TriMas Aerospace's leadership. This modification facilitates a more rapid approach to achieving anticipated synergies from the RSA acquisition, allows us to better leverage machining competencies and resources across the businesses, and facilitates insourcing products and processes that RSA historically has outsourced.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Each of our reportable segments is described in more detail on the following pages.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(54% of 2019 net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Packaging segment consists primarily of the Rieke, Taplast and Stolz brands. We believe Rieke is a leading designer and manufacturer of specialty, highly-engineered polymeric and steel closure and dispensing systems for a range of end markets, including consumer packaging and industrial markets. Rieke manufactures high-performance, value-added products that are designed to enhance its customers’ ability to store, transport, process and dispense various products.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Rieke designs and manufacturers specialty dispensing systems that include products such as foamers, lotion pumps, fine mist sprayers, airless dispensers and other packaging solutions for the cosmetic, personal care, pharmaceutical and household product markets. Rieke also provides specialty dispensers that serve the food and beverage and industrial markets. The specialty closure portion of Rieke's business includes products made from steel or polymeric materials for a variety of end markets. Rieke's specialty closure products include steel drum enclosures, plastic drum closures, plastic pail dispensers and plugs, and plastic enclosures for sub-20 liter-sized containers, commonly sold into the industrial end markets. Rieke's closure products also include specialty plastic closures for bottles and jars for the food and beverage markets.</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2019, we acquired Plastic Srl and Taplast S.p.A. ("Taplast") to expand our packaging platform. Plastic Srl, with operations in Italy, is a manufacturer of single-bodied and assembled caps and closures for use in home care product applications. Taplast, with operations in Italy and Slovakia, is a designer and manufacturer of dispensers, closures and containers for the beauty and personal care, household, and food and beverage packaging end markets.</w:t>
      </w:r>
    </w:p>
    <w:p>
      <w:pPr>
        <w:spacing w:after="0" w:line="2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Rieke has the capability of manufacturing the majority of its products in North America, Europe or Asia, which allows Rieke to evaluate manufacturing location decisions based on customer needs, timing, cost and capacity.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Rieke benefits from the following competitive strengths in coordination with operating under TriMas' overarching strategy:</w:t>
      </w:r>
    </w:p>
    <w:p>
      <w:pPr>
        <w:spacing w:after="0" w:line="225" w:lineRule="exact"/>
        <w:rPr>
          <w:sz w:val="20"/>
          <w:szCs w:val="20"/>
          <w:color w:val="auto"/>
        </w:rPr>
      </w:pPr>
    </w:p>
    <w:p>
      <w:pPr>
        <w:jc w:val="both"/>
        <w:ind w:left="660" w:hanging="328"/>
        <w:spacing w:after="0" w:line="28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Strong Product Innovation</w:t>
      </w:r>
      <w:r>
        <w:rPr>
          <w:rFonts w:ascii="Arial" w:cs="Arial" w:eastAsia="Arial" w:hAnsi="Arial"/>
          <w:sz w:val="16"/>
          <w:szCs w:val="16"/>
          <w:color w:val="auto"/>
        </w:rPr>
        <w:t>. Through its Global Innovation Centers located in India, the United Kingdom and the United States, Rieke is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driving innovation across a broad range of dispensing and closure solutions for its customers. Rieke has focused product development capabilities on consumer applications requiring special packaging forms, stylized containers and dispensing systems requiring a high degree of functionality and engineering, as well as evolving its industrial applications to include child resistant closures and other applications. Rieke has a consistent pipeline of new products ready for launch and continues to innovate to make products more environmentally friendly. Rieke’s product development programs have provided innovative and proprietary product solutions, such as the all-plastic, environmentally safe, self-venting FlexSpout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flexible pouring spout. Rieke, partnering with Amazon, also developed a range of products designed to meet the requirements of the high-growth e-commerce retail channel, including a proprietary dispenser locking mechanism to protect the integrity of packages and prevent liquids from leaking during shipment, such as the E-Commerce Trigger Sprayer, that meets consumers' demands and meets ISTA 6 standards as required by Amazon. Other developments include a measured-dose dispenser that provides exact doses of highly-concentrated liquids for the health and beauty market. Rieke’s emphasis on highly-engineered solutions and product development has yielded numerous issued and enforceable patents, with many other patent applications pending. For example, 59 patents were filed and 26 patents were issued in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Customized Solutions that Enhance Customer Loyalty and Relationships</w:t>
      </w:r>
      <w:r>
        <w:rPr>
          <w:rFonts w:ascii="Arial" w:cs="Arial" w:eastAsia="Arial" w:hAnsi="Arial"/>
          <w:sz w:val="17"/>
          <w:szCs w:val="17"/>
          <w:color w:val="auto"/>
        </w:rPr>
        <w:t>. A significant portion of Rieke’s products are customized designs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and engineered to address specific customer technical, marketing and sustainability needs, helping to distinguish our customers’ products from that of their competitors. For example, the customization of specialty plastic caps, closures and dispensers including branding, unique colors, collar sizes, lining and venting results in substantial customer loyalty. The substantial investment in flexible manufacturing cells allows Rieke to offer both short lead-times for high volume products and customization for more moderate volume orders, which provides significant advantages to our consumer packaged goods customer base. In addition, Rieke provides customized dispensing solutions including unique pump designs, precision metering, unique colors and special collar sizes to fit the customer’s bottles. Rieke has also been successful in promoting the sale of complementary products in an effort to achieve preferred supplier status with several customers.</w:t>
      </w:r>
    </w:p>
    <w:p>
      <w:pPr>
        <w:spacing w:after="0" w:line="178" w:lineRule="exact"/>
        <w:rPr>
          <w:rFonts w:ascii="Arial" w:cs="Arial" w:eastAsia="Arial" w:hAnsi="Arial"/>
          <w:sz w:val="17"/>
          <w:szCs w:val="17"/>
          <w:i w:val="1"/>
          <w:iCs w:val="1"/>
          <w:color w:val="auto"/>
        </w:rPr>
      </w:pPr>
    </w:p>
    <w:p>
      <w:pPr>
        <w:jc w:val="both"/>
        <w:ind w:left="66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Global Sales and Manufacturing Footprint. </w:t>
      </w:r>
      <w:r>
        <w:rPr>
          <w:rFonts w:ascii="Arial" w:cs="Arial" w:eastAsia="Arial" w:hAnsi="Arial"/>
          <w:sz w:val="17"/>
          <w:szCs w:val="17"/>
          <w:color w:val="auto"/>
        </w:rPr>
        <w:t>Rieke maintains a global network of sales, manufacturing and distribution sites, to serve our global</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base. Rieke’s global customers often desire supply chain capability and a flexible manufacturing footprint close to their end markets which result in shorter supply chains, reduced carbon footprint and better sustainability. To serve our customers in Asia, we have design and manufacturing capacity and offer highly engineered dispensing solutions through locations in China, India and Vietnam, and increased our Asian market sales coverage. Additionally, Rieke opened a facility in San Miguel de Allende, Mexico during 2017, to replace an older, smaller facility in Mexico City, and provide additional manufacturing capacity to support growth. We have also increased our sales coverage in Europe and Asia, and in 2019, closed on the acquisitions of Plastic Srl and Taplast which provide us with additional sales, design and manufacturing capacity in Europe. We believe this flexible footprint provides Rieke with multiple alternatives for production to best meet customer requirements and helps mitigate the impacts of potential trade disruption. The majority of Rieke’s manufacturing facilities around the world have advanced injection molding machines required to manufacture precision engineered dispensing and closure components, as well as automated, high-speed assembly equipment for multi-component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Rieke accesses its markets through direct sales to end-use customers, as well as through leading distributors, where it has enjoyed favorable, long-standing relationships. Rieke employs an internal sales force in North America, Europe and Asia, and has recently established a Global Strategic Account sales team. Rieke also uses third-party agents and distributors in key geographic markets, including Europe, South America and Asia. Rieke’s agents and distributors primarily sell to container manufacturers and to users or fillers of containers.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Rieke’s end customers include, but are not limited to, consumer packaged goods, cosmetic, personal care, pharmaceutical, food, beverage, warehouse clubs, retailers, e-retailers, fast food retailers, industrial chemical, paint, petroleum, agricultural chemical, and sanitary supply chemical companies. Rieke may provide its products directly to the end customer, but the end customers may also specify that our products be provided to fillers or packagers. We also supply major container manufacturers around the world. Rieke maintains a customer service center that provides technical support, as well as other technical assistance to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Rieke has manufacturing and distribution facilities in the United States, Mexico, the United Kingdom, Germany, Italy, China, India and Vietnam.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Rieke has a broad range of products in both closures and dispensing systems, and therefore has various competitors in each of our product offerings. We do not believe that there is a single competitor that matches our entire product offering. Depending on the product and customers served, Rieke’s competitors include Albea (pending acquisition by Silgan), Aptar, Bericap, Berry Global, Greif, Phoenix Closures, Silgan, Technocraft and TKPC.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Aerospace (23% of 2019 net sales)</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Aerospace segment is comprised of TriMas Aerospace, which includes the Monogram Aerospace Fasteners, Allfast Fastening Systems, and Mac Fasteners brands. We believe TriMas Aerospace is a leading designer and manufacturer of a diverse range of products, including highly-engineered fasteners, collars, blind bolts, and rivets, for use in focused markets within the aerospace industry. In general, these products are customer-specific and are manufactured utilizing customer-qualified and proprietary processes. The products also satisfy rigorous customer approvals or meet unique aerospace industry standards, and as such, we believe there are a limited set of competitors.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products to commercial, maintenance, repair and operations ("MRO"), and military aerospace applications and platforms with sales to original equipment manufacturers ("OEMs"), supply chain distributors, MRO/aftermarket providers and tier one suppliers. Our customer-specified and/or qualified products are used in production of significant long-term aircraft programs, including several Boeing and Airbus commercial jetliner programs. Based on Boeing and Airbus' future aircraft delivery projections, it is estimated that commercial production will remain at stable levels through the next several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brands are well established and recognized in their markets. The TriMas Aerospace product offering is as follows: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Monogram Aerospace Fasteners (“Monogram”). </w:t>
      </w:r>
      <w:r>
        <w:rPr>
          <w:rFonts w:ascii="Arial" w:cs="Arial" w:eastAsia="Arial" w:hAnsi="Arial"/>
          <w:sz w:val="18"/>
          <w:szCs w:val="18"/>
          <w:color w:val="auto"/>
        </w:rPr>
        <w:t>The product offering includes permanent threaded blind bolts, including high-strength, rotary-actuated blind bolts that allow sections of aircraft to be joined together when access is limited to only one side of the airframe, providing cost efficiencies over conventional two piece fastening devices. Monogram also provides collars and temporary fasteners used in aircraft construction and assembly.</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Allfast Fastening Systems (“Allfast”). </w:t>
      </w:r>
      <w:r>
        <w:rPr>
          <w:rFonts w:ascii="Arial" w:cs="Arial" w:eastAsia="Arial" w:hAnsi="Arial"/>
          <w:sz w:val="18"/>
          <w:szCs w:val="18"/>
          <w:color w:val="auto"/>
        </w:rPr>
        <w:t>The product offering includes solid and blind rivets, blind bolts, temporary fasteners and installation tools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aerospace industry.</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Mac Fasteners. </w:t>
      </w:r>
      <w:r>
        <w:rPr>
          <w:rFonts w:ascii="Arial" w:cs="Arial" w:eastAsia="Arial" w:hAnsi="Arial"/>
          <w:sz w:val="16"/>
          <w:szCs w:val="16"/>
          <w:color w:val="auto"/>
        </w:rPr>
        <w:t>The product offering consists of high-volume, standard aerospace screws and bolts, including NAS, MS, AN and AS standards.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believe TriMas Aerospace benefits from the following competitive strengths in coordination with operating under TriMas' overarching strategy:</w:t>
      </w:r>
    </w:p>
    <w:p>
      <w:pPr>
        <w:spacing w:after="0" w:line="237" w:lineRule="exact"/>
        <w:rPr>
          <w:sz w:val="20"/>
          <w:szCs w:val="20"/>
          <w:color w:val="auto"/>
        </w:rPr>
      </w:pPr>
    </w:p>
    <w:p>
      <w:pPr>
        <w:jc w:val="both"/>
        <w:ind w:left="660" w:hanging="328"/>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Broad Product Portfolio of Established Brands</w:t>
      </w:r>
      <w:r>
        <w:rPr>
          <w:rFonts w:ascii="Arial" w:cs="Arial" w:eastAsia="Arial" w:hAnsi="Arial"/>
          <w:sz w:val="17"/>
          <w:szCs w:val="17"/>
          <w:color w:val="auto"/>
        </w:rPr>
        <w:t>. We believe that TriMas Aerospace is a leading designer and manufacturer of engineered fasteners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aerospace industry. The combination of the Monogram, Allfast and Mac Fasteners brands enables TriMas Aerospace to offer a wide range of fastener products which address a broad scope of customer requirements, providing scale to customers who continue to rationalize their supply base. In several of the product categories, including rotary-actuated blind bolts and blind and solid rivets, TriMas Aerospace has a meaningful market share with well-known and established brands. The combined product sets of the Monogram, Allfast and Mac Fasteners brands uniquely position us to benefit from platform-wide supply opportunities.</w:t>
      </w:r>
    </w:p>
    <w:p>
      <w:pPr>
        <w:spacing w:after="0" w:line="178"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Product Innovation. </w:t>
      </w:r>
      <w:r>
        <w:rPr>
          <w:rFonts w:ascii="Arial" w:cs="Arial" w:eastAsia="Arial" w:hAnsi="Arial"/>
          <w:sz w:val="16"/>
          <w:szCs w:val="16"/>
          <w:color w:val="auto"/>
        </w:rPr>
        <w:t>We believe that TriMas Aerospace’s engineering, research and development capability and new product focus are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advantages. For many years, TriMas Aerospace’s product development programs have provided innovative and proprietary product solutions. The close working relationship between our sales and engineering teams and our customers’ engineering teams is key to developing future products desired and required by our customers. Our innovation team adds value by working directly with our customers to address assembly and manufacturing process challenges to increase productivity, quality, speed and efficiency, while reducing overall installed cost. TriMas Aerospace has developed new fastener products that offer a flush break upon installation and is developing and testing other fastener designs which offer improved clamping characteristics on composite structures, improved aerodynamics and enhanced installed aesthetics. An example of such would include the newer Composi-Lok4</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fastener evolution, affording installed weight savings in concert with fuel efficient aircraft designs. TriMas Aerospace has also designed the next generation temporary fastener with an 800% increase in clamping force called Fastack® SC (Super Clamp). TriMas Aerospace has also expanded its fastener offerings to include other fastening product applications on current aircraft, including the expansion of its suite of collar families used in traditional two-sided assembly. We believe our customer-focused approach to provide cost-effective technical solutions will drive the development of new products and create new opportunities for growth.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88"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Leading Manufacturing Capabilities and Processes. </w:t>
      </w:r>
      <w:r>
        <w:rPr>
          <w:rFonts w:ascii="Arial" w:cs="Arial" w:eastAsia="Arial" w:hAnsi="Arial"/>
          <w:sz w:val="16"/>
          <w:szCs w:val="16"/>
          <w:color w:val="auto"/>
        </w:rPr>
        <w:t>We believe that TriMas Aerospace is a leading manufacturer of precision engineered</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for the aerospace industry. Given industry regulatory requirements, as well as customer requirements, it is required that these products need to be manufactured within tight tolerances and specifications, often out of hard-to-work-with and exotic materials including titanium, inconel and specialty steels. Many of TriMas Aerospace’s products, facilities and manufacturing processes are required to be qualified and/or certified. Key certifications in TriMas Aerospace include: AS9100:2009 Revision D; ISO9001:2008; TSO; and NADCAP for non-destructive testing, heat treatment, wet processes and materials testing. While proprietary products and patents are important, having proprietary manufacturing processes and capabilities makes TriMas Aerospace’s products difficult to replicate. In addition, TriMas Aerospace is focused on continuously improving its processes and manufacturing operations by using the tools of Kaizen and automation, as applicable. The aerospace industry has strict requirements for quality and delivery, making process innovation and continuous improvement vital to TriMas Aerospace's success. We believe TriMas Aerospace’s manufacturing processes, capabilities and quality focus create a competitive strength for the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TriMas Aerospace serves both OEM and aftermarket customers on a wide variety of platforms. Given the focused nature of many of our products, TriMas Aerospace relies upon a global sales and technical team that is knowledgeable of both OEM customers and the established network of independent distributors. Although the markets for fasteners are highly competitive, we provide products and services primarily for specialized markets, and compete principally on technology, quality and service. TriMas Aerospace works directly with aircraft manufacturers to develop and test new products and improve existing products. TriMas Aerospace’s primary customers include OEMs, supply chain distributors, tier one suppliers and the United States government.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TriMas Aerospace's manufacturing facilities are located in the United States, and it exports products to Europe, South America and Asia.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product and customers served, our primary competitors include Ateliers de la Haute Garonne, Arconic, Inc., Cherry Aerospace - Precision Castparts Corp. and LISI Aerospace. We believe that we are a leader in the blind bolt market with significant market share in all blind fastener product categories in which we compete.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Products (23% of 2019 net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Specialty Products segment is comprised of Norris Cylinder, Arrow Engine Company and Martinic Engineering. We believe these businesses are well established and recognized in their respective markets.</w:t>
      </w:r>
    </w:p>
    <w:p>
      <w:pPr>
        <w:spacing w:after="0" w:line="170" w:lineRule="exact"/>
        <w:rPr>
          <w:sz w:val="20"/>
          <w:szCs w:val="20"/>
          <w:color w:val="auto"/>
        </w:rPr>
      </w:pPr>
    </w:p>
    <w:p>
      <w:pPr>
        <w:jc w:val="both"/>
        <w:ind w:left="660" w:hanging="328"/>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Norris Cylinder</w:t>
      </w:r>
      <w:r>
        <w:rPr>
          <w:rFonts w:ascii="Arial" w:cs="Arial" w:eastAsia="Arial" w:hAnsi="Arial"/>
          <w:sz w:val="17"/>
          <w:szCs w:val="17"/>
          <w:color w:val="auto"/>
        </w:rPr>
        <w:t>. We believe Norris Cylinder is a leading designer, manufacturer and distributor of highly-engineered steel cylinders for use in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heating, ventilation and air conditioning ("HVAC"), construction, health care and defense end markets. We believe that Norris Cylinder is a leading provider of a complete line of large, intermediate and small size, high and low-pressure steel cylinders for the transportation, storage and dispensing of compressed gases. Norris Cylinder’s large high-pressure seamless gas cylinders are used principally for shipping, storing and dispensing oxygen, nitrogen, argon, helium and other compressed gases. In addition, Norris Cylinder offers a complete line of steel cylinders used to contain and dispense acetylene gas for the welding and cutting industries. Norris Cylinder's products meet the rigorous standards required by the Department of Transportation ("DOT") or International Standards Organization ("ISO"), which certifies a cylinder's adequacy to perform in specific applications. Norris Cylinder markets cylinders primarily to domestic and international industrial gas producers and distributors, welding equipment distributors and equipment manufacturers. Given this customer base, Norris Cylinder tends to grow in times of increased industrial and infrastructure investment.</w:t>
      </w:r>
    </w:p>
    <w:p>
      <w:pPr>
        <w:spacing w:after="0" w:line="177"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Arrow Engine</w:t>
      </w:r>
      <w:r>
        <w:rPr>
          <w:rFonts w:ascii="Arial" w:cs="Arial" w:eastAsia="Arial" w:hAnsi="Arial"/>
          <w:sz w:val="17"/>
          <w:szCs w:val="17"/>
          <w:color w:val="auto"/>
        </w:rPr>
        <w:t>. Arrow Engine is a provider of natural gas powered wellhead engines, compressors and replacement parts, all engineered for use in oil</w:t>
      </w:r>
      <w:r>
        <w:rPr>
          <w:rFonts w:ascii="Arial" w:cs="Arial" w:eastAsia="Arial" w:hAnsi="Arial"/>
          <w:sz w:val="17"/>
          <w:szCs w:val="17"/>
          <w:i w:val="1"/>
          <w:iCs w:val="1"/>
          <w:color w:val="auto"/>
        </w:rPr>
        <w:t xml:space="preserve"> </w:t>
      </w:r>
      <w:r>
        <w:rPr>
          <w:rFonts w:ascii="Arial" w:cs="Arial" w:eastAsia="Arial" w:hAnsi="Arial"/>
          <w:sz w:val="17"/>
          <w:szCs w:val="17"/>
          <w:color w:val="auto"/>
        </w:rPr>
        <w:t>and natural gas production and other industrial and commercial markets. As Arrow's engines can operate from the natural gas produced at the wellhead, we believe Arrow is uniquely positioned to provide its products for remote pump jack installations. Arrow Engine distributes its products through a worldwide distribution network with a particularly strong presence in the United States and Canada. Arrow Engine manufactures its own engine line and also offers a wide variety of spare parts for various industrial engines not manufactured by Arrow Engine, including selected engines manufactured and sold under the Caterpillar</w:t>
      </w:r>
      <w:r>
        <w:rPr>
          <w:rFonts w:ascii="Arial" w:cs="Arial" w:eastAsia="Arial" w:hAnsi="Arial"/>
          <w:sz w:val="17"/>
          <w:szCs w:val="17"/>
          <w:color w:val="auto"/>
          <w:vertAlign w:val="superscript"/>
        </w:rPr>
        <w:t>®</w:t>
      </w:r>
      <w:r>
        <w:rPr>
          <w:rFonts w:ascii="Arial" w:cs="Arial" w:eastAsia="Arial" w:hAnsi="Arial"/>
          <w:sz w:val="17"/>
          <w:szCs w:val="17"/>
          <w:color w:val="auto"/>
        </w:rPr>
        <w:t>, Waukesha</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Ajax</w:t>
      </w:r>
      <w:r>
        <w:rPr>
          <w:rFonts w:ascii="Arial" w:cs="Arial" w:eastAsia="Arial" w:hAnsi="Arial"/>
          <w:sz w:val="17"/>
          <w:szCs w:val="17"/>
          <w:color w:val="auto"/>
          <w:vertAlign w:val="superscript"/>
        </w:rPr>
        <w:t>®</w:t>
      </w:r>
      <w:r>
        <w:rPr>
          <w:rFonts w:ascii="Arial" w:cs="Arial" w:eastAsia="Arial" w:hAnsi="Arial"/>
          <w:sz w:val="17"/>
          <w:szCs w:val="17"/>
          <w:color w:val="auto"/>
        </w:rPr>
        <w:t xml:space="preserve"> brands. Arrow Engine has expanded its product line to include compressors and compressor packaging, as well as certain gas production equipment.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Martinic Engineering. </w:t>
      </w:r>
      <w:r>
        <w:rPr>
          <w:rFonts w:ascii="Arial" w:cs="Arial" w:eastAsia="Arial" w:hAnsi="Arial"/>
          <w:sz w:val="18"/>
          <w:szCs w:val="18"/>
          <w:color w:val="auto"/>
        </w:rPr>
        <w:t>Martinic Engineering offers highly-engineered, precision machined, complex machine-to-print parts for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including auxiliary power units, as well as electrical, hydraulic and pneumatic systems. Martinic is capable of advanced precision CNC milling, high performance CNC turning and assembly. Martinic Engineering can work with a variety of metals including super alloys, stainless steel, aircraft steel alloys, carbon steel alloys and aluminum alloys.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believe Norris Cylinder, Arrow Engine and Martinic Engineering benefit from the following competitive strengths in coordination with operating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TriMas' overarching strategy:</w:t>
      </w:r>
    </w:p>
    <w:p>
      <w:pPr>
        <w:spacing w:after="0" w:line="211" w:lineRule="exact"/>
        <w:rPr>
          <w:sz w:val="20"/>
          <w:szCs w:val="20"/>
          <w:color w:val="auto"/>
        </w:rPr>
      </w:pPr>
    </w:p>
    <w:p>
      <w:pPr>
        <w:jc w:val="both"/>
        <w:ind w:left="660" w:hanging="328"/>
        <w:spacing w:after="0" w:line="27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Leading Market Positions and Strong Brand Names</w:t>
      </w:r>
      <w:r>
        <w:rPr>
          <w:rFonts w:ascii="Arial" w:cs="Arial" w:eastAsia="Arial" w:hAnsi="Arial"/>
          <w:sz w:val="17"/>
          <w:szCs w:val="17"/>
          <w:color w:val="auto"/>
        </w:rPr>
        <w:t>. Norris Cylinder, with more than 70 years of experience, is one of the worlds'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of high- and low-pressure steel cylinders, and the only manufacturer in the United States. We believe that Norris has a reputation for high-quality cylinders used in a variety of applications, including industrial gas, welding and cutting, government, medical, laboratories, food and beverage technology, breathing air, fire protection and aviation. We believe that Arrow Engine has also built a reputation for quality equipment, parts and accessories used in oil and natural gas production, and has a leading market position in the niche it serves. Martinic Engineering has a reputation, with more than 40 years of experience, of specializing in the high complexity machining of castings, forgings and bar stock for leading tier-one commercial and defense aerospace original equipment manufacturers.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Comprehensive Product Offering</w:t>
      </w:r>
      <w:r>
        <w:rPr>
          <w:rFonts w:ascii="Arial" w:cs="Arial" w:eastAsia="Arial" w:hAnsi="Arial"/>
          <w:sz w:val="18"/>
          <w:szCs w:val="18"/>
          <w:color w:val="auto"/>
        </w:rPr>
        <w:t>. Norris Cylinder offers a complete line of large, intermediate and small size, high and low-pressure steel cylinders</w:t>
      </w:r>
      <w:r>
        <w:rPr>
          <w:rFonts w:ascii="Arial" w:cs="Arial" w:eastAsia="Arial" w:hAnsi="Arial"/>
          <w:sz w:val="18"/>
          <w:szCs w:val="18"/>
          <w:i w:val="1"/>
          <w:iCs w:val="1"/>
          <w:color w:val="auto"/>
        </w:rPr>
        <w:t xml:space="preserve"> </w:t>
      </w:r>
      <w:r>
        <w:rPr>
          <w:rFonts w:ascii="Arial" w:cs="Arial" w:eastAsia="Arial" w:hAnsi="Arial"/>
          <w:sz w:val="18"/>
          <w:szCs w:val="18"/>
          <w:color w:val="auto"/>
        </w:rPr>
        <w:t>to its customers across a variety of end markets. Arrow Engine also provides a comprehensive product offering, including engines, compressors, chemical pumps, generator sets, electronics and replacement parts to a variety of oilfield and industrial markets. Martinic Engineering has the capability of manufacturing and assembling a broad number of components as a result of state-of-the-art machinery that provides a high level of operational precision during the machining and assembly processes. As a result, Martinic Engineering can manufacture a wide range of products, including air inlets, auxiliary power units, cabin pressure control systems, fuel controls, manifolds, pneumatic systems, valve bodies and a variety of other components.</w:t>
      </w:r>
    </w:p>
    <w:p>
      <w:pPr>
        <w:spacing w:after="0" w:line="18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Established and Extensive Distribution Channels</w:t>
      </w:r>
      <w:r>
        <w:rPr>
          <w:rFonts w:ascii="Arial" w:cs="Arial" w:eastAsia="Arial" w:hAnsi="Arial"/>
          <w:sz w:val="18"/>
          <w:szCs w:val="18"/>
          <w:color w:val="auto"/>
        </w:rPr>
        <w:t>. Norris Cylinder has long-standing customer relationships and distributes directly to major gas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as well as distributing to domestic buying groups, OEMs, medium and small independent gas companies, and independent gas and welding distributors. Arrow Engine sells through a combination of a direct sales team and an established network of independent distributors. Martinic Engineering has long-standing customer relationships with tier one aerospace suppliers.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past several years, we realigned these businesses to better align with lower demand levels. We are now focused on continuous improvement opportunities that will positively impact these businesses. We believe there are additional opportunities to improve margins, while maintaining market leadership.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Customers and Distribution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primary customers of our Specialty Products businesses operate in the industrial, aerospace, commercial and upstream oil and gas end markets. Given the focused nature of many of our products, we rely upon a combination of a direct sales force and an established network of distributors with familiarity of the end-users. Norris Cylinder, for example, sells directly to customers and through distributors. Our primary customers include industrial gas producers and distributors, welding equipment distributors, equipment manufacturers, and tier one aerospace 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Norris Cylinder, Arrow Engine and Martinic Engineering manufacturing facilities are located are in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Norris Cylinder competes against Worthington, Beijing Tianhai Industry Co., Faber and Vitkovice Cylinders, but is the only remaining steel cylinder manufacturer in the United States. In May 2012, the U.S. International Trade Commission made a unanimous final determination that Norris Cylinder had been materially injured by imports of DOT high-pressure steel cylinders that were being subsidized by the Government of China, as well as being dumped in the U.S. market by producers in China. As a result, trade duties were imposed on the subject imports for a five-year period to create a fairer competitive environment in the United States. The duty was extended and increased for an additional five-year period in 2017, and will be subject to renewal in 2022. Arrow Engine tends to compete against natural gas powered, lower horsepower, multi-cylinder engines from manufacturers such as Caterpillar, Chevy, Cummins and Ford industrial engines and electric motors. Martinic Engineering competes with a variety of aerospace and general industrial machined component manufacturers.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Acquisition Strategy</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TriMas' capital allocation priorities include reinvesting in organic growth initiatives, including production capability and capacity of our businesses, executing treasury actions, such as share buybacks, and accelerating product and geographic expansion through mergers and acquisitions, all while maintaining a disciplined approach to managing net leverage. We believe that TriMas has opportunities to grow through strategic acquisitions that enhance the strengths of our core businesses. Our primary focus is on acquisition candidates to build out our Packaging and Aerospace platforms, as we believe the markets they serve offer the highest growth and performance profile. We typically seek "bolt-on" acquisitions, in which we acquire another industry participant or adjacent product lines that expand our existing product offerings, gain access to new customers, end markets and distribution channels, expand our geographic footprint and/or capitalize on scale and cost efficiencies. While we would also consider opportunistic bolt-on acquisitions in our other segments, or even a new segment, such transactions are of secondary focus.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and Supply Arrangements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largest raw material purchases are for steel, polypropylene, polyethylene and other resins, aluminum, titanium and copper. Raw materials and other supplies used in our operations are normally available from a variety of competing suppliers. In addition to raw materials, we purchase a variety of components and finished products from low-cost sources in China, India, Mexico, South Korea and Vietnam.</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Steel is purchased primarily from steel mills and service centers with pricing contracts principally in the three-to-six month time frame. Changing global dynamics for steel production and supply will continue to present a challenge to our business. Polypropylene and polyethylene are generally commodity resins with multiple suppliers capable of providing product globally.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experienced volatility in costs of our raw material purchases and have worked with our suppliers to manage costs and disruptions in supply. We also utilize pricing programs to pass increased steel, resin and other raw material costs to customers. Although we may experience delays in our ability to implement price increases, we have been generally able to recover such increased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employed approximately 3,500 people, of which approximately 50% were located outside the United States and 22% were unionized. We currently have collective bargaining agreements covering five facilities worldwide, one of which is in the United States. The four facilities outside the United States with collective bargaining agreements are associated with state-controlled or trade unions.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employee relations are good and are not aware of any present active union organizing activities at any of our facilities. We cannot predict the impact of any further unionization of our workplace.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does not experience significant seasonal fluctuation, other than our fourth quarter, which has tended to be the lowest net sales quarter of the year given holiday shutdowns by certain of our customers and other customers deferring capital spending to the new year. We do not consider sales order backlog to be a material factor in our businesses. Our TriMas Aerospace customers often provide a forward view of build rates and need for products, but firm orders do not extend for more than a few months, and are not guaranteed and subject to change.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 laws and regulations have not had a material impact on our business, capital expenditures or financial position. However, we must comply with existing and pending climate change legislation, regulation and international treaties or accords.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identified intangible assets, consisting of customer relationships, trademarks and trade names, and technology, are recorded at approximately $161.4 million at December 31, 2019, net of accumulated amortization. The valuation of each of the identified intangibles was performed using broadly accepted valuation methodologies and techniques.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Customer Relationships. </w:t>
      </w:r>
      <w:r>
        <w:rPr>
          <w:rFonts w:ascii="Arial" w:cs="Arial" w:eastAsia="Arial" w:hAnsi="Arial"/>
          <w:sz w:val="16"/>
          <w:szCs w:val="16"/>
          <w:color w:val="auto"/>
        </w:rPr>
        <w:t>We have developed and maintained stable, long-term selling relationships with customer groups for specific branded products and/or</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market product offerings within each of our businesses. Useful lives assigned to customer relationship intangibles range from five to 25 years and have been estimated using historic customer retention and turnover data. Other factors considered in evaluating estimated useful lives include the diverse nature of focused markets and products of which we have significant share, how customers in these markets make purchases and these customers' position in the supply chain. We also monitor and evaluate the impact of other evolving risks including the threat of lower cost competitors and evolving technology.</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Trademarks and Trade Names. </w:t>
      </w:r>
      <w:r>
        <w:rPr>
          <w:rFonts w:ascii="Arial" w:cs="Arial" w:eastAsia="Arial" w:hAnsi="Arial"/>
          <w:sz w:val="18"/>
          <w:szCs w:val="18"/>
          <w:color w:val="auto"/>
        </w:rPr>
        <w:t>Each of our businesses designs and manufactures products for focused markets under various trade names and trademarks (see</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above by reportable segment). Our trademark/trade name intangibles are well-established and considered long-lived assets that require maintenance through advertising and promotion expenditures. Because it is our practice and intent to maintain and to continue to support, develop and market these trademarks/trade names for the foreseeable future, we consider our rights in these trademarks/trade names to have an indefinite life, except as otherwise dictated by applicable law.</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Technology. </w:t>
      </w:r>
      <w:r>
        <w:rPr>
          <w:rFonts w:ascii="Arial" w:cs="Arial" w:eastAsia="Arial" w:hAnsi="Arial"/>
          <w:sz w:val="16"/>
          <w:szCs w:val="16"/>
          <w:color w:val="auto"/>
        </w:rPr>
        <w:t>We hold a number of United States and foreign patents, patent applications, and proprietary product and process-oriented technologies within all</w:t>
      </w:r>
      <w:r>
        <w:rPr>
          <w:rFonts w:ascii="Arial" w:cs="Arial" w:eastAsia="Arial" w:hAnsi="Arial"/>
          <w:sz w:val="16"/>
          <w:szCs w:val="16"/>
          <w:i w:val="1"/>
          <w:iCs w:val="1"/>
          <w:color w:val="auto"/>
        </w:rPr>
        <w:t xml:space="preserve"> </w:t>
      </w:r>
      <w:r>
        <w:rPr>
          <w:rFonts w:ascii="Arial" w:cs="Arial" w:eastAsia="Arial" w:hAnsi="Arial"/>
          <w:sz w:val="16"/>
          <w:szCs w:val="16"/>
          <w:color w:val="auto"/>
        </w:rPr>
        <w:t>three of our reportable segments. We have, and will continue to dedicate, technical resources toward the further development of our products and processes in order to maintain our competitive position in the industrial, commercial and consumer end markets that we serve. Estimated useful lives for our technology intangibles range from one to 30 years and are determined in part by any legal, regulatory or contractual provisions that limit useful life. For example, patent rights have a maximum limit of 20 years in the United States. Other factors considered include the expected use of the technology by the operating groups, the expected useful life of the product and/or product programs to which the technology relates, and the rate of technology adoption by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Approximately 18.2% of our net sales for the year ended December 31, 2019 were derived from sales by our businesses located outside of the United States, and approximately 23.9% of our long-lived assets as of December 31, 2019 were located outside of the United States. We operate manufacturing facilities in China, Germany, India, Italy, Mexico, Slovakia, the United Kingdom and Vietnam, in addition to our U.S. operations. In addition to the net sales derived from sales by our businesses located outside of the United States, we also generated approximately $74.1 million of export sales from the United States. For information pertaining to the net sales and long-lived assets attributed to our international operations, refer to Note 19, "</w:t>
      </w:r>
      <w:r>
        <w:rPr>
          <w:rFonts w:ascii="Arial" w:cs="Arial" w:eastAsia="Arial" w:hAnsi="Arial"/>
          <w:sz w:val="17"/>
          <w:szCs w:val="17"/>
          <w:i w:val="1"/>
          <w:iCs w:val="1"/>
          <w:color w:val="auto"/>
        </w:rPr>
        <w:t>Segment Information</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within this Form 10-K.</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Company Reports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our corporate website, www.trimascorp.com, as a channel for routine distribution of important information, including news releases, company presentation, links to our businesses' websites and financial information. We post filings as soon as reasonably practicable after they are electronically filed with, or furnished to, the Securities and Exchange Commission ("SEC"), including our annual, quarterly, and current reports on Forms 10-K, 10-Q and 8-K, our proxy statements and any amendments to those reports or statements. All such postings and filings are available under our Investors section of the website free of charge. The SEC also maintains a website, www.sec.gov,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each of the risks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Additional risks and uncertainties not currently known to us or that we currently believe are immaterial may also impact our business operations, financial results and liquidity.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depend upon general economic conditions and we serve some customers in highly cyclical industries; as such, we may be subject to the loss of sales and margins due to an economic downturn or recession.</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financial performance depends, in large part, on conditions in the markets that we serve in both the U.S. and global economies. Although with the sale of Lamons we have significantly reduced our future exposure to the oil and gas end market, we still are exposed to highly cyclical end markets for industrial goods (including our remaining exposure in oil and gas), and to a lesser extent, aerospace and consumer products. When combined with ongoing customer consolidation activity and periodic inventory reduction initiatives, an uncertain macro-economic and political climate could lead to reduced demand from our customers, variations in timing of sales to our customers, increased price competition for our products, increased risk of excess and obsolete inventories, uncollectible receivables, and higher overhead costs as a percentage of revenue, all of which could impact our operating margins. If our customers are adversely affected by these factors, we may experience lower product volume orders, which could have an unfavorable impact on our revenue and operating profit. Our inability to forecast precisely the level of our customers’ orders can cause inefficiencies within our installed manufacturing capacity and result in sub-optimal business and financial results.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markets we serve are highly competitive, which could limit sales volumes and reduce our operating margins.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of our products are sold in competitive markets. We believe that the principal points of competition in our markets are price, product quality, delivery performance, design and engineering capabilities, product development, conformity to customer specifications, customer service and effectiveness of distribution. Maintaining and improving our competitive position will require continued investment by us in manufacturing, engineering, quality standards, marketing, customer service and support of our distribution networks. We may have insufficient resources in the future to continue to make such investments and, even if we make such investments, we may not be able to maintain or improve our competitive position. We also face the risk of lower-cost foreign manufacturers located in China, India and other regions competing in the markets for our products and we may be driven as a consequence of this competition to increase our investment overseas. Making overseas investments can be highly complicated and we may not always realize the advantages we anticipate from any such investments. Competitive pressure may limit the volume of products that we sell and reduce our operating margins.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implement our business strategies and achieve our strategic and financial objectives.</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 long history of acquisitions and divestitures, and we continuously evaluate strategic opportunities and other investment activities. From time to time, we may engage in one or more strategic transactions. If we do so, it may or may not meet the intended strategic or financial objective.</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Strategic acquisitions may require integration expense and actions that may negatively affect our results of operations and that could not have been fully anticipated beforehand. In addition, attractive strategic transaction opportunities may not be identified or pursued in the future, financing for strategic transactions may be unavailable on satisfactory terms and we may be unable to accomplish our strategic objectives in effecting a particular strategic transaction. We may encounter various risks in pursuing such strategic transactions, including the possible inability to integrate an acquired business into our operations, increased expenses, increased debt obligations to finance such strategic transactions and unanticipated problems or liabilities.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dispose of assets or businesses at a price or on terms that are less favorable than we had anticipated, or with the exclusion of assets that must be divested or run off separately. As we seek to sell or separate certain assets, equity interests or businesses, we may also encounter difficulty in finding buyers, managing interdependencies across multiple transactions and other Company initiatives, implementing separation plans or executing alternative exit strategies on acceptable terms, which could delay or prevent the accomplishment of our strategic and financial objectives. Moreover, the effect of dispositions over time will reduce our cash flow and earnings capacity and result in a less diversified portfolio of businesses, and we will have a greater dependency on remaining businesses for our financial results.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Accordingly, risks related to strategic acquisitions or dispositions may result in the disruption of our ongoing business, diversion of management’s attention, the failure of such transactions to be completed, or the failure to realize the financial and strategic benefits contemplated at the time of a transaction, some or all of which could materially and adversely affect our business strategy and financial condition and results of operations.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dependent on our manufacturing facilities for the production of our highly engineered products, which subjects us to risks associated with disruptions and changing technology and manufacturing techniques that could place us at a competitive disadvantage.</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manufacturing facilities become unavailable either temporarily or permanently due to labor disruptions or circumstances beyond our control, such as geopolitical developments or logistical complications arising from acts of war, cyber-attacks, weather, global climate change, earthquakes or other natural disasters including public health crises, we may be unable to shift production to other facilities or to make up for lost production. For example, our Aerospace manufacturing facilities are predominately located in southern California, an area known for earthquakes, and are thus vulnerable to damage. Any new facility would need to comply with the necessary regulatory requirements, satisfy our specialized manufacturing requirements and require specialized equipment.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believe that our customers rigorously evaluate their suppliers on the basis of price competitiveness, product quality, reliability and timeliness of delivery, technical expertise and development capability, new product innovation, product design capability, manufacturing expertise, operational flexibility, customer service and overall management. Our success depends on our ability to continue to meet our customers’ changing expectations with respect to these criteria. We may be unable to install, maintain and certify equipment needed to produce products or upgrade or transition our manufacturing facilities without impacting production rates or requiring other operational efficiency measures at our facilities. We anticipate that we will remain committed to product research and development, advanced manufacturing techniques and service to remain competitive, which entails significant costs; however, we may be unable to address technological advances, implement new and more cost-effective manufacturing techniques, or introduce new or improved products, whether in existing or new markets, so as to maintain our businesses’ competitive positions or to grow our businesses as desired.</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developments from the recent and potential changes in U.S. trade policies could have a material adverse effect on us and our financial condition and results of operations.</w:t>
      </w:r>
    </w:p>
    <w:p>
      <w:pPr>
        <w:spacing w:after="0" w:line="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Free trade laws and regulations provide certain duties and tariffs on qualifying imports and exports, subject to compliance with the applicable classification and other requirements. The U.S. government has indicated its intent to alter its approach to international trade policy and in some cases to renegotiate, or potentially terminate, certain existing bilateral or multi-lateral trade agreements and treaties with foreign countries. For example, in the past two years, the U.S. government implemented additional tariffs on certain goods imported from China. These tariffs, and other governmental actions relating to international trade agreements or policies, the adoption and expansion of trade restrictions, or the occurrence of a trade war may adversely impact demand for our products, costs, customers, suppliers and/or the U.S. economy or certain sectors thereof and, as a result, adversely impact our business. These tariffs and actions may, directly or indirectly, lead to higher costs and cause us to increase prices to our customers which may reduce demand, or, if we are unable to increase prices, result in lowering our margin on products sold. For example, in the past two years, we experienced higher input costs as a direct result of recently imposed tariffs on certain raw materials and components imported from China. In certain cases, we have passed-through these incremental costs to the customer, while in some cases we have not changed pricing to retain or expand volume, and in other cases we are working to install capacity in facilities where there currently is no tariff. In addition, our U.S. suppliers raised prices for certain components in response to an overall increase in demand for domestic sources as a result of recently imposed tariffs. It remains unclear what the U.S. or foreign governments will or will not do with respect to tariffs, international trade agreements and policies on a short-term or long-term basis. Additional changes in laws or policies governing the terms of foreign trade, and in particular increased trade restrictions, tariffs or taxes on imports from countries where we manufacture or purchase products could have a material adverse effect on our business and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our raw material or energy costs or the loss of critical suppliers could adversely affect our profitability and other financial results.</w:t>
      </w:r>
    </w:p>
    <w:p>
      <w:pPr>
        <w:spacing w:after="0" w:line="3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sensitive to price movements in our raw materials supply base. Our largest material purchases are for steel, polypropylene, polyethylene and other resins, aluminum, titanium and copper. Prices for these products fluctuate with market conditions, and have generally increased over time. We may be unable to offset the impact with price increases on a timely basis due to outstanding commitments to our customers, competitive considerations or our customers’ resistance to accepting such price increases and our financial performance could be adversely impacted. A failure by our suppliers to continue to supply us with certain raw materials or component parts on commercially reasonable terms, or at all, could have a material adverse effect on us. To the extent there are energy supply disruptions or material fluctuations in energy costs, our margins could be materially adversely impacted.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exposed to risks associated with an increasingly concentrated customer base.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no individual customer accounted for 10% or more of our consolidated net sales for 2019, 2018 or 2017, our customer base has become, and may further become, increasingly concentrated as a result of our smaller revenue base following the sale of Lamons, or due to customer consolidations and/or through our sales growth to existing customers. In 2019, our Packaging and Aerospace reportable segments each had customers that comprised more than 10% of its segment revenue. As a result of these factors, certain customers may expose our business and results of operations to greater volatility. For example, a large commercial aircraft manufacturer recently announced significant production delays and/or reductions on certain of its platforms for which we provide products, which we expect will at least temporarily impact our sales, profit and production efficiencies compared with 2019 levels until and if these delays and/or reductions are lifted.</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mix and type of customers, and sales to any single customer, may vary significantly from quarter to quarter and from year to year, and have a significant impact on our financial condition, results of operations and cash flows. If customers do not place orders, or they substantially reduce, delay or cancel orders, we may not be able to replace the business, which may have a significant adverse impact on our results of operations and financial condition. Major customers may also seek pricing, payment, intellectual property-related, localizing supply rather than sourcing from Asia, or other commercial terms that are less favorable to us, which may have a negative impact on our business. The concentration of our customer base also increases our risks related to the financial condition of our customers, and the deterioration in financial condition of customers or the failure of customers to perform their obligations could have a material adverse effect on our results of operations and cash flows.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major failure of our information systems could harm our business; increased IT security threats and more sophisticated and targeted computer crime could pose a risk to our systems, networks, and products.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integrated information systems to conduct our business. While we maintain some of our critical information systems, we are also dependent on third parties to provide important services relating to, among other things, operational technology at our facilities, human resources, electronic communications and certain finance functions. We may experience operating problems with our information systems as a result of system failures, viruses, computer hackers or other causes. Any significant disruption or slowdown of our systems could cause customers to cancel orders or cause standard business processes to become inefficient or ineffective.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experienced cyber-attacks in the past and, while none of these cyber-attacks resulted in a material disruption to our business, we may experience additional cyber-attacks in the future. Increased global IT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networks and systems remain potentially vulnerable to advanced persistent threats. Furthermore, we may have little or no oversight with respect to security measures employed by third-party service providers, which may ultimately prove to be ineffective at countering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1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deliver products that satisfy customer requirements is dependent on the performance of our subcontractors and suppliers, as well as on the availability of raw materials and other components.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other companies, including subcontractors and suppliers, to provide and produce raw materials, integrated components and sub-assemblies and production commodities included in, or used in the production of, our products. If one or more of our suppliers or subcontractors experiences delivery delays or other performance problems, we may be unable to meet commitments to our customers or incur additional costs and penalties. In some instances, we depend upon a single source of supply. Any service disruption from one of these suppliers, either due to circumstances beyond the supplier’s control, such as geopolitical developments or logistical complications due to weather, global climate change, earthquakes or other natural disasters, or as a result of performance problems or financial difficulties, could have a material adverse effect on our ability to meet commitments to our customers or increase our operating costs.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intangible assets, and future impairment of our goodwill and intangible assets could have a material negative impact on our financial results.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our goodwill and intangible assets were approximately $496.0 million and represented approximately 41.6% of our total assets. If we experience declines in sales and operating profit or do not meet our current and forecasted operating budget, we may be subject to goodwill and/or other intangible asset impairments in the future. While the fair value of our remaining goodwill exceeds its carrying value, significantly worse financial performance of our businesses, significantly different assumptions regarding future performance of our businesses or significant declines in our stock price could result in future impairment losses. Because of the significance of our goodwill and intangible assets, and based on the magnitude of historical impairment charges, any future impairment of these assets could have a material adverse effect on our financial results.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Compliance with and changes in tax laws, including tax reform legislation in the United States, could materially and adversely impact our financial condition, results of operations and cash flows.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extensive tax liabilities, including federal, state and foreign income taxes and transactional taxes such as excise, sales and use, payroll, franchise, withholding and property taxes. Many tax liabilities are subject to periodic audits by taxing authorities, and such audits could subject us to additional tax as well as interest and penalties. New tax laws and regulations and changes in existing tax laws and regulations could result in increased expenditures by us for tax liabilities in the future and could materially and adversely impact our financial condition, results of operations and cash flows.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2017 Tax Cuts and Jobs Act included substantial changes to U.S. tax law, including a reduction in the corporate tax rate, a limitation on deductibility of interest expense, a limitation on the use of net operating losses to offset future taxable income, the allowance of immediate expensing of capital expenditures and deemed repatriation of foreign earnings. The Company recorded charges of approximately $12.3 million, net, between 2017 and 2018 as a result of adopting the 2017 Tax Cuts and Jobs Act. Any future clarification of the tax law or required change in these charges could adversely affect the Company's business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debt principal and interest payment requirements that may restrict our future operations and impair our ability to meet our obligations.</w:t>
      </w: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have approximately $294.7 million of outstanding debt. We are subject to variable interest rates on our revolving credit facility. Such interest rates are based on the London Interbank Offered Rate ("LIBOR") plus 1.50%. We may experience increases in our interest expense as a result of general increases in interest rate levels, which could be affected by the replacement of LIBOR as the benchmark interest rate. We have no amounts outstanding under our revolving credit facility as of December 31,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degree of leverage and level of interest expense may have important consequences, including:</w:t>
      </w:r>
    </w:p>
    <w:p>
      <w:pPr>
        <w:spacing w:after="0" w:line="279" w:lineRule="exact"/>
        <w:rPr>
          <w:sz w:val="20"/>
          <w:szCs w:val="20"/>
          <w:color w:val="auto"/>
        </w:rPr>
      </w:pPr>
    </w:p>
    <w:p>
      <w:pPr>
        <w:ind w:left="980" w:right="20" w:hanging="648"/>
        <w:spacing w:after="0" w:line="277"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should our leverage increase, it may place us at a competitive disadvantage as compared with our less leveraged competitors and make us more vulnerable in the event of a downturn in general economic conditions or in any of our businesses;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businesses and the industries in which we operate may be limited;</w:t>
      </w:r>
    </w:p>
    <w:p>
      <w:pPr>
        <w:spacing w:after="0" w:line="279" w:lineRule="exact"/>
        <w:rPr>
          <w:rFonts w:ascii="Arial" w:cs="Arial" w:eastAsia="Arial" w:hAnsi="Arial"/>
          <w:sz w:val="18"/>
          <w:szCs w:val="18"/>
          <w:color w:val="auto"/>
        </w:rPr>
      </w:pPr>
    </w:p>
    <w:p>
      <w:pPr>
        <w:ind w:left="980" w:hanging="648"/>
        <w:spacing w:after="0" w:line="264"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will be dedicated to the payment of annual interest and future principal obligations on our indebtedness, thereby reducing the funds available to us for operations, capital expenditures, acquisitions, future business opportunities or obligations to pay rent in respect of our operating leases; and</w:t>
      </w:r>
    </w:p>
    <w:p>
      <w:pPr>
        <w:spacing w:after="0" w:line="235" w:lineRule="exact"/>
        <w:rPr>
          <w:rFonts w:ascii="Arial" w:cs="Arial" w:eastAsia="Arial" w:hAnsi="Arial"/>
          <w:sz w:val="18"/>
          <w:szCs w:val="18"/>
          <w:color w:val="auto"/>
        </w:rPr>
      </w:pPr>
    </w:p>
    <w:p>
      <w:pPr>
        <w:ind w:left="980" w:hanging="648"/>
        <w:spacing w:after="0" w:line="264" w:lineRule="auto"/>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restricted by our debt instruments, which contain certain financial and operating covenants, and those restrictions may limit, among other things, our ability to borrow money in the future for working capital, capital expenditures, acquisitions, rent expense or other purposes.</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service our debt and other obligations will depend on our future operating performance, which will be affected by prevailing economic conditions and financial, business and other factors, many of which are beyond our control. Our business may not generate sufficient cash flow, and future financings may not be available to provide sufficient net proceeds, to meet these obligations or to successfully execute our business strategies. See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instruments limit our ability to take certain actions and breaches thereof could impair our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the indenture governing our senior notes contain covenants that restrict our ability to:</w:t>
      </w:r>
    </w:p>
    <w:p>
      <w:pPr>
        <w:spacing w:after="0" w:line="14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redeem or repurchase capital stock;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indebtedness and grant liens;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acquisitions and joint venture investments;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instruments also require us to comply with financial covenants relating to, among other things, interest coverage and leverage. We may not be able to satisfy these covenants in the future or be able to pursue our strategies within the constraints of these covenants. Substantially all of the assets of our domestic subsidiaries are pledged as collateral. Borrowings under the foreign currency sub limit are secured by a pledge of the assets of the foreign subsidiary borrowers that are party to our revolving credit facility. A breach of a covenant contained in our debt instruments could result in an event of default under one or more of our debt instruments and our lease financing arrangements. Such breaches would permit the lenders to declare all amounts borrowed thereunder to be due and payable, and the commitments of such lenders to make further extensions of credit could be terminated. Each of these circumstances could materially and adversely impair our liquidity.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liability associated with the use of products for which patent ownership or other intellectual property rights are claimed.</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 subject to claims or inquiries regarding alleged unauthorized use of a third party’s intellectual property. An adverse outcome in any intellectual property litigation could subject us to significant liabilities to third parties, require us to license technology or other intellectual property rights from others, require us to comply with injunctions to cease marketing or using certain products or brands, or require us to redesign, re-engineer, or re-brand certain products or packaging, any of which could affect our business, financial condition and operating results. If we are required to seek licenses under patents or other intellectual property rights of others, we may not be able to acquire these licenses on acceptable terms, if at all. In addition, the cost of responding to an intellectual property infringement claim, in terms of legal fees and expenses and the diversion of management resources, whether or not the claim is valid, could have a material adverse effect on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protect our intellectual property.</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we believe that our patents, trademarks, know how and other intellectual property have significant value, it is uncertain that this intellectual property or any intellectual property acquired or developed by us in the future, will provide a meaningful competitive advantage. Our patents or pending applications may be challenged, invalidated or circumvented by competitors or rights granted thereunder may not provide meaningful proprietary protection. Moreover, competitors may infringe on our patents or successfully avoid them through design innovation. Policing unauthorized use of our intellectual property is difficult and expensive, and we may not be able to, or have the resources to, prevent misappropriation of our proprietary rights, particularly in countries where the laws may not protect such rights as fully as in the U.S. The cost of protecting our intellectual property may be significant and have a material adverse effect on our financial condition and future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losses and costs as a result of product liability, recall and warranty claims brought against us.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subject to a variety of litigation incidental to our businesses, including claims for damages arising out of use of our products, claims relating to intellectual property matters and claims involving employment matters and commercial disputes. We currently carry insurance and maintain reserves for potential product liability claims. However, our insurance coverage may be inadequate if such claims do arise and any liability not covered by insurance could have a material adverse effect on our business. Although we have been able to obtain insurance in amounts we believe to be appropriate to cover such liability to date, our insurance premiums may increase in the future as a consequence of conditions in the insurance business generally or our situation in particular. Any such increase could result in lower operating profit or cause the need to reduce our insurance coverage. In addition, a future claim may be brought against us that could have a material adverse effect on us. Any product liability claim may also include the imposition of punitive damages, the award of which, pursuant to certain state laws, may not be covered by insurance. Our product liability insurance policies have limits that, if exceeded, may result in material costs that could have an adverse effect on our future profitability. In addition, warranty claims are generally not covered by our product liability insurance. Further, any product liability or warranty issues may adversely affect our reputation as a manufacturer of high-quality, safe products, divert management’s attention, and could have a material adverse effect on our business.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former Lamons business is a party to lawsuits related to asbestos contained in gaskets formerly manufactured by it or its predecessors. While we sold the Lamons business in December 2019, we retained the asbestos-related liability exposure. Some of this litigation includes claims for punitive and consequential as well as compensatory damages. We are not able to predict the outcome of these matters given that, among other things, claims may be initially made in jurisdictions without specifying the amount sought or by simply stating the minimum or maximum permissible monetary relief, and may be amended to alter the amount sought. Of the 4,759 claims pending at December 31, 2019, 56 set forth specific amounts of damages (other than those stating the statutory minimum or maximum). See Note 14,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within this Form 10-K for additional information.</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settlement costs (exclusive of defense costs) for all such cases, some of which were filed over 25 years ago, have been approximately $9.4 million. All relief sought in the asbestos cases is monetary in nature. To date, approximately 40% of our costs related to settlement and defense of asbestos litigation have been covered by our primary insurance. Effective February 14, 2006, we entered into a coverage-in-place agreement with our first level excess carriers regarding the coverage to be provided to us for asbestos-related claims when the primary insurance is exhausted. The coverage-in-place agreement makes asbestos defense costs and indemnity insurance coverage available to us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 During this period, we may incur significant litigation costs in defending these matters. We also may be required to incur additional defense costs and pay damage awards or settlements or become subject to equitable remedies in the future that could adversely affect our businesses.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materially and adversely affected by compliance obligations and liabilities under environmental laws and regulations.</w:t>
      </w:r>
    </w:p>
    <w:p>
      <w:pPr>
        <w:spacing w:after="0" w:line="2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our operations and our long history of industrial activities at certain of our current or former facilities, as well as those acquired, could potentially result in material environmental liabilities.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must comply with existing and pending climate change legislation, regulation and international treaties or accords, current laws and regulations have not had a material impact on our business, capital expenditures or financial position. Future events, including those relating to climate change or greenhouse gas regulation, could require us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borrowing costs may be impacted by our credit ratings developed by various rating agencies.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major ratings agencies, Standard &amp; Poor’s and Moody’s, evaluate our credit profile on an ongoing basis and have each assigned ratings for our long-term debt. If our credit ratings were to decline, our ability to access certain financial markets may become limited, the perception of us in the view of our customers, suppliers and security holders may worsen and as a result, we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operating lease obligations and our failure to meet those obligations could adversely affect our financial condition.</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lease many of our manufacturing and distribution branch facilities, and certain capital equipment. Our rental expense in 2019 under these operating leases was approximately $7.5 million. A failure to pay our rental obligations would constitute a default allowing the applicable landlord to pursue any remedy available to it under applicable law, which would include taking possession of our property and, in the case of real property, evicting us. These leases are categorized as operating leases and are not considered indebtedness for purposes of our debt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Trends in oil and natural gas prices may affect the demand for, and profitability of, our energy-related products and services, which could have an adverse effect on our business, consolidated results of operations, and consolidated financial condition.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 and gas industry historically has experienced periodic downturns. Demand for our energy-related products, such as pump jack engines and compressors, is sensitive to the level of production activity of, and the corresponding capital spending by, oil and natural gas companies. The level of production activity is directly affected by trends in oil (and related derivatives) and natural gas prices, which have been at lower levels over the past four years, and may continue to remain at depressed levels and be subject to future volatility.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Prices for oil and natural gas are subject to large fluctuations in response to changes in the supply of and demand for oil and natural gas, market uncertainty, geopolitical developments, alternative production methods and a variety of other factors that are beyond our control. Even the perception of longer-term lower oil and natural gas prices can reduce or defer major capital expenditures by our customers in the oil and gas industry.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further unionization and work stoppages at our facilities or our customers may be subject to work stoppages, which could seriously impact the profitability of our business.</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approximately 22% of our work force was unionized under several different unions and bargaining agreements. We have collective bargaining agreements covering five facilities worldwide, one of which is in the United States. Our labor agreement with the United Automobile, Aerospace and Agricultural Implement Workers of America at our TriMas Aerospace facility in Commerce, California expires in 2021. We are not aware of any present active union organizing drives at any of our other facilities. We cannot predict the impact of any further unionization of our workplace.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direct or indirect customers have unionized work forces. Strikes, work stoppages or slowdowns experienced by these customers or their suppliers could result in slowdowns or closures of assembly plants where our products are included. In addition, organizations responsible for shipping our customers' products may be impacted by occasional strikes or other activity. Any interruption in delivery of our customers' products may reduce demand for our products and have a material adverse effect on us.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costs for active employees may exceed projections and may negatively affect our financial results.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range of healthcare benefits for our active employees pursuant to labor contracts and otherwise. Healthcare benefits for active employees are provided through comprehensive hospital, surgical and major medical benefit provisions or through health maintenance organizations, all of which are subject to various cost-sharing features. Some of these benefits are provided for in fixed amounts negotiated in labor contracts with the respective unions. If our costs under our benefit programs for active employees exceed our projections, our business and financial results could be materially adversely affected. Additionally, foreign competitors and many domestic competitors provide fewer benefits to their employees, and this difference in cost could adversely impact our competitive position.</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international sources, which exposes us to certain risks which may adversely affect our financial results and impact our ability to service debt.</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operations outside of the United States. Approximately 18.2% of our net sales for the year ended December 31, 2019 were derived from sales by our subsidiaries located outside of the U.S. In addition, we may expand our international operations through internal growth or acquisitions. International operations, particularly sales to emerging markets and manufacturing in non-U.S. countries, are subject to risks that are not present within U.S. markets, which include, but are not limited to, the following:</w:t>
      </w:r>
    </w:p>
    <w:p>
      <w:pPr>
        <w:spacing w:after="0" w:line="10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of currency exchange between the U.S. dollar and currencies in international markets;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local government regulations and policies including, but not limited to, foreign currency exchange controls or monetary policy, governmental embargoes, repatriation of earnings, expropriation of property, duty or tariff restrictions, investment limitations and tax policies;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 including labor unrest, civil strife, public health crises (including viral outbreaks such as the coronavirus), acts of war, guerrilla activities, insurrection and terrorism;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compliance with international trade laws and regulations, including export control and economic sanctions, such as anti-dumping duties;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inefficiencies in repatriating cash flow from non-U.S. subsidiaries that could affect our financial results and reduce our ability to service debt;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could be adversely affected by violations of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acquisition and disposition agreements by which we have acquired or sold companies, include indemnification provisions that may not fully protect us and may result in unexpected liabilities.</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agreements related to the acquisition and disposition of businesses require indemnification against certain liabilities related to the operations of the company for the previous owner. We cannot be assured that any of these indemnification provisions will fully protect us, and as a result we may incur unexpected liabilities that adversely affect our profitability and financial position.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individuals and relationships, the loss of which could materially harm 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will depend, in part, on the efforts of our key leadership, including key technical, commercial and manufacturing personnel. Our future success will also depend on, among other factors, our ability to retain or attract other qualified personnel. The loss of the services of any of our key employees or the failure to retain or attract employees could have a material adverse effect on us.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Economic conditions and regulatory changes following the United Kingdom's exit from the European Union could have a material adverse effect on our business and results of operations.</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United Kingdom's exit from the European Union and the resulting significant change to the United Kingdom's relationship with the European Union and with countries outside the European Union (and the laws, regulations and trade deals impacting business conducted between them) could disrupt the overall economic growth or stability of the United Kingdom and the European Union and negatively impact our operations. The United Kingdom exited the European Union on January 31, 2020. The United Kingdom is currently in a transition period that will expire on December 31, 2020.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equity shares. We operate manufacturing facilities internationally, including in the United Kingdom. Accordingly, the United Kingdom's withdrawal from the European Union may have an adverse impact on our international operations, particularly in the United Kingdom.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ability to do business, and results of operations may be impaired by legal compliance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strive to maintain high standards, our internal controls and compliance systems may not always protect us from acts committed by our employees, agents, or business partners that would violate U.S. and/or non-U.S. laws or adequately protect our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allegations, violations of law or improper actions could subject us to civil or criminal investigations in the U.S. and in other jurisdictions, could lead to substantial civil or criminal, monetary and non-monetary penalties, and related shareholder lawsuits, could lead to increased costs of compliance, could damage our reputation and could have a material effect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Cequent spin-off does not qualify as a tax-free transaction, the Company and its shareholders could be subject to substantial tax liabilities.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separation of our former Cequent businesses from TriMas in 2015 was conditioned on our receipt of an opinion from our tax advisors, in form and substance satisfactory to us, that the distribution of shares of our Cequent businesses in the spin-off qualifies as tax-free to the Cequent businesses, the Company and our shareholders for U.S. federal income tax purposes under Sections 355 and 368(a)(1)(D) and related provisions of the U.S. Internal Revenue Code of 1986, as amended (the “Code”), the Company and other members of our consolidated tax reporting group. The opinion relied on, among other things, various assumptions and representations as to factual matters made by the Company and the Cequent businesses which, if inaccurate or incomplete in any material respect, could jeopardize the conclusions reached by our advisor in its opinion. The opinion is not binding on the Internal Revenue Service (“IRS”), or the courts, and there is no assurance that the IRS or the courts will not challenge the qualification of the spin-off as a transaction under Sections 355 and 368(a) of the Code or that any such challenge would not prevail.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spin-off were determined not to qualify under Section 355 of the Code, each U.S. holder of our common shares who received shares of the Cequent businesses in connection with the spin-off would generally be treated as having received a taxable distribution of property in an amount equal to the fair market value of the shares of the Cequent businesses that were received. That distribution would be taxable to each such shareholder as a dividend to the extent of our current and accumulated earnings and profits. For each such shareholder, any amount that exceeded our earnings and profits would be treated first as a non-taxable return of capital to the extent of such shareholder’s tax basis in his or her common shares of the Company with any remaining amount being taxed as a capital gain. We would be subject to tax as if we had sold common shares in a taxable sale for their fair market value and we would recognize taxable gain in an amount equal to the excess of the fair market value of such common shares over our tax basis in such common shares, which could have a material adverse impact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principal manufacturing facilities range in size from approximately 10,000 square feet to approximately 255,000 square feet. Except as set forth in the table below, all of our manufacturing facilities are owned. The leases for our manufacturing facilities have terms that expire from 2020 through 2029 and are generally renewable, at our option, for various terms, provided that we are not in default under the lease agreements. Substantially all of our owned U.S. real properties are subject to liens in connection with our credit facility. Our executive offices are located in Bloomfield Hills, Michigan under a lease through February 2028. Our buildings have been generally well maintained, are in good operating condition and are adequate for current production requirements.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list sets forth the location of our principal owned and leased manufacturing and other facilities used in continuing operations and identifies the principal reportable segment utilizing such facilities as of December 31,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Packaging</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Aerospace</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7"/>
              </w:rPr>
              <w:t>Specialty Products</w:t>
            </w:r>
          </w:p>
        </w:tc>
      </w:tr>
      <w:tr>
        <w:trPr>
          <w:trHeight w:val="27"/>
        </w:trPr>
        <w:tc>
          <w:tcPr>
            <w:tcW w:w="33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United States:</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620"/>
              <w:spacing w:after="0"/>
              <w:rPr>
                <w:sz w:val="20"/>
                <w:szCs w:val="20"/>
                <w:color w:val="auto"/>
              </w:rPr>
            </w:pPr>
            <w:r>
              <w:rPr>
                <w:rFonts w:ascii="Arial" w:cs="Arial" w:eastAsia="Arial" w:hAnsi="Arial"/>
                <w:sz w:val="18"/>
                <w:szCs w:val="18"/>
                <w:color w:val="auto"/>
              </w:rPr>
              <w:t>Alabama</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4"/>
              </w:rPr>
              <w:t>Huntsville</w:t>
            </w: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Arkansas</w:t>
            </w:r>
          </w:p>
        </w:tc>
        <w:tc>
          <w:tcPr>
            <w:tcW w:w="274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9"/>
              </w:rPr>
              <w:t>Atkins</w:t>
            </w:r>
            <w:r>
              <w:rPr>
                <w:rFonts w:ascii="Arial" w:cs="Arial" w:eastAsia="Arial" w:hAnsi="Arial"/>
                <w:sz w:val="25"/>
                <w:szCs w:val="25"/>
                <w:color w:val="auto"/>
                <w:w w:val="89"/>
                <w:vertAlign w:val="superscript"/>
              </w:rPr>
              <w:t>(1)</w:t>
            </w: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Arizona</w:t>
            </w:r>
          </w:p>
        </w:tc>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83"/>
              </w:rPr>
              <w:t>Tempe</w:t>
            </w:r>
            <w:r>
              <w:rPr>
                <w:rFonts w:ascii="Arial" w:cs="Arial" w:eastAsia="Arial" w:hAnsi="Arial"/>
                <w:sz w:val="25"/>
                <w:szCs w:val="25"/>
                <w:color w:val="auto"/>
                <w:w w:val="83"/>
                <w:vertAlign w:val="superscript"/>
              </w:rPr>
              <w:t>(1)</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Tolleson</w:t>
            </w: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California</w:t>
            </w:r>
          </w:p>
        </w:tc>
        <w:tc>
          <w:tcPr>
            <w:tcW w:w="274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0"/>
              </w:rPr>
              <w:t>Irwindale</w:t>
            </w:r>
            <w:r>
              <w:rPr>
                <w:rFonts w:ascii="Arial" w:cs="Arial" w:eastAsia="Arial" w:hAnsi="Arial"/>
                <w:sz w:val="25"/>
                <w:szCs w:val="25"/>
                <w:color w:val="auto"/>
                <w:w w:val="90"/>
                <w:vertAlign w:val="superscript"/>
              </w:rPr>
              <w:t>(1)</w:t>
            </w:r>
          </w:p>
        </w:tc>
        <w:tc>
          <w:tcPr>
            <w:tcW w:w="2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City of Industry</w:t>
            </w:r>
          </w:p>
        </w:tc>
        <w:tc>
          <w:tcPr>
            <w:tcW w:w="2620" w:type="dxa"/>
            <w:vAlign w:val="bottom"/>
            <w:shd w:val="clear" w:color="auto" w:fill="CCEEFF"/>
          </w:tcPr>
          <w:p>
            <w:pPr>
              <w:jc w:val="center"/>
              <w:spacing w:after="0" w:line="228" w:lineRule="exact"/>
              <w:rPr>
                <w:sz w:val="20"/>
                <w:szCs w:val="20"/>
                <w:color w:val="auto"/>
              </w:rPr>
            </w:pPr>
            <w:r>
              <w:rPr>
                <w:rFonts w:ascii="Arial" w:cs="Arial" w:eastAsia="Arial" w:hAnsi="Arial"/>
                <w:sz w:val="18"/>
                <w:szCs w:val="18"/>
                <w:color w:val="auto"/>
                <w:w w:val="84"/>
              </w:rPr>
              <w:t>Stanton</w:t>
            </w:r>
            <w:r>
              <w:rPr>
                <w:rFonts w:ascii="Arial" w:cs="Arial" w:eastAsia="Arial" w:hAnsi="Arial"/>
                <w:sz w:val="25"/>
                <w:szCs w:val="25"/>
                <w:color w:val="auto"/>
                <w:w w:val="84"/>
                <w:vertAlign w:val="superscript"/>
              </w:rPr>
              <w:t>(1)</w:t>
            </w:r>
          </w:p>
        </w:tc>
      </w:tr>
      <w:tr>
        <w:trPr>
          <w:trHeight w:val="257"/>
        </w:trPr>
        <w:tc>
          <w:tcPr>
            <w:tcW w:w="334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center"/>
              <w:ind w:right="120"/>
              <w:spacing w:after="0" w:line="257" w:lineRule="exact"/>
              <w:rPr>
                <w:sz w:val="20"/>
                <w:szCs w:val="20"/>
                <w:color w:val="auto"/>
              </w:rPr>
            </w:pPr>
            <w:r>
              <w:rPr>
                <w:rFonts w:ascii="Arial" w:cs="Arial" w:eastAsia="Arial" w:hAnsi="Arial"/>
                <w:sz w:val="18"/>
                <w:szCs w:val="18"/>
                <w:color w:val="auto"/>
                <w:w w:val="86"/>
              </w:rPr>
              <w:t>Rohnert Park</w:t>
            </w:r>
            <w:r>
              <w:rPr>
                <w:rFonts w:ascii="Arial" w:cs="Arial" w:eastAsia="Arial" w:hAnsi="Arial"/>
                <w:sz w:val="25"/>
                <w:szCs w:val="25"/>
                <w:color w:val="auto"/>
                <w:w w:val="86"/>
                <w:vertAlign w:val="superscript"/>
              </w:rPr>
              <w:t>(1)</w:t>
            </w:r>
          </w:p>
        </w:tc>
        <w:tc>
          <w:tcPr>
            <w:tcW w:w="272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6"/>
              </w:rPr>
              <w:t>Commerce</w:t>
            </w:r>
            <w:r>
              <w:rPr>
                <w:rFonts w:ascii="Arial" w:cs="Arial" w:eastAsia="Arial" w:hAnsi="Arial"/>
                <w:sz w:val="25"/>
                <w:szCs w:val="25"/>
                <w:color w:val="auto"/>
                <w:w w:val="86"/>
                <w:vertAlign w:val="superscript"/>
              </w:rPr>
              <w:t>(1)</w:t>
            </w:r>
          </w:p>
        </w:tc>
        <w:tc>
          <w:tcPr>
            <w:tcW w:w="2620" w:type="dxa"/>
            <w:vAlign w:val="bottom"/>
            <w:shd w:val="clear" w:color="auto" w:fill="CCEEFF"/>
          </w:tcPr>
          <w:p>
            <w:pPr>
              <w:spacing w:after="0"/>
              <w:rPr>
                <w:sz w:val="22"/>
                <w:szCs w:val="22"/>
                <w:color w:val="auto"/>
              </w:rPr>
            </w:pPr>
          </w:p>
        </w:tc>
      </w:tr>
      <w:tr>
        <w:trPr>
          <w:trHeight w:val="229"/>
        </w:trPr>
        <w:tc>
          <w:tcPr>
            <w:tcW w:w="3340" w:type="dxa"/>
            <w:vAlign w:val="bottom"/>
          </w:tcPr>
          <w:p>
            <w:pPr>
              <w:ind w:left="620"/>
              <w:spacing w:after="0"/>
              <w:rPr>
                <w:sz w:val="20"/>
                <w:szCs w:val="20"/>
                <w:color w:val="auto"/>
              </w:rPr>
            </w:pPr>
            <w:r>
              <w:rPr>
                <w:rFonts w:ascii="Arial" w:cs="Arial" w:eastAsia="Arial" w:hAnsi="Arial"/>
                <w:sz w:val="18"/>
                <w:szCs w:val="18"/>
                <w:color w:val="auto"/>
              </w:rPr>
              <w:t>Indiana</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Auburn</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57"/>
        </w:trPr>
        <w:tc>
          <w:tcPr>
            <w:tcW w:w="3340" w:type="dxa"/>
            <w:vAlign w:val="bottom"/>
          </w:tcPr>
          <w:p>
            <w:pPr>
              <w:spacing w:after="0"/>
              <w:rPr>
                <w:sz w:val="22"/>
                <w:szCs w:val="22"/>
                <w:color w:val="auto"/>
              </w:rPr>
            </w:pPr>
          </w:p>
        </w:tc>
        <w:tc>
          <w:tcPr>
            <w:tcW w:w="2740" w:type="dxa"/>
            <w:vAlign w:val="bottom"/>
            <w:gridSpan w:val="2"/>
          </w:tcPr>
          <w:p>
            <w:pPr>
              <w:jc w:val="center"/>
              <w:ind w:right="120"/>
              <w:spacing w:after="0" w:line="257" w:lineRule="exact"/>
              <w:rPr>
                <w:sz w:val="20"/>
                <w:szCs w:val="20"/>
                <w:color w:val="auto"/>
              </w:rPr>
            </w:pPr>
            <w:r>
              <w:rPr>
                <w:rFonts w:ascii="Arial" w:cs="Arial" w:eastAsia="Arial" w:hAnsi="Arial"/>
                <w:sz w:val="18"/>
                <w:szCs w:val="18"/>
                <w:color w:val="auto"/>
                <w:w w:val="89"/>
              </w:rPr>
              <w:t>Hamilton</w:t>
            </w:r>
            <w:r>
              <w:rPr>
                <w:rFonts w:ascii="Arial" w:cs="Arial" w:eastAsia="Arial" w:hAnsi="Arial"/>
                <w:sz w:val="25"/>
                <w:szCs w:val="25"/>
                <w:color w:val="auto"/>
                <w:w w:val="89"/>
                <w:vertAlign w:val="superscript"/>
              </w:rPr>
              <w:t>(1)</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20" w:type="dxa"/>
            <w:vAlign w:val="bottom"/>
          </w:tcPr>
          <w:p>
            <w:pPr>
              <w:spacing w:after="0"/>
              <w:rPr>
                <w:sz w:val="22"/>
                <w:szCs w:val="22"/>
                <w:color w:val="auto"/>
              </w:rPr>
            </w:pP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Kansas</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Ottawa</w:t>
            </w:r>
          </w:p>
        </w:tc>
        <w:tc>
          <w:tcPr>
            <w:tcW w:w="2620" w:type="dxa"/>
            <w:vAlign w:val="bottom"/>
            <w:tcBorders>
              <w:bottom w:val="single" w:sz="8" w:color="CCEEFF"/>
            </w:tcBorders>
            <w:shd w:val="clear" w:color="auto" w:fill="CCEEFF"/>
          </w:tcPr>
          <w:p>
            <w:pPr>
              <w:spacing w:after="0"/>
              <w:rPr>
                <w:sz w:val="21"/>
                <w:szCs w:val="21"/>
                <w:color w:val="auto"/>
              </w:rPr>
            </w:pP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Ohio</w:t>
            </w:r>
          </w:p>
        </w:tc>
        <w:tc>
          <w:tcPr>
            <w:tcW w:w="2740" w:type="dxa"/>
            <w:vAlign w:val="bottom"/>
            <w:gridSpan w:val="2"/>
          </w:tcPr>
          <w:p>
            <w:pPr>
              <w:jc w:val="center"/>
              <w:ind w:right="120"/>
              <w:spacing w:after="0" w:line="270" w:lineRule="exact"/>
              <w:rPr>
                <w:sz w:val="20"/>
                <w:szCs w:val="20"/>
                <w:color w:val="auto"/>
              </w:rPr>
            </w:pPr>
            <w:r>
              <w:rPr>
                <w:rFonts w:ascii="Arial" w:cs="Arial" w:eastAsia="Arial" w:hAnsi="Arial"/>
                <w:sz w:val="18"/>
                <w:szCs w:val="18"/>
                <w:color w:val="auto"/>
                <w:w w:val="91"/>
              </w:rPr>
              <w:t>New Albany</w:t>
            </w:r>
            <w:r>
              <w:rPr>
                <w:rFonts w:ascii="Arial" w:cs="Arial" w:eastAsia="Arial" w:hAnsi="Arial"/>
                <w:sz w:val="25"/>
                <w:szCs w:val="25"/>
                <w:color w:val="auto"/>
                <w:w w:val="91"/>
                <w:vertAlign w:val="superscript"/>
              </w:rPr>
              <w:t>(1)</w:t>
            </w: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Oklahoma</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Tulsa</w:t>
            </w:r>
          </w:p>
        </w:tc>
      </w:tr>
      <w:tr>
        <w:trPr>
          <w:trHeight w:val="243"/>
        </w:trPr>
        <w:tc>
          <w:tcPr>
            <w:tcW w:w="3340" w:type="dxa"/>
            <w:vAlign w:val="bottom"/>
          </w:tcPr>
          <w:p>
            <w:pPr>
              <w:ind w:left="620"/>
              <w:spacing w:after="0"/>
              <w:rPr>
                <w:sz w:val="20"/>
                <w:szCs w:val="20"/>
                <w:color w:val="auto"/>
              </w:rPr>
            </w:pPr>
            <w:r>
              <w:rPr>
                <w:rFonts w:ascii="Arial" w:cs="Arial" w:eastAsia="Arial" w:hAnsi="Arial"/>
                <w:sz w:val="18"/>
                <w:szCs w:val="18"/>
                <w:color w:val="auto"/>
              </w:rPr>
              <w:t>Texas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7"/>
              </w:rPr>
              <w:t>Longview</w:t>
            </w: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China</w:t>
            </w:r>
          </w:p>
        </w:tc>
        <w:tc>
          <w:tcPr>
            <w:tcW w:w="2740" w:type="dxa"/>
            <w:vAlign w:val="bottom"/>
            <w:gridSpan w:val="2"/>
            <w:shd w:val="clear" w:color="auto" w:fill="CCEEFF"/>
          </w:tcPr>
          <w:p>
            <w:pPr>
              <w:jc w:val="center"/>
              <w:ind w:right="100"/>
              <w:spacing w:after="0" w:line="228" w:lineRule="exact"/>
              <w:rPr>
                <w:sz w:val="20"/>
                <w:szCs w:val="20"/>
                <w:color w:val="auto"/>
              </w:rPr>
            </w:pPr>
            <w:r>
              <w:rPr>
                <w:rFonts w:ascii="Arial" w:cs="Arial" w:eastAsia="Arial" w:hAnsi="Arial"/>
                <w:sz w:val="18"/>
                <w:szCs w:val="18"/>
                <w:color w:val="auto"/>
                <w:w w:val="91"/>
              </w:rPr>
              <w:t>Haining City</w:t>
            </w:r>
            <w:r>
              <w:rPr>
                <w:rFonts w:ascii="Arial" w:cs="Arial" w:eastAsia="Arial" w:hAnsi="Arial"/>
                <w:sz w:val="25"/>
                <w:szCs w:val="25"/>
                <w:color w:val="auto"/>
                <w:w w:val="91"/>
                <w:vertAlign w:val="superscript"/>
              </w:rPr>
              <w:t>(1)</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center"/>
              <w:ind w:right="100"/>
              <w:spacing w:after="0" w:line="257" w:lineRule="exact"/>
              <w:rPr>
                <w:sz w:val="20"/>
                <w:szCs w:val="20"/>
                <w:color w:val="auto"/>
              </w:rPr>
            </w:pPr>
            <w:r>
              <w:rPr>
                <w:rFonts w:ascii="Arial" w:cs="Arial" w:eastAsia="Arial" w:hAnsi="Arial"/>
                <w:sz w:val="18"/>
                <w:szCs w:val="18"/>
                <w:color w:val="auto"/>
                <w:w w:val="85"/>
              </w:rPr>
              <w:t>Hangzhou</w:t>
            </w:r>
            <w:r>
              <w:rPr>
                <w:rFonts w:ascii="Arial" w:cs="Arial" w:eastAsia="Arial" w:hAnsi="Arial"/>
                <w:sz w:val="25"/>
                <w:szCs w:val="25"/>
                <w:color w:val="auto"/>
                <w:w w:val="85"/>
                <w:vertAlign w:val="superscript"/>
              </w:rPr>
              <w:t>(1)</w:t>
            </w: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r>
      <w:tr>
        <w:trPr>
          <w:trHeight w:val="243"/>
        </w:trPr>
        <w:tc>
          <w:tcPr>
            <w:tcW w:w="3340" w:type="dxa"/>
            <w:vAlign w:val="bottom"/>
          </w:tcPr>
          <w:p>
            <w:pPr>
              <w:ind w:left="620"/>
              <w:spacing w:after="0"/>
              <w:rPr>
                <w:sz w:val="20"/>
                <w:szCs w:val="20"/>
                <w:color w:val="auto"/>
              </w:rPr>
            </w:pPr>
            <w:r>
              <w:rPr>
                <w:rFonts w:ascii="Arial" w:cs="Arial" w:eastAsia="Arial" w:hAnsi="Arial"/>
                <w:sz w:val="18"/>
                <w:szCs w:val="18"/>
                <w:color w:val="auto"/>
              </w:rPr>
              <w:t>Germany</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Neunkirchen</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29"/>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India</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Baddi</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center"/>
              <w:ind w:right="120"/>
              <w:spacing w:after="0" w:line="257" w:lineRule="exact"/>
              <w:rPr>
                <w:sz w:val="20"/>
                <w:szCs w:val="20"/>
                <w:color w:val="auto"/>
              </w:rPr>
            </w:pPr>
            <w:r>
              <w:rPr>
                <w:rFonts w:ascii="Arial" w:cs="Arial" w:eastAsia="Arial" w:hAnsi="Arial"/>
                <w:sz w:val="18"/>
                <w:szCs w:val="18"/>
                <w:color w:val="auto"/>
                <w:w w:val="91"/>
              </w:rPr>
              <w:t>New Delhi</w:t>
            </w:r>
            <w:r>
              <w:rPr>
                <w:rFonts w:ascii="Arial" w:cs="Arial" w:eastAsia="Arial" w:hAnsi="Arial"/>
                <w:sz w:val="25"/>
                <w:szCs w:val="25"/>
                <w:color w:val="auto"/>
                <w:w w:val="91"/>
                <w:vertAlign w:val="superscript"/>
              </w:rPr>
              <w:t>(1)</w:t>
            </w: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r>
      <w:tr>
        <w:trPr>
          <w:trHeight w:val="229"/>
        </w:trPr>
        <w:tc>
          <w:tcPr>
            <w:tcW w:w="3340" w:type="dxa"/>
            <w:vAlign w:val="bottom"/>
          </w:tcPr>
          <w:p>
            <w:pPr>
              <w:ind w:left="620"/>
              <w:spacing w:after="0"/>
              <w:rPr>
                <w:sz w:val="20"/>
                <w:szCs w:val="20"/>
                <w:color w:val="auto"/>
              </w:rPr>
            </w:pPr>
            <w:r>
              <w:rPr>
                <w:rFonts w:ascii="Arial" w:cs="Arial" w:eastAsia="Arial" w:hAnsi="Arial"/>
                <w:sz w:val="18"/>
                <w:szCs w:val="18"/>
                <w:color w:val="auto"/>
              </w:rPr>
              <w:t>Italy</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Forli</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Povolaro</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3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Mexico</w:t>
            </w:r>
          </w:p>
        </w:tc>
        <w:tc>
          <w:tcPr>
            <w:tcW w:w="274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90"/>
              </w:rPr>
              <w:t>San Miguel de Allende</w:t>
            </w:r>
            <w:r>
              <w:rPr>
                <w:rFonts w:ascii="Arial" w:cs="Arial" w:eastAsia="Arial" w:hAnsi="Arial"/>
                <w:sz w:val="25"/>
                <w:szCs w:val="25"/>
                <w:color w:val="auto"/>
                <w:w w:val="90"/>
                <w:vertAlign w:val="superscript"/>
              </w:rPr>
              <w:t>(1)</w:t>
            </w:r>
          </w:p>
        </w:tc>
        <w:tc>
          <w:tcPr>
            <w:tcW w:w="2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r>
      <w:tr>
        <w:trPr>
          <w:trHeight w:val="270"/>
        </w:trPr>
        <w:tc>
          <w:tcPr>
            <w:tcW w:w="3340" w:type="dxa"/>
            <w:vAlign w:val="bottom"/>
          </w:tcPr>
          <w:p>
            <w:pPr>
              <w:ind w:left="620"/>
              <w:spacing w:after="0"/>
              <w:rPr>
                <w:sz w:val="20"/>
                <w:szCs w:val="20"/>
                <w:color w:val="auto"/>
              </w:rPr>
            </w:pPr>
            <w:r>
              <w:rPr>
                <w:rFonts w:ascii="Arial" w:cs="Arial" w:eastAsia="Arial" w:hAnsi="Arial"/>
                <w:sz w:val="18"/>
                <w:szCs w:val="18"/>
                <w:color w:val="auto"/>
              </w:rPr>
              <w:t>Slovakia</w:t>
            </w:r>
          </w:p>
        </w:tc>
        <w:tc>
          <w:tcPr>
            <w:tcW w:w="2740" w:type="dxa"/>
            <w:vAlign w:val="bottom"/>
            <w:gridSpan w:val="2"/>
          </w:tcPr>
          <w:p>
            <w:pPr>
              <w:jc w:val="center"/>
              <w:ind w:right="100"/>
              <w:spacing w:after="0" w:line="270" w:lineRule="exact"/>
              <w:rPr>
                <w:sz w:val="20"/>
                <w:szCs w:val="20"/>
                <w:color w:val="auto"/>
              </w:rPr>
            </w:pPr>
            <w:r>
              <w:rPr>
                <w:rFonts w:ascii="Arial" w:cs="Arial" w:eastAsia="Arial" w:hAnsi="Arial"/>
                <w:sz w:val="18"/>
                <w:szCs w:val="18"/>
                <w:color w:val="auto"/>
                <w:w w:val="88"/>
              </w:rPr>
              <w:t>Levice</w:t>
            </w:r>
            <w:r>
              <w:rPr>
                <w:rFonts w:ascii="Arial" w:cs="Arial" w:eastAsia="Arial" w:hAnsi="Arial"/>
                <w:sz w:val="25"/>
                <w:szCs w:val="25"/>
                <w:color w:val="auto"/>
                <w:w w:val="88"/>
                <w:vertAlign w:val="superscript"/>
              </w:rPr>
              <w:t>(1)</w:t>
            </w: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20" w:type="dxa"/>
            <w:vAlign w:val="bottom"/>
          </w:tcPr>
          <w:p>
            <w:pPr>
              <w:spacing w:after="0"/>
              <w:rPr>
                <w:sz w:val="23"/>
                <w:szCs w:val="23"/>
                <w:color w:val="auto"/>
              </w:rPr>
            </w:pPr>
          </w:p>
        </w:tc>
      </w:tr>
      <w:tr>
        <w:trPr>
          <w:trHeight w:val="250"/>
        </w:trPr>
        <w:tc>
          <w:tcPr>
            <w:tcW w:w="3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United Kingdom</w:t>
            </w:r>
          </w:p>
        </w:tc>
        <w:tc>
          <w:tcPr>
            <w:tcW w:w="2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Leicester</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341"/>
        </w:trPr>
        <w:tc>
          <w:tcPr>
            <w:tcW w:w="3340" w:type="dxa"/>
            <w:vAlign w:val="bottom"/>
          </w:tcPr>
          <w:p>
            <w:pPr>
              <w:ind w:left="620"/>
              <w:spacing w:after="0"/>
              <w:rPr>
                <w:sz w:val="20"/>
                <w:szCs w:val="20"/>
                <w:color w:val="auto"/>
              </w:rPr>
            </w:pPr>
            <w:r>
              <w:rPr>
                <w:rFonts w:ascii="Arial" w:cs="Arial" w:eastAsia="Arial" w:hAnsi="Arial"/>
                <w:sz w:val="18"/>
                <w:szCs w:val="18"/>
                <w:color w:val="auto"/>
              </w:rPr>
              <w:t>Vietnam</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Thu Dau Mot</w:t>
            </w:r>
            <w:r>
              <w:rPr>
                <w:rFonts w:ascii="Arial" w:cs="Arial" w:eastAsia="Arial" w:hAnsi="Arial"/>
                <w:sz w:val="25"/>
                <w:szCs w:val="25"/>
                <w:color w:val="auto"/>
                <w:w w:val="89"/>
                <w:vertAlign w:val="superscript"/>
              </w:rPr>
              <w:t>(1)</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44"/>
        </w:trPr>
        <w:tc>
          <w:tcPr>
            <w:tcW w:w="3340" w:type="dxa"/>
            <w:vAlign w:val="bottom"/>
          </w:tcPr>
          <w:p>
            <w:pPr>
              <w:spacing w:after="0"/>
              <w:rPr>
                <w:sz w:val="20"/>
                <w:szCs w:val="20"/>
                <w:color w:val="auto"/>
              </w:rPr>
            </w:pPr>
            <w:r>
              <w:rPr>
                <w:rFonts w:ascii="Arial" w:cs="Arial" w:eastAsia="Arial" w:hAnsi="Arial"/>
                <w:sz w:val="11"/>
                <w:szCs w:val="11"/>
                <w:color w:val="auto"/>
              </w:rPr>
              <w:t>__________________________</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r>
    </w:tbl>
    <w:p>
      <w:pPr>
        <w:spacing w:after="0" w:line="209"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Represents a leased facility. All such leases are operating leases.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Item. Information about our Executive Officers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following were executive officers of the Company:</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A. Amato. </w:t>
      </w:r>
      <w:r>
        <w:rPr>
          <w:rFonts w:ascii="Arial" w:cs="Arial" w:eastAsia="Arial" w:hAnsi="Arial"/>
          <w:sz w:val="17"/>
          <w:szCs w:val="17"/>
          <w:color w:val="auto"/>
        </w:rPr>
        <w:t>Mr. Amato, age 56, was appointed the Company's president and chief executive officer in July 2016. Previously, he served as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and president of Metaldyne, LLC, an international engineered products manufacturing company, from 2009 through 2015, and co-president and chief integration officer of Metaldyne Performance Group, a global manufacturing company formed in mid-2014 and taken public in the same year, from August 2014 through December 2015. Prior to 2009, he served as chairman, chief executive officer, and president of Metaldyne Corporation, a global components manufacturer, and co-chief executive officer of Asahi Tec, a Japanese casting and forging company. Prior to this, Mr. Amato worked at MascoTech in positions of increasing responsibility, and successfully completed several acquisitions and divestitures. During this time, one of his roles was vice president of corporate development for TriMas. From 1987 to 1994, Mr. Amato worked at Imperial Chemical Industries, a large multinational chemical company, as an applications development engineer and, eventually, a group leader.</w:t>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Robert J. Zalupski</w:t>
      </w:r>
      <w:r>
        <w:rPr>
          <w:rFonts w:ascii="Arial" w:cs="Arial" w:eastAsia="Arial" w:hAnsi="Arial"/>
          <w:sz w:val="17"/>
          <w:szCs w:val="17"/>
          <w:color w:val="auto"/>
        </w:rPr>
        <w:t>. Mr. Zalupski, age 60, was appointed the Company’s chief financial officer in January 2015. Previously, he served as vice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and treasurer of the Company since 2003 and assumed responsibility for corporate development in March 2010. He joined the Company as director of finance and treasury in 2002, prior to which he worked in the Detroit office of Arthur Andersen. From 1996 through 2001, Mr. Zalupski was a partner in the audit and business advisory services practice of Arthur Andersen providing audit, business consulting, and risk management services to both public and privately held companies in the manufacturing, defense, and automotive industries. Prior to 1996, Mr. Zalupski held various positions of increasing responsibility within the audit practice of Arthur Andersen serving public and privately held clients in a variety of industries.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Joshua A. Sherbin</w:t>
      </w:r>
      <w:r>
        <w:rPr>
          <w:rFonts w:ascii="Arial" w:cs="Arial" w:eastAsia="Arial" w:hAnsi="Arial"/>
          <w:sz w:val="18"/>
          <w:szCs w:val="18"/>
          <w:color w:val="auto"/>
        </w:rPr>
        <w:t>. Mr. Sherbin, age 56, was appointed the Company’s general counsel and corporate secretary in 2005, vice president and chief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in May 2008, and senior vice president in March 2016. Prior to joining the Company, he was employed as the North American corporate counsel and corporate secretary for Valeo, a diversified Tier 1 international automotive supplier headquartered in Europe. Prior to joining Valeo in 1997, Mr. Sherbin was senior counsel, assistant corporate secretary for Kelly Services, Inc., an employment staffing company, from 1995 to 1997. From 1988 until 1995, he was an associate with the law firm Butzel Long in its general business practice.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is listed for trading on the NASDAQ Global Select Market under the symbol "TRS." As of February 21, 2020, there were 192 holders of record of our common stock.</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credit agreement and the indenture governing our senior notes restrict the payment of dividends on common stock, as such we did not pay dividends in 2019 or 2018. Our current policy is to retain earnings to repay debt and finance our operations and acquisitions. See the discussion under Item 7, "</w:t>
      </w:r>
      <w:r>
        <w:rPr>
          <w:rFonts w:ascii="Arial" w:cs="Arial" w:eastAsia="Arial" w:hAnsi="Arial"/>
          <w:sz w:val="16"/>
          <w:szCs w:val="16"/>
          <w:i w:val="1"/>
          <w:iCs w:val="1"/>
          <w:color w:val="auto"/>
        </w:rPr>
        <w:t>Management's Discussion and Analysis of Financial Condition and Results of Operations—Liquidity and Capital Resources"</w:t>
      </w:r>
      <w:r>
        <w:rPr>
          <w:rFonts w:ascii="Arial" w:cs="Arial" w:eastAsia="Arial" w:hAnsi="Arial"/>
          <w:sz w:val="16"/>
          <w:szCs w:val="16"/>
          <w:color w:val="auto"/>
        </w:rPr>
        <w:t xml:space="preserve"> and Note 11 to the Company's financial statements captioned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within this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2014 through December 31, 2019 for TriMas common stock, the Russell 2000 Index and the S&amp;P SmallCap 600 Capped Industrials Index. We have assumed that dividends have been reinvested (and taking into account the value of Horizon Global shares distributed in the spin-off) and returns have been weighted-averaged based on market capitalization. The graph assumes that $100 was invested on December 31, 2014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48830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830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graph also compares TriMas common stock, the Russell 2000 Index and the S&amp;P SmallCap 600 Capped Industrials Index, but displays the cumulative total stockholder return over a four year period from December 31, 2015 through December 31, 2019. Management believes this comparison of more recent relative returns is helpful information, as it highlights TriMas' improved results following the implementation of the TriMas Business Model in 2016. The TriMas Business Model is the common framework under which we operate our multi-industry set of business. We have assumed that dividends have been reinvested and returns have been weighted-averaged based on market capitalization. The graph assumes that $100 was invested on December 31, 2015 in each of TriMas common stock, the stocks comprising the Russell 2000 Index and the stocks comprising the S&amp;P SmallCap 600 Capped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548830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830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December 31, 2019.</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to October 31,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3,872</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3,872</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41,653,214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November 1, 2019 to November 30, 2019</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302,650</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302,650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107,304,356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to December 31, 2019</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200,000</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200,000</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101,112,683</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506,522</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506,522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101,112,683</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49" w:lineRule="auto"/>
        <w:tabs>
          <w:tab w:leader="none" w:pos="340" w:val="left"/>
        </w:tabs>
        <w:numPr>
          <w:ilvl w:val="0"/>
          <w:numId w:val="19"/>
        </w:numPr>
        <w:rPr>
          <w:rFonts w:ascii="Arial" w:cs="Arial" w:eastAsia="Arial" w:hAnsi="Arial"/>
          <w:sz w:val="9"/>
          <w:szCs w:val="9"/>
          <w:color w:val="auto"/>
        </w:rPr>
      </w:pPr>
      <w:r>
        <w:rPr>
          <w:rFonts w:ascii="Arial" w:cs="Arial" w:eastAsia="Arial" w:hAnsi="Arial"/>
          <w:sz w:val="14"/>
          <w:szCs w:val="14"/>
          <w:color w:val="auto"/>
        </w:rPr>
        <w:t>In February 2019, the Company announced its Board of Directors had authorized the Company to increase the purchase of its common stock up to $75 million in the aggregate from its previous authorization of $50 million. In November 2019, the Company announced its Board of Directors further increased the Company's common stock share repurchase authorization to $150 million in the aggregate. The increased authorization includes the value of shares already purchased under the previous authorization. The share repurchase program is effective and has no expiration date. Pursuant to this share repurchase program, during the three months ended December 31, 2019, the Company repurchased 506,522 shares of its common stock at a cost of approximately $15.7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data for each of the five years presented has been derived from our financial statements and notes to those financial statements, which have been audited by Deloitte &amp; Touche LLP. The following data should be read in conjunction with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our audited financial statements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The following tables set forth our selected historical financial data from continuing operations for the five years ended December 31, 2019 (dollars and shares in thousands, except per share data).</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723,530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705,030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656,160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635,030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670,590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212,390</w:t>
            </w: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Operating profit (loss)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91,220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108,810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92,720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91,560</w:t>
            </w: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61,940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73,710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45,570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45,483</w:t>
            </w:r>
          </w:p>
        </w:tc>
      </w:tr>
      <w:tr>
        <w:trPr>
          <w:trHeight w:val="66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6"/>
          </w:tcPr>
          <w:p>
            <w:pPr>
              <w:jc w:val="center"/>
              <w:ind w:left="632"/>
              <w:spacing w:after="0"/>
              <w:rPr>
                <w:sz w:val="20"/>
                <w:szCs w:val="20"/>
                <w:color w:val="auto"/>
              </w:rPr>
            </w:pPr>
            <w:r>
              <w:rPr>
                <w:rFonts w:ascii="Arial" w:cs="Arial" w:eastAsia="Arial" w:hAnsi="Arial"/>
                <w:sz w:val="16"/>
                <w:szCs w:val="16"/>
                <w:b w:val="1"/>
                <w:bCs w:val="1"/>
                <w:color w:val="auto"/>
                <w:w w:val="90"/>
              </w:rPr>
              <w:t>Year ended 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1,192,700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1,100,520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1,033,200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1,051,650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1,170,300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294,690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419,630</w:t>
            </w:r>
          </w:p>
        </w:tc>
      </w:tr>
      <w:tr>
        <w:trPr>
          <w:trHeight w:val="341"/>
        </w:trPr>
        <w:tc>
          <w:tcPr>
            <w:tcW w:w="4700" w:type="dxa"/>
            <w:vAlign w:val="bottom"/>
          </w:tcPr>
          <w:p>
            <w:pPr>
              <w:ind w:left="280"/>
              <w:spacing w:after="0"/>
              <w:rPr>
                <w:sz w:val="20"/>
                <w:szCs w:val="20"/>
                <w:color w:val="auto"/>
              </w:rPr>
            </w:pPr>
            <w:r>
              <w:rPr>
                <w:rFonts w:ascii="Arial" w:cs="Arial" w:eastAsia="Arial" w:hAnsi="Arial"/>
                <w:sz w:val="18"/>
                <w:szCs w:val="18"/>
                <w:color w:val="auto"/>
              </w:rPr>
              <w:t xml:space="preserve">Goodwill and other intangibles </w:t>
            </w:r>
            <w:r>
              <w:rPr>
                <w:rFonts w:ascii="Arial" w:cs="Arial" w:eastAsia="Arial" w:hAnsi="Arial"/>
                <w:sz w:val="25"/>
                <w:szCs w:val="25"/>
                <w:color w:val="auto"/>
                <w:vertAlign w:val="superscript"/>
              </w:rPr>
              <w:t>(a)</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496,030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484,540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505,780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519,800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641,490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8"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1"/>
          <w:szCs w:val="11"/>
          <w:color w:val="auto"/>
        </w:rPr>
        <w:t>During 2016, we recorded goodwill and indefinite-lived intangible asset impairment charges totaling approximately $98.9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in Item 1A "Risk Factors." Our actual results may differ materially from those contained in or implied by any forward-looking statements. You should read the following discussion together with Item 8, "Financial Statements and Supplementary Data."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diversified global manufacturer and provider of products for customers primarily in the consumer products, aerospace and industrial end markets. Our wide range of innovative product solutions are engineered and designed to solve application-specific challenges that our customers face. We believe our businesses share important and distinguishing characteristics, including: well-recognized and leading brand names in the focused markets we serve; innovative product technologies and features; customer approved processes and qualified products;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2019, we completed the sale of our Lamons division ("Lamons"), a manufacturer and distributor of industrial sealing, fastening and specialty products primarily used in the petrochemical and petroleum-refining industries, to two wholly-owned subsidiaries of an investment fund sponsored by First Reserve. The sale of Lamons was an important strategic step for TriMas, as we simplify and streamline our portfolio of businesses, significantly reducing our exposure to the oil and gas end market and allowing us to further focus on the businesses reported in our Packaging and Aerospace segments and the markets they serve. Net after-tax proceeds from the sale were approximately $110.9 million, and remain subject to customary post-closing adjustments. The financial results of Lamons were previously reported within our Specialty Products reportable segment. The financial position, results of operations and cash flows of Lamons are reflected as discontinued operations for all periods presented through the date of disposition.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and Risks Affecting Our Reported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year increased approximately $18.5 million, primarily as a result of sales from businesses acquired during 2019 in our Packaging segment. Sales growth from these acquisitions, plus from dispensers for health, beauty and home care applications and aerospace fastening products was partially offset by declines in sales of North American industrial, food and beverage and oil and gas-related products. While sales levels increased, our gross profit and operating profit decreased from 2018 levels, primarily due to a less favorable product sales mix, as a result of certain 2019 and 2018 non-operating liabilities and as a result of higher freight costs.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sale of Lamons, the most significant drivers of change in the results of our operations in 2019 compared with 2018 were the impact of our two acquisitions in 2019, which drove the overall sales growth but at lower operating margins than overall TriMas, a decline in industrial end market sales and related profit, and three non-cash settlements of previously recorded liabilities.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acquired Plastic Srl and Taplast S.p.A. ("Taplast") in January 2019 and April 2019, respectively. Plastic Srl is a manufacturer of single-bodied and assembled polymeric caps and closures for use in home care product applications. Taplast is a designer and manufacturer of dispensers, closures and containers for the beauty and personal care, household, and food and beverage packaging end markets. These acquisitions contributed $35.3 million of sales during 2019 within our Packaging segment, and provide opportunities for future growth, as well as additional manufacturing and engineering capacity, in the European market. While Plastic Srl and Taplast were accretive to 2019 operating profit dollars, their relative contribution was below the segment overall margin rate, impacting the Packaging segment operating profit margin by more than 100 basis points. We expect, over time, to fully integrate these acquisitions utilizing the TriMas Business Model ("TBM"), achieving planned synergies and improving margins.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demand levels in certain end markets were strong, especially for health, beauty and home care products as well as commercial aircraft fastening products, sales of North American industrial-related products declined by nearly $20 million from prior year levels. In our Specialty Products segment, industrial sales were down approximately $13.8 million, with cylinder sales lower due to the impact of customer consolidation and inventory management, and sales of upstream oil and gas products lower due to reduced oilfield-related activity. In our Packaging segment, industrial sales were down approximately $5.8 million due to lower demand levels. Given this level of sales, operating profit levels were significantly impacted, primarily in our Specialty Products segment, which declined by 300 basis points year-over-year due to lower fixed cost absorption and higher conversion costs. While difficult to quantify, we believe demand levels, primarily in the Packaging end markets, are being affected by uncertainties related to the direct and indirect impact of current and proposed tariffs and other restrictions on trade.</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additional factor significantly impacting 2019 versus 2018 results of operations related to the termination of a legacy liability of approximately $8.2 million, which resulted in a non-cash reduction to corporate office selling, general and administrative expenses in 2018 that did not repeat in 2019.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tax-related matters, benefit plan liabilities and reimbursements to Metaldyne of normal course payments to be made on TriMas' behalf. Metaldyne and its U.S. subsidiaries filed voluntary petitions in the United States Bankruptcy Court under Chapter 11 of the U.S. Bankruptcy Code in 2009. In January 2018, the U.S. Bankruptcy Court entered a final decree to close all remaining cases and finalize the Metaldyne bankruptcy distribution trust, effectively terminating any potential obligation by TriMas to Metaldyne.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Another factor impacting the 2019 versus 2018 results of operations was a $3.9 million non-cash reversal of a contingent liability in our Packaging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liability represented deferred purchase price for a prior acquisition, for which the underlying obligation expired during 2019.</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remaining factor impacting the 2019 versus 2018 results of operations was our settlement of defined benefit obligations in 2018. In 2018, we purchased an annuity contract to transfer certain retiree defined benefit obligations to an insurance company. The annuity contract was funded by plan assets. We recognized a one-time settlement charge of approximately $2.5 million, which is included in other income (expense), net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shorter-cycle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sensitive to price movements in our raw materials supply base. Our largest material purchases are for resins (such as polypropylene and polyethylene), steel, aluminum and other oil and metal-based purchased components. In mid 2018, material costs began to rise, increasing through the remainder of 2018, primarily as a direct and indirect result of foreign trade policy changes. These cost increases primarily related to oil and metal-based commodities. We took swift actions, and continue to take actions, to mitigate such cost impacts, including implementing commercial pricing adjustments, resourcing to alternate suppliers and insourcing of previously sourced products to better leverage our global manufacturing footprint. As a result of these actions, as well as softening of certain underlying commodity costs during 2019, we largely mitigated the impact such that material costs were not a significant driver of year-over-year profit change. While higher material costs were not directly a significant driver of year-over-year profit change, certain of our Packaging segment customers in the United States chose to resource their order requirements in 2019 to avoid tariffs or higher prices from tariffs, until, we believe, we are able to install capacity outside of countries subject to tariffs.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reportable segment.</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we cannot be assured of full cost recovery in the open market.</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year, as a core tenet of the TBM,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November 2015, our Board of Directors authorized up to $50 million in share repurchases. During 2019, our Board of Directors increased the authorization to $75 million in February, and later to $150 million in November. In 2019, we purchased 1,230,050 shares of our outstanding common stock for approximately $36.7 million, which represents nearly 2.7% of our outstanding common shares as of December 31, 2018. During 2018, we purchased 442,632 shares of our outstanding common stock for approximately $12.1 million.</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Each increase in share repurchase authorization includes the value of shares already purchased under the previous authorization. We will continue to evaluate opportunities to return capital to shareholders through the purchase of our common stock, depending on market conditions and other factors.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three reportable segments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a Percentage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a Percentage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6"/>
                <w:szCs w:val="16"/>
                <w:b w:val="1"/>
                <w:bCs w:val="1"/>
                <w:color w:val="auto"/>
                <w:w w:val="96"/>
              </w:rPr>
              <w:t>As a Percentage</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Net Sales</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of Net Sales</w:t>
            </w:r>
          </w:p>
        </w:tc>
        <w:tc>
          <w:tcPr>
            <w:tcW w:w="28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320" w:type="dxa"/>
            <w:vAlign w:val="bottom"/>
          </w:tcPr>
          <w:p>
            <w:pPr>
              <w:jc w:val="right"/>
              <w:ind w:right="1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392,340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368,200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344,570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166,350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180,450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157,540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723,530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705,030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656,160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49,960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45,210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27,600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193,900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200,110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189,280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35,340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35,030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38,310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11,150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24,060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102,530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91,210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99,900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80,770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84,590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80,610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16,550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23,350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91,220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108,810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92,720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13,590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29,670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23,420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33,710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32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24,870</w:t>
            </w: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22,230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21,770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9,580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322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18,630</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6" w:val="left"/>
        </w:tabs>
        <w:numPr>
          <w:ilvl w:val="0"/>
          <w:numId w:val="21"/>
        </w:numPr>
        <w:rPr>
          <w:rFonts w:ascii="Arial" w:cs="Arial" w:eastAsia="Arial" w:hAnsi="Arial"/>
          <w:sz w:val="9"/>
          <w:szCs w:val="9"/>
          <w:color w:val="auto"/>
        </w:rPr>
      </w:pPr>
      <w:r>
        <w:rPr>
          <w:rFonts w:ascii="Arial" w:cs="Arial" w:eastAsia="Arial" w:hAnsi="Arial"/>
          <w:sz w:val="14"/>
          <w:szCs w:val="14"/>
          <w:color w:val="auto"/>
        </w:rPr>
        <w:t>Corporate capital expenditures for the years ended December 31, 2018 and 2017, respectively, are primarily related to purchases of machinery and equipment formerly held under operating leases. These purchased assets were subsequently transferred from Corporate to the reportable segment utilizing the assets.</w:t>
      </w:r>
    </w:p>
    <w:p>
      <w:pPr>
        <w:sectPr>
          <w:pgSz w:w="11900" w:h="16838" w:orient="portrait"/>
          <w:cols w:equalWidth="0" w:num="1">
            <w:col w:w="11420"/>
          </w:cols>
          <w:pgMar w:left="240" w:top="125" w:right="239" w:bottom="1027"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027"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with Year Ended December 31,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2019, compared with the year ended December 31, 2018 were:</w:t>
      </w:r>
    </w:p>
    <w:p>
      <w:pPr>
        <w:spacing w:after="0" w:line="279"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two acquisitions, Plastic Srl and Taplast, acquired in January 2019 and April 2019, respectively, which drove the overall sales growth but at lower operating margins;</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North American industrial end market sales and related operating profit, primarily in our Specialty Products and Packaging reportable segments;</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termination of a Corporate liability, resulting in an approximate $8.2 million reduction in selling, general and administrative expenses during 2018 which did not repeat in 2019;</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approximate $3.9 million non-cash reversal of a contingent liability in our Packaging reportable segment, for which the underlying obligation expired in 2019;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settlement of defined benefit obligations in 2018, which resulted in an approximate $2.5 million non-cash settlement charge that did not repeat in 2019.</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net sales increased approximately $18.5 million, or approximately 2.6%, to $723.5 million in 2019, as compared to $705.0 million in 2018. The acquisitions of Taplast, in April 2019, and Plastic Srl, in January 2019, contributed approximately $35.3 million of sales in our Packaging segment. Organic sales overall, excluding the impact of currency exchange, decreased by approximately $11.0 million compared to 2018. We experienced approximately $12.2 million higher sales to the Packaging segment's health, beauty and home care end markets and $8.4 million higher sales within our Aerospace segment, both due to solid demand levels primarily in North America. These increases were more than offset by an approximate $19.8 million decline in sales of industrial-related products in our Specialty Products and Packaging segments, primarily as a result of end market conditions in North America, as well as approximately $11.8 million lower sales of products for food and beverage applications. Additionally, net sales were lower by approximately $5.8 million due to unfavorable currency exchange, as our reported results in U.S. dollars were negatively impacted as a result of the stronger U.S. dollar relative to foreign currencies.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margin (gross profit as a percentage of sales) approximated 26.8% and 28.4% in 2019 and 2018, respectively. Gross profit margin decreased, as the impact of higher sales levels was more than offset by a less favorable product sales mix, resulting from higher levels of sales growth in product applications and end markets typically with lower margin profiles, and acquisition sales with gross margins below TriMas' overall gross margin rate. Gross profit margin further declined due to higher freight and conversion costs in 2019 and as a result of unfavorable currency exchange.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profit margin (operating profit as a percentage of sales) approximated 12.6% and 15.4% in 2019 and 2018, respectively. Operating profit decreased $17.6 million, to $91.2 million in 2019, as compared to $108.8 million in 2018. Operating profit and margin decreased primarily due to the year-over-year impact of an approximate $8.2 million non-cash reduction of our recorded liability to Metaldyne in 2018 following the U.S. Bankruptcy Court's final decree to close all remaining cases and terminate the Metaldyne bankruptcy distribution trust that did not repeat in 2019. In addition, during 2019 we also recognized a $3.9 million non-cash reversal of a contingent liability in our Packaging segment. Operating profit and related margin further declined as the impact of higher sales levels was more than offset by a less favorable product sales mix, increased purchase accounting expenses, increased professional fees primarily in support of corporate development activities, higher freight and conversion costs, and as a result of unfavorable currency exchange.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approximately $0.1 million, to $14.0 million in 2019, as compared to $13.9 million in 2018, as a result of higher intra-period revolving credit borrowings in 2019 as compared to 2018.</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(expense), net increased approximately $3.5 million to $1.0 million of income in 2019, from $2.5 million of expense in 2018, primarily due to a one-time charge of $2.5 million related to the settlement of defined benefit obligations in second quarter 2018 that did not repeat in 2019.</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Income tax expense decreased approximately $2.3 million, to $16.3 million in 2019, as compared to $18.7 million in 2018. The effective income tax rate for 2019 was 20.9%, compared to 20.2% for 2018. During 2019, we reported domestic and foreign pre-tax income of approximately $52.2 million and $26.1 million, respectively, and recognized tax benefits of approximately $1.2 million resulting from research and manufacturing tax incentives. We also incurred tax charges of approximately $3.6 million directly attributable to increases in valuation allowances on certain deferred tax assets including foreign tax operating loss carryforwards. In 2018, we reported domestic and foreign pre-tax income of approximately $64.7 million and $27.7 million, respectively, and recognized a net tax benefit of approximately $2.7 million related to provision to return adjustments for our U.S. Federal tax return, which included an approximate $1.1 million benefit due to additional regulations that were issued in connection with the Tax Cuts and Jobs Act ("Tax Reform Act").</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continuing operations decreased approximately $11.8 million to $61.9 million in 2019, from $73.7 million in 2018. The decrease was primarily the result of a decrease in operating profit of approximately $17.6 million, partially offset by a decrease in income tax expense of approximately $2.3 million and an increase of other income (expense) of approximately $3.5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$24.1 million, or 6.6%, to $392.3 million in 2019, as compared to $368.2 million in 2018. The Taplast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Plastic Srl acquisitions contributed approximately $35.3 million in 2019. Sales to the health, beauty and home care end market increased approximately $12.2 million, primarily due to higher demand in North America and Europe as well as sales growth in Asia. These increases were partially offset by a decrease in sales of products to the food and beverage end market by approximately $11.8 million, primarily due to lower sales of pumps as well as labor and capacity constraints to manufacture caps for certain food applications. Sales of products to the industrial end market declined by approximately $5.8 million due to lower demand in North America. Additionally, net sales were lower by approximately $5.8 million due to unfavorable currency exchange, as our reported results in U.S. dollars were negatively impacted as a result of the stronger U.S. dollar relative to foreign currencies.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Packaging's gross profit decreased approximately $3.4 million to $116.2 million, or 29.6% of sales, in 2019, as compared to $119.6 million, or 32.5% of sales, in 2018. Gross profit decreased by approximately $3.2 million due to higher freight costs, more than half of which was as a result of expediting shipments to fulfill committed delivery dates, and by approximately $2.0 million due to unfavorable currency exchange, as our reported results in U.S. dollars were negatively impacted as a result of the stronger U.S. dollar relative to foreign currencies. While the increase in net sales contributed incremental gross profit dollars, we experienced a less favorable product sales mix, primarily due to gross margins of the acquired businesses being below the current overall segment margin, which impacted gross margin by nearly 100 basis points. In addition, sales to the health, beauty and home care end market comprised a larger percentage of net sales in 2019 compared to 2018, and yield a lower gross profit margin.</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increased approximately $0.3 million to $35.3 million, or 9.0% of sales, in 2019, as compared to $35.0 million, or 9.5% of sales, in 2018, primarily due to higher ongoing selling, general and administrative costs associated with the acquisitions completed in 2019 as well as non-cash purchase accounting-related expenses of approximately $0.8 million related to the write-off of the trade name acquired in the Plastic Srl acquisition that will not be used. These increases were partially offset by an approximate $3.9 million non-cash reversal of a contingent liability for which the underlying obligation expired in 2019.</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operating profit decreased approximately $3.8 million to $80.8 million, or 20.6% of sales, in 2019, as compared to $84.6 million, or 23.0% of sales, in 2018, as the impact of higher freight costs, unfavorable foreign currency exchange, a less favorable product sales mix, and higher selling, general and administrative expenses more than offset the impact of higher sales levels.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increased approximately $8.4 million, or 5.4%, to $164.8 million in 2019, as compared to $156.4 million in 2018, due to steady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demand levels for fastener products combined with improved production throughput at our manufacturing facilities.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Aerospace increased approximately $4.8 million to $50.0 million, or 30.3% of sales, in 2019, from $45.2 million, or 28.9% of sales, in 2018, as the higher sales were more profitable as a result of production efficiencies. In addition, gross profit and related margin increased due to a favorable product sales mix of more highly-engineered fasteners.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approximately $1.3 million to $21.5 million, or 13.1% of sales, in 2019, as compared to $20.3 million, or 13.0% of sales, in 2018, consistent with the increase in sales levels on percentage basis.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$3.5 million to $28.4 million, or 17.2% of sales, in 2019, as compared to $24.9 million, or 15.9% of sales, in 2018, primarily due to higher sales levels, improved production efficiencies and a more favorable product sales mix, which were partially offset by higher selling, general and administrative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decreased approximately $14.1 million, or 7.8%, to $166.4 million in 2019, as compared to $180.5 million in 2018.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engines, compressors and related parts used in upstream oil and gas applications decreased approximately $7.1 million due to lower oil and gas drilling investment activity in the U.S. and Canada. Sales of our industrial cylinder products decreased approximately $6.7 million, primarily due to decreased demand for both high pressure and acetylene steel cylinders, we believe, as a result of customer consolidation and related asset cylinder inventory management. In addition, net sales decreased by approximately $0.3 million due to lower sales of machined components products.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Specialty Products decreased approximately $7.5 million to $27.8 million, or 16.7% of sales, in 2019, as compared to $35.3 million, or 19.6% of sales, in 2018. Gross profit decreased primarily due to lower sales, reduced fixed cost absorption, and higher conversion costs for our cylinder products and machined components.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within Specialty Products decreased approximately $0.7 million to $11.2 million, or 6.7% of sales, in 2019, as compared to $11.8 million, or 6.6% of net sales, in 2018. Selling, general and administrative expenses decreased as we have continued to manage spending levels consistent with current lower demand levels.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within Specialty Products decreased approximately $6.8 million to $16.6 million, or 9.9% of sales, in 2019, as compared to $23.4 million, or 12.9% of sales, in 2018, primarily due to lower sales levels, reduced fixed cost absorption and higher conversion costs.</w:t>
      </w:r>
    </w:p>
    <w:p>
      <w:pPr>
        <w:spacing w:after="0" w:line="22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8120" w:type="dxa"/>
            <w:vAlign w:val="bottom"/>
          </w:tcPr>
          <w:p>
            <w:pPr>
              <w:ind w:left="26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expenses included in operating profit increased approximately $10.4 million to $34.5 million in 2019, from $24.1 million in 2018. Legacy (income) expenses, net increased approximately $8.7 million, primarily due to the termination of the liability to Metaldyne in first quarter 2018, which resulted in an approximate $8.2 million non-cash reduction in legacy (income) expenses, net, that did not occur in 2019. Corporate operating expenses increased approximately $3.1 million, primarily due to increased professional fees in support of corporate development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 of our former Lamons business, which was sold on December 20, 2019.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discontinued operations, net of income tax expenses, was $36.7 million for the year ended December 31, 2019, as compared to income from discontinued operations, net of income taxes, of $9.6 million for the year ended December 31, 2018.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attached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with Year Ended December 31,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factors impacting us during the year ended December 31, 2018 compared with the year ended December 31, 2017 were:</w:t>
      </w:r>
    </w:p>
    <w:p>
      <w:pPr>
        <w:spacing w:after="0" w:line="279" w:lineRule="exact"/>
        <w:rPr>
          <w:sz w:val="20"/>
          <w:szCs w:val="20"/>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increased sales levels across our end markets, primarily driven by higher demand for our industrial products within our Specialty Products reportable segment and from growth in our health, beauty and home care end market within our Packaging reportable segment;</w:t>
      </w:r>
    </w:p>
    <w:p>
      <w:pPr>
        <w:spacing w:after="0" w:line="200"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benefits of leveraging the TBM, as we continue to drive operating improvements, as well as evaluate, realign and streamline fixed costs and selling, general and administrative expenses;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Tax Reform Act, contributing to a lower overall effective tax rate;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commodity costs, primarily related to oil and steel-based raw materials, primarily impacting our Packaging reportable segment;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termination of the liability to Metaldyne, resulting in an approximate $8.2 million reduction in selling, general and administrative expenses;</w:t>
      </w:r>
    </w:p>
    <w:p>
      <w:pPr>
        <w:spacing w:after="0" w:line="290"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fees and expenses related to our issuance of our 4.875% senior unsecured notes due October 2025 ("Senior Notes") and other refinancing activities in 2017; and</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settlement of defined benefit obligations in 2018, wherein a one time settlement charge was recognized.</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Overall, net sales increased approximately $48.9 million, or approximately 7.4%, to $705.0 million in 2018, as compared to $656.2 million in 2017, as sales increased in all three reportable segments. The primary drivers of the sales increase were industrial cylinder products, as well as engines, compressors and related parts used in upstream oil and gas applications, which increased approximately $16.2 million and $7.4 million, respectively, within our Specialty Products reportable segment. In addition, sales of our health, beauty and home care products increased approximately $15.6 million within our Packaging reportable segment. Net sales also increased by approximately $1.7 million due to net favorable currency exchange, as our reported results in U.S. dollars were favorably impacted as a result of the weakening U.S. dollar relative to foreign currencies.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margin (gross profit as a percentage of sales) approximated 28.4% and 28.8% in 2018 and 2017, respectively. Gross profit increased primarily as a result of higher sales levels, as well as lower facility exit costs within our Packaging reportable segment. These increases were partially offset by the impact of higher commodity-related costs, a less favorable product sales mix and pricing pressures, most notably in our health, beauty and home care end market within our Packaging reportable segment.</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profit margin (operating profit as a percentage of sales) approximated 15.4% and 14.1% in 2018 and 2017, respectively. Operating profit increased approximately $16.1 million, to $108.8 million in 2018, as compared to an operating profit of $92.7 million in 2017. Operating profit increased primarily due to overall higher sales levels and as a result of the approximately $8.2 million reduction of our recorded liability to Metaldyne in 2018 following the U.S. Bankruptcy Court's final decree to close all remaining cases and terminate the Metaldyne bankruptcy distribution trust.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decreased approximately $0.5 million, to $13.9 million in 2018, as compared to $14.4 million in 2017, as lower weighted average borrowings more than offset an increase in our interest rates.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expense, net decreased approximately $5.9 million to $2.5 million in 2018, from $8.5 million in 2017, primarily due to approximately $6.6 million of debt financing and related expenses we incurred in connection with our 2017 refinancing of our long-term debt that did not recur in 2018. This decrease was partially offset by our recognition of a one-time settlement charge of approximately $2.5 million in 2018 related to our settlement of defined benefit obligations. In 2018, we purchased an annuity contract to transfer certain retiree defined benefit obligations to an insurance company. The annuity contract was funded by plan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Income tax expense decreased approximately $15.3 million, to $18.7 million in 2018 as compared to $33.9 million in 2017. The effective income tax rate for 2018 was 20.2%, compared to 48.5% for 2017. During 2018, we reported domestic and foreign pre-tax income of approximately $64.7 million and $27.7 million, respectively, and recognized a net tax benefit of approximately $2.7 million related to provision to return adjustments for our U.S. Federal tax return, which included an approximate $1.1 million benefit due to additional regulations that were issued in connection with the Tax Reform Act. In 2017, we reported domestic and foreign pre-tax income of approximately $46.2 million and $23.7 million, and recognized tax benefits of approximately $1.5 million resulting from research and manufacturing tax incentives. We recognized approximately $12.7 million of income tax expense as a result of the Tax Reform Act, including $3.7 million of provisional expense related to revaluing our net deferred tax assets at the lower U.S. corporate tax rate, and a $9.0 million of provisional tax expense related to the deemed repatriation of approximately $110.0 million of undistributed non-U.S. subsidiary earnings.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continuing operations increased approximately $37.8 million to $73.7 million in 2018, from $36.0 million in 2017. The increase was primarily the result of an approximately $16.1 million increase in operating profit, a decrease in income tax expense of approximately $15.3 million, a decrease in interest expense of approximately $0.5 million and a decrease in other expense, net of approximately $5.9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reportable segment.</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$23.6 million, or 6.9%, to $368.2 million in 2018, as compared to $344.6 million in 2017. Sales of our 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 and home care products increased approximately $15.6 million, driven by higher sales in Asia and North America as well as the ramp up of new products. Sales of our industrial closures increased approximately $5.7 million and sales of our food and beverage products increased approximately $0.6 million, both due to increased demand in North America. Additionally, net sales increased by approximately $1.7 million due to favorable currency exchange, as our reported results in U.S. dollars were favorably impacted as a result of the weakening of the U.S. dollar relative to foreign currencies.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increased approximately $3.0 million to $119.6 million, or 32.5% of sales, in 2018, as compared to $116.6 million, or 33.8% of sales, in 2017, primarily as a result of higher sales levels, as well as approximately $2.7 million of costs incurred in 2017 to consolidate manufacturing facilities in India and to finalize the move to a new facility in Mexico that did not recur. In addition, gross profit increased due to approximately $0.8 million of favorable currency exchange, as our reported results in U.S. dollars were favorably impacted as a result of the weakening of the U.S. dollar relative to foreign currencies. These increases were partially offset by approximately $3.5 million higher steel and resin-based material costs, as well as a less favorable product sales mix and pricing pressures, most notably in our health, beauty and home care end market.</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decreased approximately $3.3 million to $35.0 million, or 9.5% of sales, in 2018, as compared to $38.3 million, or 11.1% of sales, in 2017, primarily due to approximately $2.7 million lower third-party professional fees in 2018, as well as a charge of approximately $1.0 million in 2017 to reserve for an outstanding accounts receivable deemed uncollectable from a European customer who filed for insolvency. These decreases were partially offset by higher employee-related costs in 2018 supporting our sales growth initiatives.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operating profit increased approximately $4.0 million to $84.6 million, or 23% of sales, in 2018, as compared to $80.6 million, or 23.4% of sales, in 2017. Operating profit increased primarily due to higher sales levels, lower consolidation and move costs than in 2017, lower selling, general, and administrative expenses and approximately $0.6 million due to favorable currency exchange, all of which were partially offset by higher material costs, a gain of approximately $2.5 million related to the the sale of the former Mexico facility in 2017 that did not recur, a less favorable product sales mix and pricing pressures.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increased approximately $2.3 million, or 1.5%, to $156.4 million in 2018, as compared to $154.1 million in 2017, as we achieved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fastener sales levels consistent with new aircraft build rates.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Aerospace increased approximately $0.1 million to $45.2 million, or 28.9% of sales, in 2018, from $45.1 million, or 29.3% of sales, in 2017, primarily as a result of higher sales levels. Gross profit margin decreased slightly due to the impact of lower profit generated by our standard fastener product facility in Ottawa, Kansas.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increased approximately $0.3 million to $20.3 million, or 13.0% of sales, in 2018, as compared to $20.0 million, or 13.0% of sales, in 2017, primarily due to an increase in certain selling costs, consistent with the increase in sales over 2017.</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was relatively flat at approximately $24.9 million, or 15.9% of sales, in 2018, as compared to $25.0 million, or 16.2% of sales, in 2017, as the impact of higher sales was offset by lower profit generated by our standard fastener product facility in Ottawa, Kansas and higher selling, general and administrative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2018 increased approximately $22.9 million, or 14.5%, to $180.5 million, as compared to $157.5 million in 2017.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engines, compressors and related parts used in upstream oil and gas applications increased by approximately $7.4 million due to higher levels of extraction activity in the United States and Canada. Sales of our steel cylinders for the compressed gas market increased by approximately $16.2 million, as we captured increased general industrial and defense demand for steel cylinders. Sales of our machined components products decreased by approximately $0.7 million, as new product sales were more than offset by our decision to exit certain less profitable components.</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within Specialty Products increased approximately $7.7 million to $35.3 million, or 19.6% of sales, in 2018, as compared to $27.6 million, or 17.5% of sales, in 2017. Gross profit and margin increased primarily as a result of higher sales levels, as we continued to leverage our lower fixed cost footprint and as a result of improved margins for our machined components products due to our decision to exit certain less profitable components. The increases were partially offset by approximately $2 million higher input costs, primarily related to the manufacture of our industrial cylinder products.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expenses within Specialty Products increased approximately $1.7 million to $11.8 million, or 6.6% of sales, in 2018, as compared to $10.1 million, or 6.4% of sales, in 2017. Selling, general and administrative expenses increased primarily due to higher sales levels.</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profit within Specialty Products increased approximately $6.1 million to $23.4 million, or 12.9% of sales, in 2018, as compared to $17.3 million, or 11.0% of sales, in 2017, primarily as a result of higher sales levels.</w:t>
      </w:r>
    </w:p>
    <w:p>
      <w:pPr>
        <w:spacing w:after="0" w:line="22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included in operating profit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Corporate expenses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Corporate expenses included in operating profit decreased approximately $6.0 million to $24.1 million in 2018, from $30.1 million in 2017, primarily due to the termination of the liability to Metaldyne in 2018, resulting in an approximate $8.2 million non-cash reduction in legacy (income) expenses, net. Corporate operating expenses increased approximately $1.4 million, primarily due to an increase in professional fees related to corporate development activities and an increase in expense related to our short-term incentive compensation plans. Non-cash stock compensation increased approximately $0.4 million, primarily due to the amount of equity grants in 2018 compared with 2017 as well as the estimated attainment of certain performance-based equity awards.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The results of discontinued operations consists of our former Lamons businesses, which was sold on December 20, 2019.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from discontinued operations, net of income tax expenses, was $9.6 million for the year ended December, 31 2018, as compared to a loss from discontinued operations, net of income taxes, of $5.0 million for the year ended December 31, 2017. See Note 5,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attached herein.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operating activities of continuing operations in 2019 were approximately $95.7 million, as compared to $110.8 million in 2018.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cash flows provided by operating activities of continuing operations and the reasons for such changes are as follows:</w:t>
      </w:r>
    </w:p>
    <w:p>
      <w:pPr>
        <w:spacing w:after="0" w:line="265" w:lineRule="exact"/>
        <w:rPr>
          <w:sz w:val="20"/>
          <w:szCs w:val="20"/>
          <w:color w:val="auto"/>
        </w:rPr>
      </w:pPr>
    </w:p>
    <w:p>
      <w:pPr>
        <w:jc w:val="both"/>
        <w:ind w:left="66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2019, the Company generated $148.1 million in cash flows, based on the reported net income of $61.9 million and after considering the effects of non-cash items related to gains and losses on dispositions of assets, depreciation, amortization, changes in deferred income taxes, debt financing and related expenses, stock-based compensation and other operating activities. In 2018, the Company generated $138.2 million in cash flows based on the reported net income of $73.7 million and after considering the effects of similar non-cash items.</w:t>
      </w:r>
    </w:p>
    <w:p>
      <w:pPr>
        <w:spacing w:after="0" w:line="22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accounts receivable resulted in a source of cash of approximately $3.3 million in 2019, primarily due to timing of cash collections. Increases in accounts receivable resulted in a use of cash of approximately $9.6 million in 2018. Days sales outstanding of receivables increased by 3 days, primarily as a result of an increase in sales in Europe following our Italian acquisitions during 2019, where standard terms are typically longer than in North America.</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decreased our investment in inventory by approximately $0.7 million in 2019, while we increased our investment in inventory by approximately $14.7 million in 2018 to buy-ahead on certain China-sourced products that were subject to tariffs, or where the tariff rate would increase, to avoid the higher cost and to ensure we had sufficient inventory supply. Our days sales in inventory remained relatively flat in 2019 as compared to 2018, as we have been moderating inventory levels in line with sales levels.</w:t>
      </w:r>
    </w:p>
    <w:p>
      <w:pPr>
        <w:spacing w:after="0" w:line="2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prepaid expenses and other assets resulted in a use of cash of approximately $6.9 million in 2019. Decreases in prepaid expenses and other assets resulted in a source of cash of approximately $8.8 million in 2018. The changes in both 2019 and 2018 are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use of cash of approximately $12.8 million and $2.3 million in 2019 and 2018, respectively. Our days accounts payable on hand increased by approximately 9 days year-over-year due to the timing and mix of payment terms in 2019 compared to 2018. The decrease in accounts payable and accrued liabilities was further impacted by net non-cash reductions of obligations of approximately $3.9 million in 2019 and $8.2 million in 2018.</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investing activities in 2019 was approximately $31.3 million, as compared to $23.4 million used for investing activities in 2018. During 2019, we paid approximately $67.1 million, net of cash acquired, to acquire Plastic Srl and Taplast. We invested approximately $29.7 million in capital expenditures as we have continued our investment in growth, capacity and productivity-related capital projects. Cash received from the disposition of assets was approximately $128.1 million in 2019, primarily related to the sale of Lamons. During 2018, we invested approximately $23.4 million in capital expenditures and received cash from the disposition of assets of approximately $0.1 million.</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for financing activities in 2019 was approximately $40.4 million, as compared to $24.0 million in 2018. During 2019, we made net repayments of approximately $0.3 million on our revolving credit facilities. We also purchased approximately $36.7 million of outstanding common stock and used a net cash amount of approximately $3.3 million related to our stock compensation arrangements. During 2018, we made net repayments of approximately $9.4 million on our revolving credit and accounts receivable facilities, purchased approximately $12.1 million of outstanding common stock and used a net cash amount of approximately $2.4 million related to our stock compensation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$300.0 million aggregate principal amount of Senior Notes accrues interest at a rate of 4.875% per annum, payable semi-annually in arrears on April 15 and October 15, commencing on April 15, 2018, and mature on October 15, 2025.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in right of payment with all existing and future senior indebtedness and subordinated to all existing and future secured indebtedness to the extent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assets securing such indebtedness. For the twelve months ended December 31, 2019, our consolidated subsidiaries that do not guarantee the Senior Notes represented approximately 16% of the total of guarantor and non-guarantor net sales, treating each as a consolidated group and excluding intercompany transactions between guarantor and non-guarantor subsidiaries. In addition, our non-guarantor subsidiaries represented approximately 29% and 11% of the total guarantor and non-guarantor assets and liabilities, respectively, as of December 31, 2019, treating the guarantor and non-guarantor subsidiaries each as a consolidated group and excluding intercompany transactions between such groups.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consisting of a $300.0 million senior secured revolving credit facility, which permits borrowings denominated in specific foreign currencies, subject to a $125.0 million sub limit (collectively, the "Credit Agreement").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December 31, 2019. If we were to complete an acquisition which qualifies for a Covenant Holiday Period, as defined in our Credit Agreement, then our permitted total net leverage ratio cannot exceed 4.50 to 1.00 during that period. Our actual total net leverage ratio was 1.31 to 1.00 at December 31, 2019. Our permitted senior secured net leverage ratio under the Credit Agreement is 3.50 to 1.00 as of December 31, 2019.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December 31, 2019. Our permitted interest expense coverage ratio under the Credit Agreement is 3.00 to 1.00 and, our actual interest expense coverage ratio was 12.99 to 1.00 as of December 31, 2019. At December 31, 2019, we were in compliance with our financial and other covenants contained in the Credit Agreement.</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year ended December 31, 2019. We present Consolidated Bank EBITDA to show our performance under our financial covenants. Dollars are in thousands in the below tables.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31"/>
              <w:spacing w:after="0"/>
              <w:rPr>
                <w:sz w:val="20"/>
                <w:szCs w:val="20"/>
                <w:color w:val="auto"/>
              </w:rPr>
            </w:pPr>
            <w:r>
              <w:rPr>
                <w:rFonts w:ascii="Arial" w:cs="Arial" w:eastAsia="Arial" w:hAnsi="Arial"/>
                <w:sz w:val="16"/>
                <w:szCs w:val="16"/>
                <w:b w:val="1"/>
                <w:bCs w:val="1"/>
                <w:color w:val="auto"/>
              </w:rPr>
              <w:t>Year ended</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98,620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 (as defined)</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30,760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46,890</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4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expenses or losses</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4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Extraordinary, non-recurring or unusual gains or losses</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4940" w:type="dxa"/>
            <w:vAlign w:val="bottom"/>
          </w:tcPr>
          <w:p>
            <w:pPr>
              <w:ind w:left="280"/>
              <w:spacing w:after="0"/>
              <w:rPr>
                <w:sz w:val="20"/>
                <w:szCs w:val="20"/>
                <w:color w:val="auto"/>
              </w:rPr>
            </w:pPr>
            <w:r>
              <w:rPr>
                <w:rFonts w:ascii="Arial" w:cs="Arial" w:eastAsia="Arial" w:hAnsi="Arial"/>
                <w:sz w:val="18"/>
                <w:szCs w:val="18"/>
                <w:color w:val="auto"/>
              </w:rPr>
              <w:t>Business and asset dispositions</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Permitted acquisitions</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Permitted dispositions</w:t>
            </w:r>
            <w:r>
              <w:rPr>
                <w:rFonts w:ascii="Arial" w:cs="Arial" w:eastAsia="Arial" w:hAnsi="Arial"/>
                <w:sz w:val="25"/>
                <w:szCs w:val="25"/>
                <w:color w:val="auto"/>
                <w:vertAlign w:val="superscript"/>
              </w:rPr>
              <w:t>(3)</w:t>
            </w:r>
          </w:p>
        </w:tc>
        <w:tc>
          <w:tcPr>
            <w:tcW w:w="42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(58,750)</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4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152,770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December 31, 2019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Indebtedness, as defined</w:t>
            </w:r>
          </w:p>
        </w:tc>
        <w:tc>
          <w:tcPr>
            <w:tcW w:w="4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152,770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total net leverage ratio</w:t>
            </w:r>
          </w:p>
        </w:tc>
        <w:tc>
          <w:tcPr>
            <w:tcW w:w="4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494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42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20" w:type="dxa"/>
            <w:vAlign w:val="bottom"/>
            <w:vMerge w:val="restart"/>
          </w:tcPr>
          <w:p>
            <w:pPr>
              <w:jc w:val="right"/>
              <w:ind w:right="327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20"/>
        <w:spacing w:after="0"/>
        <w:rPr>
          <w:sz w:val="20"/>
          <w:szCs w:val="20"/>
          <w:color w:val="auto"/>
        </w:rPr>
      </w:pPr>
      <w:r>
        <w:rPr>
          <w:rFonts w:ascii="Arial" w:cs="Arial" w:eastAsia="Arial" w:hAnsi="Arial"/>
          <w:sz w:val="16"/>
          <w:szCs w:val="16"/>
          <w:b w:val="1"/>
          <w:bCs w:val="1"/>
          <w:color w:val="auto"/>
        </w:rPr>
        <w:t>December 31, 2019</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8980" w:type="dxa"/>
            <w:vAlign w:val="bottom"/>
            <w:tcBorders>
              <w:top w:val="single" w:sz="8" w:color="CCEEFF"/>
            </w:tcBorders>
            <w:shd w:val="clear" w:color="auto" w:fill="CCEEFF"/>
          </w:tcPr>
          <w:p>
            <w:pPr>
              <w:ind w:left="20"/>
              <w:spacing w:after="0" w:line="28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152,770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89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4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as defined</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980" w:type="dxa"/>
            <w:vAlign w:val="bottom"/>
          </w:tcPr>
          <w:p>
            <w:pPr>
              <w:ind w:left="240"/>
              <w:spacing w:after="0"/>
              <w:rPr>
                <w:sz w:val="20"/>
                <w:szCs w:val="20"/>
                <w:color w:val="auto"/>
              </w:rPr>
            </w:pPr>
            <w:r>
              <w:rPr>
                <w:rFonts w:ascii="Arial" w:cs="Arial" w:eastAsia="Arial" w:hAnsi="Arial"/>
                <w:sz w:val="18"/>
                <w:szCs w:val="18"/>
                <w:color w:val="auto"/>
              </w:rPr>
              <w:t>Non-cash amounts attributable to amortization of financing costs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11,760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90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152,770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11,760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0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64"/>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5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Covenant requirement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26"/>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271" w:lineRule="exact"/>
        <w:rPr>
          <w:rFonts w:ascii="Arial" w:cs="Arial" w:eastAsia="Arial" w:hAnsi="Arial"/>
          <w:sz w:val="9"/>
          <w:szCs w:val="9"/>
          <w:color w:val="auto"/>
        </w:rPr>
      </w:pPr>
    </w:p>
    <w:p>
      <w:pPr>
        <w:ind w:left="160" w:hanging="152"/>
        <w:spacing w:after="0"/>
        <w:tabs>
          <w:tab w:leader="none" w:pos="160" w:val="left"/>
        </w:tabs>
        <w:numPr>
          <w:ilvl w:val="0"/>
          <w:numId w:val="26"/>
        </w:numPr>
        <w:rPr>
          <w:rFonts w:ascii="Arial" w:cs="Arial" w:eastAsia="Arial" w:hAnsi="Arial"/>
          <w:sz w:val="8"/>
          <w:szCs w:val="8"/>
          <w:color w:val="auto"/>
        </w:rPr>
      </w:pPr>
      <w:r>
        <w:rPr>
          <w:rFonts w:ascii="Arial" w:cs="Arial" w:eastAsia="Arial" w:hAnsi="Arial"/>
          <w:sz w:val="13"/>
          <w:szCs w:val="13"/>
          <w:color w:val="auto"/>
        </w:rPr>
        <w:t>Senior secured indebtedness is negative at December 31, 2019 due to the deduction of certain unrestricted cash and unrestricted permitted investments as allowed under the Credit Agreement.</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we terminated our $75.0 million accounts receivable facility, under which we had the ability to sell eligible accounts receivable to a third-party multi-seller receivables funding company.</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we had no amounts outstanding under our revolving credit facility and had $283.9 million potentially available after giving effect to approximately $16.1 million of letters of credit issued and outstanding. At December 31, 2018, we had no amounts outstanding under our revolving credit facility and had $284.9 million potentially available after giving effect to approximately $15.1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December 31, 2019 and December 31, 2018.</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as well as for discretionary spending such as any repurchases of our common stock. At the end of each quarter, we use cash on hand from our domestic and certain foreign subsidiaries to pay down amounts outstanding under our revolving credit facility, if applicable.</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weighted average borrowings approximated $338.0 million during 2019, compared to $315.2 million during 2018, as we effectively redeployed the cash generated by our operations over this time period into two bolt-on acquisitions, capital investments in our business and repurchases of our common stock.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The majority of our cash on hand as of December 31, 2019 is recorded as a Corporate asset and is located within United States. We have aggregate available funding under our revolving credit facility of $283.9 million at December 31, 2019, which is not reduced by leverage restrictions.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variable interest rates on our revolving credit facility. At December 31, 2019, 1-Month LIBOR approximated 1.76%. At December 31, 2019, we had no amounts outstanding on our revolving credit facility and, therefore, no variable rate-based borrowings outstanding.</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long-term debt, we have other cash commitments related to leases. We account for these lease transactions primarily as operating leases, and incurred expense from continuing operations related thereto of approximately $7.5 million in 2019. We continue to be party to non-cancelable leases for certain facilities we have exited as part of restructuring activities, and have entered into sublease agreements to minimize our net lease payments. We expect leasing will continue to be an available financing option to fund future capital expenditure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continuously evaluate strategies to redeploy our cash, including returning capital to our shareholders. In November 2015, our Board of Directors authorized up to $50 million in share repurchases. During 2019, our Board of Directors increased the authorization to $75 million in February, and later to $150 million in November. During 2019 and 2018, we purchased 1,230,050 and 442,632 shares of our outstanding common stock for approximately $36.7 million and $12.1 million, respectively. We will continue to evaluate opportunities to return capital to shareholders through the purchase of our common stock, depending on market conditions and other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historically used derivative financial instruments to manage currency risks, as we seek to to mitigate the risk associated with fluctuations in currency rates impacting cash flows related to certain receivables, payables and intercompany transactions denominated in foreign currencies. We also use cross-currency swap agreements to mitigate currency risks associated with the net investment in certain of our foreign subsidiaries. See Note 12,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within this Form 10-K for additional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had no variable-rate borrowings outstanding at December 31, 2019, in prior years we were subject to interest risk as it related to our long-term debt, where we used interest rate swap agreements to fix the variable portion of our debt to manage this risk.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various agreements, we are obligated to make future cash payments in fixed amounts. These include payments under our long-term debt agreements, rent payments required under operating lease agreements, certain benefit obligations and interest obligations on our long-term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cash obligations as of December 31, 2019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8"/>
              </w:rPr>
              <w:t>Payments Due by Periods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One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1 - 3 Years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7,830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87,760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14,630</w:t>
            </w:r>
          </w:p>
        </w:tc>
      </w:tr>
      <w:tr>
        <w:trPr>
          <w:trHeight w:val="257"/>
        </w:trPr>
        <w:tc>
          <w:tcPr>
            <w:tcW w:w="4700" w:type="dxa"/>
            <w:vAlign w:val="bottom"/>
          </w:tcPr>
          <w:p>
            <w:pPr>
              <w:ind w:left="50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438,070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23,280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43,710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39,300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331,780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520" w:hanging="512"/>
        <w:spacing w:after="0" w:line="269" w:lineRule="auto"/>
        <w:tabs>
          <w:tab w:leader="none" w:pos="196" w:val="left"/>
        </w:tabs>
        <w:numPr>
          <w:ilvl w:val="0"/>
          <w:numId w:val="27"/>
        </w:numPr>
        <w:rPr>
          <w:rFonts w:ascii="Arial" w:cs="Arial" w:eastAsia="Arial" w:hAnsi="Arial"/>
          <w:sz w:val="23"/>
          <w:szCs w:val="23"/>
          <w:color w:val="auto"/>
          <w:vertAlign w:val="superscript"/>
        </w:rPr>
      </w:pPr>
      <w:r>
        <w:rPr>
          <w:rFonts w:ascii="Arial" w:cs="Arial" w:eastAsia="Arial" w:hAnsi="Arial"/>
          <w:sz w:val="13"/>
          <w:szCs w:val="13"/>
          <w:color w:val="auto"/>
        </w:rPr>
        <w:t>Our Senior Notes bear interest at 4.875%. There were no outstanding borrowings under our senior secured revolving credit facility at December 31, 2019. The future interest obligations calculation excludes the impact of our cross-currency swap agreements. See Note 12, "</w:t>
      </w:r>
      <w:r>
        <w:rPr>
          <w:rFonts w:ascii="Arial" w:cs="Arial" w:eastAsia="Arial" w:hAnsi="Arial"/>
          <w:sz w:val="13"/>
          <w:szCs w:val="13"/>
          <w:i w:val="1"/>
          <w:iCs w:val="1"/>
          <w:color w:val="auto"/>
        </w:rPr>
        <w:t>Derivative Instruments</w:t>
      </w:r>
      <w:r>
        <w:rPr>
          <w:rFonts w:ascii="Arial" w:cs="Arial" w:eastAsia="Arial" w:hAnsi="Arial"/>
          <w:sz w:val="13"/>
          <w:szCs w:val="13"/>
          <w:color w:val="auto"/>
        </w:rPr>
        <w:t>," included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within this Form 10-K for additional information.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a $300.0 million revolving credit facility, with no outstanding balance.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are contingently liable for standby letters of credit totaling $16.1 million issued on our behalf by financial institutions under the Credit Agreement. These letters of credit are used for a variety of purposes, including to support certain operating lease agreements, vendor payment terms and other subsidiary operating activities, and to meet various states' requirements to self-insure workers' compensation claims, including incurred but not reported claims.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liability related to unrecognized tax benefits has been excluded from the contractual obligations table because a reasonable estimate of the timing and amount of cash flows from future tax settlements cannot be determined. For additional information, refer to Note 20, "</w:t>
      </w:r>
      <w:r>
        <w:rPr>
          <w:rFonts w:ascii="Arial" w:cs="Arial" w:eastAsia="Arial" w:hAnsi="Arial"/>
          <w:sz w:val="18"/>
          <w:szCs w:val="18"/>
          <w:i w:val="1"/>
          <w:iCs w:val="1"/>
          <w:color w:val="auto"/>
        </w:rPr>
        <w:t>Income Taxes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7, 2019, Moody's affirmed a Ba3 rating to our Senior Notes, as presented in Note 11,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8,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xml:space="preserve"> within this Form 10-K. Moody's also affirmed a Ba2 Corporate Family Rating and maintained its outlook as stable. On February 12, 2020,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2019 macroeconomic and end market conditions were challenging, particularly in the North American industrial end markets we serve, we believe we were able to mitigate much of the impact by continuing to operate under the TriMas Business Model, which provides the standardized set of processes that we follow to drive results across our multi-industry set of businesses. Despite these challenging conditions, we experienced year-over-year sales increases, driven by the results of both of the 2019 acquisitions in Packaging and strong demand in Aerospace. Through our sale of Lamons, we have reduced our exposure to highly cyclical energy-related end markets, allowing us to further focus in our core Packaging and Aerospace platforms. We also generated strong cash flow in 2019, which along with cash on hand allowed us to allocate capital for acquisitions, internal capital investment and stock repurchases.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remain positioned to capitalize on available market growth opportunities, as well as have instilled a culture of Kaizen and continuous improvement to generate additional production efficiencies and cost savings. We are not anticipating significant improvements in our end markets, particularly given economic uncertainty around direct and indirect impacts of foreign trade policies. We will continue our efforts to mitigate the impact of external factors, while focusing on the aspects of our business that we can control.</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will continue to prioritize and pursue growth programs, particularly in our Packaging and Aerospace reportable segments, where we have many initiatives underway that we expect will benefit us in the future. We will also continue to ensure our cost structures remain aligned with customer demand in the end markets we serve, most notably in our Specialty Products reportable segment, where end market conditions in 2019 were increasingly challenging. We expect to leverage the tenets of the TriMas Business Model to achieve our growth plans, execute continuous improvement initiatives to offset inflationary pressures, and seek lower-cost sources for input costs, all while continuously assessing our manufacturing footprint, productivity and fixed-cost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of accounting policies is intended to supplement the accounting policies presented in Note 3,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Certain of our accounting policies require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Receivables. </w:t>
      </w:r>
      <w:r>
        <w:rPr>
          <w:rFonts w:ascii="Arial" w:cs="Arial" w:eastAsia="Arial" w:hAnsi="Arial"/>
          <w:sz w:val="17"/>
          <w:szCs w:val="17"/>
          <w:color w:val="auto"/>
        </w:rPr>
        <w:t>Receivables are presented net of allowances for doubtful accounts of approximately $2.1 million and $2.8 million at December 31, 2019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2018, respectively. We monitor our exposure for credit losses and maintain adequate allowances for doubtful accounts. We determine these allowances based on our historical write-off experience and/or specific customer circumstances and provide such allowances when amounts are reasonably estimable and it is probable a loss has been incurred. Although we have been growing business with certain of our larger customers, and there has been some industry consolidation where certain of our customers are merging, we do not believe that significant credit risk exists or that we have a significant concentration of accounts receivable with a single customer or group of customers due to our diverse customer base.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additional information regarding risks associated with a concentrated customer base.</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Impairment of Long-Lived Assets and Definite-Lived Intangible Assets. </w:t>
      </w:r>
      <w:r>
        <w:rPr>
          <w:rFonts w:ascii="Arial" w:cs="Arial" w:eastAsia="Arial" w:hAnsi="Arial"/>
          <w:sz w:val="17"/>
          <w:szCs w:val="17"/>
          <w:color w:val="auto"/>
        </w:rPr>
        <w:t>We review, on at least a quarterly basis, the financial performance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unit for indicators of impairment. In reviewing for impairment indicators, we also consider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Goodwill and Indefinite-Lived Intangibles. </w:t>
      </w:r>
      <w:r>
        <w:rPr>
          <w:rFonts w:ascii="Arial" w:cs="Arial" w:eastAsia="Arial" w:hAnsi="Arial"/>
          <w:sz w:val="18"/>
          <w:szCs w:val="18"/>
          <w:color w:val="auto"/>
        </w:rPr>
        <w:t>We assess goodwill and indefinite-lived intangible assets for impairment at the reporting unit level on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as of October 1, by reviewing relevant qualitative and quantitative factors. More frequent evaluations may be required if we experience changes in our business climate or as a result of other triggering events that take place. If carrying value exceeds fair value, a possible impairment exists and further evaluation is performed.</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our reporting units at the individual operating segment level, or one level below, when there is discrete financial information available that is regularly reviewed by segment management for evaluating operating results. For purposes of our 2019 goodwill impairment test, we had six reporting units, four of which had goodwill, within our three reportable segments.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first perform a qualitative assessment for our annual goodwill impairment test and for our indefinite-lived intangible asset impairment test, which involves significant use of management's judgment and assumptions to determine whether it is more likely than not that the fair value of a reporting unit or indefinite-lived intangible asset is less than its carrying amount. In conducting the qualitative assessment, we consider macroeconomic conditions, industry and market considerations, overall financial performance, entity and reporting unit specific events, capital markets pricing, recent fair value estimates and carrying amounts, as well as legal, regulatory, and contractual factors. These factors are all considered in reaching a conclusion about whether it is more likely than not that the fair values of the intangible assets are less than the carrying values. If we conclude that further testing is required, we would perform a quantitative valuation to estimate the fair value of our intangible assets.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the 2019 annual impairment tests, based on the qualitative assessments, we determined there were no indications that the fair value of a reporting unit or indefinite-lived intangible asset was less than its carrying amount; therefore, we determined that quantitative assessments were not required.</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declines in sales and/or operating profit, declines in our stock price, or other changes in our business or the markets for our products could result in further impairments of our goodwill and indefinite-lived intangible assets.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Pension Benefits. </w:t>
      </w:r>
      <w:r>
        <w:rPr>
          <w:rFonts w:ascii="Arial" w:cs="Arial" w:eastAsia="Arial" w:hAnsi="Arial"/>
          <w:sz w:val="17"/>
          <w:szCs w:val="17"/>
          <w:color w:val="auto"/>
        </w:rPr>
        <w:t>We engage independent actuaries to compute the amounts of liabilities and expenses under defined benefit pension plans,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we determine are appropriate based on historical trends, current market rates and future projections as of the measurement date. Annually, we review the actual experience compared to the most significant assumptions used and makes adjustments to the assumptions, if warranted. Discount rates are based upon an expected benefit payments duration analysis and the equivalent average yield rate for high-quality fixed-income investments. Pension benefits are funded through deposits with trustees and the expected long-term rate of return on plan assets is based upon actual historical returns modified for known changes in the market and any expected change in investment policy. Certain accounting guidance, including the guidance applicable to pensions, does not require immediate recognition of the effects of a deviation between actual and assumed experience or the revision of an estimate. This approach allows the favorable and unfavorable effects that fall within an acceptable range to be netted.</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compute income taxes using the asset and liability method, whereby deferred income taxes using current enacted tax rates are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temporary differences between the financial reporting basis and the tax basis of assets and liabilities and for operating loss and tax credit carryforwards. We determine valuation allowances based on an assessment of positive and negative evidence on a jurisdiction-by-jurisdiction basis and record a valuation allowance to reduce deferred tax assets to the amount more likely than not to be realized.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in income tax expense.</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Reform Act was signed into law. The primary impact to us was the reduction in effective tax rate, substantially due to the reduction in the Federal statutory corporate income tax rate from 35% to 21%. While the Tax Reform Act also introduced new global intangible and base-erosion provisions, neither of these provisions has had a significant impact on our financial statements. The continued impact from the Tax Reform Act may differ from current estimates due to the issuance and finalization of future regulatory guidance.</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Other Loss Reserves. </w:t>
      </w:r>
      <w:r>
        <w:rPr>
          <w:rFonts w:ascii="Arial" w:cs="Arial" w:eastAsia="Arial" w:hAnsi="Arial"/>
          <w:sz w:val="17"/>
          <w:szCs w:val="17"/>
          <w:color w:val="auto"/>
        </w:rPr>
        <w:t>We have other loss exposures related to environmental claims, asbestos claims and litigation. Establishing loss reserves for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matters requires the use of estimates and judgment in regard to risk exposure and ultimate liability. We are generally party to high deductible insurance programs for losses and liabilities related principally to workers' compensation, health and welfare claims and comprehensive general, product and vehicle liability. Generally, we are responsible for up to $0.8 million per occurrence under our retention program for workers' compensation, between $0.3 million and $1.5 million per occurrence under our retention programs for comprehensive general, product and vehicle liability, and have a $0.4 million per occurrence stop-loss limit with respect to our self-insured group medical plan. We accrue loss reserves up to our retention amounts based upon our estimates of the ultimate liability for claims incurred, including an estimate of related litigation defense costs, and an estimate of claims incurred but not reported using actuarial assumptions about future events. We accrue for such items when such amounts are reasonably estimable and probable. We utilize known facts and historical trends, as well as actuarial valuations in determining estimated required reserves. Changes in assumptions for factors such as medical costs and actual experience could cause these estimates to change significantly.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normal course of business, we are exposed to market risk associated with fluctuations in commodity prices, insurable risks due to property damage, employee and liability claims, and other uncertainties in the financial and credit markets, which may impact demand for our products.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be subject to interest risk as it relates to long-term debt, for which we have historically and may prospectively employ derivative instruments such as interest rate swaps to mitigate the risk of variable interest rates.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for details about our primary market risks, and the objectives and strategies used to manage these risks. Also see Note 11, "</w:t>
      </w:r>
      <w:r>
        <w:rPr>
          <w:rFonts w:ascii="Arial" w:cs="Arial" w:eastAsia="Arial" w:hAnsi="Arial"/>
          <w:sz w:val="18"/>
          <w:szCs w:val="18"/>
          <w:i w:val="1"/>
          <w:iCs w:val="1"/>
          <w:color w:val="auto"/>
        </w:rPr>
        <w:t>Long-term Debt,</w:t>
      </w:r>
      <w:r>
        <w:rPr>
          <w:rFonts w:ascii="Arial" w:cs="Arial" w:eastAsia="Arial" w:hAnsi="Arial"/>
          <w:sz w:val="18"/>
          <w:szCs w:val="18"/>
          <w:color w:val="auto"/>
        </w:rPr>
        <w:t>" and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within this Form 10-K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TriMas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TriMas Corporation and subsidiaries (the "Company") as of December 31, 2019 and 2018, the related consolidated statements of income, comprehensive income, cash flows, and shareholders’ equity,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2020, expressed an unqualified opinion on the Company's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 Aerospace Reporting Unit - Refer to Notes 3 and 7 to the financial statements.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evaluation of goodwill impairment involves a qualitative assessment to determine whether it is more likely than not that the fair value of the reporting unit is less than its carrying amount. The qualitative assessment involves significant use of management's judgment and assumptions related to macroeconomic conditions, industry and market considerations, overall financial performance, entity and reporting unit specific events, and capital markets pricing, as well as legal, regulatory, and contractual factors. The Company also considers recent valuations of its reporting units, including the difference between the most recent fair value estimate and the carrying amount. Changes in these assumptions could have a significant effect on management’s conclusion about whether a quantitative goodwill impairment test is necessary to estimate the fair value of its reporting units.</w:t>
      </w:r>
    </w:p>
    <w:p>
      <w:pPr>
        <w:sectPr>
          <w:pgSz w:w="11900" w:h="16838" w:orient="portrait"/>
          <w:cols w:equalWidth="0" w:num="1">
            <w:col w:w="11420"/>
          </w:cols>
          <w:pgMar w:left="240" w:top="125" w:right="2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goodwill balance was $335 million as of December 31, 2019, of which $134 million was allocated to the Aerospace Reporting Unit (“Aerospace”). The Company concluded there were no indications that the fair value of any reporting unit was less than its carrying amount, therefore a quantitative assessment was not performed and no impairment was recognized.</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nature of the Aerospace operations, the assumptions used in the qualitative assessment, and the difference between the most recent fair value estimate and the carrying amount of Aerospace, auditing management’s judgments related to the impact of macroeconomic conditions, overall financial performance for Aerospace, and capital markets pricing involved especially subjective judgment.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management’s qualitative evaluation of goodwill impairment for Aerospace included the following, among others:</w:t>
      </w:r>
    </w:p>
    <w:p>
      <w:pPr>
        <w:spacing w:after="0" w:line="372" w:lineRule="exact"/>
        <w:rPr>
          <w:sz w:val="20"/>
          <w:szCs w:val="20"/>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the effectiveness of controls over goodwill, including those over management's judgments and assumptions related to macroeconomic conditions, industry and market considerations, overall financial performance, entity and reporting unit specific events, capital markets pricing, recent fair value estimates and carrying amounts, as well as legal, regulatory, and contractual factors.</w:t>
      </w:r>
    </w:p>
    <w:p>
      <w:pPr>
        <w:spacing w:after="0" w:line="3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revenues and operating margins by comparing actual results to management’s historical forecasts.</w:t>
      </w:r>
    </w:p>
    <w:p>
      <w:pPr>
        <w:spacing w:after="0" w:line="30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evaluated the reasonableness of management’s qualitative assessment of factors affecting revenue and operating margin forecasts by comparing the forecasts to:</w:t>
      </w:r>
    </w:p>
    <w:p>
      <w:pPr>
        <w:spacing w:after="0" w:line="305"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Historical revenues and operating margins.</w:t>
      </w:r>
    </w:p>
    <w:p>
      <w:pPr>
        <w:spacing w:after="0" w:line="360"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36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Forecasted information included in Company press releases as well as in analyst and industry reports for the Company and certain of its peer companies.</w:t>
      </w:r>
    </w:p>
    <w:p>
      <w:pPr>
        <w:spacing w:after="0" w:line="30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evaluated the impact of changes in management’s forecasts from the October 1, 2019, annual measurement date to December 31, 2019.</w:t>
      </w:r>
    </w:p>
    <w:p>
      <w:pPr>
        <w:spacing w:after="0" w:line="3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management’s qualitative assessment of current factors that may affect the (1) comparable company trading multiples and (2) weighted average cost of capital as used in the most recent quantitative fair value estimate by:</w:t>
      </w:r>
    </w:p>
    <w:p>
      <w:pPr>
        <w:spacing w:after="0" w:line="316"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Testing independent source information underlying the determination of the comparable company trading multiples and weighted average cost of capital.</w:t>
      </w:r>
    </w:p>
    <w:p>
      <w:pPr>
        <w:spacing w:after="0" w:line="305"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comparing those to management’s assumptions.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108,860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97,170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127,160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6,900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72,430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434,040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411,810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27,850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167,890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8,200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1,100,520</w:t>
            </w:r>
          </w:p>
        </w:tc>
      </w:tr>
      <w:tr>
        <w:trPr>
          <w:trHeight w:val="237"/>
        </w:trPr>
        <w:tc>
          <w:tcPr>
            <w:tcW w:w="8120" w:type="dxa"/>
            <w:vAlign w:val="bottom"/>
            <w:tcBorders>
              <w:bottom w:val="single" w:sz="8" w:color="CCEEFF"/>
            </w:tcBorders>
            <w:shd w:val="clear" w:color="auto" w:fill="CCEEFF"/>
          </w:tcPr>
          <w:p>
            <w:pPr>
              <w:ind w:left="26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67,420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42,020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43,890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Current liabilities, discontinued operations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30,420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294,690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293,560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 liabilities, discontinued operations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495,220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480,070</w:t>
            </w:r>
          </w:p>
        </w:tc>
      </w:tr>
      <w:tr>
        <w:trPr>
          <w:trHeight w:val="209"/>
        </w:trPr>
        <w:tc>
          <w:tcPr>
            <w:tcW w:w="8120" w:type="dxa"/>
            <w:vAlign w:val="bottom"/>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Issued and outstanding: None</w:t>
            </w:r>
          </w:p>
        </w:tc>
        <w:tc>
          <w:tcPr>
            <w:tcW w:w="3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Issued and outstanding: 44,562,679 shares at December 31, 2019 and 45,527,993 shares at December 31,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Paid-in capital</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782,880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816,500</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(16,850)</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697,480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620,450</w:t>
            </w:r>
          </w:p>
        </w:tc>
      </w:tr>
      <w:tr>
        <w:trPr>
          <w:trHeight w:val="257"/>
        </w:trPr>
        <w:tc>
          <w:tcPr>
            <w:tcW w:w="812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1,192,700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1,100,520</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89"/>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723,530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656,160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(529,630)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(504,920)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(466,880)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189,280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(99,900)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dispositions of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Operating profit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91,220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92,720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37"/>
        </w:trPr>
        <w:tc>
          <w:tcPr>
            <w:tcW w:w="676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69,880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(33,920)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98,620</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 basic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45,303,659</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45,824,555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45,682,627</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97"/>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5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45,595,154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46,170,464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45,990,252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98,620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30,960</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(Note 15)</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6,050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12)</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Total other comprehensive income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110,740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83,780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38,030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98,620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83,300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61,940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35,960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Adjustments to reconcile income from continuing operations to net cash provided by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acquisition impact: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Loss (gain) on dispositions of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15,830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Increase (decrease) in accounts payable and accrued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110,780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75,600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129,320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120,060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proceeds from dispositions of businesses, property and equipment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investing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401,300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(517,310)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to purchase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(257,940)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financing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 of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43"/>
        </w:trPr>
        <w:tc>
          <w:tcPr>
            <w:tcW w:w="778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 of discontinued operations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(80,840)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for the year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172,470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7,380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29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298"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Income (Loss)</w:t>
            </w:r>
          </w:p>
        </w:tc>
        <w:tc>
          <w:tcPr>
            <w:tcW w:w="26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499,720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30,960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823,850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544,020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7,170</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Balances at December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816,500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620,450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12,120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(36,740)</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Shares surrendered upon exercise and vesting of equity</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Impact of accounting standards adoption (Note 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782,880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697,480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primarily in the consumer products, aerospace and industrial end markets.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2019, TriMas began reporting its Stanton, California and Tolleson, Arizona machined components operations in its Specialty Products reportable segment. They were previously included in the Company's Aerospace reportable segment. This modification was made in connection with an organizational change of leadership responsibilities, allowing the Company to better leverage the machining competencies and resources of these operations with the other businesses within the Specialty Products reportable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20, 2019, the Company completed the previously announced sale of its Lamons business (“Lamons”), a transaction entered into with an investment fund sponsored by First Reserve on November 1, 2019. Lamons was sold for approximately $135 million in cash, subject to customary post-closing adjustments. The financial results of Lamons were previously reported within the Company's Specialty Products reportable segment, and are presented as discontinued operations for all periods presented in the financial statements attached hereto.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See Note 19,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ASU 2019-12 is effective for fiscal years, and interim periods within those years, beginning after December 15, 2020, with early adoption permitted. The Company is in the process of assessing the impact of adoption on its consolidated financial statements.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2018, the FASB issued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plans to adopt ASU 2017-04 effective January 1, 2020. The Company's adoption of ASU 2017-04 is not expected to have a significant impact on its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2018, the FASB issued ASU 2018-02, "Income Statement - Reporting Comprehensive Income (Topic 220): Reclassification of Certain Tax Effects from Accumulated Other Comprehensive Income" ("ASU 2018-02"), which provides for the option to reclassify stranded tax effects resulting from the Tax Cuts and Jobs Act ("Tax Reform Act") classified within accumulated other comprehensive income (loss) ("AOCI") to retained earnings. The Company adopted ASU 2018-02 on January 1, 2019, and elected to reclassify approximately $1.3 million in stranded tax effects from accumulated other comprehensive loss to accumulated deficit on the accompanying consolidated balance sheet. The Company's accounting policy is to release the income tax effects from AOCI when a defined benefit plan or a derivative instrument is liquidated and/or settled.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issued ASU 2016-02, "Leases (Topic 842)" (“ASU 2016-02”) (the “New Lease Standard"), which requires lessees to recognize a lease liability and right-of-use (ROU) asset on its balance sheet for operating leases. Accounting for finance leases is substantially unchanged. The Company adopted the New Lease Standard on January 1, 2019 using a modified retrospective transition, and recorded a cumulative-effect adjustment to the opening balance of accumulated deficit as of the effective date (the effective date method). As a result of the adoption, the Company recognized approximately $32 million of right-of-use assets and lease liabilities from continuing operations on its consolidated balance sheet. Additionally, the Company recognized an approximate $0.1 million cumulative effect adjustment debit, net of tax, to accumulated deficit related to unamortized deferred losses for certain sale-leaseback transactions. The standard did not have an impact on the Company's consolidated statement of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8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i w:val="1"/>
          <w:iCs w:val="1"/>
          <w:color w:val="auto"/>
        </w:rPr>
        <w:t>Principles of Consolidation.</w:t>
      </w:r>
      <w:r>
        <w:rPr>
          <w:sz w:val="20"/>
          <w:szCs w:val="20"/>
          <w:color w:val="auto"/>
        </w:rPr>
        <w:tab/>
      </w:r>
      <w:r>
        <w:rPr>
          <w:rFonts w:ascii="Arial" w:cs="Arial" w:eastAsia="Arial" w:hAnsi="Arial"/>
          <w:sz w:val="16"/>
          <w:szCs w:val="16"/>
          <w:color w:val="auto"/>
        </w:rPr>
        <w:t>The accompanying consolidated financial statements include the accounts and transactions of TriMas and its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2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management of the Company to make estimates and assumptions that affect the reported amounts of assets and liabilities and the disclosure of contingent assets and liabilities at the date of the financial statements. Such estimates and assumptions also affect the reported amounts of revenues and expenses during the reporting periods. Significant items subject to such estimates and assumptions include the carrying amount of property and equipment, goodwill and other intangibles, valuation allowances for receivables, inventories and deferred income tax assets, valuation of derivatives, estimated future unrecoverable lease costs, reserves for asbestos and ordinary course litigation, assets and obligations related to employee benefits and estimated unrecognized tax benefits. Actual results may differ from such estimates and assumptions.</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cash on hand and on deposit and investments in all highly liquid debt instruments with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and cash equivalents.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Receivables are presented net of allowances for doubtful accounts of approximately $2.1 million and $2.8 million at December 31,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respectively. The Company monitors its exposure for credit losses and maintains allowances for doubtful accounts based upon the Company's best estimate of probable losses inherent in the accounts receivable balances. The Company does not believe that significant credit risk exists due to its diverse customer base.</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net realizable value, with cost determined using the first-in, first-out method. Direct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labor and allocations of variable and fixed manufacturing-related overhead are included in inventory cost.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additions, including significant improvements, are recorded at cost. Upon retirement or disposal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the cost and accumulated depreciation are removed from the accounts, and any gain or loss is included in the accompanying statement of income. Repair and maintenance costs are charged to expense as incurred.</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is computed principally using the straight-line method over the estimated useful lives of the assets.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rates are as follows: building and land/building improvements three to 40 years, and machinery and equipment, three to 15 years. Capitalized debt issuance costs are amortized over the underlying terms of the related debt securities. Customer relationship intangibles are amortized over periods ranging from five to 25 years, while technology and other intangibles are amortized over periods ranging from one to 30 years.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Impairment of Long-Lived Assets and Definite-Lived Intangible Assets. </w:t>
      </w:r>
      <w:r>
        <w:rPr>
          <w:rFonts w:ascii="Arial" w:cs="Arial" w:eastAsia="Arial" w:hAnsi="Arial"/>
          <w:sz w:val="17"/>
          <w:szCs w:val="17"/>
          <w:color w:val="auto"/>
        </w:rPr>
        <w:t>The Company reviews, on at least a quarterly basis, the financial performance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for indicators of impairment. In reviewing for impairment indicators, the Company also considers events or changes in circumstances such as business prospects, customer retention, market trends, potential product obsolescence, competitive activities and other economic factors. An impairment loss is recognized when the carrying value of an asset group exceeds the future net undiscounted cash flows expected to be generated by that asset group. The impairment loss recognized is the amount by which the carrying value of the asset group exceeds its fair value.</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goodwill for impairment on an annual basis (October 1 test date) by reviewing relevant qualitative and quantitative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its reporting units at the individual operating segment level, or one level below, when there is discrete financial information available that is regularly reviewed by segment management for evaluating operating results. For purposes of the Company's 2019 goodwill impairment test, the Company had six reporting units, four of which had goodwill, within its three reportable segments. See Note 7,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details regarding the Company's goodwill impairment testing.</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begins its goodwill reviews by conducting a qualitative assessment ("Step Zero"), considering relevant events and circumstances that affect the fair value or carrying amount of a reporting unit. Such events and circumstances can include macroeconomic conditions, industry and market considerations, overall financial performance, entity and reporting unit specific events, and capital markets pricing. The Company considers the extent to which any identified adverse events and circumstances affect the comparison of a reporting unit's fair value with its carrying amount. The Company places more weight on the events and circumstances that most affect a reporting unit's fair value or the carrying amount of its net assets. The Company considers positive and mitigating events and circumstances that may affect its determination of whether it is more likely than not that the fair value of a reporting unit is less than its carrying amount. The Company also considers recent valuations of its reporting units, including the difference between the most recent fair value estimate and the carrying amount. These factors are all considered by management in reaching its conclusion about whether a quantitative goodwill impairment test is necessary to estimate the fair value of its reporting units.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Company concludes that conducting a quantitative assessment is required, it performs the first step of a two-step goodwill impairment test. For the first step ("Step I"), the Company estimates the fair value of the reporting unit being evaluated utilizing a combination of three valuation techniques: discounted cash flow (income approach), market comparable method (market approach) and market capitalization (direct market data method). The income approach is based on management's operating plan and internal five-year forecast and utilizes forward-looking assumptions and projections, but considers factors unique to each reporting unit and related long-range plans that may not be comparable to other companies and that are not yet public. The market approach considers potentially comparable companies and transactions within the industries where the Company's reporting units participate, and applies their trading multiples to the Company's reporting units. This approach utilizes data from actual marketplace transactions, but reliance on its results is limited by difficulty in identifying companies that are specifically comparable to the Company's reporting units, considering the diversity of the Company's businesses, the relative sizes and levels of complexity. The Company also uses the direct market data method by comparing its book value and the estimates of fair value of the reporting units to the Company's market capitalization. Management uses this comparison as additional evidence of the fair value of the Company, as its market capitalization may be suppressed by other factors such as the control premium associated with a controlling shareholder, the Company's degree of leverage and the float of the Company's common stock. Management evaluates and weights the results based on a combination of the income and market approaches, and, in situations where the income approach results differ significantly from the market and direct data approaches, management re-evaluates and adjusts, if necessary, its assumptions.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Step I test, if it is determined that the carrying value of the reporting unit is higher than its fair value, there is an indication that an impairment may exist and the second step ("Step II") is performed to measure the amount of impairment loss, if any. In Step II, the Company determines the implied fair value of the reporting unit goodwill in the same manner as if the reporting unit was being acquired in a business combination and compares the implied fair value of the reporting unit goodwill to the carrying value of the goodwill. If the implied fair value of the goodwill is less than the carrying value, goodwill is impaired and is written down to the implied fair value amount.</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Indefinite-Lived Intangibles. </w:t>
      </w:r>
      <w:r>
        <w:rPr>
          <w:rFonts w:ascii="Arial" w:cs="Arial" w:eastAsia="Arial" w:hAnsi="Arial"/>
          <w:sz w:val="18"/>
          <w:szCs w:val="18"/>
          <w:color w:val="auto"/>
        </w:rPr>
        <w:t>The Company assesses indefinite-lived intangible assets (primarily trademark/trade names) for impairment on an annual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 test date) by reviewing relevant qualitative and quantitative factors. More frequent evaluations may be required if the Company experiences changes in its business climate or as a result of other triggering events that take place. If carrying value exceeds fair value, a possible impairment exists and further evaluation is performed.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conducting a qualitative assessment, the Company considers relevant events and circumstances to determine whether it is more likely than not that the fair values of the indefinite-lived intangible assets are less than the carrying values. In addition to the events and circumstances that the Company considers above in its qualitative analysis for potential goodwill impairment, the Company also considers legal, regulatory and contractual factors that could affect the fair value or carrying amount of the Company's indefinite-lived intangible assets. The Company also considers recent valuations of its indefinite-lived intangible assets, including the difference between the most recent fair value estimates and the carrying amounts. These factors are all considered by management in reaching its conclusion about whether it is more likely than not that the fair values of the indefinite-lived intangible assets are less than the carrying values. If management concludes that further testing is required, the Company performs a quantitative valuation to estimate the fair value of its indefinite-lived intangible assets. In conducting the quantitative impairment analysis, the Company determines the fair value of its indefinite-lived intangible assets using the relief-from-royalty method. The relief-from-royalty method involves the estimation of appropriate market royalty rates for the indefinite-lived intangible assets and the application of these royalty rates to forecasted net sales attributable to the intangible assets. The resulting cash flows are then discounted to present value, using a rate appropriately reflecting the risks inherent in the cash flows, which then is compared to the carrying value of the assets. If the carrying value exceeds fair value, an impairment is recorded. See Note 7,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details regarding the Company's indefinite-lived intangible asset impairment testing.</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High Deductible Insurance. </w:t>
      </w:r>
      <w:r>
        <w:rPr>
          <w:rFonts w:ascii="Arial" w:cs="Arial" w:eastAsia="Arial" w:hAnsi="Arial"/>
          <w:sz w:val="17"/>
          <w:szCs w:val="17"/>
          <w:color w:val="auto"/>
        </w:rPr>
        <w:t>The Company generally has high deductible insurance programs for losses and liabilities related to workers'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health and welfare claims and comprehensive general, product and vehicle liability. The Company is generally responsible for up to $0.8 million per occurrence under its retention program for workers' compensation, between $0.3 million and $1.5 million per occurrence under its retention programs for comprehensive general, product and vehicle liability, and has a $0.4 million per occurrence stop-loss limit with respect to its group medical plan. Total insurance limits under these retention programs vary by year for comprehensive general, product and vehicle liability and extend to the applicable statutory limits for workers' compensation. Reserves for claims losses, including an estimate of related litigation defense costs, are recorded based upon the Company's estimates of the aggregate liability for claims incurred using actuarial assumptions about future events. Changes in assumptions for factors such as medical costs and actual experience could cause these estimates to change.</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Pension Plans. </w:t>
      </w:r>
      <w:r>
        <w:rPr>
          <w:rFonts w:ascii="Arial" w:cs="Arial" w:eastAsia="Arial" w:hAnsi="Arial"/>
          <w:sz w:val="16"/>
          <w:szCs w:val="16"/>
          <w:color w:val="auto"/>
        </w:rPr>
        <w:t>The Company engages independent actuaries to compute the amounts of liabilities and expenses under defined benefit pension plans,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assumptions that the Company determines are appropriate based on historical trends, current market rates and future projections. Assumptions used in the actuarial calculations could have a significant impact on plan obligations, and a lesser impact on current period expense. Annually, the Company reviews the actual experience compared to the more significant assumptions used and makes adjustments to the assumptions, if warranted. Discount rates are based on an expected benefit payments duration analysis and the equivalent average yield rate for high-quality fixed-income investments. Pension benefits are funded through deposits with trustees and the expected long-term rate of return on fund assets is based on actual historical returns and a review of other public company pension asset return data, modified for known changes in the market and any expected change in investment policy.</w:t>
      </w:r>
    </w:p>
    <w:p>
      <w:pPr>
        <w:spacing w:after="0" w:line="2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 is recognized when control of promised goods is transferred to customers, which generally occurs when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shipped from the Company’s facilities to its customers. The amount of revenue recorded reflects the consideration the Company expects to be entitled to receive in exchange for transferring those goods. Net sales are comprised of gross revenues, based on observed stand-alone selling prices, less estimates of expected returns, trade discounts and customer allowances, which include incentives such as volume and other discounts in connection with various supply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accounts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risk.</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includes material, labor and overhead costs incurred in the manufacture of products sold in the period. Material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raw material, purchased components, outside processing and freight costs. Overhead costs consist of variable and fixed manufacturing costs, wages and fringe benefits, and purchasing, receiving and inspection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the following: costs related to the advertising, sale,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distribution of the Company's products, amortization of customer intangible assets, costs of finance, human resources, legal functions, executive management costs and other administrative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computes income taxes using the asset and liability method, whereby deferred income taxes using current enacted tax rates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temporary differences between the financial reporting basis and the tax basis of assets and liabilities and for operating loss and tax credit carryforwards. The Company determines valuation allowances based on an assessment of positive and negative evidence on a jurisdiction-by-jurisdiction basis and records a valuation allowance to reduce deferred tax assets to the amount more likely than not to be realized.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related to unrecognized tax benefits in income tax expense.</w:t>
      </w:r>
    </w:p>
    <w:p>
      <w:pPr>
        <w:spacing w:after="0" w:line="2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22, 2017, the Tax Cuts and Jobs Act (“Tax Reform Act”) was signed into law. The primary impact to the Company was a reduction in effective tax rate, substantially due to the reduction in the Federal statutory corporate income tax rate from 35% to 21%. While the Tax Reform Act also introduced new global intangible and base-erosion provisions, neither of these provisions has had a significant impact on the Company’s financial statements. The continued impact from the Tax Reform Act may differ from current estimates due to the issuance and finalization of future regulatory guidance.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20,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The financial statements of subsidiaries located outside of the United States are measured using the currency of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environment in which they operate as the functional currency. When translating into U.S. dollars, income and expense items are translated at average monthly exchange rates and assets and liabilities are translated at exchange rates in effect at the balance sheet date. Adjustments resulting from translating the functional currency into U.S. dollars are deferred as a component of accumulated other comprehensive income (loss) ("AOCI") in the consolidated statement of shareholders' equity. Net foreign currency transaction gains (losses) were approximate gains of $0.3 million and $1.0 million for the years ended December 31, 2019 and December 31, 2018, respectively, and a loss of $0.9 million for the year ended December 31, 2017, and are included in other expense, net in the accompanying consolidated statement of income.</w:t>
      </w:r>
    </w:p>
    <w:p>
      <w:pPr>
        <w:spacing w:after="0" w:line="23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The Company records derivative financial instruments at fair value on the balance sheet as either assets or liabilities,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their fair values are immediately recognized in earnings if the derivatives do not qualify as effective hedges. If a derivative is designated as a fair value hedge, then changes in the fair value of the derivative are offset against the changes in the fair value of the underlying hedged item. If a derivative is designated as a cash flow hedge, then the effective portion of the changes in the fair value of the derivative is recognized as a component of other comprehensive income until the underlying hedged item is recognized in earnings or the forecasted transaction is no longer probable of occurring. If a derivative is designated as a net investment hedge, then the effective portion of the changes in the fair value of the derivative is recognized in other comprehensive income and will be subsequently reclassified to earnings when the hedged net investment is either sold or substantially liquidated. The Company formally documents hedging relationships for all derivative transactions and the underlying hedged items, as well as its risk management objectives and strategies for undertaking the hedge transactions. See Note 12,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information on the Company's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In accounting for and disclosing the fair value of financial instruments, the Company uses the following hierarchy:</w:t>
      </w:r>
    </w:p>
    <w:p>
      <w:pPr>
        <w:spacing w:after="0" w:line="291"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Company has the ability to access at the measurement date;</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and</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Valuation of the Company's interest rate swaps and cross-currency swaps are based on the income approach, which uses observable inputs such as interest rate yield curves and forward currency exchange rates, as applicable.</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financial instruments reported in the balance sheet for current assets and current liabilities approximates fair value due to the short maturity of these instruments.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The Company records assets acquired and liabilities assumed from acquisitions at fair value. The fair value of working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generally approximates book value. The valuation of inventory, property, plant and equipment, and intangible assets requires significant assumptions. Inventory is recorded at fair value based on the estimated selling price less costs to sell, including completion, disposal and holding period costs with a reasonable profit margin. Property and equipment is recorded at fair value using a combination of both the cost and market approaches for both the real and personal property acquired. Under the cost approach, consideration is given to the amount required to construct or purchase a new asset of equal value at current prices, with adjustments in value for physical deterioration, as well as functional and economic obsolescence. Under the market approach, recent transactions for similar types of assets are used as the basis for estimating fair value. For trademark/trade names and technology and other intangible assets, the estimated fair value is based on projected discounted future net cash flows using the relief-from-royalty method. For customer relationship intangible assets, the estimated fair value is based on projected discounted future cash flows using the excess earnings method. The relief-from-royalty and excess earnings method are both income approaches that utilize key assumptions such as forecasts of revenue and expenses over an extended period of time, royalty rate percentages, tax rates, and estimated costs of debt and equity capital to discount the projected cash flows.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The Company recognizes compensation expense related to equity awards based on their fair values as of the grant date. For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with only a service condition, expense is recognized ratably over the vesting period. Performance based equity awards may have targets tied to performance and/or market-based conditions. Market-based conditions are taken into consideration in determining the grant date fair value, and the related compensation expense is recognized regardless of whether the market condition is satisfied, provided the requisite service has been provided. For performance condition components, the Company periodically updates the probability that the performance conditions will be achieved and adjusts expense accordingly, reflecting the change from prior estimate, if any, in current period non-cash stock compensation expense. The disclosed number of awards granted considers only the targeted number of units until such time that the performance condition has been satisfied. If the performance conditions are not achieved, no award is earned.</w:t>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The Company refers to other comprehensive income (loss) as revenues, expenses, gains and losses that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generally accepted in the United States of America are included in comprehensive income (loss) but are excluded from net earnings as these amounts are recorded directly as an adjustment to stockholders' equity. Other comprehensive income (loss) is comprised of foreign currency translation adjustments, amortization of prior service costs and unrecognized gains and losses in actuarial assumptions for pension and postretirement plans and changes in unrealized gains and losses on derivatives.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with the current year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the Company acquired Taplast S.p.A. ("Taplast"), a designer and manufacturer of dispensers, closures and containers for the beauty and personal care, household, and food and beverage packaging end markets, for an aggregate amount of approximately $44.7 million, net of cash acquired. Through its operating facilities in Italy and Slovakia, Taplast serves end markets in Europe and North America and historically generated approximately $32 million in annual revenue. Taplast is included in the Company's Packaging reportable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the Company acquired Plastic Srl, a manufacturer of single-bodied and assembled polymeric caps and closures for use in home care product applications, for an aggregate amount of approximately $22.4 million, net of cash acquired. Located in Forli, Italy, Plastic Srl serves the home care market in Italy and other European countries and historically generated approximately $12 million in annual revenue. Plastic Srl is included in the Company's Packaging reportable segment.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these acquisitions, the Company recorded approximately $1.2 million of non-cash purchase accounting-related expenses during 2019, of which approximately $0.9 million was recognized within selling, general and administrative expenses, primarily related to the write-off of the Plastic Srl trade name acquired that will not be used. In addition, approximately $0.3 million was recognized within cost of sales during 2019 related to the step-up in value and subsequent sale of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20, 2019, the Company completed the sale of Lamons to two wholly-owned subsidiaries of an investment fund sponsored by First Reserve, pursuant to an Asset and Stock Purchase Agreement dated as of November 1, 2019 (the “Purchase Agreement”), for a purchase price of $135 million, subject to certain adjustments as set forth in the Purchase Agreement which the Company expects to be finalized in the first quarter of 2020.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net cash proceeds of approximately $110.9 million, which represents the purchase price, less estimated tax payments of approximately $20.9 million and transaction costs of approximately $3.2 million. The Company recorded a pre-tax gain on sale of approximately $38.9 million, which includes the recognition of previously deferred non-cash foreign currency translation losses of approximately $12.4 million.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determined that Lamons met the criteria to be classified as a discontinued operation. As a result, the historical results for Lamons are shown in the accompanying consolidated statement of income as a discontinued operation and the assets and liabilities have been retrospectively reclassified to assets and liabilities of discontinued operations in the consolidated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assets and liabilities of Lamons held in discontinued operations were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7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Receivables, net</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25,940</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45,960</w:t>
            </w:r>
          </w:p>
        </w:tc>
      </w:tr>
      <w:tr>
        <w:trPr>
          <w:trHeight w:val="27"/>
        </w:trPr>
        <w:tc>
          <w:tcPr>
            <w:tcW w:w="7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37"/>
        </w:trPr>
        <w:tc>
          <w:tcPr>
            <w:tcW w:w="73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72,430</w:t>
            </w:r>
          </w:p>
        </w:tc>
      </w:tr>
      <w:tr>
        <w:trPr>
          <w:trHeight w:val="27"/>
        </w:trPr>
        <w:tc>
          <w:tcPr>
            <w:tcW w:w="7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Other intangibles, net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6,640</w:t>
            </w:r>
          </w:p>
        </w:tc>
      </w:tr>
      <w:tr>
        <w:trPr>
          <w:trHeight w:val="27"/>
        </w:trPr>
        <w:tc>
          <w:tcPr>
            <w:tcW w:w="7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97"/>
        </w:trPr>
        <w:tc>
          <w:tcPr>
            <w:tcW w:w="73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assets</w:t>
            </w: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95,370</w:t>
            </w:r>
          </w:p>
        </w:tc>
      </w:tr>
      <w:tr>
        <w:trPr>
          <w:trHeight w:val="237"/>
        </w:trPr>
        <w:tc>
          <w:tcPr>
            <w:tcW w:w="73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26,010</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7"/>
        </w:trPr>
        <w:tc>
          <w:tcPr>
            <w:tcW w:w="7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7"/>
        </w:trPr>
        <w:tc>
          <w:tcPr>
            <w:tcW w:w="7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32,650</w:t>
            </w:r>
          </w:p>
        </w:tc>
      </w:tr>
      <w:tr>
        <w:trPr>
          <w:trHeight w:val="20"/>
        </w:trPr>
        <w:tc>
          <w:tcPr>
            <w:tcW w:w="7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6"/>
          </w:tcPr>
          <w:p>
            <w:pPr>
              <w:jc w:val="right"/>
              <w:ind w:right="230"/>
              <w:spacing w:after="0"/>
              <w:rPr>
                <w:sz w:val="20"/>
                <w:szCs w:val="20"/>
                <w:color w:val="auto"/>
              </w:rPr>
            </w:pPr>
            <w:r>
              <w:rPr>
                <w:rFonts w:ascii="Arial" w:cs="Arial" w:eastAsia="Arial" w:hAnsi="Arial"/>
                <w:sz w:val="16"/>
                <w:szCs w:val="16"/>
                <w:b w:val="1"/>
                <w:bCs w:val="1"/>
                <w:color w:val="auto"/>
                <w:w w:val="89"/>
              </w:rPr>
              <w:t>Year ended December 31,</w:t>
            </w:r>
          </w:p>
        </w:tc>
        <w:tc>
          <w:tcPr>
            <w:tcW w:w="11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182,590</w:t>
            </w:r>
          </w:p>
        </w:tc>
        <w:tc>
          <w:tcPr>
            <w:tcW w:w="5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161,580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(138,100)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(131,470)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(29,240)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on dispositions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Operating profit (loss)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50,470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57"/>
        </w:trPr>
        <w:tc>
          <w:tcPr>
            <w:tcW w:w="6760" w:type="dxa"/>
            <w:vAlign w:val="bottom"/>
          </w:tcPr>
          <w:p>
            <w:pPr>
              <w:ind w:left="280"/>
              <w:spacing w:after="0"/>
              <w:rPr>
                <w:sz w:val="20"/>
                <w:szCs w:val="20"/>
                <w:color w:val="auto"/>
              </w:rPr>
            </w:pPr>
            <w:r>
              <w:rPr>
                <w:rFonts w:ascii="Arial" w:cs="Arial" w:eastAsia="Arial" w:hAnsi="Arial"/>
                <w:sz w:val="18"/>
                <w:szCs w:val="18"/>
                <w:color w:val="auto"/>
              </w:rPr>
              <w:t>Income (loss) from discontinued operations, net of tax</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36,680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End Markets</w:t>
            </w:r>
          </w:p>
        </w:tc>
        <w:tc>
          <w:tcPr>
            <w:tcW w:w="360" w:type="dxa"/>
            <w:vAlign w:val="bottom"/>
          </w:tcPr>
          <w:p>
            <w:pPr>
              <w:spacing w:after="0"/>
              <w:rPr>
                <w:sz w:val="20"/>
                <w:szCs w:val="20"/>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6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307,640</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276,740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259,470</w:t>
            </w: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194,110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185,920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184,310</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221,780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242,370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212,380</w:t>
            </w:r>
          </w:p>
        </w:tc>
      </w:tr>
      <w:tr>
        <w:trPr>
          <w:trHeight w:val="257"/>
        </w:trPr>
        <w:tc>
          <w:tcPr>
            <w:tcW w:w="6720" w:type="dxa"/>
            <w:vAlign w:val="bottom"/>
            <w:gridSpan w:val="2"/>
          </w:tcPr>
          <w:p>
            <w:pPr>
              <w:ind w:left="28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723,530</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705,030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656,160</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Packaging reportable segment earns revenues from the consumer (which includes end markets such as health, beauty and home care, and food and beverage) and industrial end markets. The Aerospace reportable segment earns revenues from the aerospace end market. The Specialty Products reportable segment earns revenues from the industrial and aerospace end markets.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performed a Step Zero qualitative assessment as part of its 2019, 2018 and 2017 annual impairment tests for all reporting units, which included a review of the Company’s market capitalization. For purposes of the 2019 and 2018 annual impairment tests, based on the Step Zero assessment, the Company determined there were no indications that the fair value of a reporting unit was less than its carrying amount. Therefore, the Company determined that the Step I and Step II tests were not required. For purposes of the 2017 annual impairment test, for all reporting units with goodwill other than the Aerospace reporting unit, based on the Step Zero assessment, the Company determined that there were no indications that the fair value of a reporting unit was less than its carrying amount. Therefore, the Company determined that the Step I and Step II tests were not required for these reporting units.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purposes of the 2017 annual impairment test for the Company's Aerospace reporting unit, management elected to perform a Step I quantitative assessment in consideration of the partial goodwill impairment charge recorded during 2016. In preparing the Step I analysis, the Company utilized both income and market-based approaches, placing a 50% weighting on each. Significant management assumptions used under the income approach were a weighted average cost of capital ("WACC") of 9.5% and an estimated residual growth rate of 3%. In determining the WACC, management considered the level of risk inherent in the cash flow projections based on reducing previously utilized sales growth and margin expansion assumptions, as well as historical attainment of its projections and current market conditions. The use of these unobservable inputs resulted in the fair value estimate being classified as a Level 3 measurement within the fair value hierarchy. Upon completion of the Step I test, the Company determined that the fair value of the Aerospace reporting unit exceeded its carrying value by more than 15%.</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2019, in an effort to better align the Company's machining competencies and resources, the Company began reporting its machined products operations within the Specialty Products reportable segment. These operations were previously reported in the Company's Aerospace reportable segment. As a result of the reporting structure change, the Company's previous Aerospace reporting unit was split into two new reporting units, Machined Products and Aerospace. The Company reallocated the goodwill attributed to the previous Aerospace reporting unit on a relative fair value basis between the Machined Products and the new Aerospace reporting units, resulting in an allocation of goodwill of $12.7 million and $133.7 million, respectively.</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reallocation of goodwill, the Company performed a Step I quantitative assessment for both the Machined Products and the new Aerospace reporting units. As part of this assessment, the Company determined that the fair value of the Aerospace reporting unit exceeded its carrying value by more than 34% and the fair value of the Machined Products reporting unit exceeded its carrying value by more than 13%.</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2019 and 2018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Specialty</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Products</w:t>
            </w:r>
          </w:p>
        </w:tc>
        <w:tc>
          <w:tcPr>
            <w:tcW w:w="300" w:type="dxa"/>
            <w:vAlign w:val="bottom"/>
          </w:tcPr>
          <w:p>
            <w:pPr>
              <w:spacing w:after="0"/>
              <w:rPr>
                <w:sz w:val="22"/>
                <w:szCs w:val="22"/>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316,650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18,400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reassigned in segment realignment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181,650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133,690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19,300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334,640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purposes of the Company's 2019 and 2018 indefinite-lived intangible asset impairment tests, the Company performed a qualitative assessment to determine whether it was more likely than not that the fair values of the indefinite-lived intangible assets were less than the carrying values. Based on the qualitative assessment performed, the Company does not believe that it is more likely than not that the fair values of each of its indefinite-lived intangible assets are less than the carrying values; therefore, a fair value calculation of the indefinite-lived intangible assets was not required for the 2019 and 2018 annual indefinite-lived intangible asset impairment tests.</w:t>
      </w: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the Company performed a qualitative assessment as part of its annual impairment test to determine whether it was more likely than not that the fair values of the indefinite-lived intangible assets were less than the carrying values. Based on the assessment, the Company determined that there were no indications that the fair values of any of its indefinite-lived intangible assets were less than the carrying values. However, in consideration of the impairment charge recorded during 2016, the Company performed a quantitative assessment for its indefinite-lived intangible assets recorded on its balance sheet as of October 1, 2017 within the Aerospace reportable segment to supplement its qualitative assessment. Using the relief-from-royalty method with a discount rate of 9.5% and an estimated residual growth rate of 3%, the Company determined each of its Aerospace-related trade names had a fair value that exceeded carrying values by more than 9%. The use of unobservable inputs resulted in the fair value estimates being classified as a Level 3 measurement within the fair value hierarchy.</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gross carrying amounts and accumulated amortization of the Company's other intangibles as of December 31, 2019 and 2018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5"/>
          </w:tcPr>
          <w:p>
            <w:pPr>
              <w:ind w:left="620"/>
              <w:spacing w:after="0"/>
              <w:rPr>
                <w:sz w:val="20"/>
                <w:szCs w:val="20"/>
                <w:color w:val="auto"/>
              </w:rPr>
            </w:pPr>
            <w:r>
              <w:rPr>
                <w:rFonts w:ascii="Arial" w:cs="Arial" w:eastAsia="Arial" w:hAnsi="Arial"/>
                <w:sz w:val="16"/>
                <w:szCs w:val="16"/>
                <w:b w:val="1"/>
                <w:bCs w:val="1"/>
                <w:color w:val="auto"/>
              </w:rPr>
              <w:t>As of December 31, 2019</w:t>
            </w:r>
          </w:p>
        </w:tc>
        <w:tc>
          <w:tcPr>
            <w:tcW w:w="200" w:type="dxa"/>
            <w:vAlign w:val="bottom"/>
          </w:tcPr>
          <w:p>
            <w:pPr>
              <w:spacing w:after="0"/>
              <w:rPr>
                <w:sz w:val="18"/>
                <w:szCs w:val="18"/>
                <w:color w:val="auto"/>
              </w:rPr>
            </w:pPr>
          </w:p>
        </w:tc>
        <w:tc>
          <w:tcPr>
            <w:tcW w:w="310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Gross Carrying</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Gross Carrying</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w w:val="99"/>
              </w:rPr>
              <w:t>Accumulated</w:t>
            </w: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360" w:type="dxa"/>
            <w:vAlign w:val="bottom"/>
          </w:tcPr>
          <w:p>
            <w:pPr>
              <w:jc w:val="right"/>
              <w:ind w:right="2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Customer relationships, 5 - 12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73,860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66,370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(42,580)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 15 - 25 years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122,280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(49,560)</w:t>
            </w: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customer relationships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196,140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188,650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(92,140)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 and other, 1 - 15 years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(27,010)</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Technology and other, 17 - 30 years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(35,600)</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technology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334,720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322,640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(154,750)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2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r>
      <w:tr>
        <w:trPr>
          <w:trHeight w:val="33"/>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6"/>
              </w:rPr>
              <w:t>Customer relationships, included in selling, general and administrative</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13,400</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18,540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next five fiscal years beginning after December 31, 2019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2960" w:type="dxa"/>
            <w:vAlign w:val="bottom"/>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2980" w:type="dxa"/>
            <w:vAlign w:val="bottom"/>
          </w:tcPr>
          <w:p>
            <w:pPr>
              <w:jc w:val="right"/>
              <w:ind w:right="451"/>
              <w:spacing w:after="0"/>
              <w:rPr>
                <w:sz w:val="20"/>
                <w:szCs w:val="20"/>
                <w:color w:val="auto"/>
              </w:rPr>
            </w:pPr>
            <w:r>
              <w:rPr>
                <w:rFonts w:ascii="Arial" w:cs="Arial" w:eastAsia="Arial" w:hAnsi="Arial"/>
                <w:sz w:val="16"/>
                <w:szCs w:val="16"/>
                <w:b w:val="1"/>
                <w:bCs w:val="1"/>
                <w:color w:val="auto"/>
                <w:w w:val="97"/>
              </w:rPr>
              <w:t>Estimated Amortization Expense</w:t>
            </w:r>
          </w:p>
        </w:tc>
      </w:tr>
      <w:tr>
        <w:trPr>
          <w:trHeight w:val="33"/>
        </w:trPr>
        <w:tc>
          <w:tcPr>
            <w:tcW w:w="2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18,280</w:t>
            </w:r>
          </w:p>
        </w:tc>
      </w:tr>
      <w:tr>
        <w:trPr>
          <w:trHeight w:val="243"/>
        </w:trPr>
        <w:tc>
          <w:tcPr>
            <w:tcW w:w="2960" w:type="dxa"/>
            <w:vAlign w:val="bottom"/>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16,310</w:t>
            </w: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r>
      <w:tr>
        <w:trPr>
          <w:trHeight w:val="243"/>
        </w:trPr>
        <w:tc>
          <w:tcPr>
            <w:tcW w:w="2960" w:type="dxa"/>
            <w:vAlign w:val="bottom"/>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10,860</w:t>
            </w: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r>
      <w:tr>
        <w:trPr>
          <w:trHeight w:val="27"/>
        </w:trPr>
        <w:tc>
          <w:tcPr>
            <w:tcW w:w="2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7"/>
                <w:szCs w:val="17"/>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28,420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34,180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132,660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127,160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9. Property and Equipment,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2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24"/>
                <w:szCs w:val="24"/>
                <w:color w:val="auto"/>
              </w:rPr>
            </w:pPr>
          </w:p>
        </w:tc>
        <w:tc>
          <w:tcPr>
            <w:tcW w:w="138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84,880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69,800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326,990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287,260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430,980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372,640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216,650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200,690</w:t>
            </w:r>
          </w:p>
        </w:tc>
        <w:tc>
          <w:tcPr>
            <w:tcW w:w="0" w:type="dxa"/>
            <w:vAlign w:val="bottom"/>
          </w:tcPr>
          <w:p>
            <w:pPr>
              <w:spacing w:after="0"/>
              <w:rPr>
                <w:sz w:val="1"/>
                <w:szCs w:val="1"/>
                <w:color w:val="auto"/>
              </w:rPr>
            </w:pP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214,330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171,950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9"/>
          </w:tcPr>
          <w:p>
            <w:pPr>
              <w:jc w:val="right"/>
              <w:ind w:right="74"/>
              <w:spacing w:after="0"/>
              <w:rPr>
                <w:sz w:val="20"/>
                <w:szCs w:val="20"/>
                <w:color w:val="auto"/>
              </w:rPr>
            </w:pPr>
            <w:r>
              <w:rPr>
                <w:rFonts w:ascii="Arial" w:cs="Arial" w:eastAsia="Arial" w:hAnsi="Arial"/>
                <w:sz w:val="16"/>
                <w:szCs w:val="16"/>
                <w:b w:val="1"/>
                <w:bCs w:val="1"/>
                <w:color w:val="auto"/>
                <w:w w:val="90"/>
              </w:rPr>
              <w:t>Year ended 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9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 included in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23,700</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Depreciation expense, included in selling, general and administrative expense</w:t>
            </w: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00" w:type="dxa"/>
            <w:vAlign w:val="bottom"/>
          </w:tcPr>
          <w:p>
            <w:pPr>
              <w:spacing w:after="0"/>
              <w:rPr>
                <w:sz w:val="20"/>
                <w:szCs w:val="20"/>
                <w:color w:val="auto"/>
              </w:rPr>
            </w:pPr>
            <w:r>
              <w:rPr>
                <w:rFonts w:ascii="Arial" w:cs="Arial" w:eastAsia="Arial" w:hAnsi="Arial"/>
                <w:sz w:val="18"/>
                <w:szCs w:val="18"/>
                <w:color w:val="auto"/>
              </w:rPr>
              <w:t>Accrued liabilities consist of the following components (dollars in thousands):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41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High deductible insurance</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57"/>
        </w:trPr>
        <w:tc>
          <w:tcPr>
            <w:tcW w:w="710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42,020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43,890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7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72"/>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3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41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4.875% Senior Notes due October 2025</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294,690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293,560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the Company issued $300.0 million aggregate principal amount of 4.875% senior notes due October 15, 2025 ("Senior Notes") at par value in a private placement under Rule 144A of the Securities Act of 1933, as amended. The Company used the proceeds from the offering to fully repay the $250.9 million principal, plus $0.4 million related interest, outstanding on its former senior secured term loan A facility due 2020 ("Term Loan A Facility"), repay approximately $41.7 million of outstanding obligations under the Company's accounts receivable facility, pay fees and expenses of $5.0 million related to the Senior Notes offering, pay fees and expenses of $1.1 million related to amending its existing credit agreement, with the remaining amount retained as cash on its consolidated balance sheet. Of the $5.0 million of fees and expenses related to the Senior Notes, approximately $4.9 million was capitalized as debt issuance costs and approximately $0.1 million was recorded as debt financing and related expenses in the accompanying consolidated statement of income.</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amended its existing credit agreement in 2017 in connection with the Senior Notes offering and extended the maturity date, increased the permitted borrowings denominated in specific foreign currencies, removed the Term Loan A Facility and resized the revolving credit facility. The Company incurred fees and expenses of approximately $1.1 million related to the amendment, all of which was capitalized as debt issuance costs. The Company also recorded approximately $2.0 million non-cash expense related to the write-off of previously capitalized deferred financing fees within debt financing and related expenses in the accompanying consolidated statement of income.</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revolving credit facility allows for the issuance of letters of credit, not to exceed $40.0 million in aggregate. At December 31, 2019, the Company had no amounts outstanding under its revolving credit facility and had $283.9 million potentially available after giving effect to approximately $16.1 million of letters of credit issued and outstanding. At December 31, 2018, the Company had no amounts outstanding under its revolving credit facility and had $284.9 million potentially available after giving effect to approximately $15.1 million of letters of credit issued and outstanding. The Company's borrowing capacity was not reduced by leverage restrictions contained in the Credit Agreement as of December 31, 2019 and December 31, 2018.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December 31, 2019, the Company was in compliance with the financial covenants contained in the Credit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2018, the Company terminated its accounts receivable facility previously utilized through TSPC, Inc. ("TSPC"), a wholly-owned subsidiary. The facility was used to sell trade accounts receivable of substantially all of the Company's domestic business operations. Under this facility, TSPC, from time to time, could sell an undivided fractional ownership interest in the pool of receivables up to $75.0 million to a third-party multi-seller receivables funding company. The cost of funds under this facility consisted of a 1-month LIBOR-based rate plus a usage fee of 1.00% and a fee on the unused portion of the facility of 0.35%. Aggregate costs incurred under the facility were $0.1 million and $1.0 million for the years ended December 31, 2018 and 2017, respectively, and are included in interest expense in the accompanying consolidated statement of income.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face value of long-term debt at December 31, 2019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60" w:type="dxa"/>
            <w:vAlign w:val="bottom"/>
          </w:tcPr>
          <w:p>
            <w:pPr>
              <w:spacing w:after="0"/>
              <w:rPr>
                <w:sz w:val="18"/>
                <w:szCs w:val="18"/>
                <w:color w:val="auto"/>
              </w:rPr>
            </w:pPr>
          </w:p>
        </w:tc>
        <w:tc>
          <w:tcPr>
            <w:tcW w:w="1800" w:type="dxa"/>
            <w:vAlign w:val="bottom"/>
          </w:tcPr>
          <w:p>
            <w:pPr>
              <w:jc w:val="right"/>
              <w:ind w:right="311"/>
              <w:spacing w:after="0"/>
              <w:rPr>
                <w:sz w:val="20"/>
                <w:szCs w:val="20"/>
                <w:color w:val="auto"/>
              </w:rPr>
            </w:pPr>
            <w:r>
              <w:rPr>
                <w:rFonts w:ascii="Arial" w:cs="Arial" w:eastAsia="Arial" w:hAnsi="Arial"/>
                <w:sz w:val="16"/>
                <w:szCs w:val="16"/>
                <w:b w:val="1"/>
                <w:bCs w:val="1"/>
                <w:color w:val="auto"/>
              </w:rPr>
              <w:t>Future Maturities</w:t>
            </w:r>
          </w:p>
        </w:tc>
      </w:tr>
      <w:tr>
        <w:trPr>
          <w:trHeight w:val="33"/>
        </w:trPr>
        <w:tc>
          <w:tcPr>
            <w:tcW w:w="3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7"/>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0"/>
        </w:trPr>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5"/>
          </w:tcPr>
          <w:p>
            <w:pPr>
              <w:ind w:left="10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3560" w:type="dxa"/>
            <w:vAlign w:val="bottom"/>
            <w:gridSpan w:val="4"/>
          </w:tcPr>
          <w:p>
            <w:pPr>
              <w:jc w:val="right"/>
              <w:ind w:right="1134"/>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600" w:type="dxa"/>
            <w:vAlign w:val="bottom"/>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500" w:type="dxa"/>
            <w:vAlign w:val="bottom"/>
          </w:tcPr>
          <w:p>
            <w:pPr>
              <w:jc w:val="right"/>
              <w:ind w:right="45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309,000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282,750</w:t>
            </w: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unamortized debt issuance costs approximated $5.3 million and $6.4 million at December 31, 2019 and 2018, respectively, and are included as a direct reduction from the related debt liability in the accompanying consolidated balance sheet. These amounts consisted primarily of legal, accounting and other transaction advisory fees as well as facility fees paid to the lenders. Amortization expense for these items was approximately $1.1 million, $1.3 million and $1.3 million in 2019, 2018 and 2017, respectively, and is included in interest expense in the accompanying consolidated statement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2018, immediately prior entering into the new cross-currency swap agreements, the Company terminated its existing cross-currency swap agreements, de-designating the swaps as net investment hedges and receiving approximately $1.1 million of cash. The cross-currency swap agreements were entered into in October 2017 and hedged the Company's net investment in Euro-denominated assets against future volatility in the exchange rate between the U.S. dollar and the Euro. The agreements had a five year tenor at notional amounts declining from $150.0 million to $75.0 million over the contract period. Under the terms of the swap agreements, the Company was to receive net interest payments at a fixed rate of approximately 2.1% of the notional amount.</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2017, immediately following the debt refinancing, the Company determined the likelihood of the hedged transactions occurring was not probable and de-designated the interest rate swaps as cash flow hedges and terminated the interest rate swaps for a cash payment of approximately $4.7 million. There were no interest rate swaps outstanding as of December 31, 2017. The cash flows associated with the cash flow hedges are reported in net cash provided by operating activities in the accompanying consolidated statement of cash flows. Up to the date of the termination, the Company utilized hedge accounting, which allows for the effective portion of the interest rate swaps to be recorded in AOCI in the accompanying consolidated balance sheet. At the date the Company de-designated the swaps as effective hedges, there was approximately $2.9 million (net of tax of $1.8 million) of unrealized losses remaining in AOCI, which were reclassified into debt financing and related expenses in the accompanying consolidated statement of income during 2017.</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2018, the fair value carrying amount of the Company's derivatives designated as hedging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3"/>
          </w:tcPr>
          <w:p>
            <w:pPr>
              <w:ind w:left="140"/>
              <w:spacing w:after="0"/>
              <w:rPr>
                <w:sz w:val="20"/>
                <w:szCs w:val="20"/>
                <w:color w:val="auto"/>
              </w:rPr>
            </w:pPr>
            <w:r>
              <w:rPr>
                <w:rFonts w:ascii="Arial" w:cs="Arial" w:eastAsia="Arial" w:hAnsi="Arial"/>
                <w:sz w:val="16"/>
                <w:szCs w:val="16"/>
                <w:b w:val="1"/>
                <w:bCs w:val="1"/>
                <w:color w:val="auto"/>
                <w:w w:val="92"/>
              </w:rPr>
              <w:t>Asset / (Liability) Derivatives</w:t>
            </w:r>
          </w:p>
        </w:tc>
        <w:tc>
          <w:tcPr>
            <w:tcW w:w="380" w:type="dxa"/>
            <w:vAlign w:val="bottom"/>
          </w:tcPr>
          <w:p>
            <w:pPr>
              <w:spacing w:after="0"/>
              <w:rPr>
                <w:sz w:val="18"/>
                <w:szCs w:val="18"/>
                <w:color w:val="auto"/>
              </w:rPr>
            </w:pPr>
          </w:p>
        </w:tc>
      </w:tr>
      <w:tr>
        <w:trPr>
          <w:trHeight w:val="33"/>
        </w:trPr>
        <w:tc>
          <w:tcPr>
            <w:tcW w:w="4580" w:type="dxa"/>
            <w:vAlign w:val="bottom"/>
            <w:gridSpan w:val="2"/>
          </w:tcPr>
          <w:p>
            <w:pPr>
              <w:spacing w:after="0"/>
              <w:rPr>
                <w:sz w:val="2"/>
                <w:szCs w:val="2"/>
                <w:color w:val="auto"/>
              </w:rPr>
            </w:pPr>
          </w:p>
        </w:tc>
        <w:tc>
          <w:tcPr>
            <w:tcW w:w="4000" w:type="dxa"/>
            <w:vAlign w:val="bottom"/>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4580" w:type="dxa"/>
            <w:vAlign w:val="bottom"/>
            <w:gridSpan w:val="2"/>
          </w:tcPr>
          <w:p>
            <w:pPr>
              <w:ind w:left="6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000" w:type="dxa"/>
            <w:vAlign w:val="bottom"/>
            <w:gridSpan w:val="2"/>
          </w:tcPr>
          <w:p>
            <w:pPr>
              <w:ind w:left="1160"/>
              <w:spacing w:after="0"/>
              <w:rPr>
                <w:sz w:val="20"/>
                <w:szCs w:val="20"/>
                <w:color w:val="auto"/>
              </w:rPr>
            </w:pPr>
            <w:r>
              <w:rPr>
                <w:rFonts w:ascii="Arial" w:cs="Arial" w:eastAsia="Arial" w:hAnsi="Arial"/>
                <w:sz w:val="16"/>
                <w:szCs w:val="16"/>
                <w:b w:val="1"/>
                <w:bCs w:val="1"/>
                <w:color w:val="auto"/>
              </w:rPr>
              <w:t>Balance Sheet Caption</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2019</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2018</w:t>
            </w: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130</w:t>
            </w:r>
          </w:p>
        </w:tc>
      </w:tr>
      <w:tr>
        <w:trPr>
          <w:trHeight w:val="81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Pr>
          <w:p>
            <w:pPr>
              <w:jc w:val="right"/>
              <w:ind w:right="259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income recognized in AOCI on derivative contracts designated as hedging instruments as of December 31, 2019 and 2018, and the amounts reclassified from AOCI into earnings for the years ended December 31, 2019, 2018 and 2017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1"/>
              </w:rPr>
              <w:t>Amount of Income Recognized</w:t>
            </w: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6"/>
              </w:rPr>
              <w:t>in AOCI on Derivative</w:t>
            </w:r>
          </w:p>
        </w:tc>
        <w:tc>
          <w:tcPr>
            <w:tcW w:w="100" w:type="dxa"/>
            <w:vAlign w:val="bottom"/>
          </w:tcPr>
          <w:p>
            <w:pPr>
              <w:spacing w:after="0"/>
              <w:rPr>
                <w:sz w:val="17"/>
                <w:szCs w:val="1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330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Amount of Loss Reclassified from</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4"/>
            <w:vMerge w:val="restart"/>
          </w:tcPr>
          <w:p>
            <w:pPr>
              <w:jc w:val="center"/>
              <w:ind w:right="73"/>
              <w:spacing w:after="0"/>
              <w:rPr>
                <w:sz w:val="20"/>
                <w:szCs w:val="20"/>
                <w:color w:val="auto"/>
              </w:rPr>
            </w:pPr>
            <w:r>
              <w:rPr>
                <w:rFonts w:ascii="Arial" w:cs="Arial" w:eastAsia="Arial" w:hAnsi="Arial"/>
                <w:sz w:val="16"/>
                <w:szCs w:val="16"/>
                <w:b w:val="1"/>
                <w:bCs w:val="1"/>
                <w:color w:val="auto"/>
                <w:w w:val="92"/>
              </w:rPr>
              <w:t>(Effective Portion, net of tax)</w:t>
            </w:r>
          </w:p>
        </w:tc>
        <w:tc>
          <w:tcPr>
            <w:tcW w:w="100" w:type="dxa"/>
            <w:vAlign w:val="bottom"/>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6"/>
            <w:vMerge w:val="restart"/>
          </w:tcPr>
          <w:p>
            <w:pPr>
              <w:jc w:val="center"/>
              <w:ind w:right="110"/>
              <w:spacing w:after="0"/>
              <w:rPr>
                <w:sz w:val="20"/>
                <w:szCs w:val="20"/>
                <w:color w:val="auto"/>
              </w:rPr>
            </w:pPr>
            <w:r>
              <w:rPr>
                <w:rFonts w:ascii="Arial" w:cs="Arial" w:eastAsia="Arial" w:hAnsi="Arial"/>
                <w:sz w:val="16"/>
                <w:szCs w:val="16"/>
                <w:b w:val="1"/>
                <w:bCs w:val="1"/>
                <w:color w:val="auto"/>
                <w:w w:val="95"/>
              </w:rPr>
              <w:t>AOCI into Earnings</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60" w:type="dxa"/>
            <w:vAlign w:val="bottom"/>
            <w:gridSpan w:val="4"/>
            <w:vMerge w:val="restart"/>
          </w:tcPr>
          <w:p>
            <w:pPr>
              <w:jc w:val="center"/>
              <w:ind w:right="73"/>
              <w:spacing w:after="0"/>
              <w:rPr>
                <w:sz w:val="20"/>
                <w:szCs w:val="20"/>
                <w:color w:val="auto"/>
              </w:rPr>
            </w:pPr>
            <w:r>
              <w:rPr>
                <w:rFonts w:ascii="Arial" w:cs="Arial" w:eastAsia="Arial" w:hAnsi="Arial"/>
                <w:sz w:val="16"/>
                <w:szCs w:val="16"/>
                <w:b w:val="1"/>
                <w:bCs w:val="1"/>
                <w:color w:val="auto"/>
                <w:w w:val="90"/>
              </w:rPr>
              <w:t>As of December 31,</w:t>
            </w:r>
          </w:p>
        </w:tc>
        <w:tc>
          <w:tcPr>
            <w:tcW w:w="10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860" w:type="dxa"/>
            <w:vAlign w:val="bottom"/>
            <w:gridSpan w:val="7"/>
            <w:vMerge w:val="restart"/>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jc w:val="center"/>
              <w:ind w:right="140"/>
              <w:spacing w:after="0" w:line="142" w:lineRule="exact"/>
              <w:rPr>
                <w:sz w:val="20"/>
                <w:szCs w:val="20"/>
                <w:color w:val="auto"/>
              </w:rPr>
            </w:pPr>
            <w:r>
              <w:rPr>
                <w:rFonts w:ascii="Arial" w:cs="Arial" w:eastAsia="Arial" w:hAnsi="Arial"/>
                <w:sz w:val="16"/>
                <w:szCs w:val="16"/>
                <w:b w:val="1"/>
                <w:bCs w:val="1"/>
                <w:color w:val="auto"/>
                <w:w w:val="91"/>
              </w:rPr>
              <w:t>into Earnings</w:t>
            </w:r>
          </w:p>
        </w:tc>
        <w:tc>
          <w:tcPr>
            <w:tcW w:w="720" w:type="dxa"/>
            <w:vAlign w:val="bottom"/>
          </w:tcPr>
          <w:p>
            <w:pPr>
              <w:spacing w:after="0"/>
              <w:rPr>
                <w:sz w:val="11"/>
                <w:szCs w:val="11"/>
                <w:color w:val="auto"/>
              </w:rPr>
            </w:pPr>
          </w:p>
        </w:tc>
        <w:tc>
          <w:tcPr>
            <w:tcW w:w="1860" w:type="dxa"/>
            <w:vAlign w:val="bottom"/>
            <w:gridSpan w:val="7"/>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(Effective Portion)</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center"/>
              <w:ind w:right="132"/>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Cross-currency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Debt financing and</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related expenses</w:t>
            </w: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Company was party to foreign currency exchange forward contracts to economically hedge changes in foreign currency rates with notional amounts of approximately $104.2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and the Chinese yuan, and have various settlement dates through March 2020. These contracts are not designated as hedging instruments; therefore, gains and losses on these contracts are recognized each period directly into the consolidated statement of income.</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387" w:lineRule="exact"/>
        <w:rPr>
          <w:sz w:val="20"/>
          <w:szCs w:val="20"/>
          <w:color w:val="auto"/>
        </w:rPr>
      </w:pPr>
    </w:p>
    <w:p>
      <w:pPr>
        <w:jc w:val="center"/>
        <w:ind w:left="8160"/>
        <w:spacing w:after="0"/>
        <w:rPr>
          <w:sz w:val="20"/>
          <w:szCs w:val="20"/>
          <w:color w:val="auto"/>
        </w:rPr>
      </w:pPr>
      <w:r>
        <w:rPr>
          <w:rFonts w:ascii="Arial" w:cs="Arial" w:eastAsia="Arial" w:hAnsi="Arial"/>
          <w:sz w:val="15"/>
          <w:szCs w:val="15"/>
          <w:b w:val="1"/>
          <w:bCs w:val="1"/>
          <w:color w:val="auto"/>
        </w:rPr>
        <w:t>Amount of Loss Recognized in Earnings on</w:t>
      </w:r>
    </w:p>
    <w:p>
      <w:pPr>
        <w:spacing w:after="0" w:line="38"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33020</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center"/>
              <w:ind w:left="416"/>
              <w:spacing w:after="0"/>
              <w:rPr>
                <w:sz w:val="20"/>
                <w:szCs w:val="20"/>
                <w:color w:val="auto"/>
              </w:rPr>
            </w:pPr>
            <w:r>
              <w:rPr>
                <w:rFonts w:ascii="Arial" w:cs="Arial" w:eastAsia="Arial" w:hAnsi="Arial"/>
                <w:sz w:val="16"/>
                <w:szCs w:val="16"/>
                <w:b w:val="1"/>
                <w:bCs w:val="1"/>
                <w:color w:val="auto"/>
                <w:w w:val="90"/>
              </w:rPr>
              <w:t>Year ended December 31,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9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9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Recognized in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Earnings on Derivatives</w:t>
            </w:r>
          </w:p>
        </w:tc>
        <w:tc>
          <w:tcPr>
            <w:tcW w:w="240" w:type="dxa"/>
            <w:vAlign w:val="bottom"/>
          </w:tcPr>
          <w:p>
            <w:pPr>
              <w:spacing w:after="0"/>
              <w:rPr>
                <w:sz w:val="18"/>
                <w:szCs w:val="18"/>
                <w:color w:val="auto"/>
              </w:rPr>
            </w:pPr>
          </w:p>
        </w:tc>
        <w:tc>
          <w:tcPr>
            <w:tcW w:w="800" w:type="dxa"/>
            <w:vAlign w:val="bottom"/>
          </w:tcPr>
          <w:p>
            <w:pPr>
              <w:jc w:val="right"/>
              <w:ind w:right="27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4"/>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exchange contracts</w:t>
            </w:r>
          </w:p>
        </w:tc>
        <w:tc>
          <w:tcPr>
            <w:tcW w:w="296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4"/>
        </w:trPr>
        <w:tc>
          <w:tcPr>
            <w:tcW w:w="5160" w:type="dxa"/>
            <w:vAlign w:val="bottom"/>
          </w:tcPr>
          <w:p>
            <w:pPr>
              <w:spacing w:after="0"/>
              <w:rPr>
                <w:sz w:val="24"/>
                <w:szCs w:val="24"/>
                <w:color w:val="auto"/>
              </w:rPr>
            </w:pPr>
          </w:p>
        </w:tc>
        <w:tc>
          <w:tcPr>
            <w:tcW w:w="2860" w:type="dxa"/>
            <w:vAlign w:val="bottom"/>
          </w:tcPr>
          <w:p>
            <w:pPr>
              <w:jc w:val="right"/>
              <w:ind w:right="213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 instruments are estimated using an income approach based on valuation techniques to convert future amounts to a single, discounted amount. Estimates of the fair value of the Company's cross-currency swaps use observable inputs such as interest rate yield curves and forward currency exchange rates. Fair value measurements and the fair value hierarchy level for the Company's assets and liabilities measured at fair value on a recurring basis as of December 31, 2019 and 2018 are as follows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Frequency</w:t>
            </w: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5"/>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2019</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Recurring</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exchange contracts</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swaps</w:t>
            </w:r>
          </w:p>
        </w:tc>
        <w:tc>
          <w:tcPr>
            <w:tcW w:w="1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Recurring</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210"/>
        </w:trPr>
        <w:tc>
          <w:tcPr>
            <w:tcW w:w="9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71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Short-term, variable and other lease costs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lease cost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9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jc w:val="right"/>
              <w:ind w:right="311"/>
              <w:spacing w:after="0"/>
              <w:rPr>
                <w:sz w:val="20"/>
                <w:szCs w:val="20"/>
                <w:color w:val="auto"/>
              </w:rPr>
            </w:pPr>
            <w:r>
              <w:rPr>
                <w:rFonts w:ascii="Arial" w:cs="Arial" w:eastAsia="Arial" w:hAnsi="Arial"/>
                <w:sz w:val="16"/>
                <w:szCs w:val="16"/>
                <w:b w:val="1"/>
                <w:bCs w:val="1"/>
                <w:color w:val="auto"/>
                <w:w w:val="87"/>
              </w:rPr>
              <w:t>Operating Leases</w:t>
            </w:r>
            <w:r>
              <w:rPr>
                <w:rFonts w:ascii="Arial" w:cs="Arial" w:eastAsia="Arial" w:hAnsi="Arial"/>
                <w:sz w:val="25"/>
                <w:szCs w:val="25"/>
                <w:color w:val="auto"/>
                <w:w w:val="87"/>
                <w:vertAlign w:val="superscript"/>
              </w:rPr>
              <w:t>(a)</w:t>
            </w:r>
          </w:p>
        </w:tc>
        <w:tc>
          <w:tcPr>
            <w:tcW w:w="0" w:type="dxa"/>
            <w:vAlign w:val="bottom"/>
          </w:tcPr>
          <w:p>
            <w:pPr>
              <w:spacing w:after="0"/>
              <w:rPr>
                <w:sz w:val="1"/>
                <w:szCs w:val="1"/>
                <w:color w:val="auto"/>
              </w:rPr>
            </w:pPr>
          </w:p>
        </w:tc>
      </w:tr>
      <w:tr>
        <w:trPr>
          <w:trHeight w:val="244"/>
        </w:trPr>
        <w:tc>
          <w:tcPr>
            <w:tcW w:w="9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9,320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36,500</w:t>
            </w:r>
          </w:p>
        </w:tc>
        <w:tc>
          <w:tcPr>
            <w:tcW w:w="0" w:type="dxa"/>
            <w:vAlign w:val="bottom"/>
          </w:tcPr>
          <w:p>
            <w:pPr>
              <w:spacing w:after="0"/>
              <w:rPr>
                <w:sz w:val="1"/>
                <w:szCs w:val="1"/>
                <w:color w:val="auto"/>
              </w:rPr>
            </w:pP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line="273" w:lineRule="auto"/>
        <w:tabs>
          <w:tab w:leader="none" w:pos="340" w:val="left"/>
        </w:tabs>
        <w:numPr>
          <w:ilvl w:val="0"/>
          <w:numId w:val="30"/>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remaining term of the Company's operating leases as of December 31, 2019 is approximately 6.0 years. The weighted-average discount rate as of December 31, 2019 is approximately 5.0%.</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during the year ended December 31, 2019 was approximately $6.4 million, and is included in cash flows provided by operating activities in the consolidated statement of cash flows.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obtained in exchange for lease liabilities during the year ended December 31, 2019 was approximately $1.4 million.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Rental expense for operating leases as classified under prior authoritative lease guidance for the Company was approximately $5.8 million in 2018 and $9.5 million in 2017. Minimum payments for operating leases having initial or remaining non-cancelable lease terms in excess of one year at December 31, 2018 as classified under prior authoritative lease guidance were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3280" w:type="dxa"/>
        <w:tblCellMar>
          <w:top w:w="0" w:type="dxa"/>
          <w:left w:w="0" w:type="dxa"/>
          <w:bottom w:w="0" w:type="dxa"/>
          <w:right w:w="0" w:type="dxa"/>
        </w:tblCellMar>
      </w:tblPr>
      <w:tr>
        <w:trPr>
          <w:trHeight w:val="210"/>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8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Minimum Payments</w:t>
            </w:r>
          </w:p>
        </w:tc>
      </w:tr>
      <w:tr>
        <w:trPr>
          <w:trHeight w:val="33"/>
        </w:trPr>
        <w:tc>
          <w:tcPr>
            <w:tcW w:w="25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8,770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6,260</w:t>
            </w:r>
          </w:p>
        </w:tc>
      </w:tr>
      <w:tr>
        <w:trPr>
          <w:trHeight w:val="27"/>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11,690</w:t>
            </w:r>
          </w:p>
        </w:tc>
      </w:tr>
      <w:tr>
        <w:trPr>
          <w:trHeight w:val="27"/>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48,840</w:t>
            </w:r>
          </w:p>
        </w:tc>
      </w:tr>
      <w:tr>
        <w:trPr>
          <w:trHeight w:val="20"/>
        </w:trPr>
        <w:tc>
          <w:tcPr>
            <w:tcW w:w="2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subject to increasingly stringent environmental laws and regulations, including those relating to air emissions, wastewater discharges and chemical and hazardous waste management and disposal. Some of these environmental laws hold owners or operators of land or businesses liable for their own and for previous owners' or operators' releases of hazardous or toxic substances or wastes. Other environmental laws and regulations require the obtainment and compliance with environmental permits. To date, costs of complying with environmental, health and safety requirements have not been material. However, the nature of the Company's operations and the long history of industrial activities at certain of the Company's current or former facilities, as well as those acquired, could potentially result in material environmental liabilities.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must comply with existing and pending climate change legislation, regulation and international treaties or accords, current laws and regulations have not had a material impact on the Company's business, capital expenditures or financial position. Future events, including those relating to climate change or greenhouse gas regulation, could require the Company to incur expenses related to the modification or curtailment of operations, installation of pollution control equipment or investigation and cleanup of contaminated sites.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the Company was a party to 346 pending cases involving an aggregate of 4,759 claimants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Claims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820" w:type="dxa"/>
            <w:vAlign w:val="bottom"/>
          </w:tcPr>
          <w:p>
            <w:pPr>
              <w:ind w:left="320"/>
              <w:spacing w:after="0"/>
              <w:rPr>
                <w:sz w:val="20"/>
                <w:szCs w:val="20"/>
                <w:color w:val="auto"/>
              </w:rPr>
            </w:pPr>
            <w:r>
              <w:rPr>
                <w:rFonts w:ascii="Arial" w:cs="Arial" w:eastAsia="Arial" w:hAnsi="Arial"/>
                <w:sz w:val="16"/>
                <w:szCs w:val="16"/>
                <w:b w:val="1"/>
                <w:bCs w:val="1"/>
                <w:color w:val="auto"/>
                <w:w w:val="91"/>
              </w:rPr>
              <w:t>Claims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settlement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pending at</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89"/>
              </w:rPr>
              <w:t>settled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amount per</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Total defense</w:t>
            </w:r>
          </w:p>
        </w:tc>
      </w:tr>
      <w:tr>
        <w:trPr>
          <w:trHeight w:val="203"/>
        </w:trPr>
        <w:tc>
          <w:tcPr>
            <w:tcW w:w="208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beginning of</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92"/>
              </w:rPr>
              <w:t>during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pending at end</w:t>
            </w:r>
          </w:p>
        </w:tc>
        <w:tc>
          <w:tcPr>
            <w:tcW w:w="2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claim during</w:t>
            </w:r>
          </w:p>
        </w:tc>
        <w:tc>
          <w:tcPr>
            <w:tcW w:w="160" w:type="dxa"/>
            <w:vAlign w:val="bottom"/>
          </w:tcPr>
          <w:p>
            <w:pPr>
              <w:spacing w:after="0"/>
              <w:rPr>
                <w:sz w:val="17"/>
                <w:szCs w:val="17"/>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0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820" w:type="dxa"/>
            <w:vAlign w:val="bottom"/>
          </w:tcPr>
          <w:p>
            <w:pPr>
              <w:ind w:left="340"/>
              <w:spacing w:after="0"/>
              <w:rPr>
                <w:sz w:val="20"/>
                <w:szCs w:val="20"/>
                <w:color w:val="auto"/>
              </w:rPr>
            </w:pPr>
            <w:r>
              <w:rPr>
                <w:rFonts w:ascii="Arial" w:cs="Arial" w:eastAsia="Arial" w:hAnsi="Arial"/>
                <w:sz w:val="16"/>
                <w:szCs w:val="16"/>
                <w:b w:val="1"/>
                <w:bCs w:val="1"/>
                <w:color w:val="auto"/>
                <w:w w:val="93"/>
              </w:rPr>
              <w:t>period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of period</w:t>
            </w:r>
          </w:p>
        </w:tc>
        <w:tc>
          <w:tcPr>
            <w:tcW w:w="2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period</w:t>
            </w:r>
          </w:p>
        </w:tc>
        <w:tc>
          <w:tcPr>
            <w:tcW w:w="160" w:type="dxa"/>
            <w:vAlign w:val="bottom"/>
          </w:tcPr>
          <w:p>
            <w:pPr>
              <w:spacing w:after="0"/>
              <w:rPr>
                <w:sz w:val="18"/>
                <w:szCs w:val="18"/>
                <w:color w:val="auto"/>
              </w:rPr>
            </w:pPr>
          </w:p>
        </w:tc>
        <w:tc>
          <w:tcPr>
            <w:tcW w:w="12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period</w:t>
            </w:r>
          </w:p>
        </w:tc>
      </w:tr>
      <w:tr>
        <w:trPr>
          <w:trHeight w:val="33"/>
        </w:trPr>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2,251,704</w:t>
            </w: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0"/>
                <w:szCs w:val="20"/>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4,820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2,260,000</w:t>
            </w:r>
          </w:p>
        </w:tc>
      </w:tr>
      <w:tr>
        <w:trPr>
          <w:trHeight w:val="27"/>
        </w:trPr>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Fiscal year ended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5,339</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2,280,000</w:t>
            </w:r>
          </w:p>
        </w:tc>
      </w:tr>
      <w:tr>
        <w:trPr>
          <w:trHeight w:val="27"/>
        </w:trPr>
        <w:tc>
          <w:tcPr>
            <w:tcW w:w="20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the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4,759 claims pending at December 31, 2019, 56 set forth specific amounts of damages (other than those stating the statutory minimum or maximum). At December 31, 2019, of the 56 claims that set forth specific amounts, there was one claim seeking more than $5 million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(in millions)</w:t>
            </w: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25 years ago, have been approximately $9.4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The Company's primary insurance exhausted in November 2018, and the Company is solely responsible for defense costs and indemnity payments prior to the commencement of coverage under this agreement, the duration of which would be subject to the scope of damage awards and settlements paid.</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that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2002, the Company was wholly-owned by Metaldyne Corporation ("Metaldyne"). In connection with the reorganization between TriMas and Metaldyne in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Profit-Sharing Benefits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a defined contribution profit sharing plan for the benefit of substantially all the Company's domestic salaried and non-union hourly employees. The plan contains both contributory and noncontributory profit sharing arrangements, as defined. Aggregate charges included in the accompanying consolidated statement of income under this plan for both continuing and discontinued operations were approximately $4.6 million, $4.2 million and $3.8 million in 2019, 2018 and 2017, respectively. Certain of the Company's non-U.S. and union hourly employees participate in defined benefit pension plans.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 Expenses and Obligations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expense recorded in the Company's consolidated statement of income for defined benefit pension plans include the following components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Pension Benefit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Net periodic benefit expense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expense is recorded in cost of goods sold and selling, general and administrative expenses, while non-service cost components are recorded in other expense, net in the accompanying consolidated statement of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Company recognized one-time settlement and curtailment charges of approximately $2.6 million, of which approximately $2.5 million was due to the purchase of an annuity contract to transfer certain U.S. retiree defined benefit obligations to an insurance company. The annuity contract was funded by plan assets.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net actuarial loss and prior service cost for defined benefit pension plans that is expected to be amortized from AOCI into net periodic benefit expense in 2020 is approximately $0.9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Actuarial valuations of the Company's defined benefit pension plans were prepared as of December 31, 2019, 2018 and 2017. Weighted average assumptions used in accounting for the U.S. defined benefit pension plans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0" w:type="dxa"/>
            <w:vAlign w:val="bottom"/>
          </w:tcPr>
          <w:p>
            <w:pPr>
              <w:ind w:left="440"/>
              <w:spacing w:after="0"/>
              <w:rPr>
                <w:sz w:val="20"/>
                <w:szCs w:val="20"/>
                <w:color w:val="auto"/>
              </w:rPr>
            </w:pPr>
            <w:r>
              <w:rPr>
                <w:rFonts w:ascii="Arial" w:cs="Arial" w:eastAsia="Arial" w:hAnsi="Arial"/>
                <w:sz w:val="16"/>
                <w:szCs w:val="16"/>
                <w:b w:val="1"/>
                <w:bCs w:val="1"/>
                <w:color w:val="auto"/>
              </w:rPr>
              <w:t>2017</w:t>
            </w:r>
          </w:p>
        </w:tc>
      </w:tr>
      <w:tr>
        <w:trPr>
          <w:trHeight w:val="33"/>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3"/>
              </w:rPr>
              <w:t>3.76%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4.37%</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4.35%</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N/A</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Arial" w:cs="Arial" w:eastAsia="Arial" w:hAnsi="Arial"/>
                <w:sz w:val="18"/>
                <w:szCs w:val="18"/>
                <w:color w:val="auto"/>
                <w:w w:val="93"/>
              </w:rPr>
              <w:t>7.13%</w:t>
            </w: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utilizes a high-quality (Aa or greater) corporate bond yield curve as the basis for its domestic discount rate for its pension benefit plans. Management believes this yield curve removes the impact of including additional required corporate bond yields (potentially considered in the above-median curve) resulting from the uncertain economic climate that does not necessarily reflect the general trend in high-quality interest rates.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assumptions used in accounting for the non-U.S. defined benefit pension plans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Pension Benefit</w:t>
            </w:r>
          </w:p>
        </w:tc>
        <w:tc>
          <w:tcPr>
            <w:tcW w:w="1200" w:type="dxa"/>
            <w:vAlign w:val="bottom"/>
          </w:tcPr>
          <w:p>
            <w:pPr>
              <w:spacing w:after="0"/>
              <w:rPr>
                <w:sz w:val="18"/>
                <w:szCs w:val="18"/>
                <w:color w:val="auto"/>
              </w:rPr>
            </w:pPr>
          </w:p>
        </w:tc>
      </w:tr>
      <w:tr>
        <w:trPr>
          <w:trHeight w:val="33"/>
        </w:trPr>
        <w:tc>
          <w:tcPr>
            <w:tcW w:w="45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4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r>
      <w:tr>
        <w:trPr>
          <w:trHeight w:val="33"/>
        </w:trPr>
        <w:tc>
          <w:tcPr>
            <w:tcW w:w="45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4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Discount rate for benefit costs</w:t>
            </w:r>
          </w:p>
        </w:tc>
        <w:tc>
          <w:tcPr>
            <w:tcW w:w="42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45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4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Expected long-term rate of return on plan assets</w:t>
            </w:r>
          </w:p>
        </w:tc>
        <w:tc>
          <w:tcPr>
            <w:tcW w:w="42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810"/>
        </w:trPr>
        <w:tc>
          <w:tcPr>
            <w:tcW w:w="4560" w:type="dxa"/>
            <w:vAlign w:val="bottom"/>
          </w:tcPr>
          <w:p>
            <w:pPr>
              <w:spacing w:after="0"/>
              <w:rPr>
                <w:sz w:val="24"/>
                <w:szCs w:val="24"/>
                <w:color w:val="auto"/>
              </w:rPr>
            </w:pPr>
          </w:p>
        </w:tc>
        <w:tc>
          <w:tcPr>
            <w:tcW w:w="3040" w:type="dxa"/>
            <w:vAlign w:val="bottom"/>
          </w:tcPr>
          <w:p>
            <w:pPr>
              <w:jc w:val="right"/>
              <w:ind w:right="1711"/>
              <w:spacing w:after="0"/>
              <w:rPr>
                <w:sz w:val="20"/>
                <w:szCs w:val="20"/>
                <w:color w:val="auto"/>
              </w:rPr>
            </w:pPr>
            <w:r>
              <w:rPr>
                <w:rFonts w:ascii="Arial" w:cs="Arial" w:eastAsia="Arial" w:hAnsi="Arial"/>
                <w:sz w:val="18"/>
                <w:szCs w:val="18"/>
                <w:color w:val="auto"/>
              </w:rPr>
              <w:t>73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provides a reconciliation of the changes in the Company's defined benefit pension plans' projected benefit obligations and fair value of assets for each of the years ended December 31, 2019 and 2018 and the funded status as of December 31, 2019 and 2018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Changes in Projected Benefit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Benefit obligations at January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(39,030)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3,020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Annuity purchase</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and curtailments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 at December 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payments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Annuity purchase</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Change in foreign currency</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24,650</w:t>
            </w:r>
          </w:p>
        </w:tc>
      </w:tr>
      <w:tr>
        <w:trPr>
          <w:trHeight w:val="257"/>
        </w:trPr>
        <w:tc>
          <w:tcPr>
            <w:tcW w:w="9040" w:type="dxa"/>
            <w:vAlign w:val="bottom"/>
          </w:tcPr>
          <w:p>
            <w:pPr>
              <w:ind w:left="180"/>
              <w:spacing w:after="0"/>
              <w:rPr>
                <w:sz w:val="20"/>
                <w:szCs w:val="20"/>
                <w:color w:val="auto"/>
              </w:rPr>
            </w:pPr>
            <w:r>
              <w:rPr>
                <w:rFonts w:ascii="Arial" w:cs="Arial" w:eastAsia="Arial" w:hAnsi="Arial"/>
                <w:sz w:val="18"/>
                <w:szCs w:val="18"/>
                <w:color w:val="auto"/>
              </w:rPr>
              <w:t>Funded status at December 31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629"/>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Balance Sheet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Prepaid benefit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1,350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liability recognized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845"/>
        </w:trPr>
        <w:tc>
          <w:tcPr>
            <w:tcW w:w="9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551"/>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net loss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11,610</w:t>
            </w:r>
          </w:p>
        </w:tc>
      </w:tr>
      <w:tr>
        <w:trPr>
          <w:trHeight w:val="257"/>
        </w:trPr>
        <w:tc>
          <w:tcPr>
            <w:tcW w:w="904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recognized at December 31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13,430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11,800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w w:val="96"/>
              </w:rPr>
              <w:t>Accumulated Benefit Obligations</w:t>
            </w:r>
          </w:p>
        </w:tc>
        <w:tc>
          <w:tcPr>
            <w:tcW w:w="160" w:type="dxa"/>
            <w:vAlign w:val="bottom"/>
          </w:tcPr>
          <w:p>
            <w:pPr>
              <w:spacing w:after="0"/>
              <w:rPr>
                <w:sz w:val="18"/>
                <w:szCs w:val="18"/>
                <w:color w:val="auto"/>
              </w:rPr>
            </w:pPr>
          </w:p>
        </w:tc>
        <w:tc>
          <w:tcPr>
            <w:tcW w:w="22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1"/>
              </w:rPr>
              <w:t>Projected Benefit Obligations</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Obligations at December 31,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Total benefit obligations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(30,300)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benefit obligations exceeding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Benefit obligations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5,090</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assumptions regarding discount rates and expected return on plan assets can have a significant impact on amounts reported for benefit plans. A 25 basis point change in benefit obligation discount rates or 50 basis point change in expected return on plan assets would have the following effect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Pension Benefit</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Benefit Obligation</w:t>
            </w:r>
          </w:p>
        </w:tc>
        <w:tc>
          <w:tcPr>
            <w:tcW w:w="240" w:type="dxa"/>
            <w:vAlign w:val="bottom"/>
          </w:tcPr>
          <w:p>
            <w:pPr>
              <w:spacing w:after="0"/>
              <w:rPr>
                <w:sz w:val="18"/>
                <w:szCs w:val="18"/>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 Expense</w:t>
            </w:r>
          </w:p>
        </w:tc>
      </w:tr>
      <w:tr>
        <w:trPr>
          <w:trHeight w:val="33"/>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Discount rate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25 basis point increase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basis point decrease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Expected return on assets</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 basis point increase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50 basis point decrease</w:t>
            </w:r>
          </w:p>
        </w:tc>
        <w:tc>
          <w:tcPr>
            <w:tcW w:w="160" w:type="dxa"/>
            <w:vAlign w:val="bottom"/>
          </w:tcPr>
          <w:p>
            <w:pPr>
              <w:spacing w:after="0"/>
              <w:rPr>
                <w:sz w:val="21"/>
                <w:szCs w:val="21"/>
                <w:color w:val="auto"/>
              </w:rPr>
            </w:pP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make contributions of approximately $2.4 million to fund its pension plans during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investment goal is to provide for capital growth with a moderate level of volatility by investing assets in targeted allocation ranges. Specific long term investment goals include total investment return, diversity to reduce volatility and risk, and to achieve an asset allocation profile that reflects the general nature and sensitivity of the plans' liabilities. Investment goals are established after a comprehensive review of current and projected financial statement requirements, plan assets and liability structure, market returns and risks as well as special requirements of the plans. The Company reviews investment goals and actual results annually to determine whether stated objectives are still relevant and the continued feasibility of achieving the objectives.</w:t>
      </w:r>
    </w:p>
    <w:p>
      <w:pPr>
        <w:spacing w:after="0" w:line="2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weighted average asset allocation of the Company's domestic and foreign pension plans' assets at December 31, 2019 and 2018 and target allocations by class,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Domestic Pension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4"/>
          </w:tcPr>
          <w:p>
            <w:pPr>
              <w:ind w:left="40"/>
              <w:spacing w:after="0"/>
              <w:rPr>
                <w:sz w:val="20"/>
                <w:szCs w:val="20"/>
                <w:color w:val="auto"/>
              </w:rPr>
            </w:pPr>
            <w:r>
              <w:rPr>
                <w:rFonts w:ascii="Arial" w:cs="Arial" w:eastAsia="Arial" w:hAnsi="Arial"/>
                <w:sz w:val="16"/>
                <w:szCs w:val="16"/>
                <w:b w:val="1"/>
                <w:bCs w:val="1"/>
                <w:color w:val="auto"/>
              </w:rPr>
              <w:t>Foreign Pension</w:t>
            </w:r>
          </w:p>
        </w:tc>
        <w:tc>
          <w:tcPr>
            <w:tcW w:w="88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ind w:left="1020"/>
              <w:spacing w:after="0"/>
              <w:rPr>
                <w:sz w:val="20"/>
                <w:szCs w:val="20"/>
                <w:color w:val="auto"/>
              </w:rPr>
            </w:pPr>
            <w:r>
              <w:rPr>
                <w:rFonts w:ascii="Arial" w:cs="Arial" w:eastAsia="Arial" w:hAnsi="Arial"/>
                <w:sz w:val="16"/>
                <w:szCs w:val="16"/>
                <w:b w:val="1"/>
                <w:bCs w:val="1"/>
                <w:color w:val="auto"/>
              </w:rPr>
              <w:t>Actual</w:t>
            </w:r>
          </w:p>
        </w:tc>
        <w:tc>
          <w:tcPr>
            <w:tcW w:w="88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40" w:type="dxa"/>
            <w:vAlign w:val="bottom"/>
          </w:tcPr>
          <w:p>
            <w:pPr>
              <w:spacing w:after="0"/>
              <w:rPr>
                <w:sz w:val="20"/>
                <w:szCs w:val="20"/>
                <w:color w:val="auto"/>
              </w:rPr>
            </w:pPr>
          </w:p>
        </w:tc>
        <w:tc>
          <w:tcPr>
            <w:tcW w:w="1300" w:type="dxa"/>
            <w:vAlign w:val="bottom"/>
            <w:gridSpan w:val="3"/>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40" w:type="dxa"/>
            <w:vAlign w:val="bottom"/>
          </w:tcPr>
          <w:p>
            <w:pPr>
              <w:ind w:left="480"/>
              <w:spacing w:after="0"/>
              <w:rPr>
                <w:sz w:val="20"/>
                <w:szCs w:val="20"/>
                <w:color w:val="auto"/>
              </w:rPr>
            </w:pPr>
            <w:r>
              <w:rPr>
                <w:rFonts w:ascii="Arial" w:cs="Arial" w:eastAsia="Arial" w:hAnsi="Arial"/>
                <w:sz w:val="16"/>
                <w:szCs w:val="16"/>
                <w:b w:val="1"/>
                <w:bCs w:val="1"/>
                <w:color w:val="auto"/>
                <w:w w:val="89"/>
              </w:rPr>
              <w:t>Target</w:t>
            </w:r>
          </w:p>
        </w:tc>
        <w:tc>
          <w:tcPr>
            <w:tcW w:w="460" w:type="dxa"/>
            <w:vAlign w:val="bottom"/>
          </w:tcPr>
          <w:p>
            <w:pPr>
              <w:spacing w:after="0"/>
              <w:rPr>
                <w:sz w:val="20"/>
                <w:szCs w:val="20"/>
                <w:color w:val="auto"/>
              </w:rPr>
            </w:pPr>
          </w:p>
        </w:tc>
        <w:tc>
          <w:tcPr>
            <w:tcW w:w="12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r>
      <w:tr>
        <w:trPr>
          <w:trHeight w:val="33"/>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Fixed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Diversified growth</w:t>
            </w:r>
            <w:r>
              <w:rPr>
                <w:rFonts w:ascii="Arial" w:cs="Arial" w:eastAsia="Arial" w:hAnsi="Arial"/>
                <w:sz w:val="25"/>
                <w:szCs w:val="25"/>
                <w:color w:val="auto"/>
                <w:vertAlign w:val="superscript"/>
              </w:rPr>
              <w:t>(a)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320" w:type="dxa"/>
            <w:vAlign w:val="bottom"/>
            <w:gridSpan w:val="2"/>
          </w:tcPr>
          <w:p>
            <w:pPr>
              <w:ind w:left="40"/>
              <w:spacing w:after="0"/>
              <w:rPr>
                <w:sz w:val="20"/>
                <w:szCs w:val="20"/>
                <w:color w:val="auto"/>
              </w:rPr>
            </w:pPr>
            <w:r>
              <w:rPr>
                <w:rFonts w:ascii="Arial" w:cs="Arial" w:eastAsia="Arial" w:hAnsi="Arial"/>
                <w:sz w:val="18"/>
                <w:szCs w:val="18"/>
                <w:color w:val="auto"/>
              </w:rPr>
              <w:t>Cash and other</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8"/>
          <w:szCs w:val="8"/>
          <w:color w:val="auto"/>
        </w:rPr>
      </w:pPr>
      <w:r>
        <w:rPr>
          <w:rFonts w:ascii="Arial" w:cs="Arial" w:eastAsia="Arial" w:hAnsi="Arial"/>
          <w:sz w:val="13"/>
          <w:szCs w:val="13"/>
          <w:color w:val="auto"/>
        </w:rPr>
        <w:t>Diversified growth funds invest in a broad range of asset classes including equities, investment grade and high yield bonds, commodities, property, private equity, infrastructure and currencies.</w:t>
      </w:r>
    </w:p>
    <w:p>
      <w:pPr>
        <w:sectPr>
          <w:pgSz w:w="11900" w:h="16838" w:orient="portrait"/>
          <w:cols w:equalWidth="0" w:num="1">
            <w:col w:w="11420"/>
          </w:cols>
          <w:pgMar w:left="240" w:top="125" w:right="239" w:bottom="1122"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122"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allocations to each asset vary from target allocations due to periodic investment strategy changes, market value fluctuations and the timing of benefit payments and contributions. The expected long-term rate of return for both the domestic and foreign plans' total assets is based on the expected return of each of the above categories, weighted based on the target allocation for each class. Actual allocation is reviewed regularly and investments are rebalanced to their targeted allocation range when deemed appropriate.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managing the plan assets, the Company reviews and manages risk associated with the funded status risk, interest rate risk, market risk, liquidity risk and operational risk. Investment policies reflect the unique circumstances of the respective plans and include requirements designed to mitigate these risks by including quality and diversification standards.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level under the fair value hierarchy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that the Company's pension plan assets are measured, on a recurring basis as of December 31, 2019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Plan assets subject to leveling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70"/>
        </w:trPr>
        <w:tc>
          <w:tcPr>
            <w:tcW w:w="6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Plan assets measured at net asset value</w:t>
            </w:r>
            <w:r>
              <w:rPr>
                <w:rFonts w:ascii="Arial" w:cs="Arial" w:eastAsia="Arial" w:hAnsi="Arial"/>
                <w:sz w:val="25"/>
                <w:szCs w:val="25"/>
                <w:b w:val="1"/>
                <w:bCs w:val="1"/>
                <w:color w:val="auto"/>
                <w:vertAlign w:val="superscript"/>
              </w:rPr>
              <w:t>(a)</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Diversified growth</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7" w:val="left"/>
        </w:tabs>
        <w:numPr>
          <w:ilvl w:val="0"/>
          <w:numId w:val="32"/>
        </w:numPr>
        <w:rPr>
          <w:rFonts w:ascii="Arial" w:cs="Arial" w:eastAsia="Arial" w:hAnsi="Arial"/>
          <w:sz w:val="9"/>
          <w:szCs w:val="9"/>
          <w:color w:val="auto"/>
        </w:rPr>
      </w:pPr>
      <w:r>
        <w:rPr>
          <w:rFonts w:ascii="Arial" w:cs="Arial" w:eastAsia="Arial" w:hAnsi="Arial"/>
          <w:sz w:val="14"/>
          <w:szCs w:val="14"/>
          <w:color w:val="auto"/>
        </w:rPr>
        <w:t>Certain investments that are measured at fair value using the net asset value per share as a practical expedient have not been classified in the fair value hierarchy. The fair value amounts presented in this table are intended to permit reconciliation of the fair value hierarchy to the amount presented in the fair value of plan assets.</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following years (dollars in thousands):</w:t>
      </w:r>
    </w:p>
    <w:p>
      <w:pPr>
        <w:spacing w:after="0" w:line="387" w:lineRule="exact"/>
        <w:rPr>
          <w:sz w:val="20"/>
          <w:szCs w:val="20"/>
          <w:color w:val="auto"/>
        </w:rPr>
      </w:pPr>
    </w:p>
    <w:tbl>
      <w:tblPr>
        <w:tblLayout w:type="fixed"/>
        <w:tblInd w:w="30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52"/>
              <w:spacing w:after="0"/>
              <w:rPr>
                <w:sz w:val="20"/>
                <w:szCs w:val="20"/>
                <w:color w:val="auto"/>
              </w:rPr>
            </w:pPr>
            <w:r>
              <w:rPr>
                <w:rFonts w:ascii="Arial" w:cs="Arial" w:eastAsia="Arial" w:hAnsi="Arial"/>
                <w:sz w:val="16"/>
                <w:szCs w:val="16"/>
                <w:b w:val="1"/>
                <w:bCs w:val="1"/>
                <w:color w:val="auto"/>
              </w:rPr>
              <w:t>Pension</w:t>
            </w:r>
          </w:p>
        </w:tc>
      </w:tr>
      <w:tr>
        <w:trPr>
          <w:trHeight w:val="210"/>
        </w:trPr>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Benefit</w:t>
            </w:r>
          </w:p>
        </w:tc>
      </w:tr>
      <w:tr>
        <w:trPr>
          <w:trHeight w:val="33"/>
        </w:trPr>
        <w:tc>
          <w:tcPr>
            <w:tcW w:w="3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1,210</w:t>
            </w:r>
          </w:p>
        </w:tc>
      </w:tr>
      <w:tr>
        <w:trPr>
          <w:trHeight w:val="27"/>
        </w:trPr>
        <w:tc>
          <w:tcPr>
            <w:tcW w:w="3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Years 2025-2029</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the following long-term equity incentive plans (collectively, the "Plans"):</w:t>
      </w:r>
    </w:p>
    <w:p>
      <w:pPr>
        <w:spacing w:after="0" w:line="200" w:lineRule="exact"/>
        <w:rPr>
          <w:sz w:val="20"/>
          <w:szCs w:val="20"/>
          <w:color w:val="auto"/>
        </w:rPr>
      </w:pPr>
    </w:p>
    <w:p>
      <w:pPr>
        <w:spacing w:after="0" w:line="242" w:lineRule="exact"/>
        <w:rPr>
          <w:sz w:val="20"/>
          <w:szCs w:val="20"/>
          <w:color w:val="auto"/>
        </w:rPr>
      </w:pPr>
    </w:p>
    <w:tbl>
      <w:tblPr>
        <w:tblLayout w:type="fixed"/>
        <w:tblInd w:w="156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ind w:right="34"/>
              <w:spacing w:after="0"/>
              <w:rPr>
                <w:sz w:val="20"/>
                <w:szCs w:val="20"/>
                <w:color w:val="auto"/>
              </w:rPr>
            </w:pPr>
            <w:r>
              <w:rPr>
                <w:rFonts w:ascii="Arial" w:cs="Arial" w:eastAsia="Arial" w:hAnsi="Arial"/>
                <w:sz w:val="16"/>
                <w:szCs w:val="16"/>
                <w:b w:val="1"/>
                <w:bCs w:val="1"/>
                <w:color w:val="auto"/>
                <w:w w:val="96"/>
              </w:rPr>
              <w:t>Shares Approved for</w:t>
            </w:r>
          </w:p>
        </w:tc>
        <w:tc>
          <w:tcPr>
            <w:tcW w:w="0" w:type="dxa"/>
            <w:vAlign w:val="bottom"/>
          </w:tcPr>
          <w:p>
            <w:pPr>
              <w:spacing w:after="0"/>
              <w:rPr>
                <w:sz w:val="1"/>
                <w:szCs w:val="1"/>
                <w:color w:val="auto"/>
              </w:rPr>
            </w:pPr>
          </w:p>
        </w:tc>
      </w:tr>
      <w:tr>
        <w:trPr>
          <w:trHeight w:val="210"/>
        </w:trPr>
        <w:tc>
          <w:tcPr>
            <w:tcW w:w="666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Names</w:t>
            </w:r>
          </w:p>
        </w:tc>
        <w:tc>
          <w:tcPr>
            <w:tcW w:w="1660" w:type="dxa"/>
            <w:vAlign w:val="bottom"/>
          </w:tcPr>
          <w:p>
            <w:pPr>
              <w:jc w:val="right"/>
              <w:ind w:right="454"/>
              <w:spacing w:after="0"/>
              <w:rPr>
                <w:sz w:val="20"/>
                <w:szCs w:val="20"/>
                <w:color w:val="auto"/>
              </w:rPr>
            </w:pPr>
            <w:r>
              <w:rPr>
                <w:rFonts w:ascii="Arial" w:cs="Arial" w:eastAsia="Arial" w:hAnsi="Arial"/>
                <w:sz w:val="16"/>
                <w:szCs w:val="16"/>
                <w:b w:val="1"/>
                <w:bCs w:val="1"/>
                <w:color w:val="auto"/>
              </w:rPr>
              <w:t>Issuance</w:t>
            </w:r>
          </w:p>
        </w:tc>
        <w:tc>
          <w:tcPr>
            <w:tcW w:w="0" w:type="dxa"/>
            <w:vAlign w:val="bottom"/>
          </w:tcPr>
          <w:p>
            <w:pPr>
              <w:spacing w:after="0"/>
              <w:rPr>
                <w:sz w:val="1"/>
                <w:szCs w:val="1"/>
                <w:color w:val="auto"/>
              </w:rPr>
            </w:pPr>
          </w:p>
        </w:tc>
      </w:tr>
      <w:tr>
        <w:trPr>
          <w:trHeight w:val="33"/>
        </w:trPr>
        <w:tc>
          <w:tcPr>
            <w:tcW w:w="6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TriMas Corporation 2017 Equity and Incentive Compensation Plan</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TriMas Corporation Director Retainer Share Election Program</w:t>
            </w:r>
          </w:p>
        </w:tc>
        <w:tc>
          <w:tcPr>
            <w:tcW w:w="1660" w:type="dxa"/>
            <w:vAlign w:val="bottom"/>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maintained the 2006 Long Term Equity Incentive Plan, which expired in 2016, and the 2011 Omnibus Incentive Compensation Plan, which was replaced by the TriMas Corporation 2017 Equity and Incentive Compensation Plan in 2017, such that, while existing grants remain outstanding until exercised, vested or canceled, no new shares may be issued under these plans.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stock options during 2019, 2018 and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stock options as of and for the year ended December 31, 2019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40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2,031,000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all 150,000 stock options outstanding were exercisable under the Plans. Stock options of 50,000 vested during each of 2019, 2018 and 2017, respectively.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$0.1 million, $0.2 million and $0.5 million of stock-based compensation expense related to stock options during 2019, 2018 and 2017, respectively. The stock-based compensation expense is included in selling, general and administrative expenses in the accompanying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2019, 2018 and 2017, the Company issued 139,575, 141,203, and 189,062 RSUs, respectively, to certain employees which are subject only to a service condition and vest ratably over three years so long as the employee remains with the Company.</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2019, 2018 and 2017, the Company granted 25,872, 25,830 and 30,429 RSUs, respectively, to its non-employee independent directors, which vest one year from date of grant so long as the director and/or Company does not terminate their service prior to the vesting 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2019, the Company awarded 95,882 performance-based RSUs to certain Company key employees which vest three years from the grant date as long as the employee remains with the Company. These awards are earned 50.0% based upon the Company's achievement of earnings per share compound annual growth rate ("EPS CAGR") metrics over a period beginning January 1, 2019 and ending December 31, 2021. The remaining 50.0% of the awards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2.29% and annualized volatility of 26.7%. Depending on the performance achieved for these two metrics, the amount of shares earned, if any, can vary from 0% of the target award to a maximum of 200% of the target award for the EPS CAGR metric and 0% of the target award to a maximum of 200% of the target award for the TSR metric. The Company awarded 104,532 and 111,761 of similar performance-based RSUs in 2018 and 2017, respectively. For similar performance-based RSUs awarded in 2016, the Company attained 139.0% of the target on a weighted average basis, resulting in an increase of 38,315 shares during 2019.</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allows for its non-employee independent directors to make an annual election to defer all or a portion of their director fees and to receive the deferred amount in cash or equity. Certain of the Company's directors have elected to defer all or a portion of their director fees and to receive the amount in Company common stock at a future date. The Company issued 4,494, 7,263 and 12,912 shares in 2019, 2018 and 2017, respectively, related to director fee deferrals.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as of and for the year ended December 31, 2019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2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Unvested</w:t>
            </w:r>
          </w:p>
        </w:tc>
        <w:tc>
          <w:tcPr>
            <w:tcW w:w="260" w:type="dxa"/>
            <w:vAlign w:val="bottom"/>
          </w:tcPr>
          <w:p>
            <w:pPr>
              <w:spacing w:after="0"/>
              <w:rPr>
                <w:sz w:val="17"/>
                <w:szCs w:val="17"/>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w:t>
            </w:r>
          </w:p>
        </w:tc>
        <w:tc>
          <w:tcPr>
            <w:tcW w:w="2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Grant Date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Fair 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Pr>
          <w:p>
            <w:pPr>
              <w:spacing w:after="0"/>
              <w:rPr>
                <w:sz w:val="18"/>
                <w:szCs w:val="18"/>
                <w:color w:val="auto"/>
              </w:rPr>
            </w:pPr>
          </w:p>
        </w:tc>
        <w:tc>
          <w:tcPr>
            <w:tcW w:w="1400" w:type="dxa"/>
            <w:vAlign w:val="bottom"/>
          </w:tcPr>
          <w:p>
            <w:pPr>
              <w:jc w:val="center"/>
              <w:ind w:right="13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2019</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304,138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(29,183)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622,528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30.77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19,553,604</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there was approximately $7.7 million of unrecognized compensation cost related to unvested restricted shares that is expected to be recorded over a weighted average period of 2.0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stock-based compensation expense related to restricted shares of approximately $5.7 million, $6.9 million and $6.2 million in 2019, 2018 and 2017, respectively. The stock-based compensation expense is included in selling, general and administrative expenses in the accompanying statement of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year to calculate basic earnings per share. Diluted earnings per share is calculated to give effect to stock options and RSUs. The following table summarizes the dilutive effect of restricted shares and options to purchase common stock:</w:t>
      </w: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Year ended December 31,</w:t>
            </w:r>
          </w:p>
        </w:tc>
        <w:tc>
          <w:tcPr>
            <w:tcW w:w="10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12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58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45,303,659</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45,824,555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45,682,627</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Dilutive effect of restricted share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224,946</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242,204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241,974</w:t>
            </w:r>
          </w:p>
        </w:tc>
      </w:tr>
      <w:tr>
        <w:trPr>
          <w:trHeight w:val="27"/>
        </w:trPr>
        <w:tc>
          <w:tcPr>
            <w:tcW w:w="7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66,549</w:t>
            </w:r>
          </w:p>
        </w:tc>
        <w:tc>
          <w:tcPr>
            <w:tcW w:w="15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103,705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65,651</w:t>
            </w:r>
          </w:p>
        </w:tc>
      </w:tr>
      <w:tr>
        <w:trPr>
          <w:trHeight w:val="257"/>
        </w:trPr>
        <w:tc>
          <w:tcPr>
            <w:tcW w:w="708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45,595,154</w:t>
            </w:r>
          </w:p>
        </w:tc>
        <w:tc>
          <w:tcPr>
            <w:tcW w:w="15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46,170,464</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45,990,252</w:t>
            </w:r>
          </w:p>
        </w:tc>
      </w:tr>
      <w:tr>
        <w:trPr>
          <w:trHeight w:val="20"/>
        </w:trPr>
        <w:tc>
          <w:tcPr>
            <w:tcW w:w="7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the Company announced that its Board of Directors increased the Company's common stock share repurchase authorization to $150 million. The initial authorization, approved in November 2015, authorized up to $50 million in the aggregate of its common stock. During 2019 and 2018, the Company purchased 1,230,050 and 442,632 shares of its outstanding common stock for approximately $36.7 million and $12.1 million, respectively. The Company did not purchase any shares of its outstanding common stock during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Comprehensive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2019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12,120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stranded tax effects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80" w:right="20" w:hanging="172"/>
        <w:spacing w:after="0" w:line="273" w:lineRule="auto"/>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Defined benefit plans, net of income tax of $0.5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 Derivative instruments, net of income tax of $1.0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7" w:lineRule="exact"/>
        <w:rPr>
          <w:rFonts w:ascii="Arial" w:cs="Arial" w:eastAsia="Arial" w:hAnsi="Arial"/>
          <w:sz w:val="9"/>
          <w:szCs w:val="9"/>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Defined benefit plans, net of income tax of $0.1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for additional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year ended December 31,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8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60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(2,770)</w:t>
            </w: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w:t>
            </w:r>
          </w:p>
        </w:tc>
      </w:tr>
      <w:tr>
        <w:trPr>
          <w:trHeight w:val="27"/>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9"/>
          <w:szCs w:val="9"/>
          <w:color w:val="auto"/>
        </w:rPr>
      </w:pPr>
      <w:r>
        <w:rPr>
          <w:rFonts w:ascii="Arial" w:cs="Arial" w:eastAsia="Arial" w:hAnsi="Arial"/>
          <w:sz w:val="14"/>
          <w:szCs w:val="14"/>
          <w:color w:val="auto"/>
        </w:rPr>
        <w:t>Derivative instruments, net of income tax expense of $1.2 million. See Note 12,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40" w:hanging="132"/>
        <w:spacing w:after="0"/>
        <w:tabs>
          <w:tab w:leader="none" w:pos="140" w:val="left"/>
        </w:tabs>
        <w:numPr>
          <w:ilvl w:val="0"/>
          <w:numId w:val="34"/>
        </w:numPr>
        <w:rPr>
          <w:rFonts w:ascii="Arial" w:cs="Arial" w:eastAsia="Arial" w:hAnsi="Arial"/>
          <w:sz w:val="9"/>
          <w:szCs w:val="9"/>
          <w:color w:val="auto"/>
        </w:rPr>
      </w:pPr>
      <w:r>
        <w:rPr>
          <w:rFonts w:ascii="Arial" w:cs="Arial" w:eastAsia="Arial" w:hAnsi="Arial"/>
          <w:sz w:val="14"/>
          <w:szCs w:val="14"/>
          <w:color w:val="auto"/>
        </w:rPr>
        <w:t xml:space="preserve">Defined benefit plans, net of income tax of $0.9 million. See Note 15, </w:t>
      </w:r>
      <w:r>
        <w:rPr>
          <w:rFonts w:ascii="Arial" w:cs="Arial" w:eastAsia="Arial" w:hAnsi="Arial"/>
          <w:sz w:val="14"/>
          <w:szCs w:val="14"/>
          <w:i w:val="1"/>
          <w:iCs w:val="1"/>
          <w:color w:val="auto"/>
        </w:rPr>
        <w:t>"Employee Benefit Plans,"</w:t>
      </w:r>
      <w:r>
        <w:rPr>
          <w:rFonts w:ascii="Arial" w:cs="Arial" w:eastAsia="Arial" w:hAnsi="Arial"/>
          <w:sz w:val="14"/>
          <w:szCs w:val="14"/>
          <w:color w:val="auto"/>
        </w:rPr>
        <w:t xml:space="preserve"> for additional details.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is organized into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color w:val="auto"/>
        </w:rPr>
        <w:t xml:space="preserve">Packaging – </w:t>
      </w:r>
      <w:r>
        <w:rPr>
          <w:rFonts w:ascii="Arial" w:cs="Arial" w:eastAsia="Arial" w:hAnsi="Arial"/>
          <w:sz w:val="17"/>
          <w:szCs w:val="17"/>
          <w:color w:val="auto"/>
        </w:rPr>
        <w:t>The Packaging segment, which consists primarily of the Rieke</w:t>
      </w:r>
      <w:r>
        <w:rPr>
          <w:rFonts w:ascii="Arial" w:cs="Arial" w:eastAsia="Arial" w:hAnsi="Arial"/>
          <w:sz w:val="24"/>
          <w:szCs w:val="24"/>
          <w:color w:val="auto"/>
          <w:vertAlign w:val="superscript"/>
        </w:rPr>
        <w:t>®</w:t>
      </w:r>
      <w:r>
        <w:rPr>
          <w:rFonts w:ascii="Arial" w:cs="Arial" w:eastAsia="Arial" w:hAnsi="Arial"/>
          <w:sz w:val="17"/>
          <w:szCs w:val="17"/>
          <w:color w:val="auto"/>
        </w:rPr>
        <w:t>, Taplast and Stolz brands, develops and manufactures a broad array of</w:t>
      </w:r>
      <w:r>
        <w:rPr>
          <w:rFonts w:ascii="Arial" w:cs="Arial" w:eastAsia="Arial" w:hAnsi="Arial"/>
          <w:sz w:val="17"/>
          <w:szCs w:val="17"/>
          <w:b w:val="1"/>
          <w:bCs w:val="1"/>
          <w:color w:val="auto"/>
        </w:rPr>
        <w:t xml:space="preserve"> </w:t>
      </w:r>
      <w:r>
        <w:rPr>
          <w:rFonts w:ascii="Arial" w:cs="Arial" w:eastAsia="Arial" w:hAnsi="Arial"/>
          <w:sz w:val="17"/>
          <w:szCs w:val="17"/>
          <w:color w:val="auto"/>
        </w:rPr>
        <w:t>dispensing products (such as foaming pumps, mist pumps, lotion pumps, and trigger sprayers), polymeric and steel caps and closures, and polymeric jar products for a variety of end markets including, but not limited to, health, beauty and home care, food and beverage, and industrial.</w:t>
      </w:r>
    </w:p>
    <w:p>
      <w:pPr>
        <w:spacing w:after="0" w:line="25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4"/>
          <w:szCs w:val="24"/>
          <w:color w:val="auto"/>
          <w:vertAlign w:val="superscript"/>
        </w:rPr>
        <w:t>™</w:t>
      </w:r>
      <w:r>
        <w:rPr>
          <w:rFonts w:ascii="Arial" w:cs="Arial" w:eastAsia="Arial" w:hAnsi="Arial"/>
          <w:sz w:val="17"/>
          <w:szCs w:val="17"/>
          <w:color w:val="auto"/>
        </w:rPr>
        <w:t>, Allfast Fastening Systems</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Mac Fasteners</w:t>
      </w:r>
      <w:r>
        <w:rPr>
          <w:rFonts w:ascii="Arial" w:cs="Arial" w:eastAsia="Arial" w:hAnsi="Arial"/>
          <w:sz w:val="24"/>
          <w:szCs w:val="24"/>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brands,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develops, qualifies and manufactures highly-engineered, precision fasteners and machined products to serve the aerospace market.</w:t>
      </w:r>
    </w:p>
    <w:p>
      <w:pPr>
        <w:spacing w:after="0" w:line="25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5"/>
          <w:szCs w:val="25"/>
          <w:color w:val="auto"/>
          <w:vertAlign w:val="superscript"/>
        </w:rPr>
        <w:t>™</w:t>
      </w:r>
      <w:r>
        <w:rPr>
          <w:rFonts w:ascii="Arial" w:cs="Arial" w:eastAsia="Arial" w:hAnsi="Arial"/>
          <w:sz w:val="18"/>
          <w:szCs w:val="18"/>
          <w:color w:val="auto"/>
        </w:rPr>
        <w:t>, Arrow</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and Martinic Engineering</w:t>
      </w:r>
      <w:r>
        <w:rPr>
          <w:rFonts w:ascii="Arial" w:cs="Arial" w:eastAsia="Arial" w:hAnsi="Arial"/>
          <w:sz w:val="25"/>
          <w:szCs w:val="25"/>
          <w:color w:val="auto"/>
          <w:vertAlign w:val="superscript"/>
        </w:rPr>
        <w:t>™</w:t>
      </w:r>
      <w:r>
        <w:rPr>
          <w:rFonts w:ascii="Arial" w:cs="Arial" w:eastAsia="Arial" w:hAnsi="Arial"/>
          <w:sz w:val="18"/>
          <w:szCs w:val="18"/>
          <w:color w:val="auto"/>
        </w:rPr>
        <w:t>brands, designs,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manufactures and distributes highly-engineered steel cylinders, machined metallic components, and wellhead engines and compression systems for use within the industrial and aerospace end markets.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Segment activity is as follows (dollars in thousands):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8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392,340</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368,200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344,570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166,350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157,540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723,530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705,030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656,160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80,770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80,610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(30,130)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108,810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92,720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33,710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13,290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40,310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546,950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365,120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112,460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175,240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31,860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1,192,700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1,005,150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941,120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95,370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92,080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1,192,700</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1,100,520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40" w:lineRule="exact"/>
        <w:rPr>
          <w:sz w:val="20"/>
          <w:szCs w:val="20"/>
          <w:color w:val="auto"/>
        </w:rPr>
      </w:pPr>
    </w:p>
    <w:p>
      <w:pPr>
        <w:ind w:firstLine="8"/>
        <w:spacing w:after="0" w:line="273" w:lineRule="auto"/>
        <w:tabs>
          <w:tab w:leader="none" w:pos="136" w:val="left"/>
        </w:tabs>
        <w:numPr>
          <w:ilvl w:val="0"/>
          <w:numId w:val="35"/>
        </w:numPr>
        <w:rPr>
          <w:rFonts w:ascii="Arial" w:cs="Arial" w:eastAsia="Arial" w:hAnsi="Arial"/>
          <w:sz w:val="9"/>
          <w:szCs w:val="9"/>
          <w:color w:val="auto"/>
        </w:rPr>
      </w:pPr>
      <w:r>
        <w:rPr>
          <w:rFonts w:ascii="Arial" w:cs="Arial" w:eastAsia="Arial" w:hAnsi="Arial"/>
          <w:sz w:val="14"/>
          <w:szCs w:val="14"/>
          <w:color w:val="auto"/>
        </w:rPr>
        <w:t>Corporate capital expenditures for the years ended December 31, 2018 and 2017, respectively, are primarily related to purchases of machinery and equipment formerly held under operating leases. These purchased assets were subsequently transferred from Corporate to the reportable segment utilizing the assets.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net sales for each of the years ended December 31 and long-lived assets at each year ended December 31, attributed to each subsidiary's continent of domicile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6"/>
          </w:tcPr>
          <w:p>
            <w:pPr>
              <w:ind w:left="360"/>
              <w:spacing w:after="0"/>
              <w:rPr>
                <w:sz w:val="20"/>
                <w:szCs w:val="20"/>
                <w:color w:val="auto"/>
              </w:rPr>
            </w:pPr>
            <w:r>
              <w:rPr>
                <w:rFonts w:ascii="Arial" w:cs="Arial" w:eastAsia="Arial" w:hAnsi="Arial"/>
                <w:sz w:val="16"/>
                <w:szCs w:val="16"/>
                <w:b w:val="1"/>
                <w:bCs w:val="1"/>
                <w:color w:val="auto"/>
              </w:rPr>
              <w:t>As of December 31,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2019</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0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Long-lived</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Long-lived</w:t>
            </w: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Assets</w:t>
            </w:r>
          </w:p>
        </w:tc>
        <w:tc>
          <w:tcPr>
            <w:tcW w:w="28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Sales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6"/>
                <w:szCs w:val="16"/>
                <w:b w:val="1"/>
                <w:bCs w:val="1"/>
                <w:color w:val="auto"/>
              </w:rPr>
              <w:t>Assets</w:t>
            </w:r>
          </w:p>
        </w:tc>
      </w:tr>
      <w:tr>
        <w:trPr>
          <w:trHeight w:val="33"/>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87,420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110,530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54,920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55,290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54,090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49,800</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7,560</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non-U.S.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169,680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111,450</w:t>
            </w:r>
          </w:p>
        </w:tc>
      </w:tr>
      <w:tr>
        <w:trPr>
          <w:trHeight w:val="32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591,900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540,680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550,990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566,100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567,600</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723,530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710,360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705,030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656,490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656,160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679,050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export sales from the U.S. approximated $74.1 million, $69.9 million and $72.3 million in 2019, 2018 and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before income taxes and income tax expense, each by tax jurisdiction, consists of the following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gridSpan w:val="4"/>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3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Domestic</w:t>
            </w:r>
          </w:p>
        </w:tc>
        <w:tc>
          <w:tcPr>
            <w:tcW w:w="3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52,190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64,670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26,070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income before income taxes</w:t>
            </w:r>
          </w:p>
        </w:tc>
        <w:tc>
          <w:tcPr>
            <w:tcW w:w="216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78,260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92,360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69,880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2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Federal</w:t>
            </w:r>
          </w:p>
        </w:tc>
        <w:tc>
          <w:tcPr>
            <w:tcW w:w="31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3,530</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w:t>
            </w:r>
          </w:p>
        </w:tc>
        <w:tc>
          <w:tcPr>
            <w:tcW w:w="2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7,070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income tax expense</w:t>
            </w:r>
          </w:p>
        </w:tc>
        <w:tc>
          <w:tcPr>
            <w:tcW w:w="2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11,880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Deferred income tax expense (benefit):</w:t>
            </w:r>
          </w:p>
        </w:tc>
        <w:tc>
          <w:tcPr>
            <w:tcW w:w="2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7"/>
        </w:trPr>
        <w:tc>
          <w:tcPr>
            <w:tcW w:w="4240" w:type="dxa"/>
            <w:vAlign w:val="bottom"/>
          </w:tcPr>
          <w:p>
            <w:pPr>
              <w:ind w:left="120"/>
              <w:spacing w:after="0"/>
              <w:rPr>
                <w:sz w:val="20"/>
                <w:szCs w:val="20"/>
                <w:color w:val="auto"/>
              </w:rPr>
            </w:pPr>
            <w:r>
              <w:rPr>
                <w:rFonts w:ascii="Arial" w:cs="Arial" w:eastAsia="Arial" w:hAnsi="Arial"/>
                <w:sz w:val="18"/>
                <w:szCs w:val="18"/>
                <w:color w:val="auto"/>
              </w:rPr>
              <w:t>Total deferred income tax expense</w:t>
            </w:r>
          </w:p>
        </w:tc>
        <w:tc>
          <w:tcPr>
            <w:tcW w:w="2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31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16,320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18,650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33,920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512"/>
              <w:spacing w:after="0"/>
              <w:rPr>
                <w:sz w:val="20"/>
                <w:szCs w:val="20"/>
                <w:color w:val="auto"/>
              </w:rPr>
            </w:pPr>
            <w:r>
              <w:rPr>
                <w:rFonts w:ascii="Arial" w:cs="Arial" w:eastAsia="Arial" w:hAnsi="Arial"/>
                <w:sz w:val="18"/>
                <w:szCs w:val="18"/>
                <w:color w:val="auto"/>
              </w:rPr>
              <w:t>82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2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taxes are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liabilities and other long-term liabilities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14,470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loss and credit carryforwards</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5,740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principally deferred income</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deferred tax asset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24,170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19,840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(14,620)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 of use asset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foreign affiliates, including withholding tax</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Gross deferred tax liability</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(22,090)</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income tax expense computed at the U.S. federal statutory rate to income tax expense allocated to income before income taxes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Year ended December 31,</w:t>
            </w: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2017</w:t>
            </w:r>
          </w:p>
        </w:tc>
      </w:tr>
      <w:tr>
        <w:trPr>
          <w:trHeight w:val="3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U.S. federal statutory rate</w:t>
            </w:r>
          </w:p>
        </w:tc>
        <w:tc>
          <w:tcPr>
            <w:tcW w:w="42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35%</w:t>
            </w:r>
          </w:p>
        </w:tc>
      </w:tr>
      <w:tr>
        <w:trPr>
          <w:trHeight w:val="27"/>
        </w:trPr>
        <w:tc>
          <w:tcPr>
            <w:tcW w:w="5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U.S. federal statutory rate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16,440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19,390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24,460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State and local taxes, net of federal tax benefit</w:t>
            </w: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2,170</w:t>
            </w:r>
          </w:p>
        </w:tc>
      </w:tr>
      <w:tr>
        <w:trPr>
          <w:trHeight w:val="27"/>
        </w:trPr>
        <w:tc>
          <w:tcPr>
            <w:tcW w:w="5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in statutory foreign tax rates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(1,060)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Change in recognized tax benefits</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(90)</w:t>
            </w:r>
          </w:p>
        </w:tc>
      </w:tr>
      <w:tr>
        <w:trPr>
          <w:trHeight w:val="27"/>
        </w:trPr>
        <w:tc>
          <w:tcPr>
            <w:tcW w:w="5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Nontaxable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Research and manufacturing incentives</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(1,510)</w:t>
            </w:r>
          </w:p>
        </w:tc>
      </w:tr>
      <w:tr>
        <w:trPr>
          <w:trHeight w:val="27"/>
        </w:trPr>
        <w:tc>
          <w:tcPr>
            <w:tcW w:w="5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(250)</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Tax Reform Act</w:t>
            </w:r>
          </w:p>
        </w:tc>
        <w:tc>
          <w:tcPr>
            <w:tcW w:w="420" w:type="dxa"/>
            <w:vAlign w:val="bottom"/>
          </w:tcPr>
          <w:p>
            <w:pPr>
              <w:spacing w:after="0"/>
              <w:rPr>
                <w:sz w:val="21"/>
                <w:szCs w:val="21"/>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12,660</w:t>
            </w:r>
          </w:p>
        </w:tc>
      </w:tr>
      <w:tr>
        <w:trPr>
          <w:trHeight w:val="27"/>
        </w:trPr>
        <w:tc>
          <w:tcPr>
            <w:tcW w:w="5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(2,210)</w:t>
            </w:r>
          </w:p>
        </w:tc>
      </w:tr>
      <w:tr>
        <w:trPr>
          <w:trHeight w:val="257"/>
        </w:trPr>
        <w:tc>
          <w:tcPr>
            <w:tcW w:w="5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18,650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33,920</w:t>
            </w: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recorded deferred tax assets on $34.0 million of various state operating loss carryforwards and $27.0 million of various foreign operating loss carryforwards. The majority of the state tax loss carryforwards expire between 2026 and 2032 and the majority of the foreign losses have indefinite carryforward periods.</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not made a provision for U.S. or additional foreign withholding taxes related to investments in foreign subsidiaries that are indefinitely reinvested since any excess of the amount for financial reporting over the tax basis in these investments is not significant as of December 31, 2019.</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2017, the Tax Reform Act was signed into law, and, among the provisions, reduced the Federal statutory corporate income tax rate from 35% to 21% effective January 1, 2018, and implemented a territorial tax system, imposing a one-time tax on the deemed repatriation of undistributed earnings of non-U.S. subsidiaries ("Transition Tax"). The Transition Tax is payable over eight years beginning in 2019.</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provisional expenses in 2017 related to the Transition Tax and finalized the measurement of the provisional expenses in 2018. In 2018, the Company recognized an approximate $1.1 million income tax benefit in connection with finalizing the revaluation of its net deferred tax assets following the filing of the Company's 2017 corporate income tax return, and recognized an approximate $0.7 million income tax expense related to finalizing the Transition Tax, resulting in a $0.4 million net reduction in 2018 to the $12.7 million provisional tax expense recorded in 2017.</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the U.S Internal Revenue Service (“IRS”) is still in the process of issuing guidance to taxpayers to address changes enacted in the Tax Reform Act. The Company has prepared the income tax provision for years ended December 31, 2019 and 2018 based on available guidance. However, if final guidance is issued that modifies the existing temporary guidance issued by the IRS or if the final guidance contradicts positions taken by the Company in the absence of any IRS guidance, this could have a significant impact on the Company's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Tax Benefits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approximately $2.3 million and $3.0 million of unrecognized tax benefits ("UTBs") as of December 31, 2019 and 2018, respectively. If the UTBs were recognized, the impact to the Company's effective tax rate would be to reduce reported income tax expense for the years ended December 31, 2019 and 2018 by approximately $1.9 million and $2.5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UTBs for the years ended December 31, 2019 and 2018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ind w:right="391"/>
              <w:spacing w:after="0"/>
              <w:rPr>
                <w:sz w:val="20"/>
                <w:szCs w:val="20"/>
                <w:color w:val="auto"/>
              </w:rPr>
            </w:pPr>
            <w:r>
              <w:rPr>
                <w:rFonts w:ascii="Arial" w:cs="Arial" w:eastAsia="Arial" w:hAnsi="Arial"/>
                <w:sz w:val="16"/>
                <w:szCs w:val="16"/>
                <w:b w:val="1"/>
                <w:bCs w:val="1"/>
                <w:color w:val="auto"/>
              </w:rPr>
              <w:t>Unrecognized</w:t>
            </w:r>
          </w:p>
        </w:tc>
      </w:t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431"/>
              <w:spacing w:after="0"/>
              <w:rPr>
                <w:sz w:val="20"/>
                <w:szCs w:val="20"/>
                <w:color w:val="auto"/>
              </w:rPr>
            </w:pPr>
            <w:r>
              <w:rPr>
                <w:rFonts w:ascii="Arial" w:cs="Arial" w:eastAsia="Arial" w:hAnsi="Arial"/>
                <w:sz w:val="16"/>
                <w:szCs w:val="16"/>
                <w:b w:val="1"/>
                <w:bCs w:val="1"/>
                <w:color w:val="auto"/>
              </w:rPr>
              <w:t>Tax Benefits</w:t>
            </w:r>
          </w:p>
        </w:tc>
      </w:tr>
      <w:tr>
        <w:trPr>
          <w:trHeight w:val="33"/>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current year:</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Tax positions related to prior years:</w:t>
            </w:r>
          </w:p>
        </w:tc>
        <w:tc>
          <w:tcPr>
            <w:tcW w:w="3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60"/>
              <w:spacing w:after="0"/>
              <w:rPr>
                <w:sz w:val="20"/>
                <w:szCs w:val="20"/>
                <w:color w:val="auto"/>
              </w:rPr>
            </w:pPr>
            <w:r>
              <w:rPr>
                <w:rFonts w:ascii="Arial" w:cs="Arial" w:eastAsia="Arial" w:hAnsi="Arial"/>
                <w:sz w:val="18"/>
                <w:szCs w:val="18"/>
                <w:color w:val="auto"/>
              </w:rPr>
              <w:t>Reductions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Lapses in the statutes of limitations</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
        </w:trPr>
        <w:tc>
          <w:tcPr>
            <w:tcW w:w="6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UTBs summarized above, the Company has recorded approximately $1.4 million and $1.8 million in potential interest and penalties associated with uncertain tax positions as of December 31, 2019 and 2018, respectively.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state and local, and certain non-U.S. income tax examinations for tax years 2013 through 2019. In addition, there are currently several state and foreign income tax examinations in process. The Company does not believe that the results of these examinations will have a significant impact on the Company's tax position or its effective tax rate.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monitors changes in tax statutes and regulations and the issuance of judicial decisions to determine the potential impact to UTBs and is not aware of, nor does it anticipate, any subsequent events that could have a significant impact on the Company's financial position during the next twelve months.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Summary Quarterly Financial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unaudited quarterly financial data is as follows (dollars in thousands, except for per share data):</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2019</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190,830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170,920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46,790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53,790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44,330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13,430</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income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3,870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24,970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38,400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0.56</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45,578,815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45,592,075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45,175,244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44,868,503</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0.30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0.55</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0.85</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45,992,182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45,828,315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45,415,767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45,144,353</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845"/>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5"/>
          </w:tcPr>
          <w:p>
            <w:pPr>
              <w:ind w:left="70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First Quarter</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Second Quarter</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Third Quarter</w:t>
            </w:r>
          </w:p>
        </w:tc>
        <w:tc>
          <w:tcPr>
            <w:tcW w:w="200" w:type="dxa"/>
            <w:vAlign w:val="bottom"/>
          </w:tcPr>
          <w:p>
            <w:pPr>
              <w:spacing w:after="0"/>
              <w:rPr>
                <w:sz w:val="20"/>
                <w:szCs w:val="20"/>
                <w:color w:val="auto"/>
              </w:rPr>
            </w:pPr>
          </w:p>
        </w:tc>
        <w:tc>
          <w:tcPr>
            <w:tcW w:w="1500" w:type="dxa"/>
            <w:vAlign w:val="bottom"/>
          </w:tcPr>
          <w:p>
            <w:pPr>
              <w:jc w:val="right"/>
              <w:ind w:right="231"/>
              <w:spacing w:after="0"/>
              <w:rPr>
                <w:sz w:val="20"/>
                <w:szCs w:val="20"/>
                <w:color w:val="auto"/>
              </w:rPr>
            </w:pPr>
            <w:r>
              <w:rPr>
                <w:rFonts w:ascii="Arial" w:cs="Arial" w:eastAsia="Arial" w:hAnsi="Arial"/>
                <w:sz w:val="16"/>
                <w:szCs w:val="16"/>
                <w:b w:val="1"/>
                <w:bCs w:val="1"/>
                <w:color w:val="auto"/>
              </w:rPr>
              <w:t>Fourth Quarter</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170,090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47,850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53,020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51,570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47,670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14,940</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income</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1,770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share—basic:</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0.04</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shares—basic</w:t>
            </w: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45,779,966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45,920,307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45,850,288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45,747,659</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0.32</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0.36</w:t>
            </w: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shares—diluted</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46,229,337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46,200,757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46,166,558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46,085,202</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63"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163"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February 19, 2020, the Company announced that it has signed an agreement to acquire the Rapak</w:t>
      </w:r>
      <w:r>
        <w:rPr>
          <w:rFonts w:ascii="Arial" w:cs="Arial" w:eastAsia="Arial" w:hAnsi="Arial"/>
          <w:sz w:val="18"/>
          <w:szCs w:val="18"/>
          <w:color w:val="auto"/>
        </w:rPr>
        <w:t>®</w:t>
      </w:r>
      <w:r>
        <w:rPr>
          <w:rFonts w:ascii="Arial" w:cs="Arial" w:eastAsia="Arial" w:hAnsi="Arial"/>
          <w:sz w:val="17"/>
          <w:szCs w:val="17"/>
          <w:color w:val="auto"/>
        </w:rPr>
        <w:t xml:space="preserve"> brand, including certain bag-in-box product lines and assets ("Rapak") from Liqui-Box, for a purchase price of $12 million. As a regulatory condition, the acquisition is subject to Liqui-Box's successful completion of its acquisition of DS Smith's Plastic Division. Annual net sales related to the acquired products is approximately $30 million. The transaction is expected to close in the first half of 2020, at which time Rapak will become part of the Packaging reportable segment.</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30, 2020, the Company announced that it has signed an agreement to acquire RSA Engineered Products ("RSA") for a purchase price of $85 million, subject to customary closing conditions. RSA is a manufacturer of complex, highly-engineered and proprietary ducting, connectors and related products for air management systems used in aerospace and defense applications, and has annual net sales of approximately $30 million. The transaction is expected to close during the first quarter of 2020, at which time RSA will become part of the Aerospace reportable segment.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2019, an evaluation was carried out by management, with the participation of our Chief Executive Officer and Chief Financial Officer, of the effectiveness of our disclosure controls and procedures (as such term is defined in Rule 13a-15(e) and Rule 15d-15(e) of the Securities Exchange Act of 1934 (the "Exchange Act")), pursuant to Rule 13a-15 of the Exchange Act. Our disclosure controls and procedures are designed only to provide reasonable assurance that they will meet their objectives. Based upon that evaluation, the Chief Executive Officer and Chief Financial Officer concluded that as of December 31, 2019, the Company's disclosure controls and procedures were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 consolidated financial statements included in this annual report. The consolidated financial statements have been prepared in conformity with United States generally accepted accounting principles and reflect management's judgments and estimates concerning events and transactions that are accounted for or disclosed.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effective internal control over financial reporting. The Company's internal control over financial reporting includes those policies and procedures that pertain to the Company's ability to record, process, summarize, and report reliable financial data. Management recognizes that there are inherent limitations in the effectiveness of any internal control and effective internal control over financial reporting can provide only reasonable assurance with respect to financial statement preparation. Additionally, because of changes in conditions, the effectiveness of internal control over financial reporting may vary over time.</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ensure that the Company's internal control over financial reporting is effective, management regularly assesses such controls and did so most recently for its financial reporting as of December 31, 2019. Management's assessment was based on criteria for effective internal control over financial reporting described in Internal Control—Integrated Framework (2013) issued by the Committee of Sponsoring Organizations of the Treadway Commission. Based on this assessment, management asserts that the Company has maintained effective internal control over financial reporting as of December 31, 2019.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Deloitte &amp; Touche LLP, an independent registered public accounting firm, who audited the Company's consolidated financial statements, has also audited the effectiveness of the Company's internal control over financial reporting as of December 31, 2019, as stated in their report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TriMas Corporation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TriMas Corporation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3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2019 of the Company and our report dated February 27, 2020, expressed an unqualified opinion on those financial statements and financial statement schedule.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disclosure controls and procedures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2019 that have materially affected, or are reasonably likely to materially affect, the Company's internal control over financial reporting.</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executive officers is included in Part I of this Form 10-K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Code of Ethics and Business Conduct is applicable to its directors, officers and employees. The Code of Ethics and Business Conduct is available on the "Investors" portion of the Company's website under the "Corporate Governance" link. The Company's website address is www.trimascorp.com.</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2020 Annual Meeting of Shareholders.</w:t>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2020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2020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2020 Annual Meeting of Shareholders.</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our definitive proxy statement for the 2020 Annual Meeting of Shareholders.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79"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Listing of Documents</w:t>
      </w:r>
    </w:p>
    <w:p>
      <w:pPr>
        <w:spacing w:after="0" w:line="27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Statements included in Item 8 hereof, as required at December 31, 2019 and December 31, 2018, and for the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December 31, 2018 and December 31, 2017, consist of the following: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 of the Company appended hereto, as required for the periods ended December 31, 2019, December 31, 2018 and December 31, 2017, consists of the following: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otherwise included in the financial statements or the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540" w:type="dxa"/>
            <w:vAlign w:val="bottom"/>
          </w:tcPr>
          <w:p>
            <w:pPr>
              <w:spacing w:after="0"/>
              <w:rPr>
                <w:sz w:val="20"/>
                <w:szCs w:val="20"/>
                <w:color w:val="auto"/>
              </w:rPr>
            </w:pPr>
            <w:r>
              <w:rPr>
                <w:rFonts w:ascii="Arial" w:cs="Arial" w:eastAsia="Arial" w:hAnsi="Arial"/>
                <w:sz w:val="18"/>
                <w:szCs w:val="18"/>
                <w:color w:val="auto"/>
              </w:rPr>
              <w:t>2.1(p)</w:t>
            </w:r>
          </w:p>
        </w:tc>
        <w:tc>
          <w:tcPr>
            <w:tcW w:w="9140" w:type="dxa"/>
            <w:vAlign w:val="bottom"/>
            <w:gridSpan w:val="23"/>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Separation and Distribution Agreement, dated as of June 30, 2015, by and between Horizon Global Corporation and TriMas</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Corporation.**</w:t>
              </w:r>
            </w:hyperlink>
          </w:p>
        </w:tc>
        <w:tc>
          <w:tcPr>
            <w:tcW w:w="220" w:type="dxa"/>
            <w:vAlign w:val="bottom"/>
            <w:gridSpan w:val="5"/>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2.2(w)</w:t>
            </w:r>
          </w:p>
        </w:tc>
        <w:tc>
          <w:tcPr>
            <w:tcW w:w="8860" w:type="dxa"/>
            <w:vAlign w:val="bottom"/>
            <w:tcBorders>
              <w:bottom w:val="single" w:sz="8" w:color="0000FF"/>
            </w:tcBorders>
            <w:gridSpan w:val="16"/>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Asset and Stock Purchase Agreement, dated as of November 1, 2019, by and between TriMas Company LLC and LGC US</w:t>
              </w:r>
            </w:hyperlink>
          </w:p>
        </w:tc>
        <w:tc>
          <w:tcPr>
            <w:tcW w:w="280" w:type="dxa"/>
            <w:vAlign w:val="bottom"/>
            <w:gridSpan w:val="7"/>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3180" w:type="dxa"/>
            <w:vAlign w:val="bottom"/>
            <w:tcBorders>
              <w:bottom w:val="single" w:sz="8" w:color="0000FF"/>
            </w:tcBorders>
            <w:gridSpan w:val="5"/>
          </w:tcPr>
          <w:p>
            <w:pPr>
              <w:spacing w:after="0" w:line="196"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Holdings, LLC and LGC US Finco, LLC.**</w:t>
              </w:r>
            </w:hyperlink>
          </w:p>
        </w:tc>
        <w:tc>
          <w:tcPr>
            <w:tcW w:w="5960" w:type="dxa"/>
            <w:vAlign w:val="bottom"/>
            <w:gridSpan w:val="18"/>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3.1(d)</w:t>
            </w:r>
          </w:p>
        </w:tc>
        <w:tc>
          <w:tcPr>
            <w:tcW w:w="5940" w:type="dxa"/>
            <w:vAlign w:val="bottom"/>
            <w:tcBorders>
              <w:bottom w:val="single" w:sz="8" w:color="0000FF"/>
            </w:tcBorders>
            <w:gridSpan w:val="9"/>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Fourth Amended and Restated Certificate of Incorporation of TriMas Corporation.</w:t>
              </w:r>
            </w:hyperlink>
          </w:p>
        </w:tc>
        <w:tc>
          <w:tcPr>
            <w:tcW w:w="3200" w:type="dxa"/>
            <w:vAlign w:val="bottom"/>
            <w:gridSpan w:val="14"/>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3.2(i)</w:t>
            </w:r>
          </w:p>
        </w:tc>
        <w:tc>
          <w:tcPr>
            <w:tcW w:w="4480" w:type="dxa"/>
            <w:vAlign w:val="bottom"/>
            <w:tcBorders>
              <w:bottom w:val="single" w:sz="8" w:color="0000FF"/>
            </w:tcBorders>
            <w:gridSpan w:val="7"/>
          </w:tcPr>
          <w:p>
            <w:pPr>
              <w:spacing w:after="0" w:line="207"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Third Amended and Restated By</w:t>
              </w:r>
              <w:r>
                <w:rPr>
                  <w:rFonts w:ascii="MS PGothic" w:cs="MS PGothic" w:eastAsia="MS PGothic" w:hAnsi="MS PGothic"/>
                  <w:sz w:val="18"/>
                  <w:szCs w:val="18"/>
                  <w:color w:val="0000FF"/>
                  <w:w w:val="91"/>
                </w:rPr>
                <w:t>‑</w:t>
              </w:r>
              <w:r>
                <w:rPr>
                  <w:rFonts w:ascii="Arial" w:cs="Arial" w:eastAsia="Arial" w:hAnsi="Arial"/>
                  <w:sz w:val="18"/>
                  <w:szCs w:val="18"/>
                  <w:color w:val="0000FF"/>
                  <w:w w:val="91"/>
                </w:rPr>
                <w:t>laws of TriMas Corporation.</w:t>
              </w:r>
            </w:hyperlink>
          </w:p>
        </w:tc>
        <w:tc>
          <w:tcPr>
            <w:tcW w:w="4660" w:type="dxa"/>
            <w:vAlign w:val="bottom"/>
            <w:gridSpan w:val="16"/>
          </w:tcPr>
          <w:p>
            <w:pPr>
              <w:spacing w:after="0"/>
              <w:rPr>
                <w:sz w:val="21"/>
                <w:szCs w:val="2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4.1(u)</w:t>
            </w:r>
          </w:p>
        </w:tc>
        <w:tc>
          <w:tcPr>
            <w:tcW w:w="9040" w:type="dxa"/>
            <w:vAlign w:val="bottom"/>
            <w:tcBorders>
              <w:bottom w:val="single" w:sz="8" w:color="0000FF"/>
            </w:tcBorders>
            <w:gridSpan w:val="21"/>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Indenture, dated as of September 20, 2017, among TriMas Corporation, the Guarantors named therein and Wells Fargo Bank,</w:t>
              </w:r>
            </w:hyperlink>
          </w:p>
        </w:tc>
        <w:tc>
          <w:tcPr>
            <w:tcW w:w="100" w:type="dxa"/>
            <w:vAlign w:val="bottom"/>
            <w:gridSpan w:val="2"/>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National Association, as Trustee (including the Form of Note).</w:t>
              </w:r>
            </w:hyperlink>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4.2</w:t>
            </w:r>
          </w:p>
        </w:tc>
        <w:tc>
          <w:tcPr>
            <w:tcW w:w="4500" w:type="dxa"/>
            <w:vAlign w:val="bottom"/>
            <w:tcBorders>
              <w:top w:val="single" w:sz="8" w:color="0000FF"/>
            </w:tcBorders>
            <w:gridSpan w:val="8"/>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Description of Securities of TriMas Corporation.</w:t>
              </w:r>
            </w:hyperlink>
          </w:p>
        </w:tc>
        <w:tc>
          <w:tcPr>
            <w:tcW w:w="4640" w:type="dxa"/>
            <w:vAlign w:val="bottom"/>
            <w:gridSpan w:val="15"/>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10.1(a)</w:t>
            </w:r>
          </w:p>
        </w:tc>
        <w:tc>
          <w:tcPr>
            <w:tcW w:w="9140" w:type="dxa"/>
            <w:vAlign w:val="bottom"/>
            <w:gridSpan w:val="23"/>
          </w:tcPr>
          <w:p>
            <w:pPr>
              <w:spacing w:after="0"/>
              <w:rPr>
                <w:rFonts w:ascii="Arial" w:cs="Arial" w:eastAsia="Arial" w:hAnsi="Arial"/>
                <w:sz w:val="18"/>
                <w:szCs w:val="18"/>
                <w:color w:val="0000FF"/>
                <w:w w:val="94"/>
              </w:rPr>
            </w:pPr>
            <w:hyperlink r:id="rId20">
              <w:r>
                <w:rPr>
                  <w:rFonts w:ascii="Arial" w:cs="Arial" w:eastAsia="Arial" w:hAnsi="Arial"/>
                  <w:sz w:val="18"/>
                  <w:szCs w:val="18"/>
                  <w:color w:val="0000FF"/>
                  <w:w w:val="94"/>
                </w:rPr>
                <w:t>Stock Purchase Agreement dated as of May 17, 2002, among Heartland Industrial Partners, L.P., TriMas Corporation and</w:t>
              </w:r>
            </w:hyperlink>
          </w:p>
        </w:tc>
      </w:tr>
      <w:tr>
        <w:trPr>
          <w:trHeight w:val="196"/>
        </w:trPr>
        <w:tc>
          <w:tcPr>
            <w:tcW w:w="154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Metaldyne Company LLC.</w:t>
              </w:r>
            </w:hyperlink>
          </w:p>
        </w:tc>
        <w:tc>
          <w:tcPr>
            <w:tcW w:w="6780" w:type="dxa"/>
            <w:vAlign w:val="bottom"/>
            <w:tcBorders>
              <w:top w:val="single" w:sz="8" w:color="0000FF"/>
            </w:tcBorders>
            <w:gridSpan w:val="11"/>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10.2(c)</w:t>
            </w:r>
          </w:p>
        </w:tc>
        <w:tc>
          <w:tcPr>
            <w:tcW w:w="8700" w:type="dxa"/>
            <w:vAlign w:val="bottom"/>
            <w:tcBorders>
              <w:bottom w:val="single" w:sz="8" w:color="0000FF"/>
            </w:tcBorders>
            <w:gridSpan w:val="13"/>
          </w:tcPr>
          <w:p>
            <w:pPr>
              <w:spacing w:after="0"/>
              <w:rPr>
                <w:rFonts w:ascii="Arial" w:cs="Arial" w:eastAsia="Arial" w:hAnsi="Arial"/>
                <w:sz w:val="18"/>
                <w:szCs w:val="18"/>
                <w:color w:val="0000FF"/>
                <w:w w:val="89"/>
              </w:rPr>
            </w:pPr>
            <w:hyperlink r:id="rId21">
              <w:r>
                <w:rPr>
                  <w:rFonts w:ascii="Arial" w:cs="Arial" w:eastAsia="Arial" w:hAnsi="Arial"/>
                  <w:sz w:val="18"/>
                  <w:szCs w:val="18"/>
                  <w:color w:val="0000FF"/>
                  <w:w w:val="89"/>
                </w:rPr>
                <w:t>Amendment No. 1 to Stock Purchase Agreement dated as of August 31, 2006, among Heartland Industrial Partners, L.P.,</w:t>
              </w:r>
            </w:hyperlink>
          </w:p>
        </w:tc>
        <w:tc>
          <w:tcPr>
            <w:tcW w:w="440" w:type="dxa"/>
            <w:vAlign w:val="bottom"/>
            <w:gridSpan w:val="10"/>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TriMas Corporation and Metaldyne Corporation.</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10.3(e)</w:t>
            </w:r>
          </w:p>
        </w:tc>
        <w:tc>
          <w:tcPr>
            <w:tcW w:w="9140" w:type="dxa"/>
            <w:vAlign w:val="bottom"/>
            <w:gridSpan w:val="23"/>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Amendment No. 2 to Stock Purchase Agreement dated as of November 27, 2006, among Heartland Industrial Partners, L.P.,</w:t>
              </w:r>
            </w:hyperlink>
          </w:p>
        </w:tc>
      </w:tr>
      <w:tr>
        <w:trPr>
          <w:trHeight w:val="196"/>
        </w:trPr>
        <w:tc>
          <w:tcPr>
            <w:tcW w:w="1540" w:type="dxa"/>
            <w:vAlign w:val="bottom"/>
          </w:tcPr>
          <w:p>
            <w:pPr>
              <w:spacing w:after="0"/>
              <w:rPr>
                <w:sz w:val="17"/>
                <w:szCs w:val="17"/>
                <w:color w:val="auto"/>
              </w:rPr>
            </w:pPr>
          </w:p>
        </w:tc>
        <w:tc>
          <w:tcPr>
            <w:tcW w:w="892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TriMas Corporation and Metaldyne Corporation.</w:t>
              </w:r>
            </w:hyperlink>
          </w:p>
        </w:tc>
        <w:tc>
          <w:tcPr>
            <w:tcW w:w="220" w:type="dxa"/>
            <w:vAlign w:val="bottom"/>
            <w:gridSpan w:val="5"/>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10.4(b)</w:t>
            </w:r>
          </w:p>
        </w:tc>
        <w:tc>
          <w:tcPr>
            <w:tcW w:w="8680" w:type="dxa"/>
            <w:vAlign w:val="bottom"/>
            <w:tcBorders>
              <w:bottom w:val="single" w:sz="8" w:color="0000FF"/>
            </w:tcBorders>
            <w:gridSpan w:val="12"/>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Asset Purchase Agreement dated as of May 9, 2003, among TriMas Corporation, Metaldyne Corporation and Metaldyne</w:t>
              </w:r>
            </w:hyperlink>
          </w:p>
        </w:tc>
        <w:tc>
          <w:tcPr>
            <w:tcW w:w="460" w:type="dxa"/>
            <w:vAlign w:val="bottom"/>
            <w:gridSpan w:val="11"/>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 LLC.</w:t>
              </w:r>
            </w:hyperlink>
          </w:p>
        </w:tc>
      </w:tr>
      <w:tr>
        <w:trPr>
          <w:trHeight w:val="20"/>
        </w:trPr>
        <w:tc>
          <w:tcPr>
            <w:tcW w:w="154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10.5(m)</w:t>
            </w:r>
          </w:p>
        </w:tc>
        <w:tc>
          <w:tcPr>
            <w:tcW w:w="8980" w:type="dxa"/>
            <w:vAlign w:val="bottom"/>
            <w:tcBorders>
              <w:bottom w:val="single" w:sz="8" w:color="0000FF"/>
            </w:tcBorders>
            <w:gridSpan w:val="19"/>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Credit Agreement, dated October 16, 2013, by and among TriMas Corporation, TriMas Company LLC and JPMorgan Chase</w:t>
              </w:r>
            </w:hyperlink>
          </w:p>
        </w:tc>
        <w:tc>
          <w:tcPr>
            <w:tcW w:w="160" w:type="dxa"/>
            <w:vAlign w:val="bottom"/>
            <w:gridSpan w:val="4"/>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bank, N.A., as Administrative Agent and Collateral Agent, and the various lenders from time to time thereto.</w:t>
              </w:r>
            </w:hyperlink>
          </w:p>
        </w:tc>
      </w:tr>
      <w:tr>
        <w:trPr>
          <w:trHeight w:val="20"/>
        </w:trPr>
        <w:tc>
          <w:tcPr>
            <w:tcW w:w="154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4660" w:type="dxa"/>
            <w:vAlign w:val="bottom"/>
            <w:gridSpan w:val="6"/>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10.6(o)</w:t>
            </w:r>
          </w:p>
        </w:tc>
        <w:tc>
          <w:tcPr>
            <w:tcW w:w="9080" w:type="dxa"/>
            <w:vAlign w:val="bottom"/>
            <w:tcBorders>
              <w:bottom w:val="single" w:sz="8" w:color="0000FF"/>
            </w:tcBorders>
            <w:gridSpan w:val="22"/>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Incremental Facility Agreement and Amendment dated as of October 17, 2014, among TriMas Company LLC, the other Loan</w:t>
              </w:r>
            </w:hyperlink>
          </w:p>
        </w:tc>
        <w:tc>
          <w:tcPr>
            <w:tcW w:w="60" w:type="dxa"/>
            <w:vAlign w:val="bottom"/>
          </w:tcPr>
          <w:p>
            <w:pPr>
              <w:spacing w:after="0"/>
              <w:rPr>
                <w:sz w:val="21"/>
                <w:szCs w:val="21"/>
                <w:color w:val="auto"/>
              </w:rPr>
            </w:pPr>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Parties party thereto, JPMorgan Chase Bank, N.A., as administrative agent, the Incremental Tranche A Term Lenders and the</w:t>
              </w:r>
            </w:hyperlink>
          </w:p>
        </w:tc>
      </w:tr>
      <w:tr>
        <w:trPr>
          <w:trHeight w:val="196"/>
        </w:trPr>
        <w:tc>
          <w:tcPr>
            <w:tcW w:w="154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other Lenders party thereto.</w:t>
              </w:r>
            </w:hyperlink>
          </w:p>
        </w:tc>
        <w:tc>
          <w:tcPr>
            <w:tcW w:w="7000" w:type="dxa"/>
            <w:vAlign w:val="bottom"/>
            <w:tcBorders>
              <w:top w:val="single" w:sz="8" w:color="0000FF"/>
            </w:tcBorders>
            <w:gridSpan w:val="16"/>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10.7(p)</w:t>
            </w:r>
          </w:p>
        </w:tc>
        <w:tc>
          <w:tcPr>
            <w:tcW w:w="9140" w:type="dxa"/>
            <w:vAlign w:val="bottom"/>
            <w:gridSpan w:val="23"/>
          </w:tcPr>
          <w:p>
            <w:pPr>
              <w:spacing w:after="0"/>
              <w:rPr>
                <w:rFonts w:ascii="Arial" w:cs="Arial" w:eastAsia="Arial" w:hAnsi="Arial"/>
                <w:sz w:val="18"/>
                <w:szCs w:val="18"/>
                <w:color w:val="0000FF"/>
                <w:w w:val="94"/>
              </w:rPr>
            </w:pPr>
            <w:hyperlink r:id="rId26">
              <w:r>
                <w:rPr>
                  <w:rFonts w:ascii="Arial" w:cs="Arial" w:eastAsia="Arial" w:hAnsi="Arial"/>
                  <w:sz w:val="18"/>
                  <w:szCs w:val="18"/>
                  <w:color w:val="0000FF"/>
                  <w:w w:val="94"/>
                </w:rPr>
                <w:t>Replacement Facility Amendment, dated as of June 30, 2015, among TriMas Company LLC, the other Loan Parties party</w:t>
              </w:r>
            </w:hyperlink>
          </w:p>
        </w:tc>
      </w:tr>
      <w:tr>
        <w:trPr>
          <w:trHeight w:val="196"/>
        </w:trPr>
        <w:tc>
          <w:tcPr>
            <w:tcW w:w="1540" w:type="dxa"/>
            <w:vAlign w:val="bottom"/>
          </w:tcPr>
          <w:p>
            <w:pPr>
              <w:spacing w:after="0"/>
              <w:rPr>
                <w:sz w:val="17"/>
                <w:szCs w:val="17"/>
                <w:color w:val="auto"/>
              </w:rPr>
            </w:pPr>
          </w:p>
        </w:tc>
        <w:tc>
          <w:tcPr>
            <w:tcW w:w="87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thereto, JPMorgan Chase Bank, N.A., as administrative agent, and the Lenders party thereto.</w:t>
              </w:r>
            </w:hyperlink>
          </w:p>
        </w:tc>
        <w:tc>
          <w:tcPr>
            <w:tcW w:w="400" w:type="dxa"/>
            <w:vAlign w:val="bottom"/>
            <w:gridSpan w:val="8"/>
          </w:tcPr>
          <w:p>
            <w:pPr>
              <w:spacing w:after="0"/>
              <w:rPr>
                <w:sz w:val="17"/>
                <w:szCs w:val="17"/>
                <w:color w:val="auto"/>
              </w:rPr>
            </w:pPr>
          </w:p>
        </w:tc>
      </w:tr>
      <w:tr>
        <w:trPr>
          <w:trHeight w:val="20"/>
        </w:trPr>
        <w:tc>
          <w:tcPr>
            <w:tcW w:w="1540" w:type="dxa"/>
            <w:vAlign w:val="bottom"/>
          </w:tcPr>
          <w:p>
            <w:pPr>
              <w:spacing w:after="0" w:line="20" w:lineRule="exact"/>
              <w:rPr>
                <w:sz w:val="1"/>
                <w:szCs w:val="1"/>
                <w:color w:val="auto"/>
              </w:rPr>
            </w:pPr>
          </w:p>
        </w:tc>
        <w:tc>
          <w:tcPr>
            <w:tcW w:w="6660" w:type="dxa"/>
            <w:vAlign w:val="bottom"/>
            <w:gridSpan w:val="10"/>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540" w:type="dxa"/>
            <w:vAlign w:val="bottom"/>
          </w:tcPr>
          <w:p>
            <w:pPr>
              <w:spacing w:after="0"/>
              <w:rPr>
                <w:sz w:val="20"/>
                <w:szCs w:val="20"/>
                <w:color w:val="auto"/>
              </w:rPr>
            </w:pPr>
            <w:r>
              <w:rPr>
                <w:rFonts w:ascii="Arial" w:cs="Arial" w:eastAsia="Arial" w:hAnsi="Arial"/>
                <w:sz w:val="18"/>
                <w:szCs w:val="18"/>
                <w:color w:val="auto"/>
              </w:rPr>
              <w:t>10.8(s)</w:t>
            </w:r>
          </w:p>
        </w:tc>
        <w:tc>
          <w:tcPr>
            <w:tcW w:w="9140" w:type="dxa"/>
            <w:vAlign w:val="bottom"/>
            <w:gridSpan w:val="23"/>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Foreign Subsidiary Borrowing Agreement and Amendment dated as of January 10, 2017, among TriMas Company LLC,</w:t>
              </w:r>
            </w:hyperlink>
          </w:p>
        </w:tc>
      </w:tr>
      <w:tr>
        <w:trPr>
          <w:trHeight w:val="20"/>
        </w:trPr>
        <w:tc>
          <w:tcPr>
            <w:tcW w:w="1540" w:type="dxa"/>
            <w:vAlign w:val="bottom"/>
          </w:tcPr>
          <w:p>
            <w:pPr>
              <w:spacing w:after="0" w:line="20" w:lineRule="exact"/>
              <w:rPr>
                <w:sz w:val="1"/>
                <w:szCs w:val="1"/>
                <w:color w:val="auto"/>
              </w:rPr>
            </w:pPr>
          </w:p>
        </w:tc>
        <w:tc>
          <w:tcPr>
            <w:tcW w:w="8700" w:type="dxa"/>
            <w:vAlign w:val="bottom"/>
            <w:gridSpan w:val="13"/>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89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TriMas Corporation, TriMas Corporation Limited, JPMorgan Chase Bank, N.A., as administrative agent for the Lenders (as</w:t>
              </w:r>
            </w:hyperlink>
          </w:p>
        </w:tc>
        <w:tc>
          <w:tcPr>
            <w:tcW w:w="240" w:type="dxa"/>
            <w:vAlign w:val="bottom"/>
            <w:gridSpan w:val="6"/>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14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defined therein) and as Fronting Lender, JPMorgan Chase Bank, N.A., Bank of America, N.A. and Wells Fargo Bank, National</w:t>
              </w:r>
            </w:hyperlink>
          </w:p>
        </w:tc>
      </w:tr>
      <w:tr>
        <w:trPr>
          <w:trHeight w:val="196"/>
        </w:trPr>
        <w:tc>
          <w:tcPr>
            <w:tcW w:w="1540" w:type="dxa"/>
            <w:vAlign w:val="bottom"/>
          </w:tcPr>
          <w:p>
            <w:pPr>
              <w:spacing w:after="0"/>
              <w:rPr>
                <w:sz w:val="17"/>
                <w:szCs w:val="17"/>
                <w:color w:val="auto"/>
              </w:rPr>
            </w:pPr>
          </w:p>
        </w:tc>
        <w:tc>
          <w:tcPr>
            <w:tcW w:w="9140" w:type="dxa"/>
            <w:vAlign w:val="bottom"/>
            <w:gridSpan w:val="2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Association, J.P. Morgan Europe Limited, in its capacity as Foreign Currency Agent, and the Revolving Lenders party hereto.</w:t>
              </w:r>
            </w:hyperlink>
          </w:p>
        </w:tc>
      </w:tr>
      <w:tr>
        <w:trPr>
          <w:trHeight w:val="20"/>
        </w:trPr>
        <w:tc>
          <w:tcPr>
            <w:tcW w:w="15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47"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947"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8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25"/>
        </w:trPr>
        <w:tc>
          <w:tcPr>
            <w:tcW w:w="1280" w:type="dxa"/>
            <w:vAlign w:val="bottom"/>
            <w:tcBorders>
              <w:top w:val="single" w:sz="8" w:color="0000EE"/>
            </w:tcBorders>
          </w:tcPr>
          <w:p>
            <w:pPr>
              <w:ind w:left="320"/>
              <w:spacing w:after="0"/>
              <w:rPr>
                <w:sz w:val="20"/>
                <w:szCs w:val="20"/>
                <w:color w:val="auto"/>
              </w:rPr>
            </w:pPr>
            <w:r>
              <w:rPr>
                <w:rFonts w:ascii="Arial" w:cs="Arial" w:eastAsia="Arial" w:hAnsi="Arial"/>
                <w:sz w:val="18"/>
                <w:szCs w:val="18"/>
                <w:color w:val="auto"/>
              </w:rPr>
              <w:t>10.9(s)</w:t>
            </w:r>
          </w:p>
        </w:tc>
        <w:tc>
          <w:tcPr>
            <w:tcW w:w="580" w:type="dxa"/>
            <w:vAlign w:val="bottom"/>
          </w:tcPr>
          <w:p>
            <w:pPr>
              <w:spacing w:after="0"/>
              <w:rPr>
                <w:sz w:val="24"/>
                <w:szCs w:val="24"/>
                <w:color w:val="auto"/>
              </w:rPr>
            </w:pPr>
          </w:p>
        </w:tc>
        <w:tc>
          <w:tcPr>
            <w:tcW w:w="9160" w:type="dxa"/>
            <w:vAlign w:val="bottom"/>
            <w:gridSpan w:val="31"/>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Amendment, dated as of March 8, 2017 to the Credit Agreement, dated as of October 16, 2013 (as amended, amended and</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0" w:type="dxa"/>
            <w:vAlign w:val="bottom"/>
            <w:tcBorders>
              <w:top w:val="single" w:sz="8" w:color="0000FF"/>
            </w:tcBorders>
            <w:gridSpan w:val="26"/>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restated, supplemented or otherwise modified from time to time), among TriMas Corporation, TriMas Company LLC, the</w:t>
              </w:r>
            </w:hyperlink>
          </w:p>
        </w:tc>
        <w:tc>
          <w:tcPr>
            <w:tcW w:w="36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subsidiary borrowers from time to time parties thereto, the Lenders party thereto, JPMorgan Chase Bank, N.A., as</w:t>
              </w:r>
            </w:hyperlink>
          </w:p>
        </w:tc>
        <w:tc>
          <w:tcPr>
            <w:tcW w:w="560" w:type="dxa"/>
            <w:vAlign w:val="bottom"/>
            <w:tcBorders>
              <w:top w:val="single" w:sz="8" w:color="0000FF"/>
            </w:tcBorders>
            <w:gridSpan w:val="6"/>
          </w:tcPr>
          <w:p>
            <w:pPr>
              <w:spacing w:after="0"/>
              <w:rPr>
                <w:sz w:val="17"/>
                <w:szCs w:val="17"/>
                <w:color w:val="auto"/>
              </w:rPr>
            </w:pPr>
          </w:p>
        </w:tc>
        <w:tc>
          <w:tcPr>
            <w:tcW w:w="40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0" w:type="dxa"/>
            <w:vAlign w:val="bottom"/>
            <w:tcBorders>
              <w:bottom w:val="single" w:sz="8" w:color="0000FF"/>
            </w:tcBorders>
            <w:gridSpan w:val="9"/>
          </w:tcPr>
          <w:p>
            <w:pPr>
              <w:spacing w:after="0" w:line="196" w:lineRule="exact"/>
              <w:rPr>
                <w:rFonts w:ascii="Arial" w:cs="Arial" w:eastAsia="Arial" w:hAnsi="Arial"/>
                <w:sz w:val="18"/>
                <w:szCs w:val="18"/>
                <w:color w:val="0000FF"/>
                <w:w w:val="88"/>
              </w:rPr>
            </w:pPr>
            <w:hyperlink r:id="rId28">
              <w:r>
                <w:rPr>
                  <w:rFonts w:ascii="Arial" w:cs="Arial" w:eastAsia="Arial" w:hAnsi="Arial"/>
                  <w:sz w:val="18"/>
                  <w:szCs w:val="18"/>
                  <w:color w:val="0000FF"/>
                  <w:w w:val="88"/>
                </w:rPr>
                <w:t>administrative agent, and the other agents party thereto.</w:t>
              </w:r>
            </w:hyperlink>
          </w:p>
        </w:tc>
        <w:tc>
          <w:tcPr>
            <w:tcW w:w="5160" w:type="dxa"/>
            <w:vAlign w:val="bottom"/>
            <w:gridSpan w:val="22"/>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10.10(u)</w:t>
            </w:r>
          </w:p>
        </w:tc>
        <w:tc>
          <w:tcPr>
            <w:tcW w:w="9000" w:type="dxa"/>
            <w:vAlign w:val="bottom"/>
            <w:tcBorders>
              <w:bottom w:val="single" w:sz="8" w:color="0000FF"/>
            </w:tcBorders>
            <w:gridSpan w:val="28"/>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Replacement Facility Amendment, dated as September 20, 2017, among TriMas Company LLC, the other Loan Parties party</w:t>
              </w:r>
            </w:hyperlink>
          </w:p>
        </w:tc>
        <w:tc>
          <w:tcPr>
            <w:tcW w:w="16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3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thereto, JPMorgan Chase Bank, N.A., as administrative agent, and the Lenders party thereto.**</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10.11(h)</w:t>
            </w:r>
          </w:p>
        </w:tc>
        <w:tc>
          <w:tcPr>
            <w:tcW w:w="6840" w:type="dxa"/>
            <w:vAlign w:val="bottom"/>
            <w:tcBorders>
              <w:top w:val="single" w:sz="8" w:color="0000FF"/>
            </w:tcBorders>
            <w:gridSpan w:val="16"/>
          </w:tcPr>
          <w:p>
            <w:pPr>
              <w:spacing w:after="0"/>
              <w:rPr>
                <w:rFonts w:ascii="Arial" w:cs="Arial" w:eastAsia="Arial" w:hAnsi="Arial"/>
                <w:sz w:val="18"/>
                <w:szCs w:val="18"/>
                <w:color w:val="0000FF"/>
                <w:w w:val="98"/>
              </w:rPr>
            </w:pPr>
            <w:hyperlink r:id="rId30">
              <w:r>
                <w:rPr>
                  <w:rFonts w:ascii="Arial" w:cs="Arial" w:eastAsia="Arial" w:hAnsi="Arial"/>
                  <w:sz w:val="18"/>
                  <w:szCs w:val="18"/>
                  <w:color w:val="0000FF"/>
                  <w:w w:val="98"/>
                </w:rPr>
                <w:t>TriMas Corporation 2006 Long Term Equity Incentive Plan Composite Plan Document.*</w:t>
              </w:r>
            </w:hyperlink>
          </w:p>
        </w:tc>
        <w:tc>
          <w:tcPr>
            <w:tcW w:w="2320" w:type="dxa"/>
            <w:vAlign w:val="bottom"/>
            <w:gridSpan w:val="15"/>
          </w:tcPr>
          <w:p>
            <w:pPr>
              <w:spacing w:after="0"/>
              <w:rPr>
                <w:sz w:val="21"/>
                <w:szCs w:val="21"/>
                <w:color w:val="auto"/>
              </w:rPr>
            </w:pPr>
          </w:p>
        </w:tc>
      </w:tr>
      <w:tr>
        <w:trPr>
          <w:trHeight w:val="20"/>
        </w:trPr>
        <w:tc>
          <w:tcPr>
            <w:tcW w:w="18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10.12(f)</w:t>
            </w:r>
          </w:p>
        </w:tc>
        <w:tc>
          <w:tcPr>
            <w:tcW w:w="6960" w:type="dxa"/>
            <w:vAlign w:val="bottom"/>
            <w:tcBorders>
              <w:bottom w:val="single" w:sz="8" w:color="0000FF"/>
            </w:tcBorders>
            <w:gridSpan w:val="17"/>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TriMas Corporation Long Term Equity Incentive Plan Non-Qualified Stock Option Agreement.*</w:t>
              </w:r>
            </w:hyperlink>
          </w:p>
        </w:tc>
        <w:tc>
          <w:tcPr>
            <w:tcW w:w="2200" w:type="dxa"/>
            <w:vAlign w:val="bottom"/>
            <w:gridSpan w:val="14"/>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10.13(g)</w:t>
            </w:r>
          </w:p>
        </w:tc>
        <w:tc>
          <w:tcPr>
            <w:tcW w:w="2440" w:type="dxa"/>
            <w:vAlign w:val="bottom"/>
            <w:tcBorders>
              <w:bottom w:val="single" w:sz="8" w:color="0000FF"/>
            </w:tcBorders>
            <w:gridSpan w:val="5"/>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Flexible Cash Allowance Policy.*</w:t>
              </w:r>
            </w:hyperlink>
          </w:p>
        </w:tc>
        <w:tc>
          <w:tcPr>
            <w:tcW w:w="6720" w:type="dxa"/>
            <w:vAlign w:val="bottom"/>
            <w:gridSpan w:val="26"/>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10.14(j)</w:t>
            </w:r>
          </w:p>
        </w:tc>
        <w:tc>
          <w:tcPr>
            <w:tcW w:w="4840" w:type="dxa"/>
            <w:vAlign w:val="bottom"/>
            <w:tcBorders>
              <w:bottom w:val="single" w:sz="8" w:color="0000FF"/>
            </w:tcBorders>
            <w:gridSpan w:val="11"/>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2011 TriMas Corporation Omnibus Incentive Compensation Plan.*</w:t>
              </w:r>
            </w:hyperlink>
          </w:p>
        </w:tc>
        <w:tc>
          <w:tcPr>
            <w:tcW w:w="4320" w:type="dxa"/>
            <w:vAlign w:val="bottom"/>
            <w:gridSpan w:val="20"/>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10.15(k)</w:t>
            </w:r>
          </w:p>
        </w:tc>
        <w:tc>
          <w:tcPr>
            <w:tcW w:w="9160" w:type="dxa"/>
            <w:vAlign w:val="bottom"/>
            <w:gridSpan w:val="31"/>
          </w:tcPr>
          <w:p>
            <w:pPr>
              <w:spacing w:after="0"/>
              <w:rPr>
                <w:rFonts w:ascii="Arial" w:cs="Arial" w:eastAsia="Arial" w:hAnsi="Arial"/>
                <w:sz w:val="18"/>
                <w:szCs w:val="18"/>
                <w:color w:val="0000FF"/>
              </w:rPr>
            </w:pPr>
            <w:hyperlink r:id="rId34">
              <w:r>
                <w:rPr>
                  <w:rFonts w:ascii="Arial" w:cs="Arial" w:eastAsia="Arial" w:hAnsi="Arial"/>
                  <w:sz w:val="18"/>
                  <w:szCs w:val="18"/>
                  <w:color w:val="0000FF"/>
                </w:rPr>
                <w:t>Amendment No. 1 to the TriMas Corporation 2011 Omnibus Incentive Compensation Plan.*</w:t>
              </w:r>
            </w:hyperlink>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10.16(t)</w:t>
            </w:r>
          </w:p>
        </w:tc>
        <w:tc>
          <w:tcPr>
            <w:tcW w:w="6660" w:type="dxa"/>
            <w:vAlign w:val="bottom"/>
            <w:tcBorders>
              <w:top w:val="single" w:sz="8" w:color="0000FF"/>
            </w:tcBorders>
            <w:gridSpan w:val="15"/>
          </w:tcPr>
          <w:p>
            <w:pPr>
              <w:spacing w:after="0"/>
              <w:rPr>
                <w:rFonts w:ascii="Arial" w:cs="Arial" w:eastAsia="Arial" w:hAnsi="Arial"/>
                <w:sz w:val="18"/>
                <w:szCs w:val="18"/>
                <w:color w:val="0000FF"/>
              </w:rPr>
            </w:pPr>
            <w:hyperlink r:id="rId35">
              <w:r>
                <w:rPr>
                  <w:rFonts w:ascii="Arial" w:cs="Arial" w:eastAsia="Arial" w:hAnsi="Arial"/>
                  <w:sz w:val="18"/>
                  <w:szCs w:val="18"/>
                  <w:color w:val="0000FF"/>
                </w:rPr>
                <w:t>TriMas Corporation 2017 Equity and Incentive Compensation Plan.*</w:t>
              </w:r>
            </w:hyperlink>
          </w:p>
        </w:tc>
        <w:tc>
          <w:tcPr>
            <w:tcW w:w="2500" w:type="dxa"/>
            <w:vAlign w:val="bottom"/>
            <w:gridSpan w:val="16"/>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10.17(l)</w:t>
            </w:r>
          </w:p>
        </w:tc>
        <w:tc>
          <w:tcPr>
            <w:tcW w:w="4960" w:type="dxa"/>
            <w:vAlign w:val="bottom"/>
            <w:tcBorders>
              <w:top w:val="single" w:sz="8" w:color="0000FF"/>
            </w:tcBorders>
            <w:gridSpan w:val="12"/>
          </w:tcPr>
          <w:p>
            <w:pPr>
              <w:spacing w:after="0"/>
              <w:rPr>
                <w:rFonts w:ascii="Arial" w:cs="Arial" w:eastAsia="Arial" w:hAnsi="Arial"/>
                <w:sz w:val="18"/>
                <w:szCs w:val="18"/>
                <w:color w:val="0000FF"/>
              </w:rPr>
            </w:pPr>
            <w:hyperlink r:id="rId36">
              <w:r>
                <w:rPr>
                  <w:rFonts w:ascii="Arial" w:cs="Arial" w:eastAsia="Arial" w:hAnsi="Arial"/>
                  <w:sz w:val="18"/>
                  <w:szCs w:val="18"/>
                  <w:color w:val="0000FF"/>
                </w:rPr>
                <w:t>Executive Severance / Change of Control Policy.*</w:t>
              </w:r>
            </w:hyperlink>
          </w:p>
        </w:tc>
        <w:tc>
          <w:tcPr>
            <w:tcW w:w="4200" w:type="dxa"/>
            <w:vAlign w:val="bottom"/>
            <w:gridSpan w:val="19"/>
          </w:tcPr>
          <w:p>
            <w:pPr>
              <w:spacing w:after="0"/>
              <w:rPr>
                <w:sz w:val="21"/>
                <w:szCs w:val="21"/>
                <w:color w:val="auto"/>
              </w:rPr>
            </w:pPr>
          </w:p>
        </w:tc>
      </w:tr>
      <w:tr>
        <w:trPr>
          <w:trHeight w:val="20"/>
        </w:trPr>
        <w:tc>
          <w:tcPr>
            <w:tcW w:w="18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10.24(r)</w:t>
            </w:r>
          </w:p>
        </w:tc>
        <w:tc>
          <w:tcPr>
            <w:tcW w:w="7640" w:type="dxa"/>
            <w:vAlign w:val="bottom"/>
            <w:tcBorders>
              <w:bottom w:val="single" w:sz="8" w:color="0000FF"/>
            </w:tcBorders>
            <w:gridSpan w:val="18"/>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Form of Non-Qualified Stock Option Agreement under the 2011 Omnibus Incentive Compensation Plan.*</w:t>
              </w:r>
            </w:hyperlink>
          </w:p>
        </w:tc>
        <w:tc>
          <w:tcPr>
            <w:tcW w:w="1520" w:type="dxa"/>
            <w:vAlign w:val="bottom"/>
            <w:gridSpan w:val="13"/>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10.25(s)</w:t>
            </w:r>
          </w:p>
        </w:tc>
        <w:tc>
          <w:tcPr>
            <w:tcW w:w="9160" w:type="dxa"/>
            <w:vAlign w:val="bottom"/>
            <w:tcBorders>
              <w:bottom w:val="single" w:sz="8" w:color="0000FF"/>
            </w:tcBorders>
            <w:gridSpan w:val="31"/>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Form of Performance Stock Units Agreement (Three-Year-Vest) - 2017 LTI - under the 2011 Omnibus Incentive Compensation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31"/>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Plan.*</w:t>
              </w:r>
            </w:hyperlink>
          </w:p>
        </w:tc>
      </w:tr>
      <w:tr>
        <w:trPr>
          <w:trHeight w:val="20"/>
        </w:trPr>
        <w:tc>
          <w:tcPr>
            <w:tcW w:w="18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10.26(s)</w:t>
            </w:r>
          </w:p>
        </w:tc>
        <w:tc>
          <w:tcPr>
            <w:tcW w:w="9160" w:type="dxa"/>
            <w:vAlign w:val="bottom"/>
            <w:gridSpan w:val="31"/>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Restricted Stock Units Agreement (Three-Year Vest) - 2017 LTI - under the 2011 Omnibus Incentive Compensation</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96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Plan.*</w:t>
              </w:r>
            </w:hyperlink>
          </w:p>
        </w:tc>
        <w:tc>
          <w:tcPr>
            <w:tcW w:w="200" w:type="dxa"/>
            <w:vAlign w:val="bottom"/>
            <w:gridSpan w:val="4"/>
          </w:tcPr>
          <w:p>
            <w:pPr>
              <w:spacing w:after="0"/>
              <w:rPr>
                <w:sz w:val="17"/>
                <w:szCs w:val="17"/>
                <w:color w:val="auto"/>
              </w:rPr>
            </w:pPr>
          </w:p>
        </w:tc>
      </w:tr>
      <w:tr>
        <w:trPr>
          <w:trHeight w:val="20"/>
        </w:trPr>
        <w:tc>
          <w:tcPr>
            <w:tcW w:w="18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10.27(v)</w:t>
            </w:r>
          </w:p>
        </w:tc>
        <w:tc>
          <w:tcPr>
            <w:tcW w:w="8220" w:type="dxa"/>
            <w:vAlign w:val="bottom"/>
            <w:tcBorders>
              <w:bottom w:val="single" w:sz="8" w:color="0000FF"/>
            </w:tcBorders>
            <w:gridSpan w:val="20"/>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Performance Stock Units Agreement (Three-Year-Vest) - 2018 LTI - under the 2017 Equity and Incentive</w:t>
              </w:r>
            </w:hyperlink>
          </w:p>
        </w:tc>
        <w:tc>
          <w:tcPr>
            <w:tcW w:w="940" w:type="dxa"/>
            <w:vAlign w:val="bottom"/>
            <w:gridSpan w:val="11"/>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Compensation Plan.*</w:t>
              </w:r>
            </w:hyperlink>
          </w:p>
        </w:tc>
        <w:tc>
          <w:tcPr>
            <w:tcW w:w="7620" w:type="dxa"/>
            <w:vAlign w:val="bottom"/>
            <w:gridSpan w:val="28"/>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10.28(v)</w:t>
            </w:r>
          </w:p>
        </w:tc>
        <w:tc>
          <w:tcPr>
            <w:tcW w:w="9100" w:type="dxa"/>
            <w:vAlign w:val="bottom"/>
            <w:tcBorders>
              <w:bottom w:val="single" w:sz="8" w:color="0000FF"/>
            </w:tcBorders>
            <w:gridSpan w:val="30"/>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Form of Restricted Stock Units Agreement (Three-Year Vest) - 2018 LTI - under the 2017 Equity and Incentive Compensation</w:t>
              </w:r>
            </w:hyperlink>
          </w:p>
        </w:tc>
        <w:tc>
          <w:tcPr>
            <w:tcW w:w="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31"/>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Plan.*</w:t>
              </w:r>
            </w:hyperlink>
          </w:p>
        </w:tc>
      </w:tr>
      <w:tr>
        <w:trPr>
          <w:trHeight w:val="20"/>
        </w:trPr>
        <w:tc>
          <w:tcPr>
            <w:tcW w:w="18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10.29(v)</w:t>
            </w:r>
          </w:p>
        </w:tc>
        <w:tc>
          <w:tcPr>
            <w:tcW w:w="9160" w:type="dxa"/>
            <w:vAlign w:val="bottom"/>
            <w:gridSpan w:val="31"/>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Restricted Stock Units Agreement (Board Of Directors) (One-Year Vest) - 2018 LTI - under the 2017 Equity and</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7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Incentive Compensation Plan.*</w:t>
              </w:r>
            </w:hyperlink>
          </w:p>
        </w:tc>
        <w:tc>
          <w:tcPr>
            <w:tcW w:w="440" w:type="dxa"/>
            <w:vAlign w:val="bottom"/>
            <w:gridSpan w:val="7"/>
          </w:tcPr>
          <w:p>
            <w:pPr>
              <w:spacing w:after="0"/>
              <w:rPr>
                <w:sz w:val="17"/>
                <w:szCs w:val="17"/>
                <w:color w:val="auto"/>
              </w:rPr>
            </w:pPr>
          </w:p>
        </w:tc>
      </w:tr>
      <w:tr>
        <w:trPr>
          <w:trHeight w:val="20"/>
        </w:trPr>
        <w:tc>
          <w:tcPr>
            <w:tcW w:w="1860" w:type="dxa"/>
            <w:vAlign w:val="bottom"/>
            <w:gridSpan w:val="2"/>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10.30(n)</w:t>
            </w:r>
          </w:p>
        </w:tc>
        <w:tc>
          <w:tcPr>
            <w:tcW w:w="3160" w:type="dxa"/>
            <w:vAlign w:val="bottom"/>
            <w:tcBorders>
              <w:bottom w:val="single" w:sz="8" w:color="0000FF"/>
            </w:tcBorders>
            <w:gridSpan w:val="7"/>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2013 Form of Indemnification Agreement.*</w:t>
              </w:r>
            </w:hyperlink>
          </w:p>
        </w:tc>
        <w:tc>
          <w:tcPr>
            <w:tcW w:w="6000" w:type="dxa"/>
            <w:vAlign w:val="bottom"/>
            <w:gridSpan w:val="24"/>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10.31(p)</w:t>
            </w:r>
          </w:p>
        </w:tc>
        <w:tc>
          <w:tcPr>
            <w:tcW w:w="9160" w:type="dxa"/>
            <w:vAlign w:val="bottom"/>
            <w:gridSpan w:val="31"/>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Tax Sharing Agreement, dated as of June 30, 2015, by and between Horizon Global Corporation and TriMas Corporation.</w:t>
              </w:r>
            </w:hyperlink>
          </w:p>
        </w:tc>
      </w:tr>
      <w:tr>
        <w:trPr>
          <w:trHeight w:val="20"/>
        </w:trPr>
        <w:tc>
          <w:tcPr>
            <w:tcW w:w="1860" w:type="dxa"/>
            <w:vAlign w:val="bottom"/>
            <w:gridSpan w:val="2"/>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10.32(p)</w:t>
            </w:r>
          </w:p>
        </w:tc>
        <w:tc>
          <w:tcPr>
            <w:tcW w:w="9000" w:type="dxa"/>
            <w:vAlign w:val="bottom"/>
            <w:tcBorders>
              <w:bottom w:val="single" w:sz="8" w:color="0000FF"/>
            </w:tcBorders>
            <w:gridSpan w:val="28"/>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Noncompetition and Nonsolicitation Agreement, dated as of June 30, 2015, by and between Horizon Global Corporation and</w:t>
              </w:r>
            </w:hyperlink>
          </w:p>
        </w:tc>
        <w:tc>
          <w:tcPr>
            <w:tcW w:w="160" w:type="dxa"/>
            <w:vAlign w:val="bottom"/>
            <w:gridSpan w:val="3"/>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TriMas Corporation.</w:t>
              </w:r>
            </w:hyperlink>
          </w:p>
        </w:tc>
        <w:tc>
          <w:tcPr>
            <w:tcW w:w="7680" w:type="dxa"/>
            <w:vAlign w:val="bottom"/>
            <w:gridSpan w:val="29"/>
          </w:tcPr>
          <w:p>
            <w:pPr>
              <w:spacing w:after="0"/>
              <w:rPr>
                <w:sz w:val="17"/>
                <w:szCs w:val="17"/>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10.33(r)</w:t>
            </w:r>
          </w:p>
        </w:tc>
        <w:tc>
          <w:tcPr>
            <w:tcW w:w="9160" w:type="dxa"/>
            <w:vAlign w:val="bottom"/>
            <w:gridSpan w:val="31"/>
          </w:tcPr>
          <w:p>
            <w:pPr>
              <w:spacing w:after="0"/>
              <w:rPr>
                <w:rFonts w:ascii="Arial" w:cs="Arial" w:eastAsia="Arial" w:hAnsi="Arial"/>
                <w:sz w:val="18"/>
                <w:szCs w:val="18"/>
                <w:color w:val="0000FF"/>
              </w:rPr>
            </w:pPr>
            <w:hyperlink r:id="rId46">
              <w:r>
                <w:rPr>
                  <w:rFonts w:ascii="Arial" w:cs="Arial" w:eastAsia="Arial" w:hAnsi="Arial"/>
                  <w:sz w:val="18"/>
                  <w:szCs w:val="18"/>
                  <w:color w:val="0000FF"/>
                </w:rPr>
                <w:t>Offer Letter between TriMas Corporation and Thomas A. Amato dated July 23, 2016.</w:t>
              </w:r>
            </w:hyperlink>
          </w:p>
        </w:tc>
      </w:tr>
      <w:tr>
        <w:trPr>
          <w:trHeight w:val="20"/>
        </w:trPr>
        <w:tc>
          <w:tcPr>
            <w:tcW w:w="1860" w:type="dxa"/>
            <w:vAlign w:val="bottom"/>
            <w:gridSpan w:val="2"/>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10.34(x)</w:t>
            </w:r>
          </w:p>
        </w:tc>
        <w:tc>
          <w:tcPr>
            <w:tcW w:w="9160" w:type="dxa"/>
            <w:vAlign w:val="bottom"/>
            <w:gridSpan w:val="31"/>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Form of Restricted Stock Units Agreement (Board of Directors) (One-Year Vest) - 2019 LTI - under the 2017 Equity and</w:t>
              </w:r>
            </w:hyperlink>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Incentive Compensation Plan.*</w:t>
              </w:r>
            </w:hyperlink>
          </w:p>
        </w:tc>
        <w:tc>
          <w:tcPr>
            <w:tcW w:w="480" w:type="dxa"/>
            <w:vAlign w:val="bottom"/>
            <w:gridSpan w:val="9"/>
          </w:tcPr>
          <w:p>
            <w:pPr>
              <w:spacing w:after="0"/>
              <w:rPr>
                <w:sz w:val="17"/>
                <w:szCs w:val="17"/>
                <w:color w:val="auto"/>
              </w:rPr>
            </w:pPr>
          </w:p>
        </w:tc>
      </w:tr>
      <w:tr>
        <w:trPr>
          <w:trHeight w:val="20"/>
        </w:trPr>
        <w:tc>
          <w:tcPr>
            <w:tcW w:w="1860" w:type="dxa"/>
            <w:vAlign w:val="bottom"/>
            <w:gridSpan w:val="2"/>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100" w:type="dxa"/>
            <w:vAlign w:val="bottom"/>
            <w:gridSpan w:val="1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10.35(x)</w:t>
            </w:r>
          </w:p>
        </w:tc>
        <w:tc>
          <w:tcPr>
            <w:tcW w:w="8460" w:type="dxa"/>
            <w:vAlign w:val="bottom"/>
            <w:tcBorders>
              <w:bottom w:val="single" w:sz="8" w:color="0000FF"/>
            </w:tcBorders>
            <w:gridSpan w:val="21"/>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Form of Performance Stock Units Agreement - 2019 LTI - under the 2017 Equity and Incentive Compensation Plan.*</w:t>
              </w:r>
            </w:hyperlink>
          </w:p>
        </w:tc>
        <w:tc>
          <w:tcPr>
            <w:tcW w:w="700" w:type="dxa"/>
            <w:vAlign w:val="bottom"/>
            <w:gridSpan w:val="10"/>
          </w:tcPr>
          <w:p>
            <w:pPr>
              <w:spacing w:after="0"/>
              <w:rPr>
                <w:sz w:val="21"/>
                <w:szCs w:val="21"/>
                <w:color w:val="auto"/>
              </w:rPr>
            </w:pPr>
          </w:p>
        </w:tc>
      </w:tr>
      <w:tr>
        <w:trPr>
          <w:trHeight w:val="250"/>
        </w:trPr>
        <w:tc>
          <w:tcPr>
            <w:tcW w:w="1860" w:type="dxa"/>
            <w:vAlign w:val="bottom"/>
            <w:gridSpan w:val="2"/>
          </w:tcPr>
          <w:p>
            <w:pPr>
              <w:ind w:left="320"/>
              <w:spacing w:after="0"/>
              <w:rPr>
                <w:sz w:val="20"/>
                <w:szCs w:val="20"/>
                <w:color w:val="auto"/>
              </w:rPr>
            </w:pPr>
            <w:r>
              <w:rPr>
                <w:rFonts w:ascii="Arial" w:cs="Arial" w:eastAsia="Arial" w:hAnsi="Arial"/>
                <w:sz w:val="18"/>
                <w:szCs w:val="18"/>
                <w:color w:val="auto"/>
              </w:rPr>
              <w:t>10.36(x)</w:t>
            </w:r>
          </w:p>
        </w:tc>
        <w:tc>
          <w:tcPr>
            <w:tcW w:w="9100" w:type="dxa"/>
            <w:vAlign w:val="bottom"/>
            <w:tcBorders>
              <w:bottom w:val="single" w:sz="8" w:color="0000FF"/>
            </w:tcBorders>
            <w:gridSpan w:val="30"/>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Form of Restricted Stock Units Agreement (Three-Year Vest) - 2019 LTI - under the 2017 Equity and Incentive Compensation</w:t>
              </w:r>
            </w:hyperlink>
          </w:p>
        </w:tc>
        <w:tc>
          <w:tcPr>
            <w:tcW w:w="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160" w:type="dxa"/>
            <w:vAlign w:val="bottom"/>
            <w:gridSpan w:val="31"/>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Plan.*</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340" w:type="dxa"/>
            <w:vAlign w:val="bottom"/>
            <w:gridSpan w:val="1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10.37</w:t>
            </w:r>
          </w:p>
        </w:tc>
        <w:tc>
          <w:tcPr>
            <w:tcW w:w="580" w:type="dxa"/>
            <w:vAlign w:val="bottom"/>
          </w:tcPr>
          <w:p>
            <w:pPr>
              <w:spacing w:after="0"/>
              <w:rPr>
                <w:sz w:val="21"/>
                <w:szCs w:val="21"/>
                <w:color w:val="auto"/>
              </w:rPr>
            </w:pPr>
          </w:p>
        </w:tc>
        <w:tc>
          <w:tcPr>
            <w:tcW w:w="9160" w:type="dxa"/>
            <w:vAlign w:val="bottom"/>
            <w:gridSpan w:val="31"/>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Form of Special Performance Stock Units Agreement - 2019 LTI - under the 2017 Equity and Incentive Compensation Plan.*</w:t>
              </w:r>
            </w:hyperlink>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1"/>
                <w:szCs w:val="21"/>
                <w:color w:val="auto"/>
              </w:rPr>
            </w:pPr>
          </w:p>
        </w:tc>
        <w:tc>
          <w:tcPr>
            <w:tcW w:w="26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TriMas Corporation Subsidiary List.</w:t>
              </w:r>
            </w:hyperlink>
          </w:p>
        </w:tc>
        <w:tc>
          <w:tcPr>
            <w:tcW w:w="6400" w:type="dxa"/>
            <w:vAlign w:val="bottom"/>
            <w:tcBorders>
              <w:top w:val="single" w:sz="8" w:color="0000FF"/>
            </w:tcBorders>
            <w:gridSpan w:val="23"/>
          </w:tcPr>
          <w:p>
            <w:pPr>
              <w:spacing w:after="0"/>
              <w:rPr>
                <w:sz w:val="21"/>
                <w:szCs w:val="21"/>
                <w:color w:val="auto"/>
              </w:rPr>
            </w:pPr>
          </w:p>
        </w:tc>
        <w:tc>
          <w:tcPr>
            <w:tcW w:w="140" w:type="dxa"/>
            <w:vAlign w:val="bottom"/>
            <w:gridSpan w:val="2"/>
          </w:tcPr>
          <w:p>
            <w:pPr>
              <w:spacing w:after="0"/>
              <w:rPr>
                <w:sz w:val="21"/>
                <w:szCs w:val="2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1"/>
                <w:szCs w:val="21"/>
                <w:color w:val="auto"/>
              </w:rPr>
            </w:pPr>
          </w:p>
        </w:tc>
        <w:tc>
          <w:tcPr>
            <w:tcW w:w="43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Consent of Independent Registered Public Accounting Firm.</w:t>
              </w:r>
            </w:hyperlink>
          </w:p>
        </w:tc>
        <w:tc>
          <w:tcPr>
            <w:tcW w:w="4800" w:type="dxa"/>
            <w:vAlign w:val="bottom"/>
            <w:gridSpan w:val="21"/>
          </w:tcPr>
          <w:p>
            <w:pPr>
              <w:spacing w:after="0"/>
              <w:rPr>
                <w:sz w:val="21"/>
                <w:szCs w:val="2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1"/>
                <w:szCs w:val="21"/>
                <w:color w:val="auto"/>
              </w:rPr>
            </w:pPr>
          </w:p>
        </w:tc>
        <w:tc>
          <w:tcPr>
            <w:tcW w:w="9160" w:type="dxa"/>
            <w:vAlign w:val="bottom"/>
            <w:gridSpan w:val="31"/>
          </w:tcPr>
          <w:p>
            <w:pPr>
              <w:spacing w:after="0" w:line="207" w:lineRule="exact"/>
              <w:rPr>
                <w:rFonts w:ascii="Arial" w:cs="Arial" w:eastAsia="Arial" w:hAnsi="Arial"/>
                <w:sz w:val="18"/>
                <w:szCs w:val="18"/>
                <w:color w:val="0000FF"/>
                <w:w w:val="94"/>
              </w:rPr>
            </w:pPr>
            <w:hyperlink w:anchor="page113">
              <w:r>
                <w:rPr>
                  <w:rFonts w:ascii="Arial" w:cs="Arial" w:eastAsia="Arial" w:hAnsi="Arial"/>
                  <w:sz w:val="18"/>
                  <w:szCs w:val="18"/>
                  <w:color w:val="0000FF"/>
                  <w:w w:val="94"/>
                </w:rPr>
                <w:t>Certification pursuant to 18 U.S.C. Section 1350, as adopted pursuant to Section 302 of the Sarbanes</w:t>
              </w:r>
              <w:r>
                <w:rPr>
                  <w:rFonts w:ascii="MS PGothic" w:cs="MS PGothic" w:eastAsia="MS PGothic" w:hAnsi="MS PGothic"/>
                  <w:sz w:val="18"/>
                  <w:szCs w:val="18"/>
                  <w:color w:val="0000FF"/>
                  <w:w w:val="94"/>
                </w:rPr>
                <w:t>‑</w:t>
              </w:r>
              <w:r>
                <w:rPr>
                  <w:rFonts w:ascii="Arial" w:cs="Arial" w:eastAsia="Arial" w:hAnsi="Arial"/>
                  <w:sz w:val="18"/>
                  <w:szCs w:val="18"/>
                  <w:color w:val="0000FF"/>
                  <w:w w:val="94"/>
                </w:rPr>
                <w:t>Oxley Act of 2002.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gridSpan w:val="23"/>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1"/>
                <w:szCs w:val="21"/>
                <w:color w:val="auto"/>
              </w:rPr>
            </w:pPr>
          </w:p>
        </w:tc>
        <w:tc>
          <w:tcPr>
            <w:tcW w:w="9160" w:type="dxa"/>
            <w:vAlign w:val="bottom"/>
            <w:gridSpan w:val="31"/>
          </w:tcPr>
          <w:p>
            <w:pPr>
              <w:spacing w:after="0" w:line="207" w:lineRule="exact"/>
              <w:rPr>
                <w:rFonts w:ascii="Arial" w:cs="Arial" w:eastAsia="Arial" w:hAnsi="Arial"/>
                <w:sz w:val="18"/>
                <w:szCs w:val="18"/>
                <w:color w:val="0000FF"/>
                <w:w w:val="94"/>
              </w:rPr>
            </w:pPr>
            <w:hyperlink w:anchor="page114">
              <w:r>
                <w:rPr>
                  <w:rFonts w:ascii="Arial" w:cs="Arial" w:eastAsia="Arial" w:hAnsi="Arial"/>
                  <w:sz w:val="18"/>
                  <w:szCs w:val="18"/>
                  <w:color w:val="0000FF"/>
                  <w:w w:val="94"/>
                </w:rPr>
                <w:t>Certification pursuant to 18 U.S.C. Section 1350, as adopted pursuant to Section 302 of the Sarbanes</w:t>
              </w:r>
              <w:r>
                <w:rPr>
                  <w:rFonts w:ascii="MS PGothic" w:cs="MS PGothic" w:eastAsia="MS PGothic" w:hAnsi="MS PGothic"/>
                  <w:sz w:val="18"/>
                  <w:szCs w:val="18"/>
                  <w:color w:val="0000FF"/>
                  <w:w w:val="94"/>
                </w:rPr>
                <w:t>‑</w:t>
              </w:r>
              <w:r>
                <w:rPr>
                  <w:rFonts w:ascii="Arial" w:cs="Arial" w:eastAsia="Arial" w:hAnsi="Arial"/>
                  <w:sz w:val="18"/>
                  <w:szCs w:val="18"/>
                  <w:color w:val="0000FF"/>
                  <w:w w:val="94"/>
                </w:rPr>
                <w:t>Oxley Act of 2002.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gridSpan w:val="23"/>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1"/>
                <w:szCs w:val="21"/>
                <w:color w:val="auto"/>
              </w:rPr>
            </w:pPr>
          </w:p>
        </w:tc>
        <w:tc>
          <w:tcPr>
            <w:tcW w:w="9160" w:type="dxa"/>
            <w:vAlign w:val="bottom"/>
            <w:gridSpan w:val="31"/>
          </w:tcPr>
          <w:p>
            <w:pPr>
              <w:spacing w:after="0" w:line="207" w:lineRule="exact"/>
              <w:rPr>
                <w:rFonts w:ascii="Arial" w:cs="Arial" w:eastAsia="Arial" w:hAnsi="Arial"/>
                <w:sz w:val="18"/>
                <w:szCs w:val="18"/>
                <w:color w:val="0000FF"/>
                <w:w w:val="94"/>
              </w:rPr>
            </w:pPr>
            <w:hyperlink w:anchor="page115">
              <w:r>
                <w:rPr>
                  <w:rFonts w:ascii="Arial" w:cs="Arial" w:eastAsia="Arial" w:hAnsi="Arial"/>
                  <w:sz w:val="18"/>
                  <w:szCs w:val="18"/>
                  <w:color w:val="0000FF"/>
                  <w:w w:val="94"/>
                </w:rPr>
                <w:t>Certification pursuant to 18 U.S.C. Section 1350, as adopted pursuant to Section 906 of the Sarbanes</w:t>
              </w:r>
              <w:r>
                <w:rPr>
                  <w:rFonts w:ascii="MS PGothic" w:cs="MS PGothic" w:eastAsia="MS PGothic" w:hAnsi="MS PGothic"/>
                  <w:sz w:val="18"/>
                  <w:szCs w:val="18"/>
                  <w:color w:val="0000FF"/>
                  <w:w w:val="94"/>
                </w:rPr>
                <w:t>‑</w:t>
              </w:r>
              <w:r>
                <w:rPr>
                  <w:rFonts w:ascii="Arial" w:cs="Arial" w:eastAsia="Arial" w:hAnsi="Arial"/>
                  <w:sz w:val="18"/>
                  <w:szCs w:val="18"/>
                  <w:color w:val="0000FF"/>
                  <w:w w:val="94"/>
                </w:rPr>
                <w:t>Oxley Act of 2002.</w:t>
              </w:r>
            </w:hyperlink>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00" w:type="dxa"/>
            <w:vAlign w:val="bottom"/>
            <w:gridSpan w:val="23"/>
            <w:shd w:val="clear" w:color="auto" w:fill="0000FF"/>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250"/>
        </w:trPr>
        <w:tc>
          <w:tcPr>
            <w:tcW w:w="1280" w:type="dxa"/>
            <w:vAlign w:val="bottom"/>
          </w:tcPr>
          <w:p>
            <w:pPr>
              <w:ind w:left="32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1"/>
                <w:szCs w:val="21"/>
                <w:color w:val="auto"/>
              </w:rPr>
            </w:pPr>
          </w:p>
        </w:tc>
        <w:tc>
          <w:tcPr>
            <w:tcW w:w="9160" w:type="dxa"/>
            <w:vAlign w:val="bottom"/>
            <w:gridSpan w:val="31"/>
          </w:tcPr>
          <w:p>
            <w:pPr>
              <w:spacing w:after="0" w:line="207" w:lineRule="exact"/>
              <w:rPr>
                <w:rFonts w:ascii="Arial" w:cs="Arial" w:eastAsia="Arial" w:hAnsi="Arial"/>
                <w:sz w:val="18"/>
                <w:szCs w:val="18"/>
                <w:color w:val="0000FF"/>
                <w:w w:val="94"/>
              </w:rPr>
            </w:pPr>
            <w:hyperlink w:anchor="page116">
              <w:r>
                <w:rPr>
                  <w:rFonts w:ascii="Arial" w:cs="Arial" w:eastAsia="Arial" w:hAnsi="Arial"/>
                  <w:sz w:val="18"/>
                  <w:szCs w:val="18"/>
                  <w:color w:val="0000FF"/>
                  <w:w w:val="94"/>
                </w:rPr>
                <w:t>Certification pursuant to 18 U.S.C. Section 1350, as adopted pursuant to Section 906 of the Sarbanes</w:t>
              </w:r>
              <w:r>
                <w:rPr>
                  <w:rFonts w:ascii="MS PGothic" w:cs="MS PGothic" w:eastAsia="MS PGothic" w:hAnsi="MS PGothic"/>
                  <w:sz w:val="18"/>
                  <w:szCs w:val="18"/>
                  <w:color w:val="0000FF"/>
                  <w:w w:val="94"/>
                </w:rPr>
                <w:t>‑</w:t>
              </w:r>
              <w:r>
                <w:rPr>
                  <w:rFonts w:ascii="Arial" w:cs="Arial" w:eastAsia="Arial" w:hAnsi="Arial"/>
                  <w:sz w:val="18"/>
                  <w:szCs w:val="18"/>
                  <w:color w:val="0000FF"/>
                  <w:w w:val="94"/>
                </w:rPr>
                <w:t>Oxley Act of 2002.</w:t>
              </w:r>
            </w:hyperlink>
          </w:p>
        </w:tc>
      </w:tr>
      <w:tr>
        <w:trPr>
          <w:trHeight w:val="61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0" w:type="dxa"/>
            <w:vAlign w:val="bottom"/>
            <w:tcBorders>
              <w:top w:val="single" w:sz="8" w:color="0000FF"/>
            </w:tcBorders>
            <w:gridSpan w:val="9"/>
          </w:tcPr>
          <w:p>
            <w:pPr>
              <w:ind w:left="3760"/>
              <w:spacing w:after="0"/>
              <w:rPr>
                <w:sz w:val="20"/>
                <w:szCs w:val="20"/>
                <w:color w:val="auto"/>
              </w:rPr>
            </w:pPr>
            <w:r>
              <w:rPr>
                <w:rFonts w:ascii="Arial" w:cs="Arial" w:eastAsia="Arial" w:hAnsi="Arial"/>
                <w:sz w:val="18"/>
                <w:szCs w:val="18"/>
                <w:color w:val="auto"/>
              </w:rPr>
              <w:t>92</w:t>
            </w: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240" w:top="108" w:right="6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60" w:right="200" w:hanging="1535"/>
        <w:spacing w:after="0" w:line="257" w:lineRule="auto"/>
        <w:tabs>
          <w:tab w:leader="none" w:pos="1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materials from TriMas Corporation's Annual Report on Form 10-K for the fiscal year ended December 31, 2019,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p>
      <w:pPr>
        <w:spacing w:after="0" w:line="26" w:lineRule="exact"/>
        <w:rPr>
          <w:sz w:val="20"/>
          <w:szCs w:val="20"/>
          <w:color w:val="auto"/>
        </w:rPr>
      </w:pPr>
    </w:p>
    <w:p>
      <w:pPr>
        <w:ind w:left="320"/>
        <w:spacing w:after="0"/>
        <w:tabs>
          <w:tab w:leader="none" w:pos="18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 required to be filed as an exhibit pursuant to Item 15(b) of Form 10-K.</w:t>
      </w:r>
    </w:p>
    <w:p>
      <w:pPr>
        <w:spacing w:after="0" w:line="225" w:lineRule="exact"/>
        <w:rPr>
          <w:sz w:val="20"/>
          <w:szCs w:val="20"/>
          <w:color w:val="auto"/>
        </w:rPr>
      </w:pPr>
    </w:p>
    <w:p>
      <w:pPr>
        <w:ind w:firstLine="8"/>
        <w:spacing w:after="0" w:line="277" w:lineRule="auto"/>
        <w:tabs>
          <w:tab w:leader="none" w:pos="2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51" w:lineRule="exact"/>
        <w:rPr>
          <w:rFonts w:ascii="Arial" w:cs="Arial" w:eastAsia="Arial" w:hAnsi="Arial"/>
          <w:sz w:val="18"/>
          <w:szCs w:val="18"/>
          <w:color w:val="auto"/>
        </w:rPr>
      </w:pPr>
    </w:p>
    <w:p>
      <w:pPr>
        <w:ind w:left="1440" w:right="98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on October 4, 2002 (File No. 333-100351).</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Registration Statement on Form S-4 filed June 9, 2003 (File No. 333-105950).</w:t>
      </w:r>
    </w:p>
    <w:p>
      <w:pPr>
        <w:spacing w:after="0" w:line="8" w:lineRule="exact"/>
        <w:rPr>
          <w:rFonts w:ascii="Arial" w:cs="Arial" w:eastAsia="Arial" w:hAnsi="Arial"/>
          <w:sz w:val="18"/>
          <w:szCs w:val="18"/>
          <w:color w:val="auto"/>
        </w:rPr>
      </w:pPr>
    </w:p>
    <w:p>
      <w:pPr>
        <w:ind w:left="1440" w:right="102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Amendment No. 1 to our Registration Statement on Form S-1 filed on September 19, 2006 (File No. 333-136263).</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2008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6, 2009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10, 2009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26, 2010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December 18, 2015 (File No. 001-10716).</w:t>
      </w:r>
    </w:p>
    <w:p>
      <w:pPr>
        <w:spacing w:after="0" w:line="74" w:lineRule="exact"/>
        <w:rPr>
          <w:rFonts w:ascii="Arial" w:cs="Arial" w:eastAsia="Arial" w:hAnsi="Arial"/>
          <w:sz w:val="17"/>
          <w:szCs w:val="17"/>
          <w:color w:val="auto"/>
        </w:rPr>
      </w:pPr>
    </w:p>
    <w:p>
      <w:pPr>
        <w:ind w:left="1440" w:hanging="824"/>
        <w:spacing w:after="0"/>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April 4, 2011 (File No. 001-10716).</w:t>
      </w:r>
    </w:p>
    <w:p>
      <w:pPr>
        <w:spacing w:after="0" w:line="63" w:lineRule="exact"/>
        <w:rPr>
          <w:rFonts w:ascii="Arial" w:cs="Arial" w:eastAsia="Arial" w:hAnsi="Arial"/>
          <w:sz w:val="18"/>
          <w:szCs w:val="18"/>
          <w:color w:val="auto"/>
        </w:rPr>
      </w:pPr>
    </w:p>
    <w:p>
      <w:pPr>
        <w:ind w:left="1440" w:right="50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Appendix A filed with our Definitive Proxy Statement on Schedule 14A filed on April 5, 2013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March 7, 2019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Report on Form 8-K filed on October 21, 2013 (File No. 001-10716).</w:t>
      </w:r>
    </w:p>
    <w:p>
      <w:pPr>
        <w:spacing w:after="0" w:line="63"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Report on Form 8-K filed on November 13, 2013 (File No. 001-10716).</w:t>
      </w:r>
    </w:p>
    <w:p>
      <w:pPr>
        <w:spacing w:after="0" w:line="74" w:lineRule="exact"/>
        <w:rPr>
          <w:rFonts w:ascii="Arial" w:cs="Arial" w:eastAsia="Arial" w:hAnsi="Arial"/>
          <w:sz w:val="17"/>
          <w:szCs w:val="17"/>
          <w:color w:val="auto"/>
        </w:rPr>
      </w:pPr>
    </w:p>
    <w:p>
      <w:pPr>
        <w:ind w:left="1440" w:right="740" w:hanging="824"/>
        <w:spacing w:after="0" w:line="277" w:lineRule="auto"/>
        <w:tabs>
          <w:tab w:leader="none" w:pos="14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October 20, 2014 (File No. 001-10716).</w:t>
      </w:r>
    </w:p>
    <w:p>
      <w:pPr>
        <w:spacing w:after="0" w:line="8" w:lineRule="exact"/>
        <w:rPr>
          <w:rFonts w:ascii="Arial" w:cs="Arial" w:eastAsia="Arial" w:hAnsi="Arial"/>
          <w:sz w:val="18"/>
          <w:szCs w:val="18"/>
          <w:color w:val="auto"/>
        </w:rPr>
      </w:pPr>
    </w:p>
    <w:p>
      <w:pPr>
        <w:ind w:left="1440" w:hanging="824"/>
        <w:spacing w:after="0"/>
        <w:tabs>
          <w:tab w:leader="none" w:pos="14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Incorporated by reference to the Exhibits filed with our Current Report on Form 8-K filed on July 6, 2015 (File No. 001-10716).</w:t>
      </w:r>
    </w:p>
    <w:p>
      <w:pPr>
        <w:spacing w:after="0" w:line="75" w:lineRule="exact"/>
        <w:rPr>
          <w:sz w:val="20"/>
          <w:szCs w:val="20"/>
          <w:color w:val="auto"/>
        </w:rPr>
      </w:pPr>
    </w:p>
    <w:p>
      <w:pPr>
        <w:ind w:left="1440" w:right="500" w:hanging="824"/>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October 27, 2016 (File No. 001-10716).</w:t>
      </w:r>
    </w:p>
    <w:p>
      <w:pPr>
        <w:spacing w:after="0" w:line="8" w:lineRule="exact"/>
        <w:rPr>
          <w:rFonts w:ascii="Arial" w:cs="Arial" w:eastAsia="Arial" w:hAnsi="Arial"/>
          <w:sz w:val="18"/>
          <w:szCs w:val="18"/>
          <w:color w:val="auto"/>
        </w:rPr>
      </w:pPr>
    </w:p>
    <w:p>
      <w:pPr>
        <w:ind w:left="1440" w:right="700" w:hanging="824"/>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April 27, 2017 (File No. 001-10716).</w:t>
      </w:r>
    </w:p>
    <w:p>
      <w:pPr>
        <w:spacing w:after="0" w:line="8" w:lineRule="exact"/>
        <w:rPr>
          <w:rFonts w:ascii="Arial" w:cs="Arial" w:eastAsia="Arial" w:hAnsi="Arial"/>
          <w:sz w:val="18"/>
          <w:szCs w:val="18"/>
          <w:color w:val="auto"/>
        </w:rPr>
      </w:pPr>
    </w:p>
    <w:p>
      <w:pPr>
        <w:ind w:left="1440" w:right="780" w:hanging="824"/>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27, 2017 (File No. 001-10716).</w:t>
      </w:r>
    </w:p>
    <w:p>
      <w:pPr>
        <w:spacing w:after="0" w:line="8" w:lineRule="exact"/>
        <w:rPr>
          <w:rFonts w:ascii="Arial" w:cs="Arial" w:eastAsia="Arial" w:hAnsi="Arial"/>
          <w:sz w:val="18"/>
          <w:szCs w:val="18"/>
          <w:color w:val="auto"/>
        </w:rPr>
      </w:pPr>
    </w:p>
    <w:p>
      <w:pPr>
        <w:ind w:left="1440" w:right="540" w:hanging="824"/>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September 20, 2017 (File No. 001-10716).</w:t>
      </w:r>
    </w:p>
    <w:p>
      <w:pPr>
        <w:spacing w:after="0" w:line="8" w:lineRule="exact"/>
        <w:rPr>
          <w:rFonts w:ascii="Arial" w:cs="Arial" w:eastAsia="Arial" w:hAnsi="Arial"/>
          <w:sz w:val="18"/>
          <w:szCs w:val="18"/>
          <w:color w:val="auto"/>
        </w:rPr>
      </w:pPr>
    </w:p>
    <w:p>
      <w:pPr>
        <w:ind w:left="1440" w:right="660" w:hanging="824"/>
        <w:spacing w:after="0" w:line="277" w:lineRule="auto"/>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7, 2018 (File No. 001-10716).</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125" w:right="41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40" w:hanging="824"/>
        <w:spacing w:after="0"/>
        <w:tabs>
          <w:tab w:leader="none" w:pos="1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the Exhibits filed with our Report on Form 8-K filed on December 20, 2019 (File No. 001-10716).</w:t>
      </w:r>
    </w:p>
    <w:p>
      <w:pPr>
        <w:spacing w:after="0" w:line="86" w:lineRule="exact"/>
        <w:rPr>
          <w:rFonts w:ascii="Arial" w:cs="Arial" w:eastAsia="Arial" w:hAnsi="Arial"/>
          <w:sz w:val="16"/>
          <w:szCs w:val="16"/>
          <w:color w:val="auto"/>
        </w:rPr>
      </w:pPr>
    </w:p>
    <w:p>
      <w:pPr>
        <w:ind w:left="1440" w:right="160" w:hanging="824"/>
        <w:spacing w:after="0" w:line="277" w:lineRule="auto"/>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July 30, 2019 (File No. 001-10716).</w:t>
      </w:r>
    </w:p>
    <w:p>
      <w:pPr>
        <w:spacing w:after="0" w:line="1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620"/>
          </w:cols>
          <w:pgMar w:left="240" w:top="125" w:right="10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TRIMAS CORPORATION</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tcPr>
          <w:p>
            <w:pPr>
              <w:ind w:left="2980"/>
              <w:spacing w:after="0"/>
              <w:rPr>
                <w:sz w:val="20"/>
                <w:szCs w:val="20"/>
                <w:color w:val="auto"/>
              </w:rPr>
            </w:pPr>
            <w:r>
              <w:rPr>
                <w:rFonts w:ascii="Arial" w:cs="Arial" w:eastAsia="Arial" w:hAnsi="Arial"/>
                <w:sz w:val="18"/>
                <w:szCs w:val="18"/>
                <w:color w:val="auto"/>
              </w:rPr>
              <w:t>BY:</w:t>
            </w:r>
          </w:p>
        </w:tc>
        <w:tc>
          <w:tcPr>
            <w:tcW w:w="7420" w:type="dxa"/>
            <w:vAlign w:val="bottom"/>
          </w:tcPr>
          <w:p>
            <w:pPr>
              <w:ind w:left="40"/>
              <w:spacing w:after="0"/>
              <w:rPr>
                <w:sz w:val="20"/>
                <w:szCs w:val="20"/>
                <w:color w:val="auto"/>
              </w:rPr>
            </w:pPr>
            <w:r>
              <w:rPr>
                <w:rFonts w:ascii="Arial" w:cs="Arial" w:eastAsia="Arial" w:hAnsi="Arial"/>
                <w:sz w:val="18"/>
                <w:szCs w:val="18"/>
                <w:color w:val="auto"/>
              </w:rPr>
              <w:t>/s/ THOMAS A. AMATO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7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Name: Thomas A. Amato</w:t>
            </w:r>
          </w:p>
        </w:tc>
        <w:tc>
          <w:tcPr>
            <w:tcW w:w="0" w:type="dxa"/>
            <w:vAlign w:val="bottom"/>
          </w:tcPr>
          <w:p>
            <w:pPr>
              <w:spacing w:after="0"/>
              <w:rPr>
                <w:sz w:val="1"/>
                <w:szCs w:val="1"/>
                <w:color w:val="auto"/>
              </w:rPr>
            </w:pPr>
          </w:p>
        </w:tc>
      </w:tr>
      <w:tr>
        <w:trPr>
          <w:trHeight w:val="230"/>
        </w:trPr>
        <w:tc>
          <w:tcPr>
            <w:tcW w:w="3620" w:type="dxa"/>
            <w:vAlign w:val="bottom"/>
          </w:tcPr>
          <w:p>
            <w:pPr>
              <w:ind w:left="1140"/>
              <w:spacing w:after="0"/>
              <w:rPr>
                <w:sz w:val="20"/>
                <w:szCs w:val="20"/>
                <w:color w:val="auto"/>
              </w:rPr>
            </w:pPr>
            <w:r>
              <w:rPr>
                <w:rFonts w:ascii="Arial" w:cs="Arial" w:eastAsia="Arial" w:hAnsi="Arial"/>
                <w:sz w:val="18"/>
                <w:szCs w:val="18"/>
                <w:color w:val="auto"/>
              </w:rPr>
              <w:t>February 27, 2020</w:t>
            </w:r>
          </w:p>
        </w:tc>
        <w:tc>
          <w:tcPr>
            <w:tcW w:w="7420" w:type="dxa"/>
            <w:vAlign w:val="bottom"/>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920" w:type="dxa"/>
            <w:vAlign w:val="bottom"/>
            <w:gridSpan w:val="2"/>
          </w:tcPr>
          <w:p>
            <w:pPr>
              <w:jc w:val="center"/>
              <w:ind w:right="1520"/>
              <w:spacing w:after="0"/>
              <w:rPr>
                <w:sz w:val="20"/>
                <w:szCs w:val="20"/>
                <w:color w:val="auto"/>
              </w:rPr>
            </w:pPr>
            <w:r>
              <w:rPr>
                <w:rFonts w:ascii="Arial" w:cs="Arial" w:eastAsia="Arial" w:hAnsi="Arial"/>
                <w:sz w:val="16"/>
                <w:szCs w:val="16"/>
                <w:b w:val="1"/>
                <w:bCs w:val="1"/>
                <w:color w:val="auto"/>
                <w:w w:val="91"/>
              </w:rPr>
              <w:t>Name</w:t>
            </w:r>
          </w:p>
        </w:tc>
        <w:tc>
          <w:tcPr>
            <w:tcW w:w="2920" w:type="dxa"/>
            <w:vAlign w:val="bottom"/>
          </w:tcPr>
          <w:p>
            <w:pPr>
              <w:spacing w:after="0"/>
              <w:rPr>
                <w:sz w:val="16"/>
                <w:szCs w:val="16"/>
                <w:color w:val="auto"/>
              </w:rPr>
            </w:pPr>
          </w:p>
        </w:tc>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1800" w:type="dxa"/>
            <w:vAlign w:val="bottom"/>
            <w:gridSpan w:val="3"/>
          </w:tcPr>
          <w:p>
            <w:pPr>
              <w:ind w:left="740"/>
              <w:spacing w:after="0"/>
              <w:rPr>
                <w:sz w:val="20"/>
                <w:szCs w:val="20"/>
                <w:color w:val="auto"/>
              </w:rPr>
            </w:pPr>
            <w:r>
              <w:rPr>
                <w:rFonts w:ascii="Arial" w:cs="Arial" w:eastAsia="Arial" w:hAnsi="Arial"/>
                <w:sz w:val="16"/>
                <w:szCs w:val="16"/>
                <w:b w:val="1"/>
                <w:bCs w:val="1"/>
                <w:color w:val="auto"/>
              </w:rPr>
              <w:t>Date</w:t>
            </w:r>
          </w:p>
        </w:tc>
      </w:tr>
      <w:tr>
        <w:trPr>
          <w:trHeight w:val="20"/>
        </w:trPr>
        <w:tc>
          <w:tcPr>
            <w:tcW w:w="1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61"/>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President and Chief Executive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2"/>
              </w:rPr>
              <w:t>Thomas A. Amato</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/s/ 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Robert J. Zalupski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Financial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w w:val="99"/>
              </w:rPr>
              <w:t>Vice President Business Planning, Controller and Chief Accounting Officer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Paul A. Swart</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(Principal Accounting Officer)</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/s/ SAMUEL VALENTI III</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Samuel Valenti III</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HOLLY M. BOEHNE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Holly M. Boehne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TERESA M. FINLEY</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0"/>
              </w:rPr>
              <w:t>Teresa M. Finley</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JEFFREY M. GREENE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Jeffrey M. Greene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EUGENE A. MILLER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5"/>
              </w:rPr>
              <w:t>Eugene A. Miller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3"/>
              </w:rPr>
              <w:t>/s/ HERBERT K. PARKER</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Herbert K. Parker</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6"/>
              </w:rPr>
              <w:t>/s/ NICK L. STANAGE</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Nick L. Stanage</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594"/>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7"/>
              </w:rPr>
              <w:t>/s/ DANIEL P. TREDWELL</w:t>
            </w:r>
          </w:p>
        </w:tc>
        <w:tc>
          <w:tcPr>
            <w:tcW w:w="616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ind w:left="460"/>
              <w:spacing w:after="0"/>
              <w:rPr>
                <w:sz w:val="20"/>
                <w:szCs w:val="20"/>
                <w:color w:val="auto"/>
              </w:rPr>
            </w:pPr>
            <w:r>
              <w:rPr>
                <w:rFonts w:ascii="Arial" w:cs="Arial" w:eastAsia="Arial" w:hAnsi="Arial"/>
                <w:sz w:val="18"/>
                <w:szCs w:val="18"/>
                <w:color w:val="auto"/>
                <w:w w:val="89"/>
              </w:rPr>
              <w:t>February 27, 2020</w:t>
            </w:r>
          </w:p>
        </w:tc>
      </w:tr>
      <w:tr>
        <w:trPr>
          <w:trHeight w:val="27"/>
        </w:trPr>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1"/>
              </w:rPr>
              <w:t>Daniel P. Tredwell</w:t>
            </w: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54"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054"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ITEM 15(a)(2)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FORM 10-K VALUATION AND QUALIFYING ACCOUNTS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2018 AND 2017</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ADDITIONS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9"/>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CHARGED</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CHARGED</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TO</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(CREDITED)</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BALANCE</w:t>
            </w:r>
          </w:p>
        </w:tc>
      </w:tr>
      <w:tr>
        <w:trPr>
          <w:trHeight w:val="203"/>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BEGINNING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COSTS AND</w:t>
            </w:r>
          </w:p>
        </w:tc>
        <w:tc>
          <w:tcPr>
            <w:tcW w:w="2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 OTHER</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rPr>
              <w:t>AT END</w:t>
            </w:r>
          </w:p>
        </w:tc>
      </w:tr>
      <w:tr>
        <w:trPr>
          <w:trHeight w:val="24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OF PERIOD</w:t>
            </w: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EXPENSES</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ACCOUNTS</w:t>
            </w:r>
          </w:p>
        </w:tc>
        <w:tc>
          <w:tcPr>
            <w:tcW w:w="180" w:type="dxa"/>
            <w:vAlign w:val="bottom"/>
          </w:tcPr>
          <w:p>
            <w:pPr>
              <w:spacing w:after="0"/>
              <w:rPr>
                <w:sz w:val="21"/>
                <w:szCs w:val="21"/>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1"/>
                <w:szCs w:val="21"/>
                <w:b w:val="1"/>
                <w:bCs w:val="1"/>
                <w:color w:val="auto"/>
                <w:vertAlign w:val="superscript"/>
              </w:rPr>
              <w:t>(A)</w:t>
            </w:r>
          </w:p>
        </w:tc>
        <w:tc>
          <w:tcPr>
            <w:tcW w:w="180" w:type="dxa"/>
            <w:vAlign w:val="bottom"/>
          </w:tcPr>
          <w:p>
            <w:pPr>
              <w:spacing w:after="0"/>
              <w:rPr>
                <w:sz w:val="21"/>
                <w:szCs w:val="21"/>
                <w:color w:val="auto"/>
              </w:rPr>
            </w:pPr>
          </w:p>
        </w:tc>
        <w:tc>
          <w:tcPr>
            <w:tcW w:w="1180" w:type="dxa"/>
            <w:vAlign w:val="bottom"/>
          </w:tcPr>
          <w:p>
            <w:pPr>
              <w:jc w:val="center"/>
              <w:ind w:right="94"/>
              <w:spacing w:after="0"/>
              <w:rPr>
                <w:sz w:val="20"/>
                <w:szCs w:val="20"/>
                <w:color w:val="auto"/>
              </w:rPr>
            </w:pPr>
            <w:r>
              <w:rPr>
                <w:rFonts w:ascii="Arial" w:cs="Arial" w:eastAsia="Arial" w:hAnsi="Arial"/>
                <w:sz w:val="16"/>
                <w:szCs w:val="16"/>
                <w:b w:val="1"/>
                <w:bCs w:val="1"/>
                <w:color w:val="auto"/>
                <w:w w:val="99"/>
              </w:rPr>
              <w:t>OF PERIOD</w:t>
            </w:r>
          </w:p>
        </w:tc>
      </w:tr>
      <w:tr>
        <w:trPr>
          <w:trHeight w:val="209"/>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deducted</w:t>
            </w: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from accounts receivable in the balance sheet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04"/>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 ended December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2,790,000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810,000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490,000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2,030,000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2,060,000</w:t>
            </w:r>
          </w:p>
        </w:tc>
      </w:tr>
      <w:tr>
        <w:trPr>
          <w:trHeight w:val="251"/>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1,440,000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2,790,000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356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3,040,000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2,630,000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2,170,000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3,370,000</w:t>
            </w: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7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9"/>
          <w:szCs w:val="9"/>
          <w:color w:val="auto"/>
        </w:rPr>
      </w:pPr>
      <w:r>
        <w:rPr>
          <w:rFonts w:ascii="Arial" w:cs="Arial" w:eastAsia="Arial" w:hAnsi="Arial"/>
          <w:sz w:val="14"/>
          <w:szCs w:val="14"/>
          <w:color w:val="auto"/>
        </w:rPr>
        <w:t>Deductions, representing uncollectible accounts written-off, less recoveries of amounts reserved in prior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18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following summary description of the common stock, par value $0.01 per share (“common stock”), of TriMas Corporation, a Delaware corporation (the “Company”), is based on the provisions of the General Corporation Law of the State of Delaware (“DGCL”) and the Company’s certificate of incorporation and bylaws. This description is only a summary and does not purport to be complete; therefore, it is subject to and is qualified in its entirety by reference to the terms of the Company’s certificate of incorporation and bylaws, which are incorporated by reference herein and attached as exhibits to the Company’s most recent Annual Report on Form 10-K filed with the Securities and Exchange Commission, and to applicable provisions of the DGCL.</w:t>
      </w:r>
    </w:p>
    <w:p>
      <w:pPr>
        <w:spacing w:after="0" w:line="11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Company’s certificate of incorporation authorizes it to issue 400,000,000 shares of common stock and 100,000,000 shares of preferred stock, par value $0.01 per share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holders of common stock are entitled to one vote per share on all matters to be voted on by the stockholders. Accordingly, holders of a majority of the shares of common stock entitled to vote in any election of directors may elect all of the directors standing for election. Holders of common stock are entitled to receive ratably such dividends as may be declared by the Company’s Board of Directors (the “Board”) out of funds legally available therefor. In the event of the Company’s liquidation, dissolution or winding up, holders of common stock are entitled to share ratably in all assets remaining after payment of liabilities and the liquidation preferences of any outstanding shares of preferred stock. Holders of common stock have no preemptive, subscription, redemption or conversion rights. There are no redemption or sinking fund provisions applicable to the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certificate of incorporation authorizes the Board of Directors, subject to limitations prescribed by law, to issue up to 100,000,000 shares of preferred stock in one or more series and to fix the rights, preferences, privileges, qualifications and restrictions granted to or imposed upon such preferred stock, including dividend rights, dividend rates, conversion rights, voting rights (which may be greater than one vote per share), rights and terms of redemption, sinking fund provisions for the redemption or purchase of the shares and liquidation preference, any or all of which may be greater than the rights of the common stock. The issuance of preferred stock could:</w:t>
      </w:r>
    </w:p>
    <w:p>
      <w:pPr>
        <w:spacing w:after="0" w:line="323" w:lineRule="exact"/>
        <w:rPr>
          <w:sz w:val="20"/>
          <w:szCs w:val="20"/>
          <w:color w:val="auto"/>
        </w:rPr>
      </w:pPr>
    </w:p>
    <w:p>
      <w:pPr>
        <w:ind w:left="660" w:right="5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 reduce the likelihood that such holders will receive dividend payments and payments upon liquidation;</w:t>
      </w:r>
    </w:p>
    <w:p>
      <w:pPr>
        <w:spacing w:after="0" w:line="30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 the market price of the common stock; or</w:t>
      </w:r>
    </w:p>
    <w:p>
      <w:pPr>
        <w:spacing w:after="0" w:line="36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deter or prevent a change in control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the Company’s Certificate of Incorporation and Bylaws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Delaware Law</w:t>
      </w:r>
    </w:p>
    <w:p>
      <w:pPr>
        <w:spacing w:after="0" w:line="185"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The Company has elected to opt out of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either the person becoming an interested stockholder or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15.0% or more of the corporation’s voting stock.</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18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Certain provisions of the Company’s certificate of incorporation and bylaws may have the effect of making it more difficult for a third party to acquire, or of discouraging a third party from attempting to acquire, control of the Company. Such</w:t>
      </w:r>
    </w:p>
    <w:p>
      <w:pPr>
        <w:sectPr>
          <w:pgSz w:w="11900" w:h="16838" w:orient="portrait"/>
          <w:cols w:equalWidth="0" w:num="1">
            <w:col w:w="11420"/>
          </w:cols>
          <w:pgMar w:left="240" w:top="553" w:right="239" w:bottom="1440" w:gutter="0" w:footer="0" w:header="0"/>
        </w:sectPr>
      </w:pPr>
    </w:p>
    <w:bookmarkStart w:id="97" w:name="page98"/>
    <w:bookmarkEnd w:id="97"/>
    <w:p>
      <w:pPr>
        <w:ind w:right="140"/>
        <w:spacing w:after="0" w:line="264" w:lineRule="auto"/>
        <w:rPr>
          <w:sz w:val="20"/>
          <w:szCs w:val="20"/>
          <w:color w:val="auto"/>
        </w:rPr>
      </w:pPr>
      <w:r>
        <w:rPr>
          <w:rFonts w:ascii="Arial" w:cs="Arial" w:eastAsia="Arial" w:hAnsi="Arial"/>
          <w:sz w:val="18"/>
          <w:szCs w:val="18"/>
          <w:color w:val="auto"/>
        </w:rPr>
        <w:t>provisions could limit the price that certain investors might be willing to pay in the future for shares of common stock and may limit the ability of stockholders to remove current management or directors or approve transactions that stockholders may deem to be in their best interest and, therefore, could adversely affect the price of the common stock.</w:t>
      </w:r>
    </w:p>
    <w:p>
      <w:pPr>
        <w:spacing w:after="0" w:line="14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The Company’s certificate of incorporation provides that the Board will be divided into three classes of directors, with the classes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as nearly equal in number as possible. As a result, approximately one-third of the Board will be elected each year. The classification of directors will have the effect of making it more difficult for stockholders to change the composition of the Board. The Company’s certificate of incorporation and bylaws provide that subject to any rights of holders of preferred stock to elect additional directors under specified circumstances, the number of directors will be fixed from time to time exclusively pursuant to a resolution adopted by the Board, but must consist of not less than three or more than fifteen directors.</w:t>
      </w:r>
    </w:p>
    <w:p>
      <w:pPr>
        <w:spacing w:after="0" w:line="1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Under the DGCL, unless otherwise provided in a corporation’s certificate of incorporation, directors serving on a classified board may be removed by the stockholders only for cause. The Company’s certificate of incorporation does not provide otherwise.</w:t>
      </w:r>
    </w:p>
    <w:p>
      <w:pPr>
        <w:spacing w:after="0" w:line="13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 unless 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certificate of incorporation provides otherwise. The Company’s certificate of incorporation does not expressly provide for cumulative voting. Under cumulative voting, a majority stockholder holding a sufficient percentage of a class of shares may be able to ensure the election of one or more directors.</w:t>
      </w:r>
    </w:p>
    <w:p>
      <w:pPr>
        <w:spacing w:after="0" w:line="14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The Company’s bylaws provide that stockholders seeking to</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 candidates for election as directors or to bring business before an annual meeting of stockholders must provide timely notice of their proposal in writing to the corporate secretary. Generally, to be timely, a stockholder’s notice must be received at our principal executive offices not less than 90 nor more than 120 days prior to the first anniversary of the previous year’s annual meeting. The Company’s bylaws also specify requirements as to the form and content of a stockholder’s notice. These provisions may impede stockholders’ ability to bring matters before an annual meeting of stockholders or make nominations for directors at an annual meeting of stockholders.</w:t>
      </w:r>
    </w:p>
    <w:p>
      <w:pPr>
        <w:spacing w:after="0" w:line="153"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i w:val="1"/>
          <w:iCs w:val="1"/>
          <w:color w:val="auto"/>
        </w:rPr>
        <w:t>No Action by Written Consent; Special Meeting</w:t>
      </w:r>
      <w:r>
        <w:rPr>
          <w:rFonts w:ascii="Arial" w:cs="Arial" w:eastAsia="Arial" w:hAnsi="Arial"/>
          <w:sz w:val="17"/>
          <w:szCs w:val="17"/>
          <w:color w:val="auto"/>
        </w:rPr>
        <w:t>. The Company’s certificate of incorporation provides that any action required or permitted to be taken</w:t>
      </w:r>
      <w:r>
        <w:rPr>
          <w:rFonts w:ascii="Arial" w:cs="Arial" w:eastAsia="Arial" w:hAnsi="Arial"/>
          <w:sz w:val="17"/>
          <w:szCs w:val="17"/>
          <w:i w:val="1"/>
          <w:iCs w:val="1"/>
          <w:color w:val="auto"/>
        </w:rPr>
        <w:t xml:space="preserve"> </w:t>
      </w:r>
      <w:r>
        <w:rPr>
          <w:rFonts w:ascii="Arial" w:cs="Arial" w:eastAsia="Arial" w:hAnsi="Arial"/>
          <w:sz w:val="17"/>
          <w:szCs w:val="17"/>
          <w:color w:val="auto"/>
        </w:rPr>
        <w:t>by the stockholders must be effected at a duly called annual or special meeting of stockholders and may not be effected by any consent in writing. In addition, The Company’s bylaws provide that special meetings of stockholders may be called only by the Board or the chairman of the Board.</w:t>
      </w:r>
    </w:p>
    <w:p>
      <w:pPr>
        <w:spacing w:after="0" w:line="1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Authorized but Undesignated Stock</w:t>
      </w:r>
      <w:r>
        <w:rPr>
          <w:rFonts w:ascii="Arial" w:cs="Arial" w:eastAsia="Arial" w:hAnsi="Arial"/>
          <w:sz w:val="18"/>
          <w:szCs w:val="18"/>
          <w:color w:val="auto"/>
        </w:rPr>
        <w:t>. The authorization of undesignated preferred stock makes it possible for the Board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the Company or otherwise render more difficult or discourage an attempt to obtain control of the Company by means of a merger, tender offer, proxy contest or otherwise, and thereby protect the continuity of the Company’s management and possibly deprive the stockholders of opportunities to sell their shares of common stock at prices higher than prevailing market prices.</w:t>
      </w:r>
    </w:p>
    <w:p>
      <w:pPr>
        <w:spacing w:after="0" w:line="14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i w:val="1"/>
          <w:iCs w:val="1"/>
          <w:color w:val="auto"/>
        </w:rPr>
        <w:t>Exclusive Forum Provision</w:t>
      </w:r>
      <w:r>
        <w:rPr>
          <w:rFonts w:ascii="Arial" w:cs="Arial" w:eastAsia="Arial" w:hAnsi="Arial"/>
          <w:sz w:val="16"/>
          <w:szCs w:val="16"/>
          <w:color w:val="auto"/>
        </w:rPr>
        <w:t>. The Company’s bylaws provide that unless the Company consents in writing to the selection of an alternative forum, the</w:t>
      </w:r>
      <w:r>
        <w:rPr>
          <w:rFonts w:ascii="Arial" w:cs="Arial" w:eastAsia="Arial" w:hAnsi="Arial"/>
          <w:sz w:val="16"/>
          <w:szCs w:val="16"/>
          <w:i w:val="1"/>
          <w:iCs w:val="1"/>
          <w:color w:val="auto"/>
        </w:rPr>
        <w:t xml:space="preserve"> </w:t>
      </w:r>
      <w:r>
        <w:rPr>
          <w:rFonts w:ascii="Arial" w:cs="Arial" w:eastAsia="Arial" w:hAnsi="Arial"/>
          <w:sz w:val="16"/>
          <w:szCs w:val="16"/>
          <w:color w:val="auto"/>
        </w:rPr>
        <w:t>sole and exclusive forum for any derivative action or proceeding brought on behalf of the Company, any action asserting a claim of breach of a fiduciary duty owed by any director, officer or other employee of the Company to the Company or the Company’s stockholders, any action asserting a claim against the Company or any director or officer or other employee of the Company arising pursuant to any provision of the DGCL or the Company’s certificate of incorporation or bylaws, or any action asserting a claim against the Company or any director or officer or other employee of the Company governed by the internal affairs doctrine shall be the Court of Chancery of the State of Delaware (or, if the Court of Chancery of the State of Delaware does not have jurisdiction, the Superior Court of the State of Delaware, or, if the Superior Court of the State of Delaware does not have jurisdiction, the United States District Court for the District of Delaware), in all cases subject to such court having personal jurisdiction over the indispensable parties named as defendants.</w:t>
      </w:r>
    </w:p>
    <w:p>
      <w:pPr>
        <w:sectPr>
          <w:pgSz w:w="11900" w:h="16838" w:orient="portrait"/>
          <w:cols w:equalWidth="0" w:num="1">
            <w:col w:w="11400"/>
          </w:cols>
          <w:pgMar w:left="240" w:top="557"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b w:val="1"/>
          <w:bCs w:val="1"/>
          <w:color w:val="auto"/>
        </w:rPr>
        <w:t>Exhibit 10.37</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1/1/2020 - 12/31/2022 Special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PERFORMANCE STOCK UNITS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Special Performance Stock Units Agreement (“Agreement”), subject to the terms and conditions of the Plan and this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one or more Appendices to this Agreement, the terms used in this Agreement have the same meanings as defined in the Plan.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1"/>
          <w:szCs w:val="21"/>
          <w:b w:val="1"/>
          <w:bCs w:val="1"/>
          <w:u w:val="single" w:color="auto"/>
          <w:color w:val="auto"/>
        </w:rPr>
        <w:t>NOTICE OF PSU award</w:t>
      </w:r>
    </w:p>
    <w:p>
      <w:pPr>
        <w:spacing w:after="0" w:line="391"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6340" w:type="dxa"/>
            <w:vAlign w:val="bottom"/>
          </w:tcPr>
          <w:p>
            <w:pPr>
              <w:ind w:left="1140"/>
              <w:spacing w:after="0"/>
              <w:rPr>
                <w:sz w:val="20"/>
                <w:szCs w:val="20"/>
                <w:color w:val="auto"/>
              </w:rPr>
            </w:pPr>
            <w:r>
              <w:rPr>
                <w:rFonts w:ascii="Arial" w:cs="Arial" w:eastAsia="Arial" w:hAnsi="Arial"/>
                <w:sz w:val="18"/>
                <w:szCs w:val="18"/>
                <w:color w:val="auto"/>
              </w:rPr>
              <w:t>[specify Grantee’s name]</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b w:val="1"/>
                <w:bCs w:val="1"/>
                <w:color w:val="auto"/>
              </w:rPr>
              <w:t>Date of Agreement:</w:t>
            </w:r>
          </w:p>
        </w:tc>
        <w:tc>
          <w:tcPr>
            <w:tcW w:w="6340" w:type="dxa"/>
            <w:vAlign w:val="bottom"/>
          </w:tcPr>
          <w:p>
            <w:pPr>
              <w:ind w:left="1140"/>
              <w:spacing w:after="0"/>
              <w:rPr>
                <w:sz w:val="20"/>
                <w:szCs w:val="20"/>
                <w:color w:val="auto"/>
              </w:rPr>
            </w:pPr>
            <w:r>
              <w:rPr>
                <w:rFonts w:ascii="Arial" w:cs="Arial" w:eastAsia="Arial" w:hAnsi="Arial"/>
                <w:sz w:val="18"/>
                <w:szCs w:val="18"/>
                <w:color w:val="auto"/>
              </w:rPr>
              <w:t>As of [enter date]</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340" w:type="dxa"/>
            <w:vAlign w:val="bottom"/>
          </w:tcPr>
          <w:p>
            <w:pPr>
              <w:ind w:left="1140"/>
              <w:spacing w:after="0"/>
              <w:rPr>
                <w:sz w:val="20"/>
                <w:szCs w:val="20"/>
                <w:color w:val="auto"/>
              </w:rPr>
            </w:pPr>
            <w:r>
              <w:rPr>
                <w:rFonts w:ascii="Arial" w:cs="Arial" w:eastAsia="Arial" w:hAnsi="Arial"/>
                <w:sz w:val="18"/>
                <w:szCs w:val="18"/>
                <w:color w:val="auto"/>
              </w:rPr>
              <w:t>March 1, 2020</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6340" w:type="dxa"/>
            <w:vAlign w:val="bottom"/>
          </w:tcPr>
          <w:p>
            <w:pPr>
              <w:ind w:left="1140"/>
              <w:spacing w:after="0"/>
              <w:rPr>
                <w:sz w:val="20"/>
                <w:szCs w:val="20"/>
                <w:color w:val="auto"/>
              </w:rPr>
            </w:pPr>
            <w:r>
              <w:rPr>
                <w:rFonts w:ascii="Arial" w:cs="Arial" w:eastAsia="Arial" w:hAnsi="Arial"/>
                <w:sz w:val="18"/>
                <w:szCs w:val="18"/>
                <w:color w:val="auto"/>
                <w:w w:val="94"/>
              </w:rPr>
              <w:t>[number of PSUs] (“Target”), subject to addition or subtraction as set</w:t>
            </w:r>
          </w:p>
        </w:tc>
        <w:tc>
          <w:tcPr>
            <w:tcW w:w="0" w:type="dxa"/>
            <w:vAlign w:val="bottom"/>
          </w:tcPr>
          <w:p>
            <w:pPr>
              <w:spacing w:after="0"/>
              <w:rPr>
                <w:sz w:val="1"/>
                <w:szCs w:val="1"/>
                <w:color w:val="auto"/>
              </w:rPr>
            </w:pPr>
          </w:p>
        </w:tc>
      </w:tr>
      <w:tr>
        <w:trPr>
          <w:trHeight w:val="21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Number of PSUs in Award:</w:t>
            </w:r>
          </w:p>
        </w:tc>
        <w:tc>
          <w:tcPr>
            <w:tcW w:w="6340" w:type="dxa"/>
            <w:vAlign w:val="bottom"/>
          </w:tcPr>
          <w:p>
            <w:pPr>
              <w:ind w:left="1140"/>
              <w:spacing w:after="0"/>
              <w:rPr>
                <w:sz w:val="20"/>
                <w:szCs w:val="20"/>
                <w:color w:val="auto"/>
              </w:rPr>
            </w:pPr>
            <w:r>
              <w:rPr>
                <w:rFonts w:ascii="Arial" w:cs="Arial" w:eastAsia="Arial" w:hAnsi="Arial"/>
                <w:sz w:val="18"/>
                <w:szCs w:val="18"/>
                <w:color w:val="auto"/>
              </w:rPr>
              <w:t>forth on Appendix A depending on achievement of applicable</w:t>
            </w:r>
          </w:p>
        </w:tc>
        <w:tc>
          <w:tcPr>
            <w:tcW w:w="0" w:type="dxa"/>
            <w:vAlign w:val="bottom"/>
          </w:tcPr>
          <w:p>
            <w:pPr>
              <w:spacing w:after="0"/>
              <w:rPr>
                <w:sz w:val="1"/>
                <w:szCs w:val="1"/>
                <w:color w:val="auto"/>
              </w:rPr>
            </w:pPr>
          </w:p>
        </w:tc>
      </w:tr>
      <w:tr>
        <w:trPr>
          <w:trHeight w:val="230"/>
        </w:trPr>
        <w:tc>
          <w:tcPr>
            <w:tcW w:w="3240" w:type="dxa"/>
            <w:vAlign w:val="bottom"/>
            <w:vMerge w:val="continue"/>
          </w:tcPr>
          <w:p>
            <w:pPr>
              <w:spacing w:after="0"/>
              <w:rPr>
                <w:sz w:val="20"/>
                <w:szCs w:val="20"/>
                <w:color w:val="auto"/>
              </w:rPr>
            </w:pPr>
          </w:p>
        </w:tc>
        <w:tc>
          <w:tcPr>
            <w:tcW w:w="6340" w:type="dxa"/>
            <w:vAlign w:val="bottom"/>
          </w:tcPr>
          <w:p>
            <w:pPr>
              <w:ind w:left="1140"/>
              <w:spacing w:after="0"/>
              <w:rPr>
                <w:sz w:val="20"/>
                <w:szCs w:val="20"/>
                <w:color w:val="auto"/>
              </w:rPr>
            </w:pPr>
            <w:r>
              <w:rPr>
                <w:rFonts w:ascii="Arial" w:cs="Arial" w:eastAsia="Arial" w:hAnsi="Arial"/>
                <w:sz w:val="18"/>
                <w:szCs w:val="18"/>
                <w:color w:val="auto"/>
              </w:rPr>
              <w:t>Management Objectives</w:t>
            </w:r>
          </w:p>
        </w:tc>
        <w:tc>
          <w:tcPr>
            <w:tcW w:w="0" w:type="dxa"/>
            <w:vAlign w:val="bottom"/>
          </w:tcPr>
          <w:p>
            <w:pPr>
              <w:spacing w:after="0"/>
              <w:rPr>
                <w:sz w:val="1"/>
                <w:szCs w:val="1"/>
                <w:color w:val="auto"/>
              </w:rPr>
            </w:pPr>
          </w:p>
        </w:tc>
      </w:tr>
      <w:tr>
        <w:trPr>
          <w:trHeight w:val="25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Performance Period:</w:t>
            </w:r>
          </w:p>
        </w:tc>
        <w:tc>
          <w:tcPr>
            <w:tcW w:w="6340" w:type="dxa"/>
            <w:vAlign w:val="bottom"/>
          </w:tcPr>
          <w:p>
            <w:pPr>
              <w:ind w:left="1140"/>
              <w:spacing w:after="0"/>
              <w:rPr>
                <w:sz w:val="20"/>
                <w:szCs w:val="20"/>
                <w:color w:val="auto"/>
              </w:rPr>
            </w:pPr>
            <w:r>
              <w:rPr>
                <w:rFonts w:ascii="Arial" w:cs="Arial" w:eastAsia="Arial" w:hAnsi="Arial"/>
                <w:sz w:val="18"/>
                <w:szCs w:val="18"/>
                <w:b w:val="1"/>
                <w:bCs w:val="1"/>
                <w:i w:val="1"/>
                <w:iCs w:val="1"/>
                <w:color w:val="auto"/>
                <w:w w:val="88"/>
              </w:rPr>
              <w:t>Beginning on January 1, 2020, and continuing through December 31,</w:t>
            </w:r>
          </w:p>
        </w:tc>
        <w:tc>
          <w:tcPr>
            <w:tcW w:w="0" w:type="dxa"/>
            <w:vAlign w:val="bottom"/>
          </w:tcPr>
          <w:p>
            <w:pPr>
              <w:spacing w:after="0"/>
              <w:rPr>
                <w:sz w:val="1"/>
                <w:szCs w:val="1"/>
                <w:color w:val="auto"/>
              </w:rPr>
            </w:pPr>
          </w:p>
        </w:tc>
      </w:tr>
      <w:tr>
        <w:trPr>
          <w:trHeight w:val="230"/>
        </w:trPr>
        <w:tc>
          <w:tcPr>
            <w:tcW w:w="3240" w:type="dxa"/>
            <w:vAlign w:val="bottom"/>
            <w:vMerge w:val="continue"/>
          </w:tcPr>
          <w:p>
            <w:pPr>
              <w:spacing w:after="0"/>
              <w:rPr>
                <w:sz w:val="20"/>
                <w:szCs w:val="20"/>
                <w:color w:val="auto"/>
              </w:rPr>
            </w:pPr>
          </w:p>
        </w:tc>
        <w:tc>
          <w:tcPr>
            <w:tcW w:w="6340" w:type="dxa"/>
            <w:vAlign w:val="bottom"/>
          </w:tcPr>
          <w:p>
            <w:pPr>
              <w:ind w:left="1140"/>
              <w:spacing w:after="0"/>
              <w:rPr>
                <w:sz w:val="20"/>
                <w:szCs w:val="20"/>
                <w:color w:val="auto"/>
              </w:rPr>
            </w:pPr>
            <w:r>
              <w:rPr>
                <w:rFonts w:ascii="Arial" w:cs="Arial" w:eastAsia="Arial" w:hAnsi="Arial"/>
                <w:sz w:val="18"/>
                <w:szCs w:val="18"/>
                <w:b w:val="1"/>
                <w:bCs w:val="1"/>
                <w:i w:val="1"/>
                <w:iCs w:val="1"/>
                <w:color w:val="auto"/>
              </w:rPr>
              <w:t>2022</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6340" w:type="dxa"/>
            <w:vAlign w:val="bottom"/>
          </w:tcPr>
          <w:p>
            <w:pPr>
              <w:ind w:left="1140"/>
              <w:spacing w:after="0"/>
              <w:rPr>
                <w:sz w:val="20"/>
                <w:szCs w:val="20"/>
                <w:color w:val="auto"/>
              </w:rPr>
            </w:pPr>
            <w:r>
              <w:rPr>
                <w:rFonts w:ascii="Arial" w:cs="Arial" w:eastAsia="Arial" w:hAnsi="Arial"/>
                <w:sz w:val="18"/>
                <w:szCs w:val="18"/>
                <w:b w:val="1"/>
                <w:bCs w:val="1"/>
                <w:color w:val="auto"/>
              </w:rPr>
              <w:t>March 1, 2023</w:t>
            </w:r>
          </w:p>
        </w:tc>
        <w:tc>
          <w:tcPr>
            <w:tcW w:w="0" w:type="dxa"/>
            <w:vAlign w:val="bottom"/>
          </w:tcPr>
          <w:p>
            <w:pPr>
              <w:spacing w:after="0"/>
              <w:rPr>
                <w:sz w:val="1"/>
                <w:szCs w:val="1"/>
                <w:color w:val="auto"/>
              </w:rPr>
            </w:pPr>
          </w:p>
        </w:tc>
      </w:tr>
      <w:tr>
        <w:trPr>
          <w:trHeight w:val="256"/>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Settlement Method:</w:t>
            </w:r>
          </w:p>
        </w:tc>
        <w:tc>
          <w:tcPr>
            <w:tcW w:w="6340" w:type="dxa"/>
            <w:vAlign w:val="bottom"/>
          </w:tcPr>
          <w:p>
            <w:pPr>
              <w:ind w:left="1140"/>
              <w:spacing w:after="0"/>
              <w:rPr>
                <w:sz w:val="20"/>
                <w:szCs w:val="20"/>
                <w:color w:val="auto"/>
              </w:rPr>
            </w:pPr>
            <w:r>
              <w:rPr>
                <w:rFonts w:ascii="Arial" w:cs="Arial" w:eastAsia="Arial" w:hAnsi="Arial"/>
                <w:sz w:val="18"/>
                <w:szCs w:val="18"/>
                <w:color w:val="auto"/>
                <w:w w:val="96"/>
              </w:rPr>
              <w:t>Earned and vested PSUs will generally be settled by delivery of one</w:t>
            </w:r>
          </w:p>
        </w:tc>
        <w:tc>
          <w:tcPr>
            <w:tcW w:w="0" w:type="dxa"/>
            <w:vAlign w:val="bottom"/>
          </w:tcPr>
          <w:p>
            <w:pPr>
              <w:spacing w:after="0"/>
              <w:rPr>
                <w:sz w:val="1"/>
                <w:szCs w:val="1"/>
                <w:color w:val="auto"/>
              </w:rPr>
            </w:pPr>
          </w:p>
        </w:tc>
      </w:tr>
      <w:tr>
        <w:trPr>
          <w:trHeight w:val="230"/>
        </w:trPr>
        <w:tc>
          <w:tcPr>
            <w:tcW w:w="3240" w:type="dxa"/>
            <w:vAlign w:val="bottom"/>
            <w:vMerge w:val="continue"/>
          </w:tcPr>
          <w:p>
            <w:pPr>
              <w:spacing w:after="0"/>
              <w:rPr>
                <w:sz w:val="20"/>
                <w:szCs w:val="20"/>
                <w:color w:val="auto"/>
              </w:rPr>
            </w:pPr>
          </w:p>
        </w:tc>
        <w:tc>
          <w:tcPr>
            <w:tcW w:w="6340" w:type="dxa"/>
            <w:vAlign w:val="bottom"/>
          </w:tcPr>
          <w:p>
            <w:pPr>
              <w:ind w:left="1140"/>
              <w:spacing w:after="0"/>
              <w:rPr>
                <w:sz w:val="20"/>
                <w:szCs w:val="20"/>
                <w:color w:val="auto"/>
              </w:rPr>
            </w:pPr>
            <w:r>
              <w:rPr>
                <w:rFonts w:ascii="Arial" w:cs="Arial" w:eastAsia="Arial" w:hAnsi="Arial"/>
                <w:sz w:val="18"/>
                <w:szCs w:val="18"/>
                <w:color w:val="auto"/>
              </w:rPr>
              <w:t>share of Common Stock for each PSU being settled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33" w:lineRule="exact"/>
        <w:rPr>
          <w:rFonts w:ascii="Arial" w:cs="Arial" w:eastAsia="Arial" w:hAnsi="Arial"/>
          <w:sz w:val="22"/>
          <w:szCs w:val="22"/>
          <w:color w:val="auto"/>
        </w:rPr>
      </w:pPr>
    </w:p>
    <w:p>
      <w:pPr>
        <w:jc w:val="both"/>
        <w:ind w:firstLine="648"/>
        <w:spacing w:after="0" w:line="302"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PSUs.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 Participant in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to earn the number of PSUs described above, subject to the terms of this Agreement (this “Award”). Except as otherwise provided in Section II.A.6(e)(1), the PSUs evidenced by this Agreement 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137" w:lineRule="exact"/>
        <w:rPr>
          <w:rFonts w:ascii="Arial" w:cs="Arial" w:eastAsia="Arial" w:hAnsi="Arial"/>
          <w:sz w:val="22"/>
          <w:szCs w:val="22"/>
          <w:color w:val="auto"/>
        </w:rPr>
      </w:pPr>
    </w:p>
    <w:p>
      <w:pPr>
        <w:jc w:val="both"/>
        <w:ind w:firstLine="1305"/>
        <w:spacing w:after="0" w:line="253" w:lineRule="auto"/>
        <w:tabs>
          <w:tab w:leader="none" w:pos="1828" w:val="left"/>
        </w:tabs>
        <w:numPr>
          <w:ilvl w:val="2"/>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ectPr>
          <w:pgSz w:w="11900" w:h="16838" w:orient="portrait"/>
          <w:cols w:equalWidth="0" w:num="1">
            <w:col w:w="11420"/>
          </w:cols>
          <w:pgMar w:left="240" w:top="558" w:right="239" w:bottom="1440" w:gutter="0" w:footer="0" w:header="0"/>
        </w:sectPr>
      </w:pPr>
    </w:p>
    <w:bookmarkStart w:id="99" w:name="page100"/>
    <w:bookmarkEnd w:id="99"/>
    <w:p>
      <w:pPr>
        <w:jc w:val="both"/>
        <w:ind w:firstLine="1305"/>
        <w:spacing w:after="0" w:line="262" w:lineRule="auto"/>
        <w:tabs>
          <w:tab w:leader="none" w:pos="1693"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color w:val="auto"/>
        </w:rPr>
        <w:t>. Grantee will only receive shares of Common Stock related to, and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that such shares are earned pursuant to, the Management Objectives and goals specified in Appendix A to this Agreement (“Performance Goals”).</w:t>
      </w:r>
    </w:p>
    <w:p>
      <w:pPr>
        <w:spacing w:after="0" w:line="170" w:lineRule="exact"/>
        <w:rPr>
          <w:rFonts w:ascii="Arial" w:cs="Arial" w:eastAsia="Arial" w:hAnsi="Arial"/>
          <w:sz w:val="22"/>
          <w:szCs w:val="22"/>
          <w:b w:val="1"/>
          <w:bCs w:val="1"/>
          <w:color w:val="auto"/>
        </w:rPr>
      </w:pPr>
    </w:p>
    <w:p>
      <w:pPr>
        <w:jc w:val="both"/>
        <w:ind w:firstLine="1305"/>
        <w:spacing w:after="0" w:line="261" w:lineRule="auto"/>
        <w:tabs>
          <w:tab w:leader="none" w:pos="170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PSU equal to the amount of each cash</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5" w:lineRule="exact"/>
        <w:rPr>
          <w:rFonts w:ascii="Arial" w:cs="Arial" w:eastAsia="Arial" w:hAnsi="Arial"/>
          <w:sz w:val="21"/>
          <w:szCs w:val="21"/>
          <w:b w:val="1"/>
          <w:bCs w:val="1"/>
          <w:color w:val="auto"/>
        </w:rPr>
      </w:pPr>
    </w:p>
    <w:p>
      <w:pPr>
        <w:jc w:val="both"/>
        <w:ind w:firstLine="1305"/>
        <w:spacing w:after="0" w:line="263" w:lineRule="auto"/>
        <w:tabs>
          <w:tab w:leader="none" w:pos="1666"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r>
        <w:rPr>
          <w:rFonts w:ascii="Arial" w:cs="Arial" w:eastAsia="Arial" w:hAnsi="Arial"/>
          <w:sz w:val="21"/>
          <w:szCs w:val="21"/>
          <w:color w:val="auto"/>
        </w:rPr>
        <w:t>. This Award does not entitle Grantee to any ownership interest in any actual shares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Common Stock unless and until such shares of Common Stock are issued to Grantee pursuant to the terms of the Plan. Except as otherwise provided in Section II.A.3 hereof, unless and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73" w:lineRule="exact"/>
        <w:rPr>
          <w:rFonts w:ascii="Arial" w:cs="Arial" w:eastAsia="Arial" w:hAnsi="Arial"/>
          <w:sz w:val="21"/>
          <w:szCs w:val="21"/>
          <w:b w:val="1"/>
          <w:bCs w:val="1"/>
          <w:color w:val="auto"/>
        </w:rPr>
      </w:pPr>
    </w:p>
    <w:p>
      <w:pPr>
        <w:ind w:left="1680" w:hanging="375"/>
        <w:spacing w:after="0"/>
        <w:tabs>
          <w:tab w:leader="none" w:pos="168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covered by this Award will be subject to adjustment as provided in Section 11 of the</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Plan.</w:t>
      </w:r>
    </w:p>
    <w:p>
      <w:pPr>
        <w:spacing w:after="0" w:line="209" w:lineRule="exact"/>
        <w:rPr>
          <w:rFonts w:ascii="Arial" w:cs="Arial" w:eastAsia="Arial" w:hAnsi="Arial"/>
          <w:sz w:val="19"/>
          <w:szCs w:val="19"/>
          <w:b w:val="1"/>
          <w:bCs w:val="1"/>
          <w:color w:val="auto"/>
        </w:rPr>
      </w:pPr>
    </w:p>
    <w:p>
      <w:pPr>
        <w:ind w:left="1640" w:hanging="335"/>
        <w:spacing w:after="0"/>
        <w:tabs>
          <w:tab w:leader="none" w:pos="164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660" w:firstLine="1293"/>
        <w:spacing w:after="0" w:line="302" w:lineRule="auto"/>
        <w:tabs>
          <w:tab w:leader="none" w:pos="2619" w:val="left"/>
        </w:tabs>
        <w:numPr>
          <w:ilvl w:val="1"/>
          <w:numId w:val="44"/>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by Company; Breach of Other Obligations</w:t>
      </w:r>
      <w:r>
        <w:rPr>
          <w:rFonts w:ascii="Arial" w:cs="Arial" w:eastAsia="Arial" w:hAnsi="Arial"/>
          <w:sz w:val="19"/>
          <w:szCs w:val="19"/>
          <w:color w:val="auto"/>
        </w:rPr>
        <w:t>. Any PSUs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this Award will be canceled and forfeited if, prior to the Settlement Date, Grantee voluntarily terminates as a Service Provider (other than for Good Reason as provided below), if Grantee’s status as a Service Provider is terminated by the Company or a Subsidiary for any reason (other than death, Disability, or Retirement if such Retirement occurs more than 18 months after the Date of Grant), or if Grantee violates the provisions of Section II.B.4 below.</w:t>
      </w:r>
    </w:p>
    <w:p>
      <w:pPr>
        <w:spacing w:after="0" w:line="137" w:lineRule="exact"/>
        <w:rPr>
          <w:rFonts w:ascii="Arial" w:cs="Arial" w:eastAsia="Arial" w:hAnsi="Arial"/>
          <w:sz w:val="19"/>
          <w:szCs w:val="19"/>
          <w:color w:val="auto"/>
        </w:rPr>
      </w:pPr>
    </w:p>
    <w:p>
      <w:pPr>
        <w:jc w:val="both"/>
        <w:ind w:left="660" w:firstLine="1293"/>
        <w:spacing w:after="0" w:line="292" w:lineRule="auto"/>
        <w:tabs>
          <w:tab w:leader="none" w:pos="2443" w:val="left"/>
        </w:tabs>
        <w:numPr>
          <w:ilvl w:val="1"/>
          <w:numId w:val="44"/>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in Control</w:t>
      </w:r>
      <w:r>
        <w:rPr>
          <w:rFonts w:ascii="Arial" w:cs="Arial" w:eastAsia="Arial" w:hAnsi="Arial"/>
          <w:sz w:val="19"/>
          <w:szCs w:val="19"/>
          <w:color w:val="auto"/>
        </w:rPr>
        <w:t>. Notwithstanding the foregoing,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subsection (e)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46" w:lineRule="exact"/>
        <w:rPr>
          <w:rFonts w:ascii="Arial" w:cs="Arial" w:eastAsia="Arial" w:hAnsi="Arial"/>
          <w:sz w:val="19"/>
          <w:szCs w:val="19"/>
          <w:color w:val="auto"/>
        </w:rPr>
      </w:pPr>
    </w:p>
    <w:p>
      <w:pPr>
        <w:ind w:left="660" w:firstLine="1293"/>
        <w:spacing w:after="0" w:line="282" w:lineRule="auto"/>
        <w:tabs>
          <w:tab w:leader="none" w:pos="2430"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Death or Disability</w:t>
      </w:r>
      <w:r>
        <w:rPr>
          <w:rFonts w:ascii="Arial" w:cs="Arial" w:eastAsia="Arial" w:hAnsi="Arial"/>
          <w:sz w:val="22"/>
          <w:szCs w:val="22"/>
          <w:color w:val="auto"/>
        </w:rPr>
        <w:t>. Notwithstanding the foregoing, if Grantee dies or becomes Disabled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Grantee shall become vested as of the date of such death 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8" w:right="239" w:bottom="1440" w:gutter="0" w:footer="0" w:header="0"/>
        </w:sectPr>
      </w:pPr>
    </w:p>
    <w:bookmarkStart w:id="100" w:name="page101"/>
    <w:bookmarkEnd w:id="100"/>
    <w:p>
      <w:pPr>
        <w:spacing w:after="0" w:line="287" w:lineRule="auto"/>
        <w:rPr>
          <w:sz w:val="20"/>
          <w:szCs w:val="20"/>
          <w:color w:val="auto"/>
        </w:rPr>
      </w:pPr>
      <w:r>
        <w:rPr>
          <w:rFonts w:ascii="Arial" w:cs="Arial" w:eastAsia="Arial" w:hAnsi="Arial"/>
          <w:sz w:val="21"/>
          <w:szCs w:val="21"/>
          <w:color w:val="auto"/>
        </w:rPr>
        <w:t>Disability in the number of PSUs that would be earned due to the achievement of the performance measures specified in Appendix A if the last day of the Performance Period were the date Grantee died or became Disabled.</w:t>
      </w:r>
    </w:p>
    <w:p>
      <w:pPr>
        <w:spacing w:after="0" w:line="146" w:lineRule="exact"/>
        <w:rPr>
          <w:sz w:val="20"/>
          <w:szCs w:val="20"/>
          <w:color w:val="auto"/>
        </w:rPr>
      </w:pPr>
    </w:p>
    <w:p>
      <w:pPr>
        <w:jc w:val="both"/>
        <w:ind w:firstLine="1293"/>
        <w:spacing w:after="0" w:line="262" w:lineRule="auto"/>
        <w:tabs>
          <w:tab w:leader="none" w:pos="1729"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more than 18</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the Date of Grant, Grantee shall vest in a pro-rata amount of PSUs, with the pro-rata amount determined in accordance with subsection (b) of this Section II.A.6.</w:t>
      </w:r>
    </w:p>
    <w:p>
      <w:pPr>
        <w:spacing w:after="0" w:line="170" w:lineRule="exact"/>
        <w:rPr>
          <w:rFonts w:ascii="Arial" w:cs="Arial" w:eastAsia="Arial" w:hAnsi="Arial"/>
          <w:sz w:val="22"/>
          <w:szCs w:val="22"/>
          <w:color w:val="auto"/>
        </w:rPr>
      </w:pPr>
    </w:p>
    <w:p>
      <w:pPr>
        <w:ind w:right="20" w:firstLine="1293"/>
        <w:spacing w:after="0" w:line="282" w:lineRule="auto"/>
        <w:tabs>
          <w:tab w:leader="none" w:pos="177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Settlement Date, the</w:t>
      </w:r>
      <w:r>
        <w:rPr>
          <w:rFonts w:ascii="Arial" w:cs="Arial" w:eastAsia="Arial" w:hAnsi="Arial"/>
          <w:sz w:val="22"/>
          <w:szCs w:val="22"/>
          <w:b w:val="1"/>
          <w:bCs w:val="1"/>
          <w:color w:val="auto"/>
        </w:rPr>
        <w:t xml:space="preserve"> </w:t>
      </w:r>
      <w:r>
        <w:rPr>
          <w:rFonts w:ascii="Arial" w:cs="Arial" w:eastAsia="Arial" w:hAnsi="Arial"/>
          <w:sz w:val="22"/>
          <w:szCs w:val="22"/>
          <w:color w:val="auto"/>
        </w:rPr>
        <w:t>PSUs will vest in accordance with this Section II.A.6(e).</w:t>
      </w:r>
    </w:p>
    <w:p>
      <w:pPr>
        <w:spacing w:after="0" w:line="154" w:lineRule="exact"/>
        <w:rPr>
          <w:sz w:val="20"/>
          <w:szCs w:val="20"/>
          <w:color w:val="auto"/>
        </w:rPr>
      </w:pPr>
    </w:p>
    <w:p>
      <w:pPr>
        <w:jc w:val="both"/>
        <w:ind w:left="640" w:firstLine="653"/>
        <w:spacing w:after="0" w:line="299" w:lineRule="auto"/>
        <w:tabs>
          <w:tab w:leader="none" w:pos="1774" w:val="left"/>
        </w:tabs>
        <w:numPr>
          <w:ilvl w:val="1"/>
          <w:numId w:val="46"/>
        </w:numPr>
        <w:rPr>
          <w:rFonts w:ascii="Arial" w:cs="Arial" w:eastAsia="Arial" w:hAnsi="Arial"/>
          <w:sz w:val="19"/>
          <w:szCs w:val="19"/>
          <w:color w:val="auto"/>
        </w:rPr>
      </w:pPr>
      <w:r>
        <w:rPr>
          <w:rFonts w:ascii="Arial" w:cs="Arial" w:eastAsia="Arial" w:hAnsi="Arial"/>
          <w:sz w:val="19"/>
          <w:szCs w:val="19"/>
          <w:color w:val="auto"/>
        </w:rPr>
        <w:t>Notwithstanding anything set forth herein to the contrary, if at any time before the Settlement Date or forfeiture of the PSUs, and while Grantee is continuously a Service Provider, a Change in Control occurs, then</w:t>
      </w:r>
    </w:p>
    <w:p>
      <w:pPr>
        <w:jc w:val="both"/>
        <w:ind w:left="640" w:firstLine="5"/>
        <w:spacing w:after="0" w:line="284" w:lineRule="auto"/>
        <w:tabs>
          <w:tab w:leader="none" w:pos="103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Committee, as constituted immediately before such Change in Control, shall determine and certify the number of earned PSUs in accordance with Appendix A to this Agreement as if the last day of the Performance Period were the date of such Change in Control (the “Change in Control Payout Level”) and (B) the PSUs will vest (except to the extent that a Replacement Award is provided to Grantee in accordance with Section II.A.6(e)(2) to continue, replace or assume the PSUs covered by this Agreement (the “Replaced Award”)) as follows: the number of PSUs subject to this Award that shall become vested and non-forfeitable shall equal (x) the number of PSUs earned at the Change in Control Payout Level, less (y) the number of PSUs that had already become vested as of the date of such Change in Control, but in no event may negative discretion be exercised with respect to the number of PSUs vested. If the securities otherwise deliverable to Grantee with respect to PSUs that become vested pursuant to this subsection (e)(1) would not be publicly traded on an established securities market at the time of such delivery, then, notwithstanding anything in Section II.A.7 or otherwise herein to the contrary, such PSUs will be settled in cash in an amount equal to the product (as reasonably determined by the Committee as constituted immediately prior to the Change in Control) of (I) the number of shares of Common Stock covered by the PSUs immediately prior to the Change in Control at the Change in Control Payout Level multiplied by (II) the dollar value of the consideration per share of Common Stock received in the Change in Control by Stockholders generally. Any PSUs that are not earned and do not vest in accordance with the foregoing sentence shall terminate and be forfeited.</w:t>
      </w:r>
    </w:p>
    <w:p>
      <w:pPr>
        <w:spacing w:after="0" w:line="167" w:lineRule="exact"/>
        <w:rPr>
          <w:rFonts w:ascii="Arial" w:cs="Arial" w:eastAsia="Arial" w:hAnsi="Arial"/>
          <w:sz w:val="19"/>
          <w:szCs w:val="19"/>
          <w:color w:val="auto"/>
        </w:rPr>
      </w:pPr>
    </w:p>
    <w:p>
      <w:pPr>
        <w:jc w:val="both"/>
        <w:ind w:left="640" w:firstLine="653"/>
        <w:spacing w:after="0" w:line="258" w:lineRule="auto"/>
        <w:tabs>
          <w:tab w:leader="none" w:pos="1909" w:val="left"/>
        </w:tabs>
        <w:numPr>
          <w:ilvl w:val="1"/>
          <w:numId w:val="47"/>
        </w:numPr>
        <w:rPr>
          <w:rFonts w:ascii="Arial" w:cs="Arial" w:eastAsia="Arial" w:hAnsi="Arial"/>
          <w:sz w:val="21"/>
          <w:szCs w:val="21"/>
          <w:color w:val="auto"/>
        </w:rPr>
      </w:pPr>
      <w:r>
        <w:rPr>
          <w:rFonts w:ascii="Arial" w:cs="Arial" w:eastAsia="Arial" w:hAnsi="Arial"/>
          <w:sz w:val="21"/>
          <w:szCs w:val="21"/>
          <w:color w:val="auto"/>
        </w:rPr>
        <w:t>For purposes of this Agreement, a “Replacement Award” means an award (A) of service-based restricted stock units, (B) that has a value immediately after the Change in Control at least equal to the value, immediately prior to the Change in Control, of the PSUs earned at the Change in Control Payout Level,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900" w:top="564" w:right="239" w:bottom="1440" w:gutter="0" w:footer="0" w:header="0"/>
        </w:sectPr>
      </w:pPr>
    </w:p>
    <w:bookmarkStart w:id="101" w:name="page102"/>
    <w:bookmarkEnd w:id="101"/>
    <w:p>
      <w:pPr>
        <w:jc w:val="both"/>
        <w:ind w:left="1300"/>
        <w:spacing w:after="0" w:line="253" w:lineRule="auto"/>
        <w:rPr>
          <w:sz w:val="20"/>
          <w:szCs w:val="20"/>
          <w:color w:val="auto"/>
        </w:rPr>
      </w:pPr>
      <w:r>
        <w:rPr>
          <w:rFonts w:ascii="Arial" w:cs="Arial" w:eastAsia="Arial" w:hAnsi="Arial"/>
          <w:sz w:val="22"/>
          <w:szCs w:val="22"/>
          <w:color w:val="auto"/>
        </w:rPr>
        <w:t>requirements of the two preceding sentences are satisfied. The determination of whether the conditions of this Section II.A.6(e)(2) are satisfied will be made by the Committee, as constituted immediately before the Change in Control, in its sole discretion.</w:t>
      </w:r>
    </w:p>
    <w:p>
      <w:pPr>
        <w:spacing w:after="0" w:line="186" w:lineRule="exact"/>
        <w:rPr>
          <w:sz w:val="20"/>
          <w:szCs w:val="20"/>
          <w:color w:val="auto"/>
        </w:rPr>
      </w:pPr>
    </w:p>
    <w:p>
      <w:pPr>
        <w:jc w:val="both"/>
        <w:ind w:left="1300" w:firstLine="653"/>
        <w:spacing w:after="0" w:line="251" w:lineRule="auto"/>
        <w:tabs>
          <w:tab w:leader="none" w:pos="2556"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the Replacement Award shall become fully vested. Any portion of the Replacement Award that does not vest in accordance with the foregoing sentence shall terminate and be forfeited.</w:t>
      </w:r>
    </w:p>
    <w:p>
      <w:pPr>
        <w:spacing w:after="0" w:line="19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99" w:lineRule="exact"/>
        <w:rPr>
          <w:sz w:val="20"/>
          <w:szCs w:val="20"/>
          <w:color w:val="auto"/>
        </w:rPr>
      </w:pPr>
    </w:p>
    <w:p>
      <w:pPr>
        <w:ind w:left="1640" w:hanging="335"/>
        <w:spacing w:after="0"/>
        <w:tabs>
          <w:tab w:leader="none" w:pos="164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206" w:lineRule="exact"/>
        <w:rPr>
          <w:sz w:val="20"/>
          <w:szCs w:val="20"/>
          <w:color w:val="auto"/>
        </w:rPr>
      </w:pPr>
    </w:p>
    <w:p>
      <w:pPr>
        <w:jc w:val="both"/>
        <w:ind w:left="660" w:firstLine="645"/>
        <w:spacing w:after="0" w:line="210" w:lineRule="auto"/>
        <w:tabs>
          <w:tab w:leader="none" w:pos="2156" w:val="left"/>
        </w:tabs>
        <w:numPr>
          <w:ilvl w:val="0"/>
          <w:numId w:val="50"/>
        </w:numPr>
        <w:rPr>
          <w:rFonts w:ascii="Arial" w:cs="Arial" w:eastAsia="Arial" w:hAnsi="Arial"/>
          <w:sz w:val="18"/>
          <w:szCs w:val="18"/>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Subject to Section II.A.7(b), upon the Committee’s certification of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and Grantee’s satisfaction of the vesting 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 2023 (the “Settlement Date”).</w:t>
      </w:r>
    </w:p>
    <w:p>
      <w:pPr>
        <w:spacing w:after="0" w:line="5" w:lineRule="exact"/>
        <w:rPr>
          <w:rFonts w:ascii="Arial" w:cs="Arial" w:eastAsia="Arial" w:hAnsi="Arial"/>
          <w:sz w:val="18"/>
          <w:szCs w:val="18"/>
          <w:color w:val="auto"/>
        </w:rPr>
      </w:pPr>
    </w:p>
    <w:p>
      <w:pPr>
        <w:ind w:left="660" w:firstLine="645"/>
        <w:spacing w:after="0" w:line="224" w:lineRule="auto"/>
        <w:tabs>
          <w:tab w:leader="none" w:pos="2166" w:val="left"/>
        </w:tabs>
        <w:numPr>
          <w:ilvl w:val="0"/>
          <w:numId w:val="50"/>
        </w:numPr>
        <w:rPr>
          <w:rFonts w:ascii="Arial" w:cs="Arial" w:eastAsia="Arial" w:hAnsi="Arial"/>
          <w:sz w:val="18"/>
          <w:szCs w:val="18"/>
          <w:color w:val="auto"/>
        </w:rPr>
      </w:pPr>
      <w:r>
        <w:rPr>
          <w:rFonts w:ascii="Arial" w:cs="Arial" w:eastAsia="Arial" w:hAnsi="Arial"/>
          <w:sz w:val="22"/>
          <w:szCs w:val="22"/>
          <w:b w:val="1"/>
          <w:bCs w:val="1"/>
          <w:color w:val="auto"/>
        </w:rPr>
        <w:t xml:space="preserve">Other Payment Events. </w:t>
      </w:r>
      <w:r>
        <w:rPr>
          <w:rFonts w:ascii="Arial" w:cs="Arial" w:eastAsia="Arial" w:hAnsi="Arial"/>
          <w:sz w:val="22"/>
          <w:szCs w:val="22"/>
          <w:color w:val="auto"/>
        </w:rPr>
        <w:t>Notwithstanding Section II.A.7(a), to the extent that the PSUs are vested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dates set forth below, payment with respect to the PSUs will be made as follows:</w:t>
      </w:r>
    </w:p>
    <w:p>
      <w:pPr>
        <w:ind w:left="2340" w:hanging="455"/>
        <w:spacing w:after="0"/>
        <w:tabs>
          <w:tab w:leader="none" w:pos="234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to the extent the PSUs are vested as a result of Section II.A.6 (and have not previously been settled) on</w:t>
      </w:r>
    </w:p>
    <w:p>
      <w:pPr>
        <w:spacing w:after="0" w:line="38" w:lineRule="exact"/>
        <w:rPr>
          <w:sz w:val="20"/>
          <w:szCs w:val="20"/>
          <w:color w:val="auto"/>
        </w:rPr>
      </w:pPr>
    </w:p>
    <w:p>
      <w:pPr>
        <w:jc w:val="both"/>
        <w:ind w:left="1260"/>
        <w:spacing w:after="0" w:line="310" w:lineRule="auto"/>
        <w:rPr>
          <w:sz w:val="20"/>
          <w:szCs w:val="20"/>
          <w:color w:val="auto"/>
        </w:rPr>
      </w:pPr>
      <w:r>
        <w:rPr>
          <w:rFonts w:ascii="Arial" w:cs="Arial" w:eastAsia="Arial" w:hAnsi="Arial"/>
          <w:sz w:val="19"/>
          <w:szCs w:val="19"/>
          <w:color w:val="auto"/>
        </w:rPr>
        <w:t>the date of Grantee’s death or Disability such vested PSUs will be settled by issuing to Grantee one share of Common Stock for each such vested PSU within 30 days of Grantee’s death or Disability, and Grantee’s name shall be entered as the shareholder of record on the books of the Company with respect to such shares; and</w:t>
      </w:r>
    </w:p>
    <w:p>
      <w:pPr>
        <w:spacing w:after="0" w:line="135" w:lineRule="exact"/>
        <w:rPr>
          <w:sz w:val="20"/>
          <w:szCs w:val="20"/>
          <w:color w:val="auto"/>
        </w:rPr>
      </w:pPr>
    </w:p>
    <w:p>
      <w:pPr>
        <w:jc w:val="both"/>
        <w:ind w:left="1260" w:firstLine="625"/>
        <w:spacing w:after="0" w:line="258" w:lineRule="auto"/>
        <w:tabs>
          <w:tab w:leader="none" w:pos="23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Change in Control would not constitute a “change in the ownership,” “change in effective control,” and/or “change in the ownership of a substantial portion of assets” of the Company as those terms are defined under Treasury Regulation Section 1.409A-3(i)(5) (a “409A Change in Control”), and where Section 409A of the Code applies to such distribution, Grantee is entitled to receive the corresponding payment on the earliest of the dates that would have otherwise applied pursuant to Sections II.A.7(a) or II.A.7(b) as though such Change in Control had not occurred. If a Replacement Award is provided and the Change in Control is a 409A Change in Control, notwithstanding anything in this Agreement to the contrary, to the extent necessary to comply with Section 409A of the Code, any outstanding PSUs that at the time of the Change in Control are not subject to a “substantial risk of forfeiture” (within the meaning of Section 409A of the Code) will be paid within 30 days after the Change in Control;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64" w:right="239" w:bottom="1440" w:gutter="0" w:footer="0" w:header="0"/>
        </w:sectPr>
      </w:pPr>
    </w:p>
    <w:bookmarkStart w:id="102" w:name="page103"/>
    <w:bookmarkEnd w:id="102"/>
    <w:p>
      <w:pPr>
        <w:jc w:val="both"/>
        <w:ind w:left="1260" w:firstLine="625"/>
        <w:spacing w:after="0" w:line="262" w:lineRule="auto"/>
        <w:tabs>
          <w:tab w:leader="none" w:pos="2327" w:val="left"/>
        </w:tabs>
        <w:numPr>
          <w:ilvl w:val="2"/>
          <w:numId w:val="52"/>
        </w:numPr>
        <w:rPr>
          <w:rFonts w:ascii="Arial" w:cs="Arial" w:eastAsia="Arial" w:hAnsi="Arial"/>
          <w:sz w:val="21"/>
          <w:szCs w:val="21"/>
          <w:color w:val="auto"/>
        </w:rPr>
      </w:pPr>
      <w:r>
        <w:rPr>
          <w:rFonts w:ascii="Arial" w:cs="Arial" w:eastAsia="Arial" w:hAnsi="Arial"/>
          <w:sz w:val="21"/>
          <w:szCs w:val="21"/>
          <w:color w:val="auto"/>
        </w:rPr>
        <w:t>if Grantee experiences a separation from service (within the meaning of Section 409A of the Code) with the Company and its Subsidiaries within two years after a Change in Control that is a 409A Change in Control, to the extent any PSUs at the time of such separation from service are not subject to a “substantial risk of forfeiture” (within the meaning of Section 409A of the Code) (because of the application of Section II.A.6(d) or II.A.6(e)(3) or otherwise), such PSUs will be settled by issuing to Grantee one share of Common Stock for each vested PSU within 30 days after such separation from service, and Grantee’s name shall be entered as the shareholder of record on the books of the Company with respect to such shares.</w:t>
      </w:r>
    </w:p>
    <w:p>
      <w:pPr>
        <w:spacing w:after="0" w:line="153" w:lineRule="exact"/>
        <w:rPr>
          <w:rFonts w:ascii="Arial" w:cs="Arial" w:eastAsia="Arial" w:hAnsi="Arial"/>
          <w:sz w:val="21"/>
          <w:szCs w:val="21"/>
          <w:color w:val="auto"/>
        </w:rPr>
      </w:pPr>
    </w:p>
    <w:p>
      <w:pPr>
        <w:jc w:val="both"/>
        <w:ind w:left="660" w:firstLine="645"/>
        <w:spacing w:after="0" w:line="223" w:lineRule="auto"/>
        <w:tabs>
          <w:tab w:leader="none" w:pos="2156" w:val="left"/>
        </w:tabs>
        <w:numPr>
          <w:ilvl w:val="1"/>
          <w:numId w:val="53"/>
        </w:numPr>
        <w:rPr>
          <w:rFonts w:ascii="Arial" w:cs="Arial" w:eastAsia="Arial" w:hAnsi="Arial"/>
          <w:sz w:val="18"/>
          <w:szCs w:val="18"/>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b w:val="1"/>
          <w:bCs w:val="1"/>
          <w:color w:val="auto"/>
        </w:rPr>
        <w:t xml:space="preserve">B.  </w:t>
      </w: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09" w:lineRule="exact"/>
        <w:rPr>
          <w:sz w:val="20"/>
          <w:szCs w:val="20"/>
          <w:color w:val="auto"/>
        </w:rPr>
      </w:pPr>
    </w:p>
    <w:p>
      <w:pPr>
        <w:jc w:val="both"/>
        <w:ind w:firstLine="1305"/>
        <w:spacing w:after="0" w:line="323" w:lineRule="auto"/>
        <w:tabs>
          <w:tab w:leader="none" w:pos="1639"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17" w:lineRule="exact"/>
        <w:rPr>
          <w:rFonts w:ascii="Arial" w:cs="Arial" w:eastAsia="Arial" w:hAnsi="Arial"/>
          <w:sz w:val="19"/>
          <w:szCs w:val="19"/>
          <w:b w:val="1"/>
          <w:bCs w:val="1"/>
          <w:color w:val="auto"/>
        </w:rPr>
      </w:pPr>
    </w:p>
    <w:p>
      <w:pPr>
        <w:jc w:val="both"/>
        <w:ind w:firstLine="1305"/>
        <w:spacing w:after="0" w:line="288" w:lineRule="auto"/>
        <w:tabs>
          <w:tab w:leader="none" w:pos="172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the Company is required to withhold federal, state, local or foreign taxes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jc w:val="both"/>
        <w:ind w:firstLine="1305"/>
        <w:spacing w:after="0" w:line="272" w:lineRule="auto"/>
        <w:tabs>
          <w:tab w:leader="none" w:pos="1747"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Company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5"/>
        <w:spacing w:after="0" w:line="262" w:lineRule="auto"/>
        <w:tabs>
          <w:tab w:leader="none" w:pos="185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64" w:right="239" w:bottom="1440" w:gutter="0" w:footer="0" w:header="0"/>
        </w:sectPr>
      </w:pPr>
    </w:p>
    <w:bookmarkStart w:id="103" w:name="page104"/>
    <w:bookmarkEnd w:id="103"/>
    <w:p>
      <w:pPr>
        <w:jc w:val="both"/>
        <w:ind w:left="660" w:firstLine="645"/>
        <w:spacing w:after="0" w:line="268" w:lineRule="auto"/>
        <w:tabs>
          <w:tab w:leader="none" w:pos="1767"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 on</w:t>
      </w:r>
      <w:r>
        <w:rPr>
          <w:rFonts w:ascii="Arial" w:cs="Arial" w:eastAsia="Arial" w:hAnsi="Arial"/>
          <w:sz w:val="21"/>
          <w:szCs w:val="21"/>
          <w:b w:val="1"/>
          <w:bCs w:val="1"/>
          <w:color w:val="auto"/>
        </w:rPr>
        <w:t xml:space="preserve"> </w:t>
      </w:r>
      <w:r>
        <w:rPr>
          <w:rFonts w:ascii="Arial" w:cs="Arial" w:eastAsia="Arial" w:hAnsi="Arial"/>
          <w:sz w:val="21"/>
          <w:szCs w:val="21"/>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64" w:lineRule="exact"/>
        <w:rPr>
          <w:rFonts w:ascii="Arial" w:cs="Arial" w:eastAsia="Arial" w:hAnsi="Arial"/>
          <w:sz w:val="21"/>
          <w:szCs w:val="21"/>
          <w:color w:val="auto"/>
        </w:rPr>
      </w:pPr>
    </w:p>
    <w:p>
      <w:pPr>
        <w:jc w:val="both"/>
        <w:ind w:left="1300" w:firstLine="653"/>
        <w:spacing w:after="0" w:line="249" w:lineRule="auto"/>
        <w:tabs>
          <w:tab w:leader="none" w:pos="2448"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3"/>
        <w:spacing w:after="0" w:line="253" w:lineRule="auto"/>
        <w:tabs>
          <w:tab w:leader="none" w:pos="2448"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9" w:lineRule="exact"/>
        <w:rPr>
          <w:rFonts w:ascii="Arial" w:cs="Arial" w:eastAsia="Arial" w:hAnsi="Arial"/>
          <w:sz w:val="22"/>
          <w:szCs w:val="22"/>
          <w:color w:val="auto"/>
        </w:rPr>
      </w:pPr>
    </w:p>
    <w:p>
      <w:pPr>
        <w:jc w:val="both"/>
        <w:ind w:left="1300" w:firstLine="653"/>
        <w:spacing w:after="0" w:line="256" w:lineRule="auto"/>
        <w:tabs>
          <w:tab w:leader="none" w:pos="2434" w:val="left"/>
        </w:tabs>
        <w:numPr>
          <w:ilvl w:val="1"/>
          <w:numId w:val="56"/>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6" w:lineRule="exact"/>
        <w:rPr>
          <w:rFonts w:ascii="Arial" w:cs="Arial" w:eastAsia="Arial" w:hAnsi="Arial"/>
          <w:sz w:val="22"/>
          <w:szCs w:val="22"/>
          <w:color w:val="auto"/>
        </w:rPr>
      </w:pPr>
    </w:p>
    <w:p>
      <w:pPr>
        <w:ind w:left="1300" w:firstLine="653"/>
        <w:spacing w:after="0" w:line="364" w:lineRule="auto"/>
        <w:tabs>
          <w:tab w:leader="none" w:pos="2380" w:val="left"/>
        </w:tabs>
        <w:numPr>
          <w:ilvl w:val="1"/>
          <w:numId w:val="56"/>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 power,</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left="1640" w:hanging="335"/>
        <w:spacing w:after="0"/>
        <w:tabs>
          <w:tab w:leader="none" w:pos="1640" w:val="left"/>
        </w:tabs>
        <w:numPr>
          <w:ilvl w:val="1"/>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00" w:lineRule="exact"/>
        <w:rPr>
          <w:rFonts w:ascii="Arial" w:cs="Arial" w:eastAsia="Arial" w:hAnsi="Arial"/>
          <w:sz w:val="22"/>
          <w:szCs w:val="22"/>
          <w:b w:val="1"/>
          <w:bCs w:val="1"/>
          <w:color w:val="auto"/>
        </w:rPr>
      </w:pPr>
    </w:p>
    <w:p>
      <w:pPr>
        <w:spacing w:after="0" w:line="222" w:lineRule="exact"/>
        <w:rPr>
          <w:rFonts w:ascii="Arial" w:cs="Arial" w:eastAsia="Arial" w:hAnsi="Arial"/>
          <w:sz w:val="22"/>
          <w:szCs w:val="22"/>
          <w:b w:val="1"/>
          <w:bCs w:val="1"/>
          <w:color w:val="auto"/>
        </w:rPr>
      </w:pPr>
    </w:p>
    <w:p>
      <w:pPr>
        <w:jc w:val="both"/>
        <w:ind w:left="620" w:firstLine="631"/>
        <w:spacing w:after="0" w:line="219" w:lineRule="auto"/>
        <w:tabs>
          <w:tab w:leader="none" w:pos="2116" w:val="left"/>
        </w:tabs>
        <w:numPr>
          <w:ilvl w:val="0"/>
          <w:numId w:val="58"/>
        </w:numPr>
        <w:rPr>
          <w:rFonts w:ascii="Arial" w:cs="Arial" w:eastAsia="Arial" w:hAnsi="Arial"/>
          <w:sz w:val="18"/>
          <w:szCs w:val="18"/>
          <w:color w:val="auto"/>
        </w:rPr>
      </w:pPr>
      <w:r>
        <w:rPr>
          <w:rFonts w:ascii="Arial" w:cs="Arial" w:eastAsia="Arial" w:hAnsi="Arial"/>
          <w:sz w:val="22"/>
          <w:szCs w:val="22"/>
          <w:b w:val="1"/>
          <w:bCs w:val="1"/>
          <w:color w:val="auto"/>
        </w:rPr>
        <w:t>Generally</w:t>
      </w:r>
      <w:r>
        <w:rPr>
          <w:rFonts w:ascii="Arial" w:cs="Arial" w:eastAsia="Arial" w:hAnsi="Arial"/>
          <w:sz w:val="22"/>
          <w:szCs w:val="22"/>
          <w:color w:val="auto"/>
        </w:rPr>
        <w:t>. The Company would not be providing PSUs or Common Stock to Grantee without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8" w:right="23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9"/>
          <w:szCs w:val="19"/>
          <w:color w:val="auto"/>
        </w:rPr>
        <w:t>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355" w:lineRule="exact"/>
        <w:rPr>
          <w:sz w:val="20"/>
          <w:szCs w:val="20"/>
          <w:color w:val="auto"/>
        </w:rPr>
      </w:pPr>
    </w:p>
    <w:p>
      <w:pPr>
        <w:jc w:val="both"/>
        <w:ind w:firstLine="631"/>
        <w:spacing w:after="0" w:line="242" w:lineRule="auto"/>
        <w:tabs>
          <w:tab w:leader="none" w:pos="1506" w:val="left"/>
        </w:tabs>
        <w:numPr>
          <w:ilvl w:val="0"/>
          <w:numId w:val="59"/>
        </w:numPr>
        <w:rPr>
          <w:rFonts w:ascii="Arial" w:cs="Arial" w:eastAsia="Arial" w:hAnsi="Arial"/>
          <w:sz w:val="16"/>
          <w:szCs w:val="16"/>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378" w:lineRule="exact"/>
        <w:rPr>
          <w:rFonts w:ascii="Arial" w:cs="Arial" w:eastAsia="Arial" w:hAnsi="Arial"/>
          <w:sz w:val="16"/>
          <w:szCs w:val="16"/>
          <w:color w:val="auto"/>
        </w:rPr>
      </w:pPr>
    </w:p>
    <w:p>
      <w:pPr>
        <w:jc w:val="both"/>
        <w:ind w:firstLine="631"/>
        <w:spacing w:after="0" w:line="246" w:lineRule="auto"/>
        <w:tabs>
          <w:tab w:leader="none" w:pos="1496" w:val="left"/>
        </w:tabs>
        <w:numPr>
          <w:ilvl w:val="0"/>
          <w:numId w:val="59"/>
        </w:numPr>
        <w:rPr>
          <w:rFonts w:ascii="Arial" w:cs="Arial" w:eastAsia="Arial" w:hAnsi="Arial"/>
          <w:sz w:val="16"/>
          <w:szCs w:val="16"/>
          <w:color w:val="auto"/>
        </w:rPr>
      </w:pPr>
      <w:r>
        <w:rPr>
          <w:rFonts w:ascii="Arial" w:cs="Arial" w:eastAsia="Arial" w:hAnsi="Arial"/>
          <w:sz w:val="19"/>
          <w:szCs w:val="19"/>
          <w:b w:val="1"/>
          <w:bCs w:val="1"/>
          <w:color w:val="auto"/>
        </w:rPr>
        <w:t>Covenants Against Competition and Solicitation</w:t>
      </w:r>
      <w:r>
        <w:rPr>
          <w:rFonts w:ascii="Arial" w:cs="Arial" w:eastAsia="Arial" w:hAnsi="Arial"/>
          <w:sz w:val="19"/>
          <w:szCs w:val="19"/>
          <w:color w:val="auto"/>
        </w:rPr>
        <w:t>. Grantee agrees that, while Grantee is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40"/>
        <w:spacing w:after="0" w:line="259"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w:t>
      </w:r>
    </w:p>
    <w:p>
      <w:pPr>
        <w:spacing w:after="0" w:line="39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860" w:top="753" w:right="239" w:bottom="1440" w:gutter="0" w:footer="0" w:header="0"/>
        </w:sectPr>
      </w:pPr>
    </w:p>
    <w:bookmarkStart w:id="105" w:name="page106"/>
    <w:bookmarkEnd w:id="105"/>
    <w:p>
      <w:pPr>
        <w:jc w:val="both"/>
        <w:ind w:left="660"/>
        <w:spacing w:after="0" w:line="265" w:lineRule="auto"/>
        <w:rPr>
          <w:sz w:val="20"/>
          <w:szCs w:val="20"/>
          <w:color w:val="auto"/>
        </w:rPr>
      </w:pPr>
      <w:r>
        <w:rPr>
          <w:rFonts w:ascii="Arial" w:cs="Arial" w:eastAsia="Arial" w:hAnsi="Arial"/>
          <w:sz w:val="21"/>
          <w:szCs w:val="21"/>
          <w:color w:val="auto"/>
        </w:rPr>
        <w:t>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359" w:lineRule="exact"/>
        <w:rPr>
          <w:sz w:val="20"/>
          <w:szCs w:val="20"/>
          <w:color w:val="auto"/>
        </w:rPr>
      </w:pPr>
    </w:p>
    <w:p>
      <w:pPr>
        <w:jc w:val="both"/>
        <w:ind w:left="620" w:firstLine="631"/>
        <w:spacing w:after="0" w:line="223" w:lineRule="auto"/>
        <w:tabs>
          <w:tab w:leader="none" w:pos="2126" w:val="left"/>
        </w:tabs>
        <w:numPr>
          <w:ilvl w:val="0"/>
          <w:numId w:val="60"/>
        </w:numPr>
        <w:rPr>
          <w:rFonts w:ascii="Arial" w:cs="Arial" w:eastAsia="Arial" w:hAnsi="Arial"/>
          <w:sz w:val="18"/>
          <w:szCs w:val="18"/>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369" w:lineRule="exact"/>
        <w:rPr>
          <w:rFonts w:ascii="Arial" w:cs="Arial" w:eastAsia="Arial" w:hAnsi="Arial"/>
          <w:sz w:val="18"/>
          <w:szCs w:val="18"/>
          <w:color w:val="auto"/>
        </w:rPr>
      </w:pPr>
    </w:p>
    <w:p>
      <w:pPr>
        <w:ind w:left="2120" w:hanging="869"/>
        <w:spacing w:after="0"/>
        <w:tabs>
          <w:tab w:leader="none" w:pos="2120" w:val="left"/>
        </w:tabs>
        <w:numPr>
          <w:ilvl w:val="0"/>
          <w:numId w:val="60"/>
        </w:numPr>
        <w:rPr>
          <w:rFonts w:ascii="Arial" w:cs="Arial" w:eastAsia="Arial" w:hAnsi="Arial"/>
          <w:sz w:val="17"/>
          <w:szCs w:val="17"/>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 The following definitions shall apply solely with respect to this Section II.B.4:</w:t>
      </w: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jc w:val="both"/>
        <w:ind w:left="1300" w:firstLine="612"/>
        <w:spacing w:after="0" w:line="248" w:lineRule="auto"/>
        <w:tabs>
          <w:tab w:leader="none" w:pos="2367" w:val="left"/>
        </w:tabs>
        <w:numPr>
          <w:ilvl w:val="2"/>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jc w:val="both"/>
        <w:ind w:left="1300" w:firstLine="612"/>
        <w:spacing w:after="0" w:line="260" w:lineRule="auto"/>
        <w:tabs>
          <w:tab w:leader="none" w:pos="2502" w:val="left"/>
        </w:tabs>
        <w:numPr>
          <w:ilvl w:val="2"/>
          <w:numId w:val="6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393" w:lineRule="exact"/>
        <w:rPr>
          <w:rFonts w:ascii="Arial" w:cs="Arial" w:eastAsia="Arial" w:hAnsi="Arial"/>
          <w:sz w:val="22"/>
          <w:szCs w:val="22"/>
          <w:color w:val="auto"/>
        </w:rPr>
      </w:pPr>
    </w:p>
    <w:p>
      <w:pPr>
        <w:jc w:val="both"/>
        <w:ind w:left="1300" w:firstLine="612"/>
        <w:spacing w:after="0" w:line="288" w:lineRule="auto"/>
        <w:tabs>
          <w:tab w:leader="none" w:pos="2353" w:val="left"/>
        </w:tabs>
        <w:numPr>
          <w:ilvl w:val="2"/>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660" w:hanging="409"/>
        <w:spacing w:after="0"/>
        <w:tabs>
          <w:tab w:leader="none" w:pos="1660" w:val="left"/>
        </w:tabs>
        <w:numPr>
          <w:ilvl w:val="0"/>
          <w:numId w:val="60"/>
        </w:numPr>
        <w:rPr>
          <w:rFonts w:ascii="Arial" w:cs="Arial" w:eastAsia="Arial" w:hAnsi="Arial"/>
          <w:sz w:val="19"/>
          <w:szCs w:val="19"/>
          <w:color w:val="auto"/>
        </w:rPr>
      </w:pPr>
      <w:r>
        <w:rPr>
          <w:rFonts w:ascii="Arial" w:cs="Arial" w:eastAsia="Arial" w:hAnsi="Arial"/>
          <w:sz w:val="19"/>
          <w:szCs w:val="19"/>
          <w:b w:val="1"/>
          <w:bCs w:val="1"/>
          <w:color w:val="auto"/>
        </w:rPr>
        <w:t>Separate Covenants</w:t>
      </w:r>
      <w:r>
        <w:rPr>
          <w:rFonts w:ascii="Arial" w:cs="Arial" w:eastAsia="Arial" w:hAnsi="Arial"/>
          <w:sz w:val="19"/>
          <w:szCs w:val="19"/>
          <w:color w:val="auto"/>
        </w:rPr>
        <w:t>. Each of the covenants contained in this Section II.B.4 are separate and distinct covenants</w:t>
      </w:r>
    </w:p>
    <w:p>
      <w:pPr>
        <w:spacing w:after="0" w:line="6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of Grantee.</w:t>
      </w:r>
    </w:p>
    <w:p>
      <w:pPr>
        <w:spacing w:after="0" w:line="209" w:lineRule="exact"/>
        <w:rPr>
          <w:rFonts w:ascii="Arial" w:cs="Arial" w:eastAsia="Arial" w:hAnsi="Arial"/>
          <w:sz w:val="19"/>
          <w:szCs w:val="19"/>
          <w:color w:val="auto"/>
        </w:rPr>
      </w:pPr>
    </w:p>
    <w:p>
      <w:pPr>
        <w:ind w:firstLine="1305"/>
        <w:spacing w:after="0" w:line="282" w:lineRule="auto"/>
        <w:tabs>
          <w:tab w:leader="none" w:pos="1639" w:val="left"/>
        </w:tabs>
        <w:numPr>
          <w:ilvl w:val="1"/>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color w:val="auto"/>
        </w:rPr>
        <w:t>. To the extent applicable, it is intended that this Agreement and the Plan comply with</w:t>
      </w:r>
      <w:r>
        <w:rPr>
          <w:rFonts w:ascii="Arial" w:cs="Arial" w:eastAsia="Arial" w:hAnsi="Arial"/>
          <w:sz w:val="22"/>
          <w:szCs w:val="22"/>
          <w:b w:val="1"/>
          <w:bCs w:val="1"/>
          <w:color w:val="auto"/>
        </w:rPr>
        <w:t xml:space="preserve"> </w:t>
      </w:r>
      <w:r>
        <w:rPr>
          <w:rFonts w:ascii="Arial" w:cs="Arial" w:eastAsia="Arial" w:hAnsi="Arial"/>
          <w:sz w:val="22"/>
          <w:szCs w:val="22"/>
          <w:color w:val="auto"/>
        </w:rPr>
        <w:t>or be exempt from the provisions of Section 409A of the Code. This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80" w:right="239" w:bottom="1440" w:gutter="0" w:footer="0" w:header="0"/>
        </w:sectPr>
      </w:pPr>
    </w:p>
    <w:bookmarkStart w:id="106" w:name="page107"/>
    <w:bookmarkEnd w:id="106"/>
    <w:p>
      <w:pPr>
        <w:jc w:val="both"/>
        <w:spacing w:after="0" w:line="250" w:lineRule="auto"/>
        <w:rPr>
          <w:sz w:val="20"/>
          <w:szCs w:val="20"/>
          <w:color w:val="auto"/>
        </w:rPr>
      </w:pPr>
      <w:r>
        <w:rPr>
          <w:rFonts w:ascii="Arial" w:cs="Arial" w:eastAsia="Arial" w:hAnsi="Arial"/>
          <w:sz w:val="22"/>
          <w:szCs w:val="22"/>
          <w:color w:val="auto"/>
        </w:rPr>
        <w:t>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2" w:lineRule="exact"/>
        <w:rPr>
          <w:sz w:val="20"/>
          <w:szCs w:val="20"/>
          <w:color w:val="auto"/>
        </w:rPr>
      </w:pPr>
    </w:p>
    <w:p>
      <w:pPr>
        <w:jc w:val="both"/>
        <w:ind w:firstLine="1305"/>
        <w:spacing w:after="0" w:line="309" w:lineRule="auto"/>
        <w:tabs>
          <w:tab w:leader="none" w:pos="1706"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Continued Right as Service Provider</w:t>
      </w:r>
      <w:r>
        <w:rPr>
          <w:rFonts w:ascii="Arial" w:cs="Arial" w:eastAsia="Arial" w:hAnsi="Arial"/>
          <w:sz w:val="19"/>
          <w:szCs w:val="19"/>
          <w:color w:val="auto"/>
        </w:rPr>
        <w:t>. Nothing in the Plan or in this Agreement confers on Grantee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continue as a Service Provider, or interferes with or restricts in any way the rights of the Company or any Subsidiary,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30" w:lineRule="exact"/>
        <w:rPr>
          <w:rFonts w:ascii="Arial" w:cs="Arial" w:eastAsia="Arial" w:hAnsi="Arial"/>
          <w:sz w:val="19"/>
          <w:szCs w:val="19"/>
          <w:b w:val="1"/>
          <w:bCs w:val="1"/>
          <w:color w:val="auto"/>
        </w:rPr>
      </w:pPr>
    </w:p>
    <w:p>
      <w:pPr>
        <w:jc w:val="both"/>
        <w:ind w:firstLine="1305"/>
        <w:spacing w:after="0" w:line="256" w:lineRule="auto"/>
        <w:tabs>
          <w:tab w:leader="none" w:pos="1666"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6" w:lineRule="exact"/>
        <w:rPr>
          <w:rFonts w:ascii="Arial" w:cs="Arial" w:eastAsia="Arial" w:hAnsi="Arial"/>
          <w:sz w:val="22"/>
          <w:szCs w:val="22"/>
          <w:b w:val="1"/>
          <w:bCs w:val="1"/>
          <w:color w:val="auto"/>
        </w:rPr>
      </w:pPr>
    </w:p>
    <w:p>
      <w:pPr>
        <w:jc w:val="both"/>
        <w:ind w:firstLine="1305"/>
        <w:spacing w:after="0" w:line="262" w:lineRule="auto"/>
        <w:tabs>
          <w:tab w:leader="none" w:pos="1639"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If Grantee is or was employed by a subsidiary of the Company, then such subsidiary</w:t>
      </w:r>
      <w:r>
        <w:rPr>
          <w:rFonts w:ascii="Arial" w:cs="Arial" w:eastAsia="Arial" w:hAnsi="Arial"/>
          <w:sz w:val="22"/>
          <w:szCs w:val="22"/>
          <w:b w:val="1"/>
          <w:bCs w:val="1"/>
          <w:color w:val="auto"/>
        </w:rPr>
        <w:t xml:space="preserve"> </w:t>
      </w:r>
      <w:r>
        <w:rPr>
          <w:rFonts w:ascii="Arial" w:cs="Arial" w:eastAsia="Arial" w:hAnsi="Arial"/>
          <w:sz w:val="22"/>
          <w:szCs w:val="22"/>
          <w:color w:val="auto"/>
        </w:rPr>
        <w:t>is intended to be a third-party beneficiary of this Agreement and shall have the right to enforce this Agreement, including, but not limited to, the provisions of Section II.B.4.</w:t>
      </w:r>
    </w:p>
    <w:p>
      <w:pPr>
        <w:spacing w:after="0" w:line="170" w:lineRule="exact"/>
        <w:rPr>
          <w:rFonts w:ascii="Arial" w:cs="Arial" w:eastAsia="Arial" w:hAnsi="Arial"/>
          <w:sz w:val="22"/>
          <w:szCs w:val="22"/>
          <w:b w:val="1"/>
          <w:bCs w:val="1"/>
          <w:color w:val="auto"/>
        </w:rPr>
      </w:pPr>
    </w:p>
    <w:p>
      <w:pPr>
        <w:jc w:val="both"/>
        <w:ind w:firstLine="1305"/>
        <w:spacing w:after="0" w:line="262" w:lineRule="auto"/>
        <w:tabs>
          <w:tab w:leader="none" w:pos="1693"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has no rights other than those of a general creditor of the Company. The PSUs represent an unfunded and unsecured obligation of the Company, subject to the terms and conditions of this Agreement and the Plan.</w:t>
      </w:r>
    </w:p>
    <w:p>
      <w:pPr>
        <w:spacing w:after="0" w:line="170" w:lineRule="exact"/>
        <w:rPr>
          <w:rFonts w:ascii="Arial" w:cs="Arial" w:eastAsia="Arial" w:hAnsi="Arial"/>
          <w:sz w:val="22"/>
          <w:szCs w:val="22"/>
          <w:b w:val="1"/>
          <w:bCs w:val="1"/>
          <w:color w:val="auto"/>
        </w:rPr>
      </w:pPr>
    </w:p>
    <w:p>
      <w:pPr>
        <w:jc w:val="both"/>
        <w:ind w:firstLine="1305"/>
        <w:spacing w:after="0" w:line="256" w:lineRule="auto"/>
        <w:tabs>
          <w:tab w:leader="none" w:pos="1814"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6" w:lineRule="exact"/>
        <w:rPr>
          <w:rFonts w:ascii="Arial" w:cs="Arial" w:eastAsia="Arial" w:hAnsi="Arial"/>
          <w:sz w:val="22"/>
          <w:szCs w:val="22"/>
          <w:b w:val="1"/>
          <w:bCs w:val="1"/>
          <w:color w:val="auto"/>
        </w:rPr>
      </w:pPr>
    </w:p>
    <w:p>
      <w:pPr>
        <w:jc w:val="both"/>
        <w:ind w:firstLine="1305"/>
        <w:spacing w:after="0" w:line="253" w:lineRule="auto"/>
        <w:tabs>
          <w:tab w:leader="none" w:pos="1762"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Company may, in its sole discretion, deliver any documents related to the PSUs and</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22"/>
          <w:szCs w:val="22"/>
          <w:b w:val="1"/>
          <w:bCs w:val="1"/>
          <w:color w:val="auto"/>
        </w:rPr>
      </w:pPr>
    </w:p>
    <w:p>
      <w:pPr>
        <w:ind w:left="1760" w:hanging="455"/>
        <w:spacing w:after="0"/>
        <w:tabs>
          <w:tab w:leader="none" w:pos="17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39" w:lineRule="exact"/>
        <w:rPr>
          <w:sz w:val="20"/>
          <w:szCs w:val="20"/>
          <w:color w:val="auto"/>
        </w:rPr>
      </w:pPr>
    </w:p>
    <w:p>
      <w:pPr>
        <w:ind w:left="660" w:firstLine="645"/>
        <w:spacing w:after="0" w:line="358" w:lineRule="auto"/>
        <w:tabs>
          <w:tab w:leader="none" w:pos="1863"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90" w:lineRule="exact"/>
        <w:rPr>
          <w:rFonts w:ascii="Arial" w:cs="Arial" w:eastAsia="Arial" w:hAnsi="Arial"/>
          <w:sz w:val="19"/>
          <w:szCs w:val="19"/>
          <w:color w:val="auto"/>
        </w:rPr>
      </w:pPr>
    </w:p>
    <w:p>
      <w:pPr>
        <w:ind w:left="660" w:firstLine="645"/>
        <w:spacing w:after="0" w:line="358" w:lineRule="auto"/>
        <w:tabs>
          <w:tab w:leader="none" w:pos="1754"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90" w:lineRule="exact"/>
        <w:rPr>
          <w:rFonts w:ascii="Arial" w:cs="Arial" w:eastAsia="Arial" w:hAnsi="Arial"/>
          <w:sz w:val="19"/>
          <w:szCs w:val="19"/>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Committee;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64" w:right="239" w:bottom="1440" w:gutter="0" w:footer="0" w:header="0"/>
        </w:sectPr>
      </w:pPr>
    </w:p>
    <w:bookmarkStart w:id="107" w:name="page108"/>
    <w:bookmarkEnd w:id="107"/>
    <w:p>
      <w:pPr>
        <w:ind w:left="540" w:hanging="435"/>
        <w:spacing w:after="0"/>
        <w:tabs>
          <w:tab w:leader="none" w:pos="5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540" w:firstLine="645"/>
        <w:spacing w:after="0" w:line="260" w:lineRule="auto"/>
        <w:tabs>
          <w:tab w:leader="none" w:pos="677"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77" w:lineRule="exact"/>
        <w:rPr>
          <w:rFonts w:ascii="Arial" w:cs="Arial" w:eastAsia="Arial" w:hAnsi="Arial"/>
          <w:sz w:val="22"/>
          <w:szCs w:val="22"/>
          <w:color w:val="auto"/>
        </w:rPr>
      </w:pPr>
    </w:p>
    <w:p>
      <w:pPr>
        <w:ind w:left="-540" w:firstLine="645"/>
        <w:spacing w:after="0" w:line="276" w:lineRule="auto"/>
        <w:tabs>
          <w:tab w:leader="none" w:pos="653"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not intended to replace any pension rights or compensation;</w:t>
      </w:r>
    </w:p>
    <w:p>
      <w:pPr>
        <w:spacing w:after="0" w:line="160" w:lineRule="exact"/>
        <w:rPr>
          <w:rFonts w:ascii="Arial" w:cs="Arial" w:eastAsia="Arial" w:hAnsi="Arial"/>
          <w:sz w:val="22"/>
          <w:szCs w:val="22"/>
          <w:color w:val="auto"/>
        </w:rPr>
      </w:pPr>
    </w:p>
    <w:p>
      <w:pPr>
        <w:ind w:left="540" w:hanging="435"/>
        <w:spacing w:after="0"/>
        <w:tabs>
          <w:tab w:leader="none" w:pos="54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44" w:lineRule="exact"/>
        <w:rPr>
          <w:rFonts w:ascii="Arial" w:cs="Arial" w:eastAsia="Arial" w:hAnsi="Arial"/>
          <w:sz w:val="21"/>
          <w:szCs w:val="21"/>
          <w:color w:val="auto"/>
        </w:rPr>
      </w:pPr>
    </w:p>
    <w:p>
      <w:pPr>
        <w:jc w:val="both"/>
        <w:ind w:left="-540" w:firstLine="645"/>
        <w:spacing w:after="0" w:line="320" w:lineRule="auto"/>
        <w:tabs>
          <w:tab w:leader="none" w:pos="635" w:val="left"/>
        </w:tabs>
        <w:numPr>
          <w:ilvl w:val="0"/>
          <w:numId w:val="63"/>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25" w:lineRule="exact"/>
        <w:rPr>
          <w:rFonts w:ascii="Arial" w:cs="Arial" w:eastAsia="Arial" w:hAnsi="Arial"/>
          <w:sz w:val="19"/>
          <w:szCs w:val="19"/>
          <w:color w:val="auto"/>
        </w:rPr>
      </w:pPr>
    </w:p>
    <w:p>
      <w:pPr>
        <w:jc w:val="both"/>
        <w:ind w:left="-540" w:firstLine="645"/>
        <w:spacing w:after="0" w:line="250" w:lineRule="auto"/>
        <w:tabs>
          <w:tab w:leader="none" w:pos="51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8" w:lineRule="exact"/>
        <w:rPr>
          <w:rFonts w:ascii="Arial" w:cs="Arial" w:eastAsia="Arial" w:hAnsi="Arial"/>
          <w:sz w:val="22"/>
          <w:szCs w:val="22"/>
          <w:color w:val="auto"/>
        </w:rPr>
      </w:pPr>
    </w:p>
    <w:p>
      <w:pPr>
        <w:jc w:val="both"/>
        <w:ind w:left="-540" w:firstLine="645"/>
        <w:spacing w:after="0" w:line="266" w:lineRule="auto"/>
        <w:tabs>
          <w:tab w:leader="none" w:pos="546"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68" w:lineRule="exact"/>
        <w:rPr>
          <w:rFonts w:ascii="Arial" w:cs="Arial" w:eastAsia="Arial" w:hAnsi="Arial"/>
          <w:sz w:val="21"/>
          <w:szCs w:val="21"/>
          <w:color w:val="auto"/>
        </w:rPr>
      </w:pPr>
    </w:p>
    <w:p>
      <w:pPr>
        <w:ind w:left="620" w:hanging="448"/>
        <w:spacing w:after="0"/>
        <w:tabs>
          <w:tab w:leader="none" w:pos="620" w:val="left"/>
        </w:tabs>
        <w:numPr>
          <w:ilvl w:val="1"/>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Addenda for Certain Participants</w:t>
      </w:r>
      <w:r>
        <w:rPr>
          <w:rFonts w:ascii="Arial" w:cs="Arial" w:eastAsia="Arial" w:hAnsi="Arial"/>
          <w:sz w:val="22"/>
          <w:szCs w:val="22"/>
          <w:b w:val="1"/>
          <w:bCs w:val="1"/>
          <w:color w:val="auto"/>
        </w:rPr>
        <w:t>.</w:t>
      </w:r>
    </w:p>
    <w:p>
      <w:pPr>
        <w:spacing w:after="0" w:line="233" w:lineRule="exact"/>
        <w:rPr>
          <w:sz w:val="20"/>
          <w:szCs w:val="20"/>
          <w:color w:val="auto"/>
        </w:rPr>
      </w:pPr>
    </w:p>
    <w:p>
      <w:pPr>
        <w:jc w:val="both"/>
        <w:ind w:left="-540" w:firstLine="645"/>
        <w:spacing w:after="0" w:line="298" w:lineRule="auto"/>
        <w:tabs>
          <w:tab w:leader="none" w:pos="582"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Non-U.S. Participants. </w:t>
      </w:r>
      <w:r>
        <w:rPr>
          <w:rFonts w:ascii="Arial" w:cs="Arial" w:eastAsia="Arial" w:hAnsi="Arial"/>
          <w:sz w:val="19"/>
          <w:szCs w:val="19"/>
          <w:color w:val="auto"/>
        </w:rPr>
        <w:t>Notwithstanding any provisions in this Agreement, the PSUs shall also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1" w:lineRule="exact"/>
        <w:rPr>
          <w:rFonts w:ascii="Arial" w:cs="Arial" w:eastAsia="Arial" w:hAnsi="Arial"/>
          <w:sz w:val="19"/>
          <w:szCs w:val="19"/>
          <w:color w:val="auto"/>
        </w:rPr>
      </w:pPr>
    </w:p>
    <w:p>
      <w:pPr>
        <w:jc w:val="both"/>
        <w:ind w:left="-540" w:firstLine="645"/>
        <w:spacing w:after="0" w:line="253" w:lineRule="auto"/>
        <w:tabs>
          <w:tab w:leader="none" w:pos="567"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California Participants. </w:t>
      </w:r>
      <w:r>
        <w:rPr>
          <w:rFonts w:ascii="Arial" w:cs="Arial" w:eastAsia="Arial" w:hAnsi="Arial"/>
          <w:sz w:val="22"/>
          <w:szCs w:val="22"/>
          <w:color w:val="auto"/>
        </w:rPr>
        <w:t>Notwithstanding any provisions in this Agreement, the PSUs shall also be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564" w:right="239" w:bottom="1440" w:gutter="0" w:footer="0" w:header="0"/>
        </w:sectPr>
      </w:pPr>
    </w:p>
    <w:bookmarkStart w:id="108" w:name="page109"/>
    <w:bookmarkEnd w:id="108"/>
    <w:p>
      <w:pPr>
        <w:jc w:val="both"/>
        <w:ind w:firstLine="1305"/>
        <w:spacing w:after="0" w:line="253" w:lineRule="auto"/>
        <w:tabs>
          <w:tab w:leader="none" w:pos="1841"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79" w:lineRule="exact"/>
        <w:rPr>
          <w:rFonts w:ascii="Arial" w:cs="Arial" w:eastAsia="Arial" w:hAnsi="Arial"/>
          <w:sz w:val="22"/>
          <w:szCs w:val="22"/>
          <w:b w:val="1"/>
          <w:bCs w:val="1"/>
          <w:color w:val="auto"/>
        </w:rPr>
      </w:pPr>
    </w:p>
    <w:p>
      <w:pPr>
        <w:jc w:val="both"/>
        <w:ind w:firstLine="1305"/>
        <w:spacing w:after="0" w:line="256" w:lineRule="auto"/>
        <w:tabs>
          <w:tab w:leader="none" w:pos="1855"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Arial" w:cs="Arial" w:eastAsia="Arial" w:hAnsi="Arial"/>
          <w:sz w:val="22"/>
          <w:szCs w:val="22"/>
          <w:b w:val="1"/>
          <w:bCs w:val="1"/>
          <w:color w:val="auto"/>
        </w:rPr>
      </w:pPr>
    </w:p>
    <w:p>
      <w:pPr>
        <w:ind w:firstLine="1305"/>
        <w:spacing w:after="0" w:line="282" w:lineRule="auto"/>
        <w:tabs>
          <w:tab w:leader="none" w:pos="1814"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notwithstanding conflict of law provisions.</w:t>
      </w:r>
    </w:p>
    <w:p>
      <w:pPr>
        <w:spacing w:after="0" w:line="148" w:lineRule="exact"/>
        <w:rPr>
          <w:rFonts w:ascii="Arial" w:cs="Arial" w:eastAsia="Arial" w:hAnsi="Arial"/>
          <w:sz w:val="22"/>
          <w:szCs w:val="22"/>
          <w:b w:val="1"/>
          <w:bCs w:val="1"/>
          <w:color w:val="auto"/>
        </w:rPr>
      </w:pPr>
    </w:p>
    <w:p>
      <w:pPr>
        <w:ind w:left="1760" w:hanging="455"/>
        <w:spacing w:after="0"/>
        <w:tabs>
          <w:tab w:leader="none" w:pos="1760" w:val="left"/>
        </w:tabs>
        <w:numPr>
          <w:ilvl w:val="1"/>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w:t>
      </w:r>
    </w:p>
    <w:p>
      <w:pPr>
        <w:spacing w:after="0" w:line="200" w:lineRule="exact"/>
        <w:rPr>
          <w:rFonts w:ascii="Arial" w:cs="Arial" w:eastAsia="Arial" w:hAnsi="Arial"/>
          <w:sz w:val="22"/>
          <w:szCs w:val="22"/>
          <w:b w:val="1"/>
          <w:bCs w:val="1"/>
          <w:color w:val="auto"/>
        </w:rPr>
      </w:pPr>
    </w:p>
    <w:p>
      <w:pPr>
        <w:spacing w:after="0" w:line="228" w:lineRule="exact"/>
        <w:rPr>
          <w:rFonts w:ascii="Arial" w:cs="Arial" w:eastAsia="Arial" w:hAnsi="Arial"/>
          <w:sz w:val="22"/>
          <w:szCs w:val="22"/>
          <w:b w:val="1"/>
          <w:bCs w:val="1"/>
          <w:color w:val="auto"/>
        </w:rPr>
      </w:pPr>
    </w:p>
    <w:p>
      <w:pPr>
        <w:jc w:val="both"/>
        <w:ind w:left="620" w:firstLine="631"/>
        <w:spacing w:after="0" w:line="221" w:lineRule="auto"/>
        <w:tabs>
          <w:tab w:leader="none" w:pos="2116" w:val="left"/>
        </w:tabs>
        <w:numPr>
          <w:ilvl w:val="0"/>
          <w:numId w:val="66"/>
        </w:numPr>
        <w:rPr>
          <w:rFonts w:ascii="Arial" w:cs="Arial" w:eastAsia="Arial" w:hAnsi="Arial"/>
          <w:sz w:val="17"/>
          <w:szCs w:val="17"/>
          <w:color w:val="auto"/>
        </w:rPr>
      </w:pPr>
      <w:r>
        <w:rPr>
          <w:rFonts w:ascii="Arial" w:cs="Arial" w:eastAsia="Arial" w:hAnsi="Arial"/>
          <w:sz w:val="21"/>
          <w:szCs w:val="21"/>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382" w:lineRule="exact"/>
        <w:rPr>
          <w:rFonts w:ascii="Arial" w:cs="Arial" w:eastAsia="Arial" w:hAnsi="Arial"/>
          <w:sz w:val="17"/>
          <w:szCs w:val="17"/>
          <w:color w:val="auto"/>
        </w:rPr>
      </w:pPr>
    </w:p>
    <w:p>
      <w:pPr>
        <w:jc w:val="both"/>
        <w:ind w:left="620" w:firstLine="631"/>
        <w:spacing w:after="0" w:line="275" w:lineRule="auto"/>
        <w:tabs>
          <w:tab w:leader="none" w:pos="2126" w:val="left"/>
        </w:tabs>
        <w:numPr>
          <w:ilvl w:val="0"/>
          <w:numId w:val="66"/>
        </w:numPr>
        <w:rPr>
          <w:rFonts w:ascii="Arial" w:cs="Arial" w:eastAsia="Arial" w:hAnsi="Arial"/>
          <w:sz w:val="16"/>
          <w:szCs w:val="16"/>
          <w:color w:val="auto"/>
        </w:rPr>
      </w:pPr>
      <w:r>
        <w:rPr>
          <w:rFonts w:ascii="Arial" w:cs="Arial" w:eastAsia="Arial" w:hAnsi="Arial"/>
          <w:sz w:val="19"/>
          <w:szCs w:val="19"/>
          <w:color w:val="auto"/>
        </w:rPr>
        <w:t>Without limiting the foregoing, violation of Section II.B.4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8" w:right="239" w:bottom="1440" w:gutter="0" w:footer="0" w:header="0"/>
        </w:sectPr>
      </w:pPr>
    </w:p>
    <w:bookmarkStart w:id="109" w:name="page110"/>
    <w:bookmarkEnd w:id="109"/>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61"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TRIMAS CORPORATION</w:t>
      </w:r>
    </w:p>
    <w:p>
      <w:pPr>
        <w:sectPr>
          <w:pgSz w:w="11900" w:h="16838" w:orient="portrait"/>
          <w:cols w:equalWidth="0" w:num="1">
            <w:col w:w="11420"/>
          </w:cols>
          <w:pgMar w:left="240" w:top="6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 xml:space="preserve">Dated as of: </w:t>
      </w:r>
      <w:r>
        <w:rPr>
          <w:rFonts w:ascii="Arial" w:cs="Arial" w:eastAsia="Arial" w:hAnsi="Arial"/>
          <w:sz w:val="19"/>
          <w:szCs w:val="19"/>
          <w:b w:val="1"/>
          <w:bCs w:val="1"/>
          <w:i w:val="1"/>
          <w:iCs w:val="1"/>
          <w:color w:val="auto"/>
        </w:rPr>
        <w:t>[grant date]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Name: Joshua A. Sherbin</w:t>
      </w:r>
    </w:p>
    <w:p>
      <w:pPr>
        <w:spacing w:after="0"/>
        <w:rPr>
          <w:sz w:val="20"/>
          <w:szCs w:val="20"/>
          <w:color w:val="auto"/>
        </w:rPr>
      </w:pPr>
      <w:r>
        <w:rPr>
          <w:rFonts w:ascii="Arial" w:cs="Arial" w:eastAsia="Arial" w:hAnsi="Arial"/>
          <w:sz w:val="19"/>
          <w:szCs w:val="19"/>
          <w:color w:val="auto"/>
        </w:rPr>
        <w:t>Title: Senior Vice President and General Counsel</w:t>
      </w:r>
    </w:p>
    <w:p>
      <w:pPr>
        <w:spacing w:after="0" w:line="200" w:lineRule="exact"/>
        <w:rPr>
          <w:sz w:val="20"/>
          <w:szCs w:val="20"/>
          <w:color w:val="auto"/>
        </w:rPr>
      </w:pPr>
    </w:p>
    <w:p>
      <w:pPr>
        <w:sectPr>
          <w:pgSz w:w="11900" w:h="16838" w:orient="portrait"/>
          <w:cols w:equalWidth="0" w:num="2">
            <w:col w:w="4400" w:space="720"/>
            <w:col w:w="6300"/>
          </w:cols>
          <w:pgMar w:left="240" w:top="672" w:right="239" w:bottom="1440" w:gutter="0" w:footer="0" w:header="0"/>
          <w:type w:val="continuous"/>
        </w:sectPr>
      </w:pPr>
    </w:p>
    <w:p>
      <w:pPr>
        <w:spacing w:after="0" w:line="273"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72" w:right="23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TriMas Corporation Significant</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Subsidiary List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Allfast Fastening Systems, LLC (California limited liability company)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Monogram Aerospace Fasteners, Inc.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Norris Cylinder Company (Delaware corporation)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Rieke Corporation (Indiana corporation)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Certain companies may also use trade names or other assumed names in the conduct of their business.</w:t>
      </w:r>
    </w:p>
    <w:p>
      <w:pPr>
        <w:spacing w:after="0" w:line="191"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23"/>
          <w:szCs w:val="23"/>
          <w:color w:val="auto"/>
          <w:vertAlign w:val="superscript"/>
        </w:rPr>
      </w:pPr>
      <w:r>
        <w:rPr>
          <w:rFonts w:ascii="Arial" w:cs="Arial" w:eastAsia="Arial" w:hAnsi="Arial"/>
          <w:sz w:val="17"/>
          <w:szCs w:val="17"/>
          <w:color w:val="auto"/>
        </w:rPr>
        <w:t>As defined in Rule 1-02(w) of Regulation S-X, and other more significant operating companies as determined by management</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333-145815, 333-169321, 333-179761, 333-190665, 333-190666, and 333-218867 on Form S-8 of our reports dated February 27, 2020, relating to the consolidated financial statements and financial statement schedule of TriMas Corporation and subsidiaries, and the effectiveness of TriMas Corporation’s internal control over financial reporting, appearing in the Annual Report on Form 10-K of TriMas Corporation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112" w:name="page113"/>
    <w:bookmarkEnd w:id="112"/>
    <w:p>
      <w:pPr>
        <w:ind w:left="10480"/>
        <w:spacing w:after="0"/>
        <w:rPr>
          <w:sz w:val="20"/>
          <w:szCs w:val="20"/>
          <w:color w:val="auto"/>
        </w:rPr>
      </w:pPr>
      <w:r>
        <w:rPr>
          <w:rFonts w:ascii="Arial" w:cs="Arial" w:eastAsia="Arial" w:hAnsi="Arial"/>
          <w:sz w:val="16"/>
          <w:szCs w:val="16"/>
          <w:b w:val="1"/>
          <w:bCs w:val="1"/>
          <w:color w:val="auto"/>
        </w:rPr>
        <w:t>Exhibit 31.1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53" w:right="239" w:bottom="1440" w:gutter="0" w:footer="0" w:header="0"/>
        </w:sectPr>
      </w:pPr>
    </w:p>
    <w:bookmarkStart w:id="113" w:name="page114"/>
    <w:bookmarkEnd w:id="113"/>
    <w:p>
      <w:pPr>
        <w:ind w:left="10480"/>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TriMas Corporation;</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33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31750</wp:posOffset>
            </wp:positionV>
            <wp:extent cx="1912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2019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27, 2020</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53"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TriMas Corporation (the "Company") on Form 10-K for the period ended December 31, 2019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320" w:firstLine="332"/>
        <w:spacing w:after="0" w:line="465" w:lineRule="auto"/>
        <w:tabs>
          <w:tab w:leader="none" w:pos="64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27, 2020</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972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lowerLetter"/>
      <w:start w:val="1"/>
    </w:lvl>
  </w:abstractNum>
  <w:abstractNum w:abstractNumId="20">
    <w:nsid w:val="4B588F54"/>
    <w:multiLevelType w:val="hybridMultilevel"/>
    <w:lvl w:ilvl="0">
      <w:lvlJc w:val="left"/>
      <w:lvlText w:val="(%1)"/>
      <w:numFmt w:val="lowerLetter"/>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lowerLetter"/>
      <w:start w:val="1"/>
    </w:lvl>
  </w:abstractNum>
  <w:abstractNum w:abstractNumId="27">
    <w:nsid w:val="579478FE"/>
    <w:multiLevelType w:val="hybridMultilevel"/>
    <w:lvl w:ilvl="0">
      <w:lvlJc w:val="left"/>
      <w:lvlText w:val="•"/>
      <w:numFmt w:val="bullet"/>
      <w:start w:val="1"/>
    </w:lvl>
    <w:lvl w:ilvl="1">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lowerLetter"/>
      <w:start w:val="1"/>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1)"/>
      <w:numFmt w:val="lowerLetter"/>
      <w:start w:val="1"/>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decimal"/>
      <w:start w:val="101"/>
    </w:lvl>
  </w:abstractNum>
  <w:abstractNum w:abstractNumId="37">
    <w:nsid w:val="4F4EF005"/>
    <w:multiLevelType w:val="hybridMultilevel"/>
    <w:lvl w:ilvl="0">
      <w:lvlJc w:val="left"/>
      <w:lvlText w:val="**"/>
      <w:numFmt w:val="bullet"/>
      <w:start w:val="1"/>
    </w:lvl>
    <w:lvl w:ilvl="1">
      <w:lvlJc w:val="left"/>
      <w:lvlText w:val="(%2)"/>
      <w:numFmt w:val="lowerLetter"/>
      <w:start w:val="1"/>
    </w:lvl>
  </w:abstractNum>
  <w:abstractNum w:abstractNumId="38">
    <w:nsid w:val="23F9C13C"/>
    <w:multiLevelType w:val="hybridMultilevel"/>
    <w:lvl w:ilvl="0">
      <w:lvlJc w:val="left"/>
      <w:lvlText w:val="(%1)"/>
      <w:numFmt w:val="lowerLetter"/>
      <w:start w:val="18"/>
    </w:lvl>
  </w:abstractNum>
  <w:abstractNum w:abstractNumId="39">
    <w:nsid w:val="649BB77C"/>
    <w:multiLevelType w:val="hybridMultilevel"/>
    <w:lvl w:ilvl="0">
      <w:lvlJc w:val="left"/>
      <w:lvlText w:val="(%1)"/>
      <w:numFmt w:val="lowerLetter"/>
      <w:start w:val="23"/>
    </w:lvl>
  </w:abstractNum>
  <w:abstractNum w:abstractNumId="40">
    <w:nsid w:val="275AC794"/>
    <w:multiLevelType w:val="hybridMultilevel"/>
    <w:lvl w:ilvl="0">
      <w:lvlJc w:val="left"/>
      <w:lvlText w:val="(%1)"/>
      <w:numFmt w:val="upperLetter"/>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3">
    <w:nsid w:val="180115BE"/>
    <w:multiLevelType w:val="hybridMultilevel"/>
    <w:lvl w:ilvl="0">
      <w:lvlJc w:val="left"/>
      <w:lvlText w:val="%1."/>
      <w:numFmt w:val="decimal"/>
      <w:start w:val="2"/>
    </w:lvl>
    <w:lvl w:ilvl="1">
      <w:lvlJc w:val="left"/>
      <w:lvlText w:val="(%2)"/>
      <w:numFmt w:val="lowerLetter"/>
      <w:start w:val="1"/>
    </w:lvl>
  </w:abstractNum>
  <w:abstractNum w:abstractNumId="44">
    <w:nsid w:val="235BA861"/>
    <w:multiLevelType w:val="hybridMultilevel"/>
    <w:lvl w:ilvl="0">
      <w:lvlJc w:val="left"/>
      <w:lvlText w:val="(%1)"/>
      <w:numFmt w:val="lowerLetter"/>
      <w:start w:val="4"/>
    </w:lvl>
  </w:abstractNum>
  <w:abstractNum w:abstractNumId="45">
    <w:nsid w:val="47398C89"/>
    <w:multiLevelType w:val="hybridMultilevel"/>
    <w:lvl w:ilvl="0">
      <w:lvlJc w:val="left"/>
      <w:lvlText w:val="%1"/>
      <w:numFmt w:val="upperLetter"/>
      <w:start w:val="1"/>
    </w:lvl>
    <w:lvl w:ilvl="1">
      <w:lvlJc w:val="left"/>
      <w:lvlText w:val="(%2)"/>
      <w:numFmt w:val="decimal"/>
      <w:start w:val="1"/>
    </w:lvl>
  </w:abstractNum>
  <w:abstractNum w:abstractNumId="46">
    <w:nsid w:val="354FE9F9"/>
    <w:multiLevelType w:val="hybridMultilevel"/>
    <w:lvl w:ilvl="0">
      <w:lvlJc w:val="left"/>
      <w:lvlText w:val="(%1)"/>
      <w:numFmt w:val="upperLetter"/>
      <w:start w:val="1"/>
    </w:lvl>
    <w:lvl w:ilvl="1">
      <w:lvlJc w:val="left"/>
      <w:lvlText w:val="(%2)"/>
      <w:numFmt w:val="decimal"/>
      <w:start w:val="2"/>
    </w:lvl>
  </w:abstractNum>
  <w:abstractNum w:abstractNumId="47">
    <w:nsid w:val="15B5AF5C"/>
    <w:multiLevelType w:val="hybridMultilevel"/>
    <w:lvl w:ilvl="0">
      <w:lvlJc w:val="left"/>
      <w:lvlText w:val="(%1)"/>
      <w:numFmt w:val="decimal"/>
      <w:start w:val="3"/>
    </w:lvl>
  </w:abstractNum>
  <w:abstractNum w:abstractNumId="48">
    <w:nsid w:val="741226BB"/>
    <w:multiLevelType w:val="hybridMultilevel"/>
    <w:lvl w:ilvl="0">
      <w:lvlJc w:val="left"/>
      <w:lvlText w:val="%1."/>
      <w:numFmt w:val="decimal"/>
      <w:start w:val="7"/>
    </w:lvl>
  </w:abstractNum>
  <w:abstractNum w:abstractNumId="49">
    <w:nsid w:val="D34B6A8"/>
    <w:multiLevelType w:val="hybridMultilevel"/>
    <w:lvl w:ilvl="0">
      <w:lvlJc w:val="left"/>
      <w:lvlText w:val="(%1)"/>
      <w:numFmt w:val="lowerLetter"/>
      <w:start w:val="1"/>
    </w:lvl>
    <w:lvl w:ilvl="1">
      <w:lvlJc w:val="left"/>
      <w:lvlText w:val="(%2)"/>
      <w:numFmt w:val="decimal"/>
      <w:start w:val="1"/>
    </w:lvl>
  </w:abstractNum>
  <w:abstractNum w:abstractNumId="50">
    <w:nsid w:val="10233C99"/>
    <w:multiLevelType w:val="hybridMultilevel"/>
    <w:lvl w:ilvl="0">
      <w:lvlJc w:val="left"/>
      <w:lvlText w:val="(%1)"/>
      <w:numFmt w:val="decimal"/>
      <w:start w:val="2"/>
    </w:lvl>
  </w:abstractNum>
  <w:abstractNum w:abstractNumId="51">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3"/>
    </w:lvl>
  </w:abstractNum>
  <w:abstractNum w:abstractNumId="52">
    <w:nsid w:val="61574095"/>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lowerLetter"/>
      <w:start w:val="2"/>
    </w:lvl>
    <w:lvl w:ilvl="1">
      <w:lvlJc w:val="left"/>
      <w:lvlText w:val="(%2)"/>
      <w:numFmt w:val="decimal"/>
      <w:start w:val="1"/>
    </w:lvl>
  </w:abstractNum>
  <w:abstractNum w:abstractNumId="56">
    <w:nsid w:val="310C50B3"/>
    <w:multiLevelType w:val="hybridMultilevel"/>
    <w:lvl w:ilvl="0">
      <w:lvlJc w:val="left"/>
      <w:lvlText w:val="%1"/>
      <w:numFmt w:val="lowerLetter"/>
      <w:start w:val="1"/>
    </w:lvl>
    <w:lvl w:ilvl="1">
      <w:lvlJc w:val="left"/>
      <w:lvlText w:val="%2."/>
      <w:numFmt w:val="decimal"/>
      <w:start w:val="4"/>
    </w:lvl>
  </w:abstractNum>
  <w:abstractNum w:abstractNumId="57">
    <w:nsid w:val="5FF87E05"/>
    <w:multiLevelType w:val="hybridMultilevel"/>
    <w:lvl w:ilvl="0">
      <w:lvlJc w:val="left"/>
      <w:lvlText w:val="(%1)"/>
      <w:numFmt w:val="lowerLetter"/>
      <w:start w:val="1"/>
    </w:lvl>
    <w:lvl w:ilvl="1">
      <w:lvlJc w:val="left"/>
      <w:lvlText w:val="%2"/>
      <w:numFmt w:val="decimal"/>
      <w:start w:val="1"/>
    </w:lvl>
  </w:abstractNum>
  <w:abstractNum w:abstractNumId="58">
    <w:nsid w:val="2F305DEF"/>
    <w:multiLevelType w:val="hybridMultilevel"/>
    <w:lvl w:ilvl="0">
      <w:lvlJc w:val="left"/>
      <w:lvlText w:val="(%1)"/>
      <w:numFmt w:val="lowerLetter"/>
      <w:start w:val="2"/>
    </w:lvl>
  </w:abstractNum>
  <w:abstractNum w:abstractNumId="59">
    <w:nsid w:val="25A70BF7"/>
    <w:multiLevelType w:val="hybridMultilevel"/>
    <w:lvl w:ilvl="0">
      <w:lvlJc w:val="left"/>
      <w:lvlText w:val="(%1)"/>
      <w:numFmt w:val="lowerLetter"/>
      <w:start w:val="4"/>
    </w:lvl>
    <w:lvl w:ilvl="1">
      <w:lvlJc w:val="left"/>
      <w:lvlText w:val="%2."/>
      <w:numFmt w:val="decimal"/>
      <w:start w:val="5"/>
    </w:lvl>
    <w:lvl w:ilvl="2">
      <w:lvlJc w:val="left"/>
      <w:lvlText w:val="(%3)"/>
      <w:numFmt w:val="decimal"/>
      <w:start w:val="1"/>
    </w:lvl>
  </w:abstractNum>
  <w:abstractNum w:abstractNumId="60">
    <w:nsid w:val="1DBABF00"/>
    <w:multiLevelType w:val="hybridMultilevel"/>
    <w:lvl w:ilvl="0">
      <w:lvlJc w:val="left"/>
      <w:lvlText w:val="%1."/>
      <w:numFmt w:val="decimal"/>
      <w:start w:val="6"/>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4"/>
    </w:lvl>
    <w:lvl w:ilvl="1">
      <w:lvlJc w:val="left"/>
      <w:lvlText w:val="%2."/>
      <w:numFmt w:val="decimal"/>
      <w:start w:val="13"/>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1"/>
    </w:lvl>
    <w:lvl w:ilvl="1">
      <w:lvlJc w:val="left"/>
      <w:lvlText w:val="%2."/>
      <w:numFmt w:val="decimal"/>
      <w:start w:val="14"/>
    </w:lvl>
  </w:abstractNum>
  <w:abstractNum w:abstractNumId="65">
    <w:nsid w:val="100F8FCA"/>
    <w:multiLevelType w:val="hybridMultilevel"/>
    <w:lvl w:ilvl="0">
      <w:lvlJc w:val="left"/>
      <w:lvlText w:val="(%1)"/>
      <w:numFmt w:val="lowerLetter"/>
      <w:start w:val="1"/>
    </w:lvl>
    <w:lvl w:ilvl="1">
      <w:lvlJc w:val="left"/>
      <w:lvlText w:val="%2"/>
      <w:numFmt w:val="decimal"/>
      <w:start w:val="1"/>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50" Type="http://schemas.openxmlformats.org/officeDocument/2006/relationships/image" Target="media/image8.png"/><Relationship Id="rId51" Type="http://schemas.openxmlformats.org/officeDocument/2006/relationships/image" Target="media/image9.png"/><Relationship Id="rId52" Type="http://schemas.openxmlformats.org/officeDocument/2006/relationships/image" Target="media/image10.png"/><Relationship Id="rId53" Type="http://schemas.openxmlformats.org/officeDocument/2006/relationships/image" Target="media/image11.png"/><Relationship Id="rId15" Type="http://schemas.openxmlformats.org/officeDocument/2006/relationships/hyperlink" Target="http://www.sec.gov/Archives/edgar/data/842633/000119312515245544/d17730dex21.htm" TargetMode="External"/><Relationship Id="rId16" Type="http://schemas.openxmlformats.org/officeDocument/2006/relationships/hyperlink" Target="http://www.sec.gov/Archives/edgar/data/842633/000084263319000118/trs2019assetandstockpu.htm" TargetMode="External"/><Relationship Id="rId17" Type="http://schemas.openxmlformats.org/officeDocument/2006/relationships/hyperlink" Target="http://www.sec.gov/Archives/edgar/data/842633/000110465907058776/a07-19157_1ex3d1.htm" TargetMode="External"/><Relationship Id="rId18" Type="http://schemas.openxmlformats.org/officeDocument/2006/relationships/hyperlink" Target="http://www.sec.gov/Archives/edgar/data/842633/000084263315000161/thirdamendedandrestatedbyl.htm" TargetMode="External"/><Relationship Id="rId19" Type="http://schemas.openxmlformats.org/officeDocument/2006/relationships/hyperlink" Target="http://www.sec.gov/Archives/edgar/data/842633/000119312517289439/d431929dex41.htm" TargetMode="External"/><Relationship Id="rId20" Type="http://schemas.openxmlformats.org/officeDocument/2006/relationships/hyperlink" Target="http://www.sec.gov/Archives/edgar/data/842633/000095013602002871/file007.txt" TargetMode="External"/><Relationship Id="rId21" Type="http://schemas.openxmlformats.org/officeDocument/2006/relationships/hyperlink" Target="http://www.sec.gov/Archives/edgar/data/842633/000104746906011878/a2173092zex-10_26.htm" TargetMode="External"/><Relationship Id="rId22" Type="http://schemas.openxmlformats.org/officeDocument/2006/relationships/hyperlink" Target="http://www.sec.gov/Archives/edgar/data/842633/000104746908008876/a2187230zex-10_23.htm" TargetMode="External"/><Relationship Id="rId23" Type="http://schemas.openxmlformats.org/officeDocument/2006/relationships/hyperlink" Target="http://www.sec.gov/Archives/edgar/data/842633/000095013603001456/file005.txt" TargetMode="External"/><Relationship Id="rId24" Type="http://schemas.openxmlformats.org/officeDocument/2006/relationships/hyperlink" Target="http://www.sec.gov/Archives/edgar/data/842633/000119312513405477/d614258dex101.htm" TargetMode="External"/><Relationship Id="rId25" Type="http://schemas.openxmlformats.org/officeDocument/2006/relationships/hyperlink" Target="http://www.sec.gov/Archives/edgar/data/842633/000119312514376398/d804320dex101.htm" TargetMode="External"/><Relationship Id="rId26" Type="http://schemas.openxmlformats.org/officeDocument/2006/relationships/hyperlink" Target="http://www.sec.gov/Archives/edgar/data/842633/000119312515245544/d17730dex105.htm" TargetMode="External"/><Relationship Id="rId27" Type="http://schemas.openxmlformats.org/officeDocument/2006/relationships/hyperlink" Target="http://www.sec.gov/Archives/edgar/data/842633/000084263317000059/trs_03312017xexh104.htm" TargetMode="External"/><Relationship Id="rId28" Type="http://schemas.openxmlformats.org/officeDocument/2006/relationships/hyperlink" Target="http://www.sec.gov/Archives/edgar/data/842633/000084263317000059/trs_03312017xexh105.htm" TargetMode="External"/><Relationship Id="rId29" Type="http://schemas.openxmlformats.org/officeDocument/2006/relationships/hyperlink" Target="http://www.sec.gov/Archives/edgar/data/842633/000119312517289439/d431929dex101.htm" TargetMode="External"/><Relationship Id="rId30" Type="http://schemas.openxmlformats.org/officeDocument/2006/relationships/hyperlink" Target="http://www.sec.gov/Archives/edgar/data/842633/000104746910002792/a2197661zex-99_1.htm" TargetMode="External"/><Relationship Id="rId31" Type="http://schemas.openxmlformats.org/officeDocument/2006/relationships/hyperlink" Target="http://www.sec.gov/Archives/edgar/data/842633/000110465909015133/a09-7188_1ex10d1.htm" TargetMode="External"/><Relationship Id="rId32" Type="http://schemas.openxmlformats.org/officeDocument/2006/relationships/hyperlink" Target="http://www.sec.gov/Archives/edgar/data/842633/000110465909069548/a09-35212_1ex10d2.htm" TargetMode="External"/><Relationship Id="rId33" Type="http://schemas.openxmlformats.org/officeDocument/2006/relationships/hyperlink" Target="http://www.sec.gov/Archives/edgar/data/842633/000110465911018517/a11-9647_2ex99d1.htm" TargetMode="External"/><Relationship Id="rId34" Type="http://schemas.openxmlformats.org/officeDocument/2006/relationships/hyperlink" Target="http://www.sec.gov/Archives/edgar/data/842633/000084263313000091/trs-2013proxy.htm" TargetMode="External"/><Relationship Id="rId35" Type="http://schemas.openxmlformats.org/officeDocument/2006/relationships/hyperlink" Target="http://www.sec.gov/Archives/edgar/data/842633/000084263317000084/trs_06302017xexh101.htm" TargetMode="External"/><Relationship Id="rId36" Type="http://schemas.openxmlformats.org/officeDocument/2006/relationships/hyperlink" Target="http://www.sec.gov/Archives/edgar/data/842633/000084263319000025/trimasexecutiveseverance-c.htm" TargetMode="External"/><Relationship Id="rId37" Type="http://schemas.openxmlformats.org/officeDocument/2006/relationships/hyperlink" Target="http://www.sec.gov/Archives/edgar/data/842633/000084263316000271/trs_09302016xexh103.htm" TargetMode="External"/><Relationship Id="rId38" Type="http://schemas.openxmlformats.org/officeDocument/2006/relationships/hyperlink" Target="http://www.sec.gov/Archives/edgar/data/842633/000084263317000059/trs_03312017xexh101.htm" TargetMode="External"/><Relationship Id="rId39" Type="http://schemas.openxmlformats.org/officeDocument/2006/relationships/hyperlink" Target="http://www.sec.gov/Archives/edgar/data/842633/000084263317000059/trs_03312017xexh102.htm" TargetMode="External"/><Relationship Id="rId40" Type="http://schemas.openxmlformats.org/officeDocument/2006/relationships/hyperlink" Target="http://www.sec.gov/Archives/edgar/data/842633/000084263318000066/trs_06302018xexh101.htm" TargetMode="External"/><Relationship Id="rId41" Type="http://schemas.openxmlformats.org/officeDocument/2006/relationships/hyperlink" Target="http://www.sec.gov/Archives/edgar/data/842633/000084263318000066/trs_06302018xexh102.htm" TargetMode="External"/><Relationship Id="rId42" Type="http://schemas.openxmlformats.org/officeDocument/2006/relationships/hyperlink" Target="http://www.sec.gov/Archives/edgar/data/842633/000084263318000066/trs_06302018xexh103.htm" TargetMode="External"/><Relationship Id="rId43" Type="http://schemas.openxmlformats.org/officeDocument/2006/relationships/hyperlink" Target="http://www.sec.gov/Archives/edgar/data/842633/000084263313000204/a101_formofindemnification.htm" TargetMode="External"/><Relationship Id="rId44" Type="http://schemas.openxmlformats.org/officeDocument/2006/relationships/hyperlink" Target="http://www.sec.gov/Archives/edgar/data/842633/000119312515245544/d17730dex101.htm" TargetMode="External"/><Relationship Id="rId45" Type="http://schemas.openxmlformats.org/officeDocument/2006/relationships/hyperlink" Target="http://www.sec.gov/Archives/edgar/data/842633/000119312515245544/d17730dex104.htm" TargetMode="External"/><Relationship Id="rId46" Type="http://schemas.openxmlformats.org/officeDocument/2006/relationships/hyperlink" Target="http://www.sec.gov/Archives/edgar/data/842633/000084263316000271/trs_09302016xexh102.htm" TargetMode="External"/><Relationship Id="rId47" Type="http://schemas.openxmlformats.org/officeDocument/2006/relationships/hyperlink" Target="http://www.sec.gov/Archives/edgar/data/842633/000084263319000083/trs06302019exh103.htm" TargetMode="External"/><Relationship Id="rId48" Type="http://schemas.openxmlformats.org/officeDocument/2006/relationships/hyperlink" Target="http://www.sec.gov/Archives/edgar/data/842633/000084263319000083/trs06302019exh101.htm" TargetMode="External"/><Relationship Id="rId49" Type="http://schemas.openxmlformats.org/officeDocument/2006/relationships/hyperlink" Target="http://www.sec.gov/Archives/edgar/data/842633/000084263319000083/trs06302019exh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2020-02-27T10:46:30Z</dcterms:created>
  <dcterms:modified xsi:type="dcterms:W3CDTF">2020-02-27T10:46:30Z</dcterms:modified>
</cp:coreProperties>
</file>