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058" w:type="dxa"/>
        <w:jc w:val="left"/>
        <w:tblInd w:w="0" w:type="dxa"/>
        <w:tblLayout w:type="fixed"/>
        <w:tblCellMar>
          <w:top w:w="28" w:type="dxa"/>
          <w:left w:w="28" w:type="dxa"/>
          <w:bottom w:w="28" w:type="dxa"/>
          <w:right w:w="28" w:type="dxa"/>
        </w:tblCellMar>
      </w:tblPr>
      <w:tblGrid>
        <w:gridCol w:w="124"/>
        <w:gridCol w:w="109"/>
        <w:gridCol w:w="109"/>
        <w:gridCol w:w="2113"/>
        <w:gridCol w:w="2113"/>
        <w:gridCol w:w="21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UNITED STATES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 xml:space="preserve">July 30,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TRIMAS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739" w:type="dxa"/>
        <w:jc w:val="left"/>
        <w:tblInd w:w="0" w:type="dxa"/>
        <w:tblLayout w:type="fixed"/>
        <w:tblCellMar>
          <w:top w:w="28" w:type="dxa"/>
          <w:left w:w="28" w:type="dxa"/>
          <w:bottom w:w="28" w:type="dxa"/>
          <w:right w:w="28" w:type="dxa"/>
        </w:tblCellMar>
      </w:tblPr>
      <w:tblGrid>
        <w:gridCol w:w="812"/>
        <w:gridCol w:w="713"/>
        <w:gridCol w:w="724"/>
        <w:gridCol w:w="109"/>
        <w:gridCol w:w="109"/>
        <w:gridCol w:w="109"/>
        <w:gridCol w:w="394"/>
        <w:gridCol w:w="394"/>
        <w:gridCol w:w="398"/>
        <w:gridCol w:w="109"/>
        <w:gridCol w:w="109"/>
        <w:gridCol w:w="109"/>
        <w:gridCol w:w="482"/>
        <w:gridCol w:w="482"/>
        <w:gridCol w:w="68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001-10716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38-2687639</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color w:val="000000"/>
        </w:rPr>
      </w:pPr>
      <w:r>
        <w:rPr>
          <w:color w:val="000000"/>
        </w:rPr>
        <w:t> </w:t>
      </w:r>
    </w:p>
    <w:tbl>
      <w:tblPr>
        <w:tblW w:w="6235" w:type="dxa"/>
        <w:jc w:val="left"/>
        <w:tblInd w:w="0" w:type="dxa"/>
        <w:tblLayout w:type="fixed"/>
        <w:tblCellMar>
          <w:top w:w="28" w:type="dxa"/>
          <w:left w:w="28" w:type="dxa"/>
          <w:bottom w:w="28" w:type="dxa"/>
          <w:right w:w="28" w:type="dxa"/>
        </w:tblCellMar>
      </w:tblPr>
      <w:tblGrid>
        <w:gridCol w:w="869"/>
        <w:gridCol w:w="763"/>
        <w:gridCol w:w="768"/>
        <w:gridCol w:w="309"/>
        <w:gridCol w:w="309"/>
        <w:gridCol w:w="311"/>
        <w:gridCol w:w="514"/>
        <w:gridCol w:w="514"/>
        <w:gridCol w:w="516"/>
        <w:gridCol w:w="109"/>
        <w:gridCol w:w="109"/>
        <w:gridCol w:w="109"/>
        <w:gridCol w:w="303"/>
        <w:gridCol w:w="303"/>
        <w:gridCol w:w="429"/>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38505 Woodward Avenue,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200,</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Bloomfield Hills,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48304</w:t>
            </w:r>
          </w:p>
        </w:tc>
      </w:tr>
      <w:tr>
        <w:trPr/>
        <w:tc>
          <w:tcPr>
            <w:tcW w:w="4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ind w:left="0" w:right="0" w:firstLine="288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 xml:space="preserve">(248) 631-5450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53" w:type="dxa"/>
        <w:jc w:val="center"/>
        <w:tblInd w:w="0" w:type="dxa"/>
        <w:tblLayout w:type="fixed"/>
        <w:tblCellMar>
          <w:top w:w="28" w:type="dxa"/>
          <w:left w:w="28" w:type="dxa"/>
          <w:bottom w:w="28" w:type="dxa"/>
          <w:right w:w="28" w:type="dxa"/>
        </w:tblCellMar>
      </w:tblPr>
      <w:tblGrid>
        <w:gridCol w:w="975"/>
        <w:gridCol w:w="857"/>
        <w:gridCol w:w="867"/>
        <w:gridCol w:w="554"/>
        <w:gridCol w:w="554"/>
        <w:gridCol w:w="556"/>
        <w:gridCol w:w="991"/>
        <w:gridCol w:w="991"/>
        <w:gridCol w:w="1408"/>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TRS</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tbl>
      <w:tblPr>
        <w:tblW w:w="367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69"/>
        <w:gridCol w:w="769"/>
        <w:gridCol w:w="7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9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TriMas Corporation (the “Company”) issued a press release on July 30, 2026, reporting its financial results for the second quarter ending June 30, 2026. A copy of the press release is attached hereto as Exhibit 99.1 and is incorporated herein by reference. The press release is also available on the Corporation's website at </w:t>
      </w:r>
      <w:r>
        <w:rPr>
          <w:rFonts w:ascii="Times New Roman;serif" w:hAnsi="Times New Roman;serif"/>
          <w:b w:val="false"/>
          <w:color w:val="0000FF"/>
          <w:sz w:val="20"/>
          <w:u w:val="single"/>
        </w:rPr>
        <w:t>www.trimas.com</w:t>
      </w:r>
      <w:r>
        <w:rPr>
          <w:rFonts w:ascii="Times New Roman;serif" w:hAnsi="Times New Roman;serif"/>
          <w:b w:val="false"/>
          <w:color w:val="000000"/>
          <w:sz w:val="20"/>
        </w:rPr>
        <w: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information presented in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(the "Securities Act") or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 The following exhibits are furnished herewith:</w:t>
      </w:r>
    </w:p>
    <w:tbl>
      <w:tblPr>
        <w:tblW w:w="9441" w:type="dxa"/>
        <w:jc w:val="center"/>
        <w:tblInd w:w="0" w:type="dxa"/>
        <w:tblLayout w:type="fixed"/>
        <w:tblCellMar>
          <w:top w:w="28" w:type="dxa"/>
          <w:left w:w="28" w:type="dxa"/>
          <w:bottom w:w="28" w:type="dxa"/>
          <w:right w:w="28" w:type="dxa"/>
        </w:tblCellMar>
      </w:tblPr>
      <w:tblGrid>
        <w:gridCol w:w="385"/>
        <w:gridCol w:w="338"/>
        <w:gridCol w:w="341"/>
        <w:gridCol w:w="109"/>
        <w:gridCol w:w="109"/>
        <w:gridCol w:w="109"/>
        <w:gridCol w:w="852"/>
        <w:gridCol w:w="852"/>
        <w:gridCol w:w="852"/>
        <w:gridCol w:w="852"/>
        <w:gridCol w:w="852"/>
        <w:gridCol w:w="852"/>
        <w:gridCol w:w="852"/>
        <w:gridCol w:w="852"/>
        <w:gridCol w:w="12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trs_06302026xexhibit991.htm">
              <w:r>
                <w:rPr>
                  <w:rStyle w:val="InternetLink"/>
                  <w:rFonts w:ascii="Times New Roman;serif" w:hAnsi="Times New Roman;serif"/>
                  <w:b w:val="false"/>
                  <w:color w:val="000080"/>
                  <w:sz w:val="20"/>
                  <w:u w:val="single"/>
                </w:rPr>
                <w:t xml:space="preserve">Press Release, dated July 30, 2026, reporting financial results for the quarter ended </w:t>
              </w:r>
            </w:hyperlink>
            <w:hyperlink w:anchor="trs_06302026xexhibit991.htm">
              <w:r>
                <w:rPr>
                  <w:rStyle w:val="InternetLink"/>
                  <w:rFonts w:ascii="Times New Roman;serif" w:hAnsi="Times New Roman;serif"/>
                  <w:b w:val="false"/>
                  <w:color w:val="000080"/>
                  <w:sz w:val="20"/>
                  <w:u w:val="single"/>
                </w:rPr>
                <w:t>June</w:t>
              </w:r>
            </w:hyperlink>
            <w:hyperlink w:anchor="trs_06302026xexhibit991.htm">
              <w:r>
                <w:rPr>
                  <w:rStyle w:val="InternetLink"/>
                  <w:rFonts w:ascii="Times New Roman;serif" w:hAnsi="Times New Roman;serif"/>
                  <w:b w:val="false"/>
                  <w:color w:val="000080"/>
                  <w:sz w:val="20"/>
                  <w:u w:val="single"/>
                </w:rPr>
                <w:t xml:space="preserve"> 3</w:t>
              </w:r>
            </w:hyperlink>
            <w:hyperlink w:anchor="trs_06302026xexhibit991.htm">
              <w:r>
                <w:rPr>
                  <w:rStyle w:val="InternetLink"/>
                  <w:rFonts w:ascii="Times New Roman;serif" w:hAnsi="Times New Roman;serif"/>
                  <w:b w:val="false"/>
                  <w:color w:val="000080"/>
                  <w:sz w:val="20"/>
                  <w:u w:val="single"/>
                </w:rPr>
                <w:t>0</w:t>
              </w:r>
            </w:hyperlink>
            <w:hyperlink w:anchor="trs_06302026xexhibit991.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92" w:type="dxa"/>
        <w:jc w:val="center"/>
        <w:tblInd w:w="0" w:type="dxa"/>
        <w:tblLayout w:type="fixed"/>
        <w:tblCellMar>
          <w:top w:w="28" w:type="dxa"/>
          <w:left w:w="28" w:type="dxa"/>
          <w:bottom w:w="28" w:type="dxa"/>
          <w:right w:w="28" w:type="dxa"/>
        </w:tblCellMar>
      </w:tblPr>
      <w:tblGrid>
        <w:gridCol w:w="200"/>
        <w:gridCol w:w="177"/>
        <w:gridCol w:w="178"/>
        <w:gridCol w:w="109"/>
        <w:gridCol w:w="109"/>
        <w:gridCol w:w="109"/>
        <w:gridCol w:w="404"/>
        <w:gridCol w:w="404"/>
        <w:gridCol w:w="407"/>
        <w:gridCol w:w="109"/>
        <w:gridCol w:w="109"/>
        <w:gridCol w:w="109"/>
        <w:gridCol w:w="243"/>
        <w:gridCol w:w="243"/>
        <w:gridCol w:w="243"/>
        <w:gridCol w:w="243"/>
        <w:gridCol w:w="243"/>
        <w:gridCol w:w="243"/>
        <w:gridCol w:w="588"/>
        <w:gridCol w:w="588"/>
        <w:gridCol w:w="8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TRIMAS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A. Swart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A. Swart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pPr>
      <w:r>
        <w:rPr/>
        <w:drawing>
          <wp:inline distT="0" distB="0" distL="0" distR="0">
            <wp:extent cx="1609725" cy="4953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609725" cy="49530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TRIMAS REPORTS SECOND QUARTER 2026 RESULTS</w:t>
      </w:r>
    </w:p>
    <w:p>
      <w:pPr>
        <w:pStyle w:val="TextBody"/>
        <w:bidi w:val="0"/>
        <w:spacing w:lineRule="auto" w:line="288" w:before="0" w:after="0"/>
        <w:jc w:val="center"/>
        <w:rPr>
          <w:rFonts w:ascii="Arial;sans-serif" w:hAnsi="Arial;sans-serif"/>
          <w:b/>
          <w:i/>
          <w:color w:val="000000"/>
          <w:sz w:val="22"/>
        </w:rPr>
      </w:pPr>
      <w:r>
        <w:rPr>
          <w:rFonts w:ascii="Arial;sans-serif" w:hAnsi="Arial;sans-serif"/>
          <w:b/>
          <w:i/>
          <w:color w:val="000000"/>
          <w:sz w:val="22"/>
        </w:rPr>
        <w:t xml:space="preserve">Raises Low End and Midpoint of Full Year 2026 EPS Outlook </w:t>
      </w:r>
    </w:p>
    <w:p>
      <w:pPr>
        <w:pStyle w:val="TextBody"/>
        <w:bidi w:val="0"/>
        <w:spacing w:lineRule="auto" w:line="288" w:before="120" w:after="283"/>
        <w:ind w:left="0" w:right="0" w:hanging="180"/>
        <w:jc w:val="left"/>
        <w:rPr/>
      </w:pPr>
      <w:r>
        <w:rPr>
          <w:color w:val="000000"/>
        </w:rPr>
        <w:t>•</w:t>
      </w:r>
      <w:r>
        <w:rPr>
          <w:rFonts w:ascii="Arial;sans-serif" w:hAnsi="Arial;sans-serif"/>
          <w:b w:val="false"/>
          <w:i/>
          <w:color w:val="000000"/>
          <w:sz w:val="20"/>
        </w:rPr>
        <w:t xml:space="preserve">Second quarter operating profit increased to $10.9 million, while adjusted operating profit increased 29.1% to $14.9 million </w:t>
      </w:r>
    </w:p>
    <w:p>
      <w:pPr>
        <w:pStyle w:val="TextBody"/>
        <w:bidi w:val="0"/>
        <w:spacing w:lineRule="auto" w:line="288" w:before="0" w:after="0"/>
        <w:ind w:left="0" w:right="0" w:hanging="180"/>
        <w:jc w:val="left"/>
        <w:rPr/>
      </w:pPr>
      <w:r>
        <w:rPr>
          <w:color w:val="000000"/>
        </w:rPr>
        <w:t>•</w:t>
      </w:r>
      <w:r>
        <w:rPr>
          <w:rFonts w:ascii="Arial;sans-serif" w:hAnsi="Arial;sans-serif"/>
          <w:b w:val="false"/>
          <w:i/>
          <w:color w:val="000000"/>
          <w:sz w:val="20"/>
        </w:rPr>
        <w:t xml:space="preserve">Second quarter diluted EPS increased to $1.86, with adjusted diluted EPS of $0.52 </w:t>
      </w:r>
    </w:p>
    <w:p>
      <w:pPr>
        <w:pStyle w:val="TextBody"/>
        <w:bidi w:val="0"/>
        <w:spacing w:lineRule="auto" w:line="288" w:before="0" w:after="0"/>
        <w:ind w:left="0" w:right="0" w:hanging="180"/>
        <w:jc w:val="left"/>
        <w:rPr/>
      </w:pPr>
      <w:r>
        <w:rPr>
          <w:color w:val="000000"/>
        </w:rPr>
        <w:t>•</w:t>
      </w:r>
      <w:r>
        <w:rPr>
          <w:rFonts w:ascii="Arial;sans-serif" w:hAnsi="Arial;sans-serif"/>
          <w:b w:val="false"/>
          <w:i/>
          <w:color w:val="000000"/>
          <w:sz w:val="20"/>
        </w:rPr>
        <w:t>Repurchased more than 5 million shares of common stock since November 2025</w:t>
      </w:r>
    </w:p>
    <w:p>
      <w:pPr>
        <w:pStyle w:val="TextBody"/>
        <w:bidi w:val="0"/>
        <w:spacing w:lineRule="auto" w:line="288" w:before="0" w:after="0"/>
        <w:ind w:left="0" w:right="0" w:hanging="180"/>
        <w:jc w:val="left"/>
        <w:rPr/>
      </w:pPr>
      <w:r>
        <w:rPr>
          <w:color w:val="000000"/>
        </w:rPr>
        <w:t>•</w:t>
      </w:r>
      <w:r>
        <w:rPr>
          <w:rFonts w:ascii="Arial;sans-serif" w:hAnsi="Arial;sans-serif"/>
          <w:b w:val="false"/>
          <w:i/>
          <w:color w:val="000000"/>
          <w:sz w:val="20"/>
        </w:rPr>
        <w:t xml:space="preserve">Ended the quarter with $1.24 billion of cash and cash equivalents </w:t>
      </w:r>
    </w:p>
    <w:p>
      <w:pPr>
        <w:pStyle w:val="TextBody"/>
        <w:bidi w:val="0"/>
        <w:spacing w:lineRule="auto" w:line="288" w:before="180" w:after="120"/>
        <w:jc w:val="both"/>
        <w:rPr/>
      </w:pPr>
      <w:r>
        <w:rPr>
          <w:rFonts w:ascii="Arial;sans-serif" w:hAnsi="Arial;sans-serif"/>
          <w:b/>
          <w:color w:val="000000"/>
          <w:sz w:val="20"/>
        </w:rPr>
        <w:t>BLOOMFIELD HILLS, Michigan, July 30, 2026</w:t>
      </w:r>
      <w:r>
        <w:rPr>
          <w:color w:val="000000"/>
        </w:rPr>
        <w:t xml:space="preserve"> </w:t>
      </w:r>
      <w:r>
        <w:rPr>
          <w:rFonts w:ascii="Arial;sans-serif" w:hAnsi="Arial;sans-serif"/>
          <w:b w:val="false"/>
          <w:color w:val="000000"/>
          <w:sz w:val="20"/>
        </w:rPr>
        <w:t xml:space="preserve">- TriMas (NASDAQ: TRS) today announced financial results for the second quarter ended June 30, 2026. </w:t>
      </w:r>
    </w:p>
    <w:p>
      <w:pPr>
        <w:pStyle w:val="TextBody"/>
        <w:bidi w:val="0"/>
        <w:spacing w:lineRule="auto" w:line="288" w:before="120" w:after="283"/>
        <w:jc w:val="both"/>
        <w:rPr/>
      </w:pPr>
      <w:r>
        <w:rPr>
          <w:rFonts w:ascii="Arial;sans-serif" w:hAnsi="Arial;sans-serif"/>
          <w:b w:val="false"/>
          <w:color w:val="000000"/>
          <w:sz w:val="20"/>
        </w:rPr>
        <w:t>TriMas reported second quarter 2026 net sales of $174.6 million, a 1.6% increase compared to $171.8 million in second quarter 2025, driven by organic growth within Specialty Products and the benefit of favorable foreign currency exchange. Operating profit increased to $10.9 million in second quarter 2026, compared to $7.4 million in second quarter 2025. Adjusting for Special Items</w:t>
      </w:r>
      <w:r>
        <w:rPr>
          <w:rFonts w:ascii="Arial;sans-serif" w:hAnsi="Arial;sans-serif"/>
          <w:b w:val="false"/>
          <w:color w:val="000000"/>
          <w:sz w:val="13"/>
        </w:rPr>
        <w:t>(1)</w:t>
      </w:r>
      <w:r>
        <w:rPr>
          <w:rFonts w:ascii="Arial;sans-serif" w:hAnsi="Arial;sans-serif"/>
          <w:b w:val="false"/>
          <w:color w:val="000000"/>
          <w:sz w:val="20"/>
        </w:rPr>
        <w:t>, second quarter 2026 adjusted operating profit was $14.9 million, a 29.1% increase compared to $11.5 million in the prior year period, reflecting the successful execution of cost-reduction and streamlining initiatives.</w:t>
      </w:r>
    </w:p>
    <w:p>
      <w:pPr>
        <w:pStyle w:val="TextBody"/>
        <w:bidi w:val="0"/>
        <w:spacing w:lineRule="auto" w:line="288" w:before="120" w:after="283"/>
        <w:jc w:val="both"/>
        <w:rPr/>
      </w:pPr>
      <w:r>
        <w:rPr>
          <w:rFonts w:ascii="Arial;sans-serif" w:hAnsi="Arial;sans-serif"/>
          <w:b w:val="false"/>
          <w:color w:val="000000"/>
          <w:sz w:val="20"/>
        </w:rPr>
        <w:t>The Company reported second quarter 2026 income from continuing operations of $67.3 million, or $1.86 per diluted share, compared with $2.4 million, or $0.06 per diluted share, in second quarter 2025. Adjusting for Special Items</w:t>
      </w:r>
      <w:r>
        <w:rPr>
          <w:rFonts w:ascii="Arial;sans-serif" w:hAnsi="Arial;sans-serif"/>
          <w:b w:val="false"/>
          <w:color w:val="000000"/>
          <w:sz w:val="13"/>
        </w:rPr>
        <w:t>(1)</w:t>
      </w:r>
      <w:r>
        <w:rPr>
          <w:rFonts w:ascii="Arial;sans-serif" w:hAnsi="Arial;sans-serif"/>
          <w:b w:val="false"/>
          <w:color w:val="000000"/>
          <w:sz w:val="20"/>
        </w:rPr>
        <w:t>, second quarter 2026 adjusted income</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from continuing operations was $19.0 million, more than double the prior year period of $8.1 million. Second quarter 2026 adjusted diluted earnings per share</w:t>
      </w:r>
      <w:r>
        <w:rPr>
          <w:rFonts w:ascii="Arial;sans-serif" w:hAnsi="Arial;sans-serif"/>
          <w:b w:val="false"/>
          <w:color w:val="000000"/>
          <w:sz w:val="13"/>
        </w:rPr>
        <w:t xml:space="preserve">(2) </w:t>
      </w:r>
      <w:r>
        <w:rPr>
          <w:rFonts w:ascii="Arial;sans-serif" w:hAnsi="Arial;sans-serif"/>
          <w:b w:val="false"/>
          <w:color w:val="000000"/>
          <w:sz w:val="20"/>
        </w:rPr>
        <w:t>from continuing operations was $0.52, an increase of 160.0%</w:t>
      </w:r>
      <w:r>
        <w:rPr>
          <w:color w:val="000000"/>
        </w:rPr>
        <w:t xml:space="preserve"> </w:t>
      </w:r>
      <w:r>
        <w:rPr>
          <w:rFonts w:ascii="Arial;sans-serif" w:hAnsi="Arial;sans-serif"/>
          <w:b w:val="false"/>
          <w:color w:val="000000"/>
          <w:sz w:val="20"/>
        </w:rPr>
        <w:t xml:space="preserve">compared to $0.20 in second quarter 2025, primarily reflecting interest income earned on the Company’s cash and cash equivalents, cost reductions, improved operating performance and the benefit of a lower share count resulting from the Company's share repurchase activity. </w:t>
      </w:r>
    </w:p>
    <w:p>
      <w:pPr>
        <w:pStyle w:val="TextBody"/>
        <w:bidi w:val="0"/>
        <w:spacing w:lineRule="auto" w:line="288" w:before="120" w:after="120"/>
        <w:jc w:val="both"/>
        <w:rPr>
          <w:color w:val="000000"/>
        </w:rPr>
      </w:pPr>
      <w:r>
        <w:rPr>
          <w:color w:val="000000"/>
        </w:rPr>
        <w:t>“</w:t>
      </w:r>
      <w:r>
        <w:rPr>
          <w:rFonts w:ascii="Arial;sans-serif" w:hAnsi="Arial;sans-serif"/>
          <w:b w:val="false"/>
          <w:color w:val="000000"/>
          <w:sz w:val="20"/>
        </w:rPr>
        <w:t>Our second quarter results reflect continued progress against the priorities we established at the beginning of 2026,” said Thomas Snyder, TriMas President and Chief Executive Officer. “We delivered improved profitability and operating margin despite a dynamic market environment, driven by the successful execution of our cost-reduction actions and certain operational improvement initiatives. During the quarter, we also strengthened our leadership team, and enhanced organizational alignment and accountability through our strategic planning process, while advancing customer engagement and operational excellence initiatives."</w:t>
      </w:r>
    </w:p>
    <w:p>
      <w:pPr>
        <w:pStyle w:val="TextBody"/>
        <w:bidi w:val="0"/>
        <w:spacing w:lineRule="auto" w:line="288" w:before="120" w:after="60"/>
        <w:jc w:val="both"/>
        <w:rPr>
          <w:rFonts w:ascii="Arial;sans-serif" w:hAnsi="Arial;sans-serif"/>
          <w:b w:val="false"/>
          <w:color w:val="000000"/>
          <w:sz w:val="20"/>
        </w:rPr>
      </w:pPr>
      <w:r>
        <w:rPr>
          <w:rFonts w:ascii="Arial;sans-serif" w:hAnsi="Arial;sans-serif"/>
          <w:b w:val="false"/>
          <w:color w:val="000000"/>
          <w:sz w:val="20"/>
        </w:rPr>
        <w:t>"As we move through the second half of the year, we expect the run-rate benefits of our cost reduction and operational excellence initiatives to continue building, supporting further performance improvement. At the same time, we remain focused on disciplined capital deployment, having repurchased more than five million shares since announcing the Aerospace divestiture, while preserving the flexibility to invest in organic growth initiatives and strategically aligned, high-quality acquisition opportunities that elevate our Packaging and Life Sciences platforms. We believe the actions we have taken to simplify and strengthen TriMas have positioned us well to continue delivering improved results and long-term shareholder value.”</w:t>
      </w:r>
    </w:p>
    <w:p>
      <w:pPr>
        <w:pStyle w:val="TextBody"/>
        <w:bidi w:val="0"/>
        <w:spacing w:lineRule="auto" w:line="288" w:before="180" w:after="120"/>
        <w:jc w:val="both"/>
        <w:rPr>
          <w:rFonts w:ascii="Arial;sans-serif" w:hAnsi="Arial;sans-serif"/>
          <w:b/>
          <w:color w:val="000000"/>
          <w:sz w:val="20"/>
          <w:u w:val="single"/>
        </w:rPr>
      </w:pPr>
      <w:r>
        <w:rPr>
          <w:rFonts w:ascii="Arial;sans-serif" w:hAnsi="Arial;sans-serif"/>
          <w:b/>
          <w:color w:val="000000"/>
          <w:sz w:val="20"/>
          <w:u w:val="single"/>
        </w:rPr>
        <w:t>Financial Position</w:t>
      </w:r>
    </w:p>
    <w:p>
      <w:pPr>
        <w:pStyle w:val="TextBody"/>
        <w:bidi w:val="0"/>
        <w:spacing w:lineRule="auto" w:line="288" w:before="120" w:after="283"/>
        <w:jc w:val="both"/>
        <w:rPr/>
      </w:pPr>
      <w:r>
        <w:rPr>
          <w:rFonts w:ascii="Arial;sans-serif" w:hAnsi="Arial;sans-serif"/>
          <w:b w:val="false"/>
          <w:color w:val="000000"/>
          <w:sz w:val="20"/>
        </w:rPr>
        <w:t>During the second quarter of 2026, the Company returned capital to shareholders through the repurchase of 509,264 shares of its outstanding common stock for $18.9 million. Year to date through June 30, 2026, the Company repurchased 1,996,321 shares for</w:t>
      </w:r>
      <w:r>
        <w:rPr>
          <w:color w:val="000000"/>
        </w:rPr>
        <w:t xml:space="preserve"> </w:t>
      </w:r>
      <w:r>
        <w:rPr>
          <w:rFonts w:ascii="Arial;sans-serif" w:hAnsi="Arial;sans-serif"/>
          <w:b w:val="false"/>
          <w:color w:val="000000"/>
          <w:sz w:val="20"/>
        </w:rPr>
        <w:t xml:space="preserve">$73.5 million, contributing to a 4.7% net reduction in outstanding shares compared to December 31, 2025. Since announcing the decision to divest TriMas Aerospace in November 2025, the Company has repurchased more than five million shares. As of June 30, 2026, approximately 35.9 million shares were outstanding and $76.5 million remained available under the Company's share repurchase authorization. TriMas also declared and paid a quarterly cash dividend of $0.04 per share. </w:t>
      </w:r>
    </w:p>
    <w:p>
      <w:pPr>
        <w:pStyle w:val="TextBody"/>
        <w:bidi w:val="0"/>
        <w:spacing w:lineRule="auto" w:line="288" w:before="120" w:after="283"/>
        <w:jc w:val="both"/>
        <w:rPr/>
      </w:pPr>
      <w:r>
        <w:rPr>
          <w:rFonts w:ascii="Arial;sans-serif" w:hAnsi="Arial;sans-serif"/>
          <w:b w:val="false"/>
          <w:color w:val="000000"/>
          <w:sz w:val="20"/>
        </w:rPr>
        <w:t>The Company reported net cash used in operating activities of continuing operations of $38.5 million for second quarter 2026, compared to net cash provided by operating activities of $16.5 million in second quarter 2025. As a result, the Company reported a Free Cash Flow</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use of $12.9 million for second quarter 2026, compared to Free Cash Flow</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 xml:space="preserve">of $7.7 million in second quarter 2025, primarily due to the timing of sales and collections in the quarter. Please see Appendix I for further details. </w:t>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120" w:after="283"/>
        <w:jc w:val="both"/>
        <w:rPr/>
      </w:pPr>
      <w:r>
        <w:rPr>
          <w:rFonts w:ascii="Arial;sans-serif" w:hAnsi="Arial;sans-serif"/>
          <w:b w:val="false"/>
          <w:color w:val="000000"/>
          <w:sz w:val="20"/>
        </w:rPr>
        <w:t>TriMas ended second quarter 2026 with $1,242.5 million of cash on hand, $1,446.1 million of cash and available borrowing capacity under its revolving credit facility, and a net leverage ratio of 1.8x as defined in the Company's credit agreement. As of June 30, 2026, the Company reported total debt of $396.9 million and Net Debt</w:t>
      </w:r>
      <w:r>
        <w:rPr>
          <w:rFonts w:ascii="Arial;sans-serif" w:hAnsi="Arial;sans-serif"/>
          <w:b w:val="false"/>
          <w:color w:val="000000"/>
          <w:sz w:val="13"/>
        </w:rPr>
        <w:t>(4)</w:t>
      </w:r>
      <w:r>
        <w:rPr>
          <w:color w:val="000000"/>
        </w:rPr>
        <w:t xml:space="preserve"> </w:t>
      </w:r>
      <w:r>
        <w:rPr>
          <w:rFonts w:ascii="Arial;sans-serif" w:hAnsi="Arial;sans-serif"/>
          <w:b w:val="false"/>
          <w:color w:val="000000"/>
          <w:sz w:val="20"/>
        </w:rPr>
        <w:t>of $(845.6) million, reflecting cash on hand that significantly exceeded the Company's debt position following the divestiture of TriMas Aerospace, which generated approximately $1.2 billion in net after</w:t>
        <w:noBreakHyphen/>
        <w:t>tax proceeds. The remaining proceeds are currently invested in interest</w:t>
        <w:noBreakHyphen/>
        <w:t xml:space="preserve">bearing investments pending further redeployment. </w:t>
      </w:r>
    </w:p>
    <w:p>
      <w:pPr>
        <w:pStyle w:val="TextBody"/>
        <w:bidi w:val="0"/>
        <w:spacing w:lineRule="auto" w:line="288" w:before="180" w:after="120"/>
        <w:jc w:val="both"/>
        <w:rPr>
          <w:rFonts w:ascii="Arial;sans-serif" w:hAnsi="Arial;sans-serif"/>
          <w:b/>
          <w:color w:val="000000"/>
          <w:sz w:val="20"/>
          <w:u w:val="single"/>
        </w:rPr>
      </w:pPr>
      <w:r>
        <w:rPr>
          <w:rFonts w:ascii="Arial;sans-serif" w:hAnsi="Arial;sans-serif"/>
          <w:b/>
          <w:color w:val="000000"/>
          <w:sz w:val="20"/>
          <w:u w:val="single"/>
        </w:rPr>
        <w:t>Second Quarter Segment Results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TriMas Packaging group reported second quarter net sales of $142.9 million, essentially flat compared to the second quarter of 2025. Sales growth in the industrial and life sciences end markets, along with the benefit of favorable foreign currency translation, was largely offset by lower sales in beauty and personal care applications, and food and beverage products. While second quarter operating profit declined, adjusted operating profit and margin both improved year-over-year and sequentially from the first quarter of 2026, reflecting the benefits of cost</w:t>
        <w:noBreakHyphen/>
        <w:t xml:space="preserve">reduction actions, operational improvement initiatives and a more favorable product sales mix.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TriMas' Specialty Products group reported second quarter net sales of $31.7 million, an increase of 10.2% compared to second quarter 2025. Second quarter operating profit and margin declined year-over-year, as the benefits of higher sales volumes were more than offset by a lag in recovering increased raw material costs and temporary manufacturing inefficiencies related to machine downtime and labor ramp-up. </w:t>
      </w:r>
    </w:p>
    <w:p>
      <w:pPr>
        <w:pStyle w:val="TextBody"/>
        <w:bidi w:val="0"/>
        <w:spacing w:lineRule="auto" w:line="288" w:before="180" w:after="120"/>
        <w:jc w:val="both"/>
        <w:rPr>
          <w:rFonts w:ascii="Arial;sans-serif" w:hAnsi="Arial;sans-serif"/>
          <w:b/>
          <w:color w:val="000000"/>
          <w:sz w:val="20"/>
          <w:u w:val="single"/>
        </w:rPr>
      </w:pPr>
      <w:r>
        <w:rPr>
          <w:rFonts w:ascii="Arial;sans-serif" w:hAnsi="Arial;sans-serif"/>
          <w:b/>
          <w:color w:val="000000"/>
          <w:sz w:val="20"/>
          <w:u w:val="single"/>
        </w:rPr>
        <w:t>Discontinued Operations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divestiture of TriMas Aerospace was completed on March 16, 2026, for approximately $1.5 billion in cash, generating net after-tax proceeds of approximately $1.2 billion. To date, proceeds have been used to repay borrowings under the Company's revolving credit facility, fund additional share repurchases and satisfy a portion of transaction-related tax obligations, while the remaining balance has been invested in liquid, interest-bearing accounts. The Company intends to deploy the remaining proceeds in support of capital allocation priorities, which may include organic growth investments, strategic acquisitions and additional share repurchases.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results of TriMas Aerospace, along with transaction-related costs, have been classified as discontinued operations for all periods presented.</w:t>
      </w:r>
    </w:p>
    <w:p>
      <w:pPr>
        <w:pStyle w:val="TextBody"/>
        <w:bidi w:val="0"/>
        <w:spacing w:lineRule="auto" w:line="288" w:before="180" w:after="283"/>
        <w:jc w:val="both"/>
        <w:rPr>
          <w:rFonts w:ascii="Arial;sans-serif" w:hAnsi="Arial;sans-serif"/>
          <w:b/>
          <w:color w:val="000000"/>
          <w:sz w:val="20"/>
          <w:u w:val="single"/>
          <w:shd w:fill="FFFFFF" w:val="clear"/>
        </w:rPr>
      </w:pPr>
      <w:r>
        <w:rPr>
          <w:rFonts w:ascii="Arial;sans-serif" w:hAnsi="Arial;sans-serif"/>
          <w:b/>
          <w:color w:val="000000"/>
          <w:sz w:val="20"/>
          <w:u w:val="single"/>
          <w:shd w:fill="FFFFFF" w:val="clear"/>
        </w:rPr>
        <w:t>Realignment and Cost-Out Initiatives</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TriMas has completed the closure and consolidation of its Atkins, Arkansas, packaging facility. The Company remains on track to deliver approximately $10.5 million of savings in 2026 and $16.0 million of annualized savings related to the previously communicated cost-out actions.</w:t>
      </w:r>
    </w:p>
    <w:p>
      <w:pPr>
        <w:pStyle w:val="TextBody"/>
        <w:bidi w:val="0"/>
        <w:spacing w:lineRule="auto" w:line="288" w:before="180" w:after="283"/>
        <w:jc w:val="both"/>
        <w:rPr>
          <w:rFonts w:ascii="Arial;sans-serif" w:hAnsi="Arial;sans-serif"/>
          <w:b/>
          <w:color w:val="000000"/>
          <w:sz w:val="20"/>
          <w:u w:val="single"/>
        </w:rPr>
      </w:pPr>
      <w:r>
        <w:rPr>
          <w:rFonts w:ascii="Arial;sans-serif" w:hAnsi="Arial;sans-serif"/>
          <w:b/>
          <w:color w:val="000000"/>
          <w:sz w:val="20"/>
          <w:u w:val="single"/>
        </w:rPr>
        <w:t>2026 Outlook</w:t>
      </w:r>
    </w:p>
    <w:p>
      <w:pPr>
        <w:pStyle w:val="TextBody"/>
        <w:bidi w:val="0"/>
        <w:spacing w:lineRule="auto" w:line="288" w:before="120" w:after="283"/>
        <w:jc w:val="both"/>
        <w:rPr/>
      </w:pPr>
      <w:r>
        <w:rPr>
          <w:rFonts w:ascii="Arial;sans-serif" w:hAnsi="Arial;sans-serif"/>
          <w:b w:val="false"/>
          <w:color w:val="000000"/>
          <w:sz w:val="20"/>
          <w:shd w:fill="FFFFFF" w:val="clear"/>
        </w:rPr>
        <w:t>The Company has raised the low end and midpoint of its previously issued full-year 2026 adjusted diluted earnings per share</w:t>
      </w:r>
      <w:r>
        <w:rPr>
          <w:rFonts w:ascii="Arial;sans-serif" w:hAnsi="Arial;sans-serif"/>
          <w:b w:val="false"/>
          <w:color w:val="000000"/>
          <w:sz w:val="13"/>
          <w:shd w:fill="FFFFFF" w:val="clear"/>
        </w:rPr>
        <w:t xml:space="preserve">(2) </w:t>
      </w:r>
      <w:r>
        <w:rPr>
          <w:rFonts w:ascii="Arial;sans-serif" w:hAnsi="Arial;sans-serif"/>
          <w:b w:val="false"/>
          <w:color w:val="000000"/>
          <w:sz w:val="20"/>
          <w:shd w:fill="FFFFFF" w:val="clear"/>
        </w:rPr>
        <w:t>(EPS) outlook and now expects adjusted diluted EPS in the range o</w:t>
      </w:r>
      <w:r>
        <w:rPr>
          <w:rFonts w:ascii="Arial;sans-serif" w:hAnsi="Arial;sans-serif"/>
          <w:b w:val="false"/>
          <w:color w:val="000000"/>
          <w:sz w:val="20"/>
        </w:rPr>
        <w:t>f $1.60 to $1.70,</w:t>
      </w:r>
      <w:r>
        <w:rPr>
          <w:color w:val="000000"/>
          <w:shd w:fill="FFFFFF" w:val="clear"/>
        </w:rPr>
        <w:t xml:space="preserve"> </w:t>
      </w:r>
      <w:r>
        <w:rPr>
          <w:rFonts w:ascii="Arial;sans-serif" w:hAnsi="Arial;sans-serif"/>
          <w:b w:val="false"/>
          <w:color w:val="000000"/>
          <w:sz w:val="20"/>
          <w:shd w:fill="FFFFFF" w:val="clear"/>
        </w:rPr>
        <w:t xml:space="preserve">compared to the prior outlook of $1.50 to $1.70, provided on February 26, 2026. </w:t>
      </w:r>
      <w:r>
        <w:rPr>
          <w:rFonts w:ascii="Arial;sans-serif" w:hAnsi="Arial;sans-serif"/>
          <w:b w:val="false"/>
          <w:color w:val="000000"/>
          <w:sz w:val="20"/>
        </w:rPr>
        <w:t xml:space="preserve">This outlook assumes between $9 million and $10 million of interest income per each remaining quarter of 2026, and assumes no significant change in interest rates or the redeployment of the cash proceeds for the remainder of the year. The Company continues to expect sales growth of 3% to 6% year-over-year across its combined Packaging and Specialty Products businesses, along with more than 300 basis points of adjusted operating profit margin improvement, driven by cost reductions and organizational realignment initiatives. </w:t>
      </w:r>
    </w:p>
    <w:p>
      <w:pPr>
        <w:pStyle w:val="TextBody"/>
        <w:bidi w:val="0"/>
        <w:spacing w:lineRule="auto" w:line="288" w:before="120" w:after="283"/>
        <w:jc w:val="both"/>
        <w:rPr/>
      </w:pPr>
      <w:r>
        <w:rPr>
          <w:rFonts w:ascii="Arial;sans-serif" w:hAnsi="Arial;sans-serif"/>
          <w:b w:val="false"/>
          <w:color w:val="000000"/>
          <w:sz w:val="20"/>
        </w:rPr>
        <w:t>The above outlook includes the impact of all announced acquisitions and divestitures as of July 30, 2026. The outlook provided assumes no significant impact related to input costs or end market demand associated with global conflicts or geopolitical actions. All of the above amounts considered as 2026 guidance are after adjusting for any current or future amounts that may be considered Special Items. The inability to predict the amount and timing of the impacts of these Special Items makes a detailed reconciliation of these forward-looking non-GAAP financial measures impracticable.</w:t>
      </w:r>
      <w:r>
        <w:rPr>
          <w:rFonts w:ascii="Arial;sans-serif" w:hAnsi="Arial;sans-serif"/>
          <w:b w:val="false"/>
          <w:color w:val="000000"/>
          <w:sz w:val="13"/>
        </w:rPr>
        <w:t xml:space="preserve">(1) </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180" w:after="120"/>
        <w:jc w:val="both"/>
        <w:rPr>
          <w:rFonts w:ascii="Arial;sans-serif" w:hAnsi="Arial;sans-serif"/>
          <w:b/>
          <w:color w:val="000000"/>
          <w:sz w:val="20"/>
          <w:u w:val="single"/>
        </w:rPr>
      </w:pPr>
      <w:r>
        <w:rPr>
          <w:rFonts w:ascii="Arial;sans-serif" w:hAnsi="Arial;sans-serif"/>
          <w:b/>
          <w:color w:val="000000"/>
          <w:sz w:val="20"/>
          <w:u w:val="single"/>
        </w:rPr>
        <w:t>Conference Call Information</w:t>
      </w:r>
    </w:p>
    <w:p>
      <w:pPr>
        <w:pStyle w:val="TextBody"/>
        <w:bidi w:val="0"/>
        <w:spacing w:lineRule="auto" w:line="288" w:before="0" w:after="0"/>
        <w:jc w:val="both"/>
        <w:rPr/>
      </w:pPr>
      <w:r>
        <w:rPr>
          <w:rFonts w:ascii="Arial;sans-serif" w:hAnsi="Arial;sans-serif"/>
          <w:b w:val="false"/>
          <w:color w:val="000000"/>
          <w:sz w:val="20"/>
        </w:rPr>
        <w:t xml:space="preserve">TriMas will host its second quarter 2026 earnings conference call today, Thursday, July 30, 2026, at 10 a.m. ET. To participate via phone, please dial (877) 407-0890 (U.S. and Canada) or +1 (201) 389-0918 (outside the U.S. and Canada), and ask to be connected to the TriMas second quarter 2026 earnings conference call. The conference call will also be simultaneously webcast via the TriMas website at </w:t>
      </w:r>
      <w:r>
        <w:rPr>
          <w:rFonts w:ascii="Arial;sans-serif" w:hAnsi="Arial;sans-serif"/>
          <w:b w:val="false"/>
          <w:color w:val="0000FF"/>
          <w:sz w:val="20"/>
          <w:u w:val="single"/>
        </w:rPr>
        <w:t>www.trimas.com</w:t>
      </w:r>
      <w:r>
        <w:rPr>
          <w:rFonts w:ascii="Arial;sans-serif" w:hAnsi="Arial;sans-serif"/>
          <w:b w:val="false"/>
          <w:color w:val="000000"/>
          <w:sz w:val="20"/>
        </w:rPr>
        <w:t xml:space="preserve">, under the "Investors" section, with an accompanying slide presentation. A replay of the conference call will be available on the TriMas website or by dialing (877) 660-6853 (U.S. and Canada) or +1 (201) 612-7415 (outside the U.S. and Canada) with a meeting ID of 13761489, beginning July 30, 2026, at 3:00 p.m. ET through August 13, 2026, at 3:00 p.m. ET. </w:t>
      </w:r>
    </w:p>
    <w:p>
      <w:pPr>
        <w:pStyle w:val="TextBody"/>
        <w:bidi w:val="0"/>
        <w:spacing w:lineRule="auto" w:line="288" w:before="180" w:after="120"/>
        <w:jc w:val="both"/>
        <w:rPr>
          <w:rFonts w:ascii="Arial;sans-serif" w:hAnsi="Arial;sans-serif"/>
          <w:b/>
          <w:color w:val="000000"/>
          <w:sz w:val="20"/>
          <w:u w:val="single"/>
        </w:rPr>
      </w:pPr>
      <w:r>
        <w:rPr>
          <w:rFonts w:ascii="Arial;sans-serif" w:hAnsi="Arial;sans-serif"/>
          <w:b/>
          <w:color w:val="000000"/>
          <w:sz w:val="20"/>
          <w:u w:val="single"/>
        </w:rPr>
        <w:t>Notice Regarding Forward-Looking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Any "forward-looking" statements, within the meaning of Section 27A of the Securities Act of 1933 and Section 21E of the Securities Exchange Act of 1934, contained herein, including those relating to TriMas’ business, financial condition or future results, involve risks and uncertainties with respect to, including, but not limited to: general economic and currency conditions; competitive factors; market demand; our ability to realize our business strategies; government and regulatory actions, including, without limitation, the impact of current and future tariffs and reciprocal tariffs, quotas and surcharges, as well as climate change legislation and other environmental regulations; our ability to identify attractive acquisition candidates, successfully integrate acquired operations or realize the intended benefits of such acquisitions; our ability to recognize the benefits of and effectively deploy the net proceeds from the sale of TriMas Aerospace;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and disposition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the amount and timing of future dividends and/or share repurchases, which remain subject to Board approval and depend on market and other conditions; our future prospects; and other risks that are detailed in the Annual Report on Form 10-K for the year ended December 31, 2025. The risks described are not the only risks facing our Company. Additional risks and uncertainties not currently known to us or that we currently deemed to be immaterial also may materially adversely affect our business, financial position and results of operations or cash flows. These risks and uncertainties may cause actual results to differ materially from those indicated by the forward-looking statements. All forward-looking statements made herein are based on information currently available, and the Company assumes no obligation to update any forward-looking statements, except as required by law. </w:t>
      </w:r>
    </w:p>
    <w:p>
      <w:pPr>
        <w:pStyle w:val="TextBody"/>
        <w:bidi w:val="0"/>
        <w:spacing w:lineRule="auto" w:line="288" w:before="180" w:after="120"/>
        <w:jc w:val="both"/>
        <w:rPr>
          <w:rFonts w:ascii="Arial;sans-serif" w:hAnsi="Arial;sans-serif"/>
          <w:b/>
          <w:color w:val="000000"/>
          <w:sz w:val="20"/>
          <w:u w:val="single"/>
        </w:rPr>
      </w:pPr>
      <w:r>
        <w:rPr>
          <w:rFonts w:ascii="Arial;sans-serif" w:hAnsi="Arial;sans-serif"/>
          <w:b/>
          <w:color w:val="000000"/>
          <w:sz w:val="20"/>
          <w:u w:val="single"/>
        </w:rPr>
        <w:t>Non-GAAP Financial Measures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 this release, certain non-GAAP financial measures are used. Reconciliations of these non-GAAP financial measures to the most directly comparable GAAP financial measure may be found in Appendix I at the end of this release. Management believes that presenting these non-GAAP financial measures provides useful information to investors by helping them identify underlying trends in the Company’s businesses and facilitating comparisons of performance with prior and future periods and to the Company’s peers. These non-GAAP financial measures should be considered in addition to, and not as a replacement for or superior to, the comparable GAAP measure, and may not be comparable to similarly titled measures reported by other companies.</w:t>
      </w:r>
    </w:p>
    <w:p>
      <w:pPr>
        <w:pStyle w:val="TextBody"/>
        <w:bidi w:val="0"/>
        <w:spacing w:lineRule="auto" w:line="288" w:before="120" w:after="120"/>
        <w:jc w:val="both"/>
        <w:rPr/>
      </w:pPr>
      <w:r>
        <w:rPr>
          <w:rFonts w:ascii="Arial;sans-serif" w:hAnsi="Arial;sans-serif"/>
          <w:b w:val="false"/>
          <w:color w:val="000000"/>
          <w:sz w:val="20"/>
        </w:rPr>
        <w:t>Reconciliations of forward-looking non-GAAP financial measures to the most directly comparable GAAP financial measures are provided only for the expected impact of amortization of acquisition-related intangible assets for completed acquisitions, as the Company is unable to provide estimates of future Special Items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or amortization from future acquisitions without unreasonable effort, due to the uncertainty and inherent difficulty of predicting the occurrence and the financial impact of such items impacting comparability and the periods in which such items may be recognized. For the same reasons, the Company is unable to address the probable significance of the unavailable information, which could be material to future results.</w:t>
      </w:r>
      <w:r>
        <w:rPr>
          <w:color w:val="000000"/>
        </w:rPr>
        <w:t xml:space="preserve"> </w:t>
      </w:r>
    </w:p>
    <w:p>
      <w:pPr>
        <w:pStyle w:val="TextBody"/>
        <w:bidi w:val="0"/>
        <w:spacing w:lineRule="auto" w:line="288"/>
        <w:jc w:val="both"/>
        <w:rPr/>
      </w:pPr>
      <w:r>
        <w:rPr>
          <w:rFonts w:ascii="Arial;sans-serif" w:hAnsi="Arial;sans-serif"/>
          <w:b w:val="false"/>
          <w:color w:val="000000"/>
          <w:sz w:val="20"/>
        </w:rPr>
        <w:t xml:space="preserve">Additional information is available at </w:t>
      </w:r>
      <w:r>
        <w:rPr>
          <w:rFonts w:ascii="Arial;sans-serif" w:hAnsi="Arial;sans-serif"/>
          <w:b w:val="false"/>
          <w:color w:val="0000FF"/>
          <w:sz w:val="20"/>
          <w:u w:val="single"/>
        </w:rPr>
        <w:t>www.trimas.com</w:t>
      </w:r>
      <w:r>
        <w:rPr>
          <w:color w:val="000000"/>
        </w:rPr>
        <w:t xml:space="preserve"> </w:t>
      </w:r>
      <w:r>
        <w:rPr>
          <w:rFonts w:ascii="Arial;sans-serif" w:hAnsi="Arial;sans-serif"/>
          <w:b w:val="false"/>
          <w:color w:val="000000"/>
          <w:sz w:val="20"/>
        </w:rPr>
        <w:t>under the “Investors” section.</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120" w:after="283"/>
        <w:ind w:left="0" w:right="0" w:hanging="360"/>
        <w:jc w:val="both"/>
        <w:rPr/>
      </w:pPr>
      <w:r>
        <w:rPr>
          <w:rFonts w:ascii="Arial;sans-serif" w:hAnsi="Arial;sans-serif"/>
          <w:b w:val="false"/>
          <w:color w:val="000000"/>
          <w:sz w:val="12"/>
        </w:rPr>
        <w:t xml:space="preserve">(1) </w:t>
      </w:r>
      <w:r>
        <w:rPr>
          <w:rFonts w:ascii="Arial;sans-serif" w:hAnsi="Arial;sans-serif"/>
          <w:b w:val="false"/>
          <w:color w:val="000000"/>
          <w:sz w:val="18"/>
        </w:rPr>
        <w:t>Appendix I details certain costs, expenses and other amounts or charges, collectively described as "Special Items," that are included in the determination of net income, earnings per share and/or cash flows from operating activities under GAAP, but that management believes should be separately considered when evaluating the quality of the Company’s core operating results, given they may not reflect the ongoing activities of the business.</w:t>
      </w:r>
    </w:p>
    <w:p>
      <w:pPr>
        <w:pStyle w:val="TextBody"/>
        <w:bidi w:val="0"/>
        <w:spacing w:lineRule="auto" w:line="288" w:before="120" w:after="283"/>
        <w:ind w:left="0" w:right="0" w:hanging="360"/>
        <w:jc w:val="both"/>
        <w:rPr/>
      </w:pPr>
      <w:r>
        <w:rPr>
          <w:rFonts w:ascii="Arial;sans-serif" w:hAnsi="Arial;sans-serif"/>
          <w:b w:val="false"/>
          <w:color w:val="000000"/>
          <w:sz w:val="12"/>
        </w:rPr>
        <w:t xml:space="preserve">(2) </w:t>
      </w:r>
      <w:r>
        <w:rPr>
          <w:rFonts w:ascii="Arial;sans-serif" w:hAnsi="Arial;sans-serif"/>
          <w:b w:val="false"/>
          <w:color w:val="000000"/>
          <w:sz w:val="18"/>
        </w:rPr>
        <w:t>The Company defines adjusted net income (and on a per diluted share basis, adjusted diluted earnings per share) as net income (per GAAP), plus or minus the after-tax impact of Special Items</w:t>
      </w:r>
      <w:r>
        <w:rPr>
          <w:rFonts w:ascii="Arial;sans-serif" w:hAnsi="Arial;sans-serif"/>
          <w:b w:val="false"/>
          <w:color w:val="000000"/>
          <w:sz w:val="12"/>
        </w:rPr>
        <w:t>(1)</w:t>
      </w:r>
      <w:r>
        <w:rPr>
          <w:rFonts w:ascii="Arial;sans-serif" w:hAnsi="Arial;sans-serif"/>
          <w:b w:val="false"/>
          <w:color w:val="000000"/>
          <w:sz w:val="18"/>
        </w:rPr>
        <w:t>, plus the after-tax impacts of non-cash acquisition-related intangible asset amortization and non-cash compensation expense. While the acquisition-related intangible assets aid in the Company’s revenue generation, the Company adjusts for the non-cash amortization expense and non-cash compensation expense because the Company believes it (i) enhances management’s and investors’ ability to analyze underlying business performance, (ii) facilitates comparisons of financial results over multiple periods, and (iii) provides more relevant comparisons of financial results with the results of other companies as the amortization expense associated with these assets may fluctuate significantly from period to period based on the timing, size, nature, and number of acquisitions.</w:t>
      </w:r>
      <w:r>
        <w:rPr>
          <w:color w:val="000000"/>
        </w:rPr>
        <w:t xml:space="preserve"> </w:t>
      </w:r>
    </w:p>
    <w:p>
      <w:pPr>
        <w:pStyle w:val="TextBody"/>
        <w:bidi w:val="0"/>
        <w:spacing w:lineRule="auto" w:line="288" w:before="120" w:after="283"/>
        <w:ind w:left="0" w:right="0" w:hanging="360"/>
        <w:jc w:val="both"/>
        <w:rPr/>
      </w:pPr>
      <w:r>
        <w:rPr>
          <w:rFonts w:ascii="Arial;sans-serif" w:hAnsi="Arial;sans-serif"/>
          <w:b w:val="false"/>
          <w:color w:val="000000"/>
          <w:sz w:val="12"/>
        </w:rPr>
        <w:t>(3)    </w:t>
      </w:r>
      <w:r>
        <w:rPr>
          <w:rFonts w:ascii="Arial;sans-serif" w:hAnsi="Arial;sans-serif"/>
          <w:b w:val="false"/>
          <w:color w:val="000000"/>
          <w:sz w:val="18"/>
        </w:rPr>
        <w:t>The Company defines Free Cash Flow as Net Cash Provided by/Used for Operating Activities, excluding the cash impact of Special Items, less Capital Expenditures. Please see Appendix I for additional details.</w:t>
      </w:r>
      <w:r>
        <w:rPr>
          <w:color w:val="000000"/>
        </w:rPr>
        <w:t xml:space="preserve"> </w:t>
      </w:r>
    </w:p>
    <w:p>
      <w:pPr>
        <w:pStyle w:val="TextBody"/>
        <w:bidi w:val="0"/>
        <w:spacing w:lineRule="auto" w:line="288" w:before="120" w:after="283"/>
        <w:ind w:left="0" w:right="0" w:hanging="360"/>
        <w:jc w:val="both"/>
        <w:rPr/>
      </w:pPr>
      <w:r>
        <w:rPr>
          <w:rFonts w:ascii="Arial;sans-serif" w:hAnsi="Arial;sans-serif"/>
          <w:b w:val="false"/>
          <w:color w:val="000000"/>
          <w:sz w:val="12"/>
        </w:rPr>
        <w:t xml:space="preserve">(4) </w:t>
      </w:r>
      <w:r>
        <w:rPr>
          <w:rFonts w:ascii="Arial;sans-serif" w:hAnsi="Arial;sans-serif"/>
          <w:b w:val="false"/>
          <w:color w:val="000000"/>
          <w:sz w:val="18"/>
        </w:rPr>
        <w:t>The Company defines Net Debt as Total Debt less Cash and Cash Equivalents. Please see Appendix I for additional details.</w:t>
      </w:r>
    </w:p>
    <w:p>
      <w:pPr>
        <w:pStyle w:val="TextBody"/>
        <w:bidi w:val="0"/>
        <w:spacing w:lineRule="auto" w:line="288" w:before="180" w:after="120"/>
        <w:ind w:left="0" w:right="0" w:hanging="360"/>
        <w:jc w:val="both"/>
        <w:rPr>
          <w:rFonts w:ascii="Arial;sans-serif" w:hAnsi="Arial;sans-serif"/>
          <w:b/>
          <w:color w:val="000000"/>
          <w:sz w:val="20"/>
          <w:u w:val="single"/>
        </w:rPr>
      </w:pPr>
      <w:r>
        <w:rPr>
          <w:rFonts w:ascii="Arial;sans-serif" w:hAnsi="Arial;sans-serif"/>
          <w:b/>
          <w:color w:val="000000"/>
          <w:sz w:val="20"/>
          <w:u w:val="single"/>
        </w:rPr>
        <w:t>About TriMas</w:t>
      </w:r>
    </w:p>
    <w:p>
      <w:pPr>
        <w:pStyle w:val="TextBody"/>
        <w:bidi w:val="0"/>
        <w:spacing w:lineRule="auto" w:line="288" w:before="0" w:after="0"/>
        <w:jc w:val="both"/>
        <w:rPr/>
      </w:pPr>
      <w:r>
        <w:rPr>
          <w:rFonts w:ascii="Arial;sans-serif" w:hAnsi="Arial;sans-serif"/>
          <w:b w:val="false"/>
          <w:color w:val="000000"/>
          <w:sz w:val="20"/>
        </w:rPr>
        <w:t>TriMas designs, manufactures and supplies a broad range of innovative and high</w:t>
        <w:noBreakHyphen/>
        <w:t>quality products for the consumer packaging, life sciences and industrial markets through its TriMas Packaging and Specialty Products groups. With approximately 2,500 employees in 12 countries, TriMas is committed to empowering customer success through deep partnerships, strong technical expertise, focused innovation, and exceptional quality and service. Guided by a culture of continuous improvement and operational excellence, TriMas invests in its people and capabilities to deliver long</w:t>
        <w:noBreakHyphen/>
        <w:t xml:space="preserve">term value for all stakeholders. Headquartered in Bloomfield Hills, Michigan, TriMas is publicly traded on NASDAQ under the ticker symbol “TRS.” For more information, please visit </w:t>
      </w:r>
      <w:r>
        <w:rPr>
          <w:rFonts w:ascii="Arial;sans-serif" w:hAnsi="Arial;sans-serif"/>
          <w:b w:val="false"/>
          <w:color w:val="0000FF"/>
          <w:sz w:val="20"/>
        </w:rPr>
        <w:t>www.trimas.com</w:t>
      </w:r>
      <w:r>
        <w:rPr>
          <w:rFonts w:ascii="Arial;sans-serif" w:hAnsi="Arial;sans-serif"/>
          <w:b w:val="false"/>
          <w:color w:val="000000"/>
          <w:sz w:val="20"/>
        </w:rPr>
        <w:t>.</w:t>
      </w:r>
    </w:p>
    <w:p>
      <w:pPr>
        <w:pStyle w:val="TextBody"/>
        <w:bidi w:val="0"/>
        <w:spacing w:lineRule="auto" w:line="288" w:before="180" w:after="120"/>
        <w:jc w:val="both"/>
        <w:rPr>
          <w:rFonts w:ascii="Arial;sans-serif" w:hAnsi="Arial;sans-serif"/>
          <w:b/>
          <w:color w:val="000000"/>
          <w:sz w:val="20"/>
          <w:u w:val="single"/>
        </w:rPr>
      </w:pPr>
      <w:r>
        <w:rPr>
          <w:rFonts w:ascii="Arial;sans-serif" w:hAnsi="Arial;sans-serif"/>
          <w:b/>
          <w:color w:val="000000"/>
          <w:sz w:val="20"/>
          <w:u w:val="single"/>
        </w:rPr>
        <w:t>Contact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Sherry Lauderback</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VP, Investor Relations, Communications &amp; Sustainability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(248) 631-5506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sherry.lauderback@trimas.com</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TriMas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(Dollars in thousands)</w:t>
      </w:r>
    </w:p>
    <w:p>
      <w:pPr>
        <w:pStyle w:val="TextBody"/>
        <w:bidi w:val="0"/>
        <w:spacing w:before="0" w:after="0"/>
        <w:jc w:val="center"/>
        <w:rPr/>
      </w:pPr>
      <w:r>
        <w:rPr/>
      </w:r>
    </w:p>
    <w:tbl>
      <w:tblPr>
        <w:tblW w:w="7215" w:type="dxa"/>
        <w:jc w:val="center"/>
        <w:tblInd w:w="0" w:type="dxa"/>
        <w:tblLayout w:type="fixed"/>
        <w:tblCellMar>
          <w:top w:w="28" w:type="dxa"/>
          <w:left w:w="28" w:type="dxa"/>
          <w:bottom w:w="28" w:type="dxa"/>
          <w:right w:w="28" w:type="dxa"/>
        </w:tblCellMar>
      </w:tblPr>
      <w:tblGrid>
        <w:gridCol w:w="1416"/>
        <w:gridCol w:w="1243"/>
        <w:gridCol w:w="1256"/>
        <w:gridCol w:w="109"/>
        <w:gridCol w:w="109"/>
        <w:gridCol w:w="109"/>
        <w:gridCol w:w="211"/>
        <w:gridCol w:w="976"/>
        <w:gridCol w:w="109"/>
        <w:gridCol w:w="109"/>
        <w:gridCol w:w="109"/>
        <w:gridCol w:w="109"/>
        <w:gridCol w:w="212"/>
        <w:gridCol w:w="983"/>
        <w:gridCol w:w="155"/>
      </w:tblGrid>
      <w:tr>
        <w:trPr/>
        <w:tc>
          <w:tcPr>
            <w:tcW w:w="14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2025</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462,670 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300,280 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1,485,080 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469,170 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779,490 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1,485,080 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TriMas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 of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 dollars in thousands, except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1"/>
        <w:gridCol w:w="1208"/>
        <w:gridCol w:w="1211"/>
        <w:gridCol w:w="109"/>
        <w:gridCol w:w="109"/>
        <w:gridCol w:w="109"/>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67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 xml:space="preserve">June 30, </w:t>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324,210 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(253,430)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 (loss) on dispositions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35,877,517 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40,647,361 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36,651,820 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40,626,325 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36,211,032 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40,929,861 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37,075,408 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40,939,798 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TriMas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 of Cash Flow</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 dollars in thousands)</w:t>
      </w:r>
    </w:p>
    <w:tbl>
      <w:tblPr>
        <w:tblW w:w="10205" w:type="dxa"/>
        <w:jc w:val="center"/>
        <w:tblInd w:w="0" w:type="dxa"/>
        <w:tblLayout w:type="fixed"/>
        <w:tblCellMar>
          <w:top w:w="28" w:type="dxa"/>
          <w:left w:w="28" w:type="dxa"/>
          <w:bottom w:w="28" w:type="dxa"/>
          <w:right w:w="28" w:type="dxa"/>
        </w:tblCellMar>
      </w:tblPr>
      <w:tblGrid>
        <w:gridCol w:w="2653"/>
        <w:gridCol w:w="2254"/>
        <w:gridCol w:w="2260"/>
        <w:gridCol w:w="109"/>
        <w:gridCol w:w="109"/>
        <w:gridCol w:w="109"/>
        <w:gridCol w:w="211"/>
        <w:gridCol w:w="976"/>
        <w:gridCol w:w="109"/>
        <w:gridCol w:w="109"/>
        <w:gridCol w:w="109"/>
        <w:gridCol w:w="109"/>
        <w:gridCol w:w="211"/>
        <w:gridCol w:w="721"/>
        <w:gridCol w:w="156"/>
      </w:tblGrid>
      <w:tr>
        <w:trPr/>
        <w:tc>
          <w:tcPr>
            <w:tcW w:w="2653"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 xml:space="preserve">June 30, </w:t>
            </w:r>
          </w:p>
        </w:tc>
      </w:tr>
      <w:tr>
        <w:trPr/>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(used for) operating activities, net of acquisition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 on dispositions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losses on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for) operating activities, net of acquisition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business,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proceeds from disposition of business,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(45,960)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borrowings on revolving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borrowings on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to purchase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surrendered upon exercise and vesting of equity awards to cover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for)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property 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Appendix I</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TriMas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Additional Information Regarding Special Items Impacting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Reported GAAP Financial Measures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Continuing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 dollars in thousands)</w:t>
      </w:r>
    </w:p>
    <w:tbl>
      <w:tblPr>
        <w:tblW w:w="10205" w:type="dxa"/>
        <w:jc w:val="center"/>
        <w:tblInd w:w="0" w:type="dxa"/>
        <w:tblLayout w:type="fixed"/>
        <w:tblCellMar>
          <w:top w:w="28" w:type="dxa"/>
          <w:left w:w="28" w:type="dxa"/>
          <w:bottom w:w="28" w:type="dxa"/>
          <w:right w:w="28" w:type="dxa"/>
        </w:tblCellMar>
      </w:tblPr>
      <w:tblGrid>
        <w:gridCol w:w="1593"/>
        <w:gridCol w:w="1335"/>
        <w:gridCol w:w="133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59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 xml:space="preserve">June 30, </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Packaging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270,580 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to consider in evaluating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restructuring and severance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Specialty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to consider in evaluating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restructuring and severance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to consider in evaluating 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M&amp;A diligence and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System implementation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restructuring and severance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Arrow Engine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TriMas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324,210 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Special Items to consider in evaluating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Appendix I</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TriMas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Additional Information Regarding Special Items Impacting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Reported GAAP Financial Measures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Continuing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 dollars 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34"/>
        <w:gridCol w:w="1116"/>
        <w:gridCol w:w="1122"/>
        <w:gridCol w:w="109"/>
        <w:gridCol w:w="109"/>
        <w:gridCol w:w="109"/>
        <w:gridCol w:w="244"/>
        <w:gridCol w:w="837"/>
        <w:gridCol w:w="109"/>
        <w:gridCol w:w="109"/>
        <w:gridCol w:w="109"/>
        <w:gridCol w:w="109"/>
        <w:gridCol w:w="275"/>
        <w:gridCol w:w="806"/>
        <w:gridCol w:w="109"/>
        <w:gridCol w:w="109"/>
        <w:gridCol w:w="109"/>
        <w:gridCol w:w="109"/>
        <w:gridCol w:w="244"/>
        <w:gridCol w:w="837"/>
        <w:gridCol w:w="109"/>
        <w:gridCol w:w="109"/>
        <w:gridCol w:w="109"/>
        <w:gridCol w:w="109"/>
        <w:gridCol w:w="244"/>
        <w:gridCol w:w="837"/>
        <w:gridCol w:w="109"/>
        <w:gridCol w:w="109"/>
        <w:gridCol w:w="156"/>
      </w:tblGrid>
      <w:tr>
        <w:trPr/>
        <w:tc>
          <w:tcPr>
            <w:tcW w:w="163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 xml:space="preserve">June 30,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from continuing operations,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Special Items to consider in evaluating quality of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restructuring and severance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M&amp;A diligence and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System implementation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 of deferred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deferred tax impact related to Aerospace divestiture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Arrow Engine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Income tax effect of net income adjustments</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 xml:space="preserve">June 30,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Diluted earnings per share from continuing operations,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Special Items to consider in evaluating quality of EPS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restructuring and severance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M&amp;A diligence and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System implementation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 of deferred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deferred tax impact related to Aerospace divestiture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Arrow Engine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acquisition-related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Income tax effect of net income adjustments</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diluted EPS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36,211,032 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40,929,861 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37,075,408 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40,939,798 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 xml:space="preserve">Income tax effect of net income adjustments is calculated on an item-by-item basis, utilizing the statutory income tax rate in the jurisdiction where the adjustments occurred. For the three and six month periods ended June 30, 2026 and 2025, the income tax effect on the cumulative net income adjustments varied from the tax rate inherent in the Company's reported GAAP results, primarily as a result of certain discrete items that occurred during the period for GAAP reporting purposes. </w:t>
      </w:r>
    </w:p>
    <w:p>
      <w:pPr>
        <w:pStyle w:val="TextBody"/>
        <w:bidi w:val="0"/>
        <w:spacing w:before="16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Appendix I</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TriMas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Additional Information Regarding Special Items Impacting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Reported GAAP Financial Measures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Continuing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 dollars in thousands)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39"/>
        <w:gridCol w:w="501"/>
        <w:gridCol w:w="503"/>
        <w:gridCol w:w="109"/>
        <w:gridCol w:w="109"/>
        <w:gridCol w:w="109"/>
        <w:gridCol w:w="211"/>
        <w:gridCol w:w="750"/>
        <w:gridCol w:w="109"/>
        <w:gridCol w:w="109"/>
        <w:gridCol w:w="109"/>
        <w:gridCol w:w="109"/>
        <w:gridCol w:w="220"/>
        <w:gridCol w:w="753"/>
        <w:gridCol w:w="113"/>
        <w:gridCol w:w="109"/>
        <w:gridCol w:w="109"/>
        <w:gridCol w:w="109"/>
        <w:gridCol w:w="211"/>
        <w:gridCol w:w="750"/>
        <w:gridCol w:w="109"/>
        <w:gridCol w:w="109"/>
        <w:gridCol w:w="109"/>
        <w:gridCol w:w="109"/>
        <w:gridCol w:w="214"/>
        <w:gridCol w:w="733"/>
        <w:gridCol w:w="110"/>
        <w:gridCol w:w="109"/>
        <w:gridCol w:w="109"/>
        <w:gridCol w:w="109"/>
        <w:gridCol w:w="226"/>
        <w:gridCol w:w="662"/>
        <w:gridCol w:w="116"/>
        <w:gridCol w:w="109"/>
        <w:gridCol w:w="109"/>
        <w:gridCol w:w="109"/>
        <w:gridCol w:w="214"/>
        <w:gridCol w:w="733"/>
        <w:gridCol w:w="166"/>
      </w:tblGrid>
      <w:tr>
        <w:trPr/>
        <w:tc>
          <w:tcPr>
            <w:tcW w:w="83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June 30, </w:t>
            </w:r>
          </w:p>
        </w:tc>
      </w:tr>
      <w:tr>
        <w:trPr/>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Special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Special Items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adjusted</w:t>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for)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33,580 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33,580 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June 30, </w:t>
            </w:r>
          </w:p>
        </w:tc>
      </w:tr>
      <w:tr>
        <w:trPr/>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Special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Special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adjusted</w:t>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for)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82" w:type="dxa"/>
        <w:jc w:val="center"/>
        <w:tblInd w:w="0" w:type="dxa"/>
        <w:tblLayout w:type="fixed"/>
        <w:tblCellMar>
          <w:top w:w="28" w:type="dxa"/>
          <w:left w:w="28" w:type="dxa"/>
          <w:bottom w:w="28" w:type="dxa"/>
          <w:right w:w="28" w:type="dxa"/>
        </w:tblCellMar>
      </w:tblPr>
      <w:tblGrid>
        <w:gridCol w:w="1021"/>
        <w:gridCol w:w="897"/>
        <w:gridCol w:w="901"/>
        <w:gridCol w:w="109"/>
        <w:gridCol w:w="109"/>
        <w:gridCol w:w="109"/>
        <w:gridCol w:w="211"/>
        <w:gridCol w:w="901"/>
        <w:gridCol w:w="109"/>
        <w:gridCol w:w="109"/>
        <w:gridCol w:w="109"/>
        <w:gridCol w:w="109"/>
        <w:gridCol w:w="326"/>
        <w:gridCol w:w="1276"/>
        <w:gridCol w:w="168"/>
        <w:gridCol w:w="109"/>
        <w:gridCol w:w="109"/>
        <w:gridCol w:w="109"/>
        <w:gridCol w:w="211"/>
        <w:gridCol w:w="82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2025</w:t>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469,170 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(845,590)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439,150 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394,260 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959" w:type="dxa"/>
        <w:jc w:val="left"/>
        <w:tblInd w:w="0" w:type="dxa"/>
        <w:tblLayout w:type="fixed"/>
        <w:tblCellMar>
          <w:top w:w="28" w:type="dxa"/>
          <w:left w:w="28" w:type="dxa"/>
          <w:bottom w:w="28" w:type="dxa"/>
          <w:right w:w="28" w:type="dxa"/>
        </w:tblCellMar>
      </w:tblPr>
      <w:tblGrid>
        <w:gridCol w:w="1027"/>
        <w:gridCol w:w="901"/>
        <w:gridCol w:w="906"/>
        <w:gridCol w:w="109"/>
        <w:gridCol w:w="109"/>
        <w:gridCol w:w="109"/>
        <w:gridCol w:w="254"/>
        <w:gridCol w:w="257"/>
        <w:gridCol w:w="433"/>
        <w:gridCol w:w="109"/>
        <w:gridCol w:w="109"/>
        <w:gridCol w:w="109"/>
        <w:gridCol w:w="109"/>
        <w:gridCol w:w="109"/>
        <w:gridCol w:w="257"/>
        <w:gridCol w:w="257"/>
        <w:gridCol w:w="642"/>
        <w:gridCol w:w="109"/>
        <w:gridCol w:w="109"/>
        <w:gridCol w:w="109"/>
        <w:gridCol w:w="367"/>
        <w:gridCol w:w="367"/>
        <w:gridCol w:w="915"/>
        <w:gridCol w:w="109"/>
        <w:gridCol w:w="109"/>
        <w:gridCol w:w="109"/>
        <w:gridCol w:w="254"/>
        <w:gridCol w:w="257"/>
        <w:gridCol w:w="339"/>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YOY Sales Growth %</w:t>
            </w:r>
          </w:p>
        </w:tc>
        <w:tc>
          <w:tcPr>
            <w:tcW w:w="1177" w:type="dxa"/>
            <w:gridSpan w:val="6"/>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Organic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Q2 2026 vs. Q2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TriMas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Packaging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YTD Q2 2026 vs. YTD Q2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TriMas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Appendix I</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TriMas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Reconciliation of GAAP to Non-GAAP Financial Measures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Forecasted Diluted Earnings Per Share Guidance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Continuing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 dollars per share)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8450" w:type="dxa"/>
        <w:jc w:val="left"/>
        <w:tblInd w:w="0" w:type="dxa"/>
        <w:tblLayout w:type="fixed"/>
        <w:tblCellMar>
          <w:top w:w="28" w:type="dxa"/>
          <w:left w:w="28" w:type="dxa"/>
          <w:bottom w:w="28" w:type="dxa"/>
          <w:right w:w="28" w:type="dxa"/>
        </w:tblCellMar>
      </w:tblPr>
      <w:tblGrid>
        <w:gridCol w:w="2201"/>
        <w:gridCol w:w="1940"/>
        <w:gridCol w:w="1948"/>
        <w:gridCol w:w="109"/>
        <w:gridCol w:w="109"/>
        <w:gridCol w:w="109"/>
        <w:gridCol w:w="211"/>
        <w:gridCol w:w="511"/>
        <w:gridCol w:w="109"/>
        <w:gridCol w:w="109"/>
        <w:gridCol w:w="109"/>
        <w:gridCol w:w="109"/>
        <w:gridCol w:w="211"/>
        <w:gridCol w:w="511"/>
        <w:gridCol w:w="154"/>
      </w:tblGrid>
      <w:tr>
        <w:trPr/>
        <w:tc>
          <w:tcPr>
            <w:tcW w:w="2201"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Twelve months ended</w:t>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2026</w:t>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Pre-tax amortization of acquisition-related intangible assets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on amortization of acquisition-related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Pre-tax non-cash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on non-cash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Impact of Special Items</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both"/>
        <w:rPr/>
      </w:pPr>
      <w:r>
        <w:rPr>
          <w:rFonts w:ascii="Arial;sans-serif" w:hAnsi="Arial;sans-serif"/>
          <w:b w:val="false"/>
          <w:color w:val="000000"/>
          <w:sz w:val="12"/>
        </w:rPr>
        <w:t xml:space="preserve">(1) </w:t>
      </w:r>
      <w:r>
        <w:rPr>
          <w:rFonts w:ascii="Arial;sans-serif" w:hAnsi="Arial;sans-serif"/>
          <w:b w:val="false"/>
          <w:color w:val="000000"/>
          <w:sz w:val="16"/>
        </w:rPr>
        <w:t>These amounts relate to acquisitions completed as of July 30, 2026. The Company is unable to provide forward-looking estimates of future acquisitions, if any, that have not yet been consummated.</w:t>
      </w:r>
    </w:p>
    <w:p>
      <w:pPr>
        <w:pStyle w:val="TextBody"/>
        <w:bidi w:val="0"/>
        <w:spacing w:lineRule="auto" w:line="288" w:before="160" w:after="283"/>
        <w:ind w:left="0" w:right="0" w:hanging="180"/>
        <w:jc w:val="both"/>
        <w:rPr/>
      </w:pPr>
      <w:r>
        <w:rPr>
          <w:rFonts w:ascii="Arial;sans-serif" w:hAnsi="Arial;sans-serif"/>
          <w:b w:val="false"/>
          <w:color w:val="000000"/>
          <w:sz w:val="12"/>
        </w:rPr>
        <w:t xml:space="preserve">(2) </w:t>
      </w:r>
      <w:r>
        <w:rPr>
          <w:rFonts w:ascii="Arial;sans-serif" w:hAnsi="Arial;sans-serif"/>
          <w:b w:val="false"/>
          <w:color w:val="000000"/>
          <w:sz w:val="16"/>
        </w:rPr>
        <w:t>The Company is unable to provide forward-looking estimates of Special Items without unreasonable effort, due to the uncertainty and inherent difficulty of predicting the occurrence and the financial impact of such items and the periods in which such items may be recognized. For the same reasons, the Company is unable to address the probable significance of the unavailable information, which could be material to future results.</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4738</Words>
  <Characters>27428</Characters>
  <CharactersWithSpaces>31667</CharactersWithSpaces>
  <Paragraphs>1033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