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820" w:hanging="995"/>
        <w:spacing w:after="0" w:line="227"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Or</w:t>
      </w:r>
    </w:p>
    <w:p>
      <w:pPr>
        <w:ind w:left="1820" w:hanging="995"/>
        <w:spacing w:after="0" w:line="224"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4" w:lineRule="exact"/>
        <w:rPr>
          <w:sz w:val="24"/>
          <w:szCs w:val="24"/>
          <w:color w:val="auto"/>
        </w:rPr>
      </w:pPr>
    </w:p>
    <w:tbl>
      <w:tblPr>
        <w:tblLayout w:type="fixed"/>
        <w:tblInd w:w="3100" w:type="dxa"/>
        <w:tblCellMar>
          <w:top w:w="0" w:type="dxa"/>
          <w:left w:w="0" w:type="dxa"/>
          <w:bottom w:w="0" w:type="dxa"/>
          <w:right w:w="0" w:type="dxa"/>
        </w:tblCellMar>
      </w:tblPr>
      <w:tr>
        <w:trPr>
          <w:trHeight w:val="207"/>
        </w:trPr>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8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0"/>
        </w:trPr>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18"/>
                <w:szCs w:val="18"/>
                <w:b w:val="1"/>
                <w:bCs w:val="1"/>
                <w:color w:val="auto"/>
              </w:rPr>
              <w:t>Commission file number 001-10716</w:t>
            </w:r>
          </w:p>
        </w:tc>
        <w:tc>
          <w:tcPr>
            <w:tcW w:w="40" w:type="dxa"/>
            <w:vAlign w:val="bottom"/>
          </w:tcPr>
          <w:p>
            <w:pPr>
              <w:spacing w:after="0"/>
              <w:rPr>
                <w:sz w:val="24"/>
                <w:szCs w:val="24"/>
                <w:color w:val="auto"/>
              </w:rPr>
            </w:pPr>
          </w:p>
        </w:tc>
      </w:tr>
      <w:tr>
        <w:trPr>
          <w:trHeight w:val="439"/>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29"/>
                <w:szCs w:val="29"/>
                <w:b w:val="1"/>
                <w:bCs w:val="1"/>
                <w:color w:val="auto"/>
                <w:w w:val="98"/>
              </w:rPr>
              <w:t>TRIMAS CORPORATION</w:t>
            </w:r>
          </w:p>
        </w:tc>
        <w:tc>
          <w:tcPr>
            <w:tcW w:w="40" w:type="dxa"/>
            <w:vAlign w:val="bottom"/>
          </w:tcPr>
          <w:p>
            <w:pPr>
              <w:spacing w:after="0"/>
              <w:rPr>
                <w:sz w:val="24"/>
                <w:szCs w:val="24"/>
                <w:color w:val="auto"/>
              </w:rPr>
            </w:pPr>
          </w:p>
        </w:tc>
      </w:tr>
      <w:tr>
        <w:trPr>
          <w:trHeight w:val="303"/>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40" w:type="dxa"/>
            <w:vAlign w:val="bottom"/>
          </w:tcPr>
          <w:p>
            <w:pPr>
              <w:spacing w:after="0"/>
              <w:rPr>
                <w:sz w:val="24"/>
                <w:szCs w:val="24"/>
                <w:color w:val="auto"/>
              </w:rPr>
            </w:pPr>
          </w:p>
        </w:tc>
      </w:tr>
      <w:tr>
        <w:trPr>
          <w:trHeight w:val="346"/>
        </w:trPr>
        <w:tc>
          <w:tcPr>
            <w:tcW w:w="2800" w:type="dxa"/>
            <w:vAlign w:val="bottom"/>
          </w:tcPr>
          <w:p>
            <w:pPr>
              <w:jc w:val="center"/>
              <w:ind w:right="5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38-2687639</w:t>
            </w:r>
          </w:p>
        </w:tc>
        <w:tc>
          <w:tcPr>
            <w:tcW w:w="40" w:type="dxa"/>
            <w:vAlign w:val="bottom"/>
          </w:tcPr>
          <w:p>
            <w:pPr>
              <w:spacing w:after="0"/>
              <w:rPr>
                <w:sz w:val="24"/>
                <w:szCs w:val="24"/>
                <w:color w:val="auto"/>
              </w:rPr>
            </w:pPr>
          </w:p>
        </w:tc>
      </w:tr>
      <w:tr>
        <w:trPr>
          <w:trHeight w:val="180"/>
        </w:trPr>
        <w:tc>
          <w:tcPr>
            <w:tcW w:w="2800" w:type="dxa"/>
            <w:vAlign w:val="bottom"/>
          </w:tcPr>
          <w:p>
            <w:pPr>
              <w:jc w:val="center"/>
              <w:ind w:right="522"/>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780" w:type="dxa"/>
            <w:vAlign w:val="bottom"/>
            <w:gridSpan w:val="3"/>
          </w:tcPr>
          <w:p>
            <w:pPr>
              <w:jc w:val="center"/>
              <w:ind w:left="430"/>
              <w:spacing w:after="0" w:line="181" w:lineRule="exact"/>
              <w:rPr>
                <w:sz w:val="20"/>
                <w:szCs w:val="20"/>
                <w:color w:val="auto"/>
              </w:rPr>
            </w:pPr>
            <w:r>
              <w:rPr>
                <w:rFonts w:ascii="Times New Roman" w:cs="Times New Roman" w:eastAsia="Times New Roman" w:hAnsi="Times New Roman"/>
                <w:sz w:val="18"/>
                <w:szCs w:val="18"/>
                <w:color w:val="auto"/>
              </w:rPr>
              <w:t>(IRS Employer</w:t>
            </w:r>
          </w:p>
        </w:tc>
        <w:tc>
          <w:tcPr>
            <w:tcW w:w="40" w:type="dxa"/>
            <w:vAlign w:val="bottom"/>
          </w:tcPr>
          <w:p>
            <w:pPr>
              <w:spacing w:after="0"/>
              <w:rPr>
                <w:sz w:val="15"/>
                <w:szCs w:val="15"/>
                <w:color w:val="auto"/>
              </w:rPr>
            </w:pPr>
          </w:p>
        </w:tc>
      </w:tr>
      <w:tr>
        <w:trPr>
          <w:trHeight w:val="234"/>
        </w:trPr>
        <w:tc>
          <w:tcPr>
            <w:tcW w:w="2800" w:type="dxa"/>
            <w:vAlign w:val="bottom"/>
          </w:tcPr>
          <w:p>
            <w:pPr>
              <w:jc w:val="center"/>
              <w:ind w:right="54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29" w:lineRule="exact"/>
        <w:rPr>
          <w:sz w:val="24"/>
          <w:szCs w:val="24"/>
          <w:color w:val="auto"/>
        </w:rPr>
      </w:pPr>
    </w:p>
    <w:p>
      <w:pPr>
        <w:jc w:val="both"/>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4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1600" w:type="dxa"/>
        <w:tblCellMar>
          <w:top w:w="0" w:type="dxa"/>
          <w:left w:w="0" w:type="dxa"/>
          <w:bottom w:w="0" w:type="dxa"/>
          <w:right w:w="0" w:type="dxa"/>
        </w:tblCellMar>
      </w:tblPr>
      <w:tr>
        <w:trPr>
          <w:trHeight w:val="338"/>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1"/>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164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October 20, 2022, the number of outstanding shares of the Registrant's common stock, $0.01 par value, was 41,964,696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631190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1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TriMas Corporation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2"/>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7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4540" w:type="dxa"/>
            <w:vAlign w:val="bottom"/>
            <w:gridSpan w:val="12"/>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Financial Statements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 as of September 30, 2022 and December 31, 2021</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Income for the Three and Nine Months Ended September 30,</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7"/>
              </w:rPr>
              <w:t>2022 and 2021</w:t>
            </w:r>
          </w:p>
        </w:tc>
        <w:tc>
          <w:tcPr>
            <w:tcW w:w="5280" w:type="dxa"/>
            <w:vAlign w:val="bottom"/>
            <w:tcBorders>
              <w:top w:val="single" w:sz="8" w:color="0000FF"/>
            </w:tcBorders>
            <w:gridSpan w:val="1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Income for the Three and Nine Months Ended</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5"/>
              </w:rPr>
              <w:t>September 30, 2022 and 2021</w:t>
            </w:r>
          </w:p>
        </w:tc>
        <w:tc>
          <w:tcPr>
            <w:tcW w:w="4340" w:type="dxa"/>
            <w:vAlign w:val="bottom"/>
            <w:tcBorders>
              <w:top w:val="single" w:sz="8" w:color="0000FF"/>
            </w:tcBorders>
            <w:gridSpan w:val="11"/>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Cash Flows for the Nine Months Ended September 30, 2022</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8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and 2021</w:t>
            </w:r>
          </w:p>
        </w:tc>
        <w:tc>
          <w:tcPr>
            <w:tcW w:w="14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 of Shareholders' Equity for the Nine Months Ended September</w:t>
            </w: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3"/>
              </w:rPr>
              <w:t>30, 2022 and 2021</w:t>
            </w:r>
          </w:p>
        </w:tc>
        <w:tc>
          <w:tcPr>
            <w:tcW w:w="4960" w:type="dxa"/>
            <w:vAlign w:val="bottom"/>
            <w:tcBorders>
              <w:top w:val="single" w:sz="8" w:color="0000FF"/>
            </w:tcBorders>
            <w:gridSpan w:val="9"/>
          </w:tcPr>
          <w:p>
            <w:pPr>
              <w:spacing w:after="0"/>
              <w:rPr>
                <w:sz w:val="14"/>
                <w:szCs w:val="14"/>
                <w:color w:val="auto"/>
              </w:rPr>
            </w:pPr>
          </w:p>
        </w:tc>
        <w:tc>
          <w:tcPr>
            <w:tcW w:w="16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00" w:type="dxa"/>
            <w:vAlign w:val="bottom"/>
            <w:gridSpan w:val="9"/>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500" w:type="dxa"/>
            <w:vAlign w:val="bottom"/>
          </w:tcPr>
          <w:p>
            <w:pPr>
              <w:spacing w:after="0"/>
              <w:rPr>
                <w:sz w:val="24"/>
                <w:szCs w:val="24"/>
                <w:color w:val="auto"/>
              </w:rPr>
            </w:pPr>
          </w:p>
        </w:tc>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260" w:type="dxa"/>
            <w:vAlign w:val="bottom"/>
            <w:gridSpan w:val="18"/>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3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8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53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66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r>
              <w:rPr>
                <w:rFonts w:ascii="Times New Roman" w:cs="Times New Roman" w:eastAsia="Times New Roman" w:hAnsi="Times New Roman"/>
                <w:sz w:val="18"/>
                <w:szCs w:val="18"/>
                <w:color w:val="0033CC"/>
              </w:rPr>
              <w: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the severity and duration of the ongoing coronavirus (“COVID-19”) pandemic on our operations, customers and suppliers, as well as related actions taken by governmental authorities and other third parties in response thereto, each of which is uncertain, rapidly changing and difficult to predict; general economic and currency conditions; inflationary pressures on our supply chain, including raw material and energy costs, and customers; interest rate volatility;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including the availability and cost of raw materials; market demand; intellectual property factors; litigation; government and regulatory actions, including, without limitation, climate change legislation and other environmental regulations, as well as the impact of tariffs, quotas and surcharges; our leverage; liabilities imposed by our debt instruments; labor disputes and shortages; changes to fiscal and tax policies; contingent liabilities relating to acquisition activities; the disruption of operations from catastrophic or extraordinary events, including natural disasters, geopolitical conflicts and public health crises;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2021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disclose important factors that could cause our actual results to differ materially from our expectations implied by our forward-looking statements under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3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7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140,740</w:t>
            </w:r>
          </w:p>
        </w:tc>
      </w:tr>
      <w:tr>
        <w:trPr>
          <w:trHeight w:val="22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 of reserves of $1.6 million as of September 30, 2022 and December 31, 2021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125,630</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152,450</w:t>
            </w:r>
          </w:p>
        </w:tc>
      </w:tr>
      <w:tr>
        <w:trPr>
          <w:trHeight w:val="229"/>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431,770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265,630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315,490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1,301,890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1,303,640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shd w:val="clear" w:color="auto" w:fill="CCEEFF"/>
          </w:tcPr>
          <w:p>
            <w:pPr>
              <w:ind w:left="24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87,800</w:t>
            </w: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58,980</w:t>
            </w: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393,820</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43,780</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672,790</w:t>
            </w:r>
          </w:p>
        </w:tc>
      </w:tr>
      <w:tr>
        <w:trPr>
          <w:trHeight w:val="155"/>
        </w:trPr>
        <w:tc>
          <w:tcPr>
            <w:tcW w:w="77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Issued and outstanding: 41,983,792 shares at September 30, 2022 and 42,836,574 shares at December 31,</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732,490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(102,300)</w:t>
            </w: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7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630,850</w:t>
            </w:r>
          </w:p>
        </w:tc>
      </w:tr>
      <w:tr>
        <w:trPr>
          <w:trHeight w:val="223"/>
        </w:trPr>
        <w:tc>
          <w:tcPr>
            <w:tcW w:w="7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1,301,890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1,303,640</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648,140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(480,340)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dispositions of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72,780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financing and related expenses</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41,995,027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42,889,922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42,363,919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43,061,707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42,181,440</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43,094,099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42,590,777</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43,345,777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10"/>
        </w:trPr>
        <w:tc>
          <w:tcPr>
            <w:tcW w:w="5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44,490</w:t>
            </w: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plans (Note 18)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11)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r>
      <w:tr>
        <w:trPr>
          <w:trHeight w:val="223"/>
        </w:trPr>
        <w:tc>
          <w:tcPr>
            <w:tcW w:w="5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44,490</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 net of acquisition impact: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loss on dispositions of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financing and related expenses</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receivables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inventories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in prepaid expenses and other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29"/>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accounts payable and accrued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 net of acquisition impact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Cross-currency swap terminations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proceeds from disposition of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Retirement of senior notes</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senior notes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financing fees and senior notes redemption premium</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w:t>
            </w:r>
          </w:p>
        </w:tc>
      </w:tr>
      <w:tr>
        <w:trPr>
          <w:trHeight w:val="23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(18,160)</w:t>
            </w: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for the period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63,010</w:t>
            </w:r>
          </w:p>
        </w:tc>
      </w:tr>
      <w:tr>
        <w:trPr>
          <w:trHeight w:val="229"/>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73,950</w:t>
            </w:r>
          </w:p>
        </w:tc>
      </w:tr>
      <w:tr>
        <w:trPr>
          <w:trHeight w:val="223"/>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At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136,960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80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paid for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723,540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633,830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June 30,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630,780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13,300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13,300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September 30,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702,670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634,570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584,250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March 31,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11,840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11,840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June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597,600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19,590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19,590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September 30,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614,320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the coronavirus and related variants (“COVID-19”) as well as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of operations for interim periods are not necessarily indicative of results for the full year, and certain prior year amounts have been reclassified to conform to current year presentation. The accompanying consolidated financial statements and notes thereto should be read in conjunction with the Company's 2021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Accounting Standards Update ("ASU") 2021-10, "Government Assistance (Topic 832): Disclosures by Business Entities about Government Assistance" ("ASU 2021-10"), which requires annual disclosures about transactions with a government that are accounted for by applying a grant or contribution accounting model by analogy. ASU 2021-10 is effective for annual filings in fiscal years beginning after December 15, 2021, with early adoption permitted. The Company is in the process of assessing the impact of adoption on its consolidated financial statements.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("ASU 2021-08"), which requires that an acquirer recognize and measure contract assets and contract liabilities acquired in a business combination in accordance with Topic 606, "Revenue from Contracts with Customers." ASU 2021-08 is effective for fiscal years, and interim periods within those years, beginning after December 15, 2022, with early adoption permitted. The Company is in the process of assessing the impact of adoption on its consolidated financial statements.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880" w:type="dxa"/>
            <w:vAlign w:val="bottom"/>
            <w:gridSpan w:val="4"/>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Markets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328,220</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135,680</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184,240</w:t>
            </w:r>
          </w:p>
        </w:tc>
      </w:tr>
      <w:tr>
        <w:trPr>
          <w:trHeight w:val="223"/>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648,140</w:t>
            </w: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Realignment 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Realignment Actions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incurred realignment charges in its Packaging segment related to adjusting its labor force in facilities with lower demand, finalizing its Indianapolis, Indiana facility consolidation, costs incurred to reorganize its benefit plans in the United Kingdom, and for costs incurred as part of the Company's start-up and relocation to a new, larger facility in New Albany, Ohio. The Company also completed the Aerospace segment footprint realignment which began in 2021. In connection with these actions, the Company recorded pre-tax realignment charges of $0.6 million and $4.3 million during the three and nine months ended September 30, 2022, respectively, of which $0.4 million and $2.5 million, respectively, related to facility move and consolidation costs and $0.2 million and $1.8 million, respectively, were for employee-related costs. For the three and nine months ended September 30, 2022, $0.4 million and $2.6 million, respectively, of these charges were included in cost of sales, and $0.2 million and $1.7 million, respectively, of these charges were included in selling, general and administrative expenses in the accompanying consolidated statement of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Realignment Actions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executed certain realignment actions in response to reductions in current and expected future end market demand. First, the Company closed its Packaging segment's Union City, California manufacturing facility, consolidating the operation into its Indianapolis, Indiana and Woodridge, Illinois facilities. The Company also realigned its Aerospace segment footprint, consolidating certain activities previously in its three leased Stanton, California facilities into its owned Tolleson, Arizona facility. In addition, the Company also reorganized and streamlined its corporate office legal and finance groups. The Company recorded pre-tax realignment charges of $0.6 million and $8.8 million during the three and nine months ended September 30, 2021, respectively. Of these costs, $0.5 million and $2.7 million during the three and nine months ended September 30, 2021, respectively, related to facility consolidations, and $0.1 million and $6.1 million, respectively, were for employee separation costs. As of September 30, 2021, $1.5 million of the employee separation costs had been paid. For the three months ended September 30, 2021, $0.6 million of these charges were included in cost of sales. For the nine months ended September 30, 2021, $3.3 million and $5.5 million of these charges were included in cost of sales and selling, general and administrative expenses, respectively, in the accompanying consolidated statement of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2022, the Company acquired Intertech Plastics LLC and related companies (collectively, "Intertech") for a purchase price of $64.1 million, net of cash acquired. Intertech is a manufacturer of custom injection molded products used in medical applications, as well as products and assemblies for consumer and industrial applications. The fair value of assets acquired and liabilities assumed included $32.4 million of goodwill, $13.5 million of intangible assets, $12.2 million of property and equipment and $6.0 million of net working capital. Intertech, which is reported in the Company's Packaging segment, has two manufacturing facilities located in the Denver, Colorado area and historically generated $32 million in annual revenue.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Acquisitions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17, 2021, the Company acquired Omega Plastics ("Omega"), which specializes in manufacturing custom components and devices for drug delivery, diagnostic and orthopedic medical applications, as well as components for industrial applications, for an aggregate amount of $22.5 million, net of cash acquired. Omega, which is reported in the Company's Packaging segment, is located in Clinton Township, Michigan and historically generated $18 million in annual revenue.</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5, 2021, the Company acquired TFI Aerospace ("TFI"), a manufacturer and supplier of specialty fasteners used in a variety of applications, predominately for the aerospace end market, for an aggregate amount of $11.8 million, with additional contingent consideration ranging from zero to $12.0 million to be paid based on 2023 and 2024 earnings per the purchase agreement. The Company recorded $3.7 million as its best estimate of the additional contingent consideration, with such estimate based on Level 3 inputs under the fair value hierarchy, as defined. TFI, which is reported in the Company's Aerospace segment, is located near Toronto, Canada and historically generated $6 million in annual revenue. As of September 30, 2022, the recorded contingent consideration liability was $3.5 million.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and Cash Equivalents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the following components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129,790</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 restricted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r>
      <w:tr>
        <w:trPr>
          <w:trHeight w:val="248"/>
        </w:trPr>
        <w:tc>
          <w:tcPr>
            <w:tcW w:w="8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cash placed on deposit with a financial institution to be held as cash collateral for the Company's outstanding letters of credit.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September 30, 2022 are summarized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315,490</w:t>
            </w: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from acquisitions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32,370</w:t>
            </w: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332,280</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0" w:type="dxa"/>
            <w:vAlign w:val="bottom"/>
          </w:tcPr>
          <w:p>
            <w:pPr>
              <w:spacing w:after="0"/>
              <w:rPr>
                <w:sz w:val="1"/>
                <w:szCs w:val="1"/>
                <w:color w:val="auto"/>
              </w:rPr>
            </w:pPr>
          </w:p>
        </w:tc>
      </w:tr>
      <w:tr>
        <w:trPr>
          <w:trHeight w:val="159"/>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418,120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412,130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(215,400)</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2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80" w:type="dxa"/>
            <w:vAlign w:val="bottom"/>
            <w:gridSpan w:val="4"/>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9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184"/>
        </w:trPr>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Customer relationships, included in selling, general and</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4"/>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7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4"/>
                <w:szCs w:val="24"/>
                <w:color w:val="auto"/>
              </w:rPr>
            </w:pPr>
          </w:p>
        </w:tc>
        <w:tc>
          <w:tcPr>
            <w:tcW w:w="13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CCEEFF"/>
            </w:tcBorders>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CCEEFF"/>
            </w:tcBorders>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expense, included in selling, general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2029</w:t>
      </w:r>
    </w:p>
    <w:p>
      <w:pPr>
        <w:spacing w:after="0" w:line="1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March 2021, the Company issued $400.0 million aggregate principal amount of 4.125% senior notes due April 15, 2029 ("2029 Senior Notes") at par value in a private placement under Rule 144A of the Securities Act of 1933, as amended ("Securities Act"). The Company used the proceeds from the 2029 Senior Notes offering to pay fees and expenses of $5.1 million related to the offering and pay fees and expenses of $1.1 million related to amending its existing credit agreement. In connection with the issuance, during the second quarter of 2021, the Company completed the redemption of its outstanding 4.875% senior notes due October 15, 2025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$3.0 million of unamortized debt issuance costs associated with the 2025 Senior Notes, were included in debt financing and related expenses in the accompanying consolidated statement of income.</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2029 Senior Notes accrue interest at a rate of 4.125% per annum, payable semi-annually in arrears on April 15 and October 15. The payment of principal and interest is jointly and severally guaranteed, on a senior unsecured basis, by certain subsidiaries of the Company. The 2029 Senior Notes are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all existing and future senior indebtedness and effectively subordinated to all existing and future secured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of the value of the assets securing such indebtedness.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April 15, 2024, the Company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2029 Senior Notes at a redemption price equal to 100% of the principal amount thereof, plus accrued and unpaid interest, if any, to the redemption date, plus a "make whole" premium. On or after April 15, 2024, the Company may redeem all or part of the 2029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59"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102.063 %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101.031 %</w:t>
            </w: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2025</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2017, the Company issued $300.0 million aggregate principal amount of its 2025 Senior Notes at par value in a private placement under Rule 144A of the Securities Act. During the second quarter of 2021, and in connection with the issuance of the 2029 Senior Notes, the Company redeemed all of the outstanding 2025 Senior Notes, as permitted under the indenture, at a price of 102.438% of the principal amount.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2021, the Company amended its existing credit agreement ("Credit Agreement") in connection with the issuance of the 2029 Senior Notes to extend the maturity date. The Company incurred fees and expenses of $1.1 million related to the amendment, all of which was capitalized as debt issuance costs. The Company also recorded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the Company amended the Credit Agreement to replace LIBOR with a benchmark interest rate determined based on the currency denomination of borrowings. Effective January 1, 2022, the amendment replaced the reference rate terms for U.S. dollar LIBOR borrowings to the Secured Overnight Financing Rate ("SOFR"), British pound sterling LIBOR borrowings to the Sterling Overnight Index Average ("SONIA") and Euro LIBOR borrowings to the Euro Short Term Rate ("ESTR"), all plus a spread of 1.50%. The interest rate spread is based upon the leverage ratio, as defined, as of the most recent determination date.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revolving credit facility allows for the issuance of letters of credit, not to exceed $40.0 million in aggregate. As of December 31, 2021, the Company placed cash on deposit with a financial institution to be held as cash collateral for the Company's outstanding letters of credit; therefore, as of December 31, 2021, the Company had no letters of credit issued against its revolving credit facility. See Note 6,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for further information on its cash deposit. At September 30, 2022, the Company had no amounts outstanding under its revolving credit facility and had $293.9 million potentially available after giving effect to $6.1 million of letters of credit issued and outstanding. At December 31, 2021, the Company had no amounts outstanding under its revolving credit facility and had $300.0 million potentially available. The Company's borrowing capacity was not reduced by leverage restrictions contained in the Credit Agreement as of September 30, 2022 and December 31, 2021.</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September 30, 2022, the Company was in compliance with its financial covenants contained in the Credit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Revolving Loan Facility</w:t>
      </w:r>
    </w:p>
    <w:p>
      <w:pPr>
        <w:spacing w:after="0" w:line="146"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In May 2021, the Company, through one of its non-U.S. subsidiaries, entered into a revolving loan facility with a borrowing capacity of $4 million. The facility is guaranteed by TriMas Corporation. There were no borrowings outstanding on this loan facility as of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Pr>
          <w:p>
            <w:pPr>
              <w:spacing w:after="0"/>
              <w:rPr>
                <w:sz w:val="18"/>
                <w:szCs w:val="18"/>
                <w:color w:val="auto"/>
              </w:rPr>
            </w:pPr>
          </w:p>
        </w:tc>
        <w:tc>
          <w:tcPr>
            <w:tcW w:w="3480" w:type="dxa"/>
            <w:vAlign w:val="bottom"/>
            <w:gridSpan w:val="4"/>
          </w:tcPr>
          <w:p>
            <w:pPr>
              <w:jc w:val="right"/>
              <w:ind w:right="1095"/>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1"/>
        </w:trPr>
        <w:tc>
          <w:tcPr>
            <w:tcW w:w="3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399,000</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the Company entered into cross-currency swap agreements to hedge its net investment in Euro-denominated assets against future volatility in the exchange rate between the U.S. dollar and the Euro. By doing so, the Company synthetically converts a portion of its U.S. dollar-based long-term debt into Euro-denominated long-term debt. The agreements have notional amounts totaling $150.0 million, which decline to $75.0 million over contract periods ending on October 15, 2023 and April 15, 2024. Under the terms of the agreements, the Company is to receive net interest payments at fixed rates of approximately 2.4% to 2.6% of the notional amounts. At inception, the cross-currency swaps were designated as net investment hedges.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2022, immediately prior to entering into the new cross-currency swap agreements, the Company terminated its existing cross-currency swap agreements, de-designating the swaps as net investment hedges and receiving $26.2 million of cash. The cross-currency swap agreements had notional amounts totaling $250.0 million, which declined to $25.0 million over various contract periods ending between October 15, 2023 and October 15, 2027. Under the terms of the agreements, the Company was to receive net interest payments at fixed rates ranging from approximately 0.8% to 2.9% of the notional amounts.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fair value carrying amount of the Company's derivatives designated as hedging instruments are recorded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c>
          <w:tcPr>
            <w:tcW w:w="0" w:type="dxa"/>
            <w:vAlign w:val="bottom"/>
          </w:tcPr>
          <w:p>
            <w:pPr>
              <w:spacing w:after="0"/>
              <w:rPr>
                <w:sz w:val="1"/>
                <w:szCs w:val="1"/>
                <w:color w:val="auto"/>
              </w:rPr>
            </w:pPr>
          </w:p>
        </w:tc>
      </w:tr>
      <w:tr>
        <w:trPr>
          <w:trHeight w:val="159"/>
        </w:trPr>
        <w:tc>
          <w:tcPr>
            <w:tcW w:w="44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9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3"/>
                <w:szCs w:val="13"/>
                <w:color w:val="auto"/>
              </w:rPr>
            </w:pPr>
          </w:p>
        </w:tc>
        <w:tc>
          <w:tcPr>
            <w:tcW w:w="1180" w:type="dxa"/>
            <w:vAlign w:val="bottom"/>
          </w:tcPr>
          <w:p>
            <w:pPr>
              <w:jc w:val="center"/>
              <w:ind w:right="76"/>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460" w:type="dxa"/>
            <w:vAlign w:val="bottom"/>
            <w:gridSpan w:val="2"/>
            <w:vMerge w:val="continue"/>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recognized in accumulated other comprehensive income (loss) ("AOCI") on derivative contracts designated as hedging instruments as of September 30, 2022 and December 31, 2021, and the amounts reclassified from AOCI into earnings for the three and nine months ended September 30, 2022 and 2021 (dollars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p>
      <w:pPr>
        <w:jc w:val="center"/>
        <w:ind w:left="800"/>
        <w:spacing w:after="0" w:line="211" w:lineRule="auto"/>
        <w:rPr>
          <w:sz w:val="20"/>
          <w:szCs w:val="20"/>
          <w:color w:val="auto"/>
        </w:rPr>
      </w:pPr>
      <w:r>
        <w:rPr>
          <w:rFonts w:ascii="Times New Roman" w:cs="Times New Roman" w:eastAsia="Times New Roman" w:hAnsi="Times New Roman"/>
          <w:sz w:val="16"/>
          <w:szCs w:val="16"/>
          <w:b w:val="1"/>
          <w:bCs w:val="1"/>
          <w:color w:val="auto"/>
        </w:rPr>
        <w:t>in AOCI on Derivatives</w:t>
      </w:r>
    </w:p>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Amount of Income (Loss) Reclassified</w:t>
      </w: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8890</wp:posOffset>
            </wp:positionV>
            <wp:extent cx="251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1"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b w:val="1"/>
          <w:bCs w:val="1"/>
          <w:color w:val="auto"/>
        </w:rPr>
        <w:t>Three months ended</w:t>
      </w:r>
      <w:r>
        <w:rPr>
          <w:sz w:val="20"/>
          <w:szCs w:val="20"/>
          <w:color w:val="auto"/>
        </w:rPr>
        <w:tab/>
      </w:r>
      <w:r>
        <w:rPr>
          <w:rFonts w:ascii="Times New Roman" w:cs="Times New Roman" w:eastAsia="Times New Roman" w:hAnsi="Times New Roman"/>
          <w:sz w:val="16"/>
          <w:szCs w:val="16"/>
          <w:b w:val="1"/>
          <w:bCs w:val="1"/>
          <w:color w:val="auto"/>
        </w:rPr>
        <w:t>Nine months ended</w:t>
      </w:r>
    </w:p>
    <w:p>
      <w:pPr>
        <w:ind w:left="200"/>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September 30,</w:t>
      </w:r>
      <w:r>
        <w:rPr>
          <w:sz w:val="20"/>
          <w:szCs w:val="20"/>
          <w:color w:val="auto"/>
        </w:rPr>
        <w:tab/>
      </w: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vMerge w:val="restart"/>
          </w:tcPr>
          <w:p>
            <w:pPr>
              <w:spacing w:after="0"/>
              <w:rPr>
                <w:sz w:val="12"/>
                <w:szCs w:val="12"/>
                <w:color w:val="auto"/>
              </w:rPr>
            </w:pPr>
          </w:p>
        </w:tc>
        <w:tc>
          <w:tcPr>
            <w:tcW w:w="198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6"/>
                <w:szCs w:val="16"/>
                <w:b w:val="1"/>
                <w:bCs w:val="1"/>
                <w:color w:val="auto"/>
              </w:rPr>
              <w:t>Location of Income</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180" w:type="dxa"/>
            <w:vAlign w:val="bottom"/>
            <w:gridSpan w:val="3"/>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 AOCI</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18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into Earnings (Effective</w:t>
            </w:r>
          </w:p>
        </w:tc>
        <w:tc>
          <w:tcPr>
            <w:tcW w:w="70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21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Portion)</w:t>
            </w: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Cross-currency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20"/>
                <w:szCs w:val="20"/>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Other income (expense), net  </w:t>
            </w:r>
            <w:r>
              <w:rPr>
                <w:rFonts w:ascii="Times New Roman" w:cs="Times New Roman" w:eastAsia="Times New Roman" w:hAnsi="Times New Roman"/>
                <w:sz w:val="17"/>
                <w:szCs w:val="17"/>
                <w:color w:val="auto"/>
              </w:rPr>
              <w:t>$</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2022, the Company was party to foreign currency exchange forward contracts to economically hedge changes in foreign currency rates with notional amounts of $130.4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June 2023. These contracts are not designated as hedge instruments; therefore, gains and losses on these contracts are recognized each period directly into the consolidated statement of income.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income (dollars in thousands):</w:t>
      </w:r>
    </w:p>
    <w:p>
      <w:pPr>
        <w:spacing w:after="0" w:line="216"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6"/>
          <w:szCs w:val="16"/>
          <w:b w:val="1"/>
          <w:bCs w:val="1"/>
          <w:color w:val="auto"/>
        </w:rPr>
        <w:t>Amount of Income Recognized in</w:t>
      </w:r>
    </w:p>
    <w:p>
      <w:pPr>
        <w:ind w:left="8220"/>
        <w:spacing w:after="0"/>
        <w:rPr>
          <w:sz w:val="20"/>
          <w:szCs w:val="20"/>
          <w:color w:val="auto"/>
        </w:rPr>
      </w:pPr>
      <w:r>
        <w:rPr>
          <w:rFonts w:ascii="Times New Roman" w:cs="Times New Roman" w:eastAsia="Times New Roman" w:hAnsi="Times New Roman"/>
          <w:sz w:val="16"/>
          <w:szCs w:val="16"/>
          <w:b w:val="1"/>
          <w:bCs w:val="1"/>
          <w:color w:val="auto"/>
        </w:rPr>
        <w:t>Earnings on 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5"/>
          </w:tcPr>
          <w:p>
            <w:pPr>
              <w:jc w:val="right"/>
              <w:ind w:right="460"/>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4"/>
          </w:tcPr>
          <w:p>
            <w:pPr>
              <w:jc w:val="center"/>
              <w:ind w:right="155"/>
              <w:spacing w:after="0" w:line="161"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42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9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26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Income</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6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220" w:type="dxa"/>
            <w:vAlign w:val="bottom"/>
          </w:tcPr>
          <w:p>
            <w:pPr>
              <w:spacing w:after="0"/>
              <w:rPr>
                <w:sz w:val="14"/>
                <w:szCs w:val="14"/>
                <w:color w:val="auto"/>
              </w:rPr>
            </w:pPr>
          </w:p>
        </w:tc>
        <w:tc>
          <w:tcPr>
            <w:tcW w:w="780" w:type="dxa"/>
            <w:vAlign w:val="bottom"/>
            <w:vMerge w:val="restart"/>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September 30, 2022 and December 31, 2021 are shown below (dollars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6"/>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8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variable and other lease costs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(excluding the nine months ended September 30, 2022)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20,730</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30" w:lineRule="auto"/>
        <w:tabs>
          <w:tab w:leader="none" w:pos="304"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as of September 30, 2022 is 6.8 years. The weighted-average discount rate as of September 30, 2022 is 3.7%.</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$7.4 million and $6.2 million during the nine months ended September 30, 2022 and 2021, respectively, and is included in cash flows provided by operating activities in the accompanying consolidated statement of cash flows.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lease liabilities were $5.7 million and $6.2 million during the nine months ended September 30, 2022 and 2021,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long-term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was a party to 418 pending cases involving an aggregate of 4,774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126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66"/>
        </w:trPr>
        <w:tc>
          <w:tcPr>
            <w:tcW w:w="220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Nine Months Ended</w:t>
            </w: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1,710,000</w:t>
            </w: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Fiscal Year Ended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4,774 claims pending at September 30, 2022, 40 set forth specific amounts of damages (other than those stating the statutory minimum or maximum). At September 30, 2022, of the 40 claims that set forth specific amounts, there were zero claims seeking more than $5 million for punitive damages. Below is a breakdown of the compensatory damages sought for those claims seeking specific amounts: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37</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claims have reached the discovery stage and even fewer claims have gone past the discovery stage. Total settlement costs (exclusive of defense costs) for all such cases, some of which were filed over 30 years ago, have been $12.4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commissioned its actuary to update the study, based on data as of September 30, 2021, which yielded a range of possible future liability of $28.2 million to $38.6 million. The Company did not believe any amount within the range of potential outcomes represented a better estimate than another given the many factors and assumptions inherent in the projections, and therefore recorded a non-cash, pre-tax charge of $1.5 million to increase the liability estimate to $28.2 million, at the low-end of the range. As of September 30, 2022, the Company’s total asbestos-related liability is $24.0 million, and is included in accrued liabilities and other long-term liabilities, respectively, in the accompanying consolidated balance sheet.</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9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TriMas' Packaging segment consists primarily of the Rieke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as well as more recently acquired brands which include the Affaba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Ferrari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Taplast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Rapak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Plastic Srl, Intertech and Omega brands. TriMas Packaging develops and manufactures a broad array of dispensing products (such as foaming pumps, lotion and hand soaps and sanitizer pumps, beverage dispensers, perfume sprayers, nasal sprayers and trigger sprayers), polymeric and steel caps and closures (such as food lids, flip-top closures, child resistance caps, beverage closures,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3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TriMas' Aerospace segment, which includes the Monogram Aerospace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Allfast Fastening Systems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TFI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Aerospace, RSA Engineered Products and Martinic Engineering brands, develops, qualifies and manufactures highly-engineered, precision fasteners, tubular products and assemblies for fluid conveyance, and machined products and assemblies to serve the aerospace and defense market.</w:t>
      </w:r>
    </w:p>
    <w:p>
      <w:pPr>
        <w:spacing w:after="0" w:line="12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TriMas' Specialty Products segment, which includes the Norris Cylinder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Arrow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 brands, designs, manufactures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distributes highly-engineered steel cylinders, wellhead engines and compression systems for use within industrial markets.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780" w:type="dxa"/>
            <w:vAlign w:val="bottom"/>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416,540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409,730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648,140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76,490</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Aerospace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48" w:lineRule="exact"/>
        <w:rPr>
          <w:sz w:val="20"/>
          <w:szCs w:val="20"/>
          <w:color w:val="auto"/>
        </w:rPr>
      </w:pPr>
    </w:p>
    <w:p>
      <w:pPr>
        <w:ind w:left="340" w:right="20" w:hanging="332"/>
        <w:spacing w:after="0" w:line="221" w:lineRule="auto"/>
        <w:tabs>
          <w:tab w:leader="none" w:pos="317"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three and nine months ended September 30, 2022, the Company recognized a $4.8 million pre-tax gain on the sale of vacant land adjacent to the Company's Tolleson, Arizona manufacturing facility within the Aerospace segment.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Equity Awards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the nine months ended September 30, 2022:</w:t>
      </w:r>
    </w:p>
    <w:p>
      <w:pPr>
        <w:spacing w:after="0" w:line="158"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200,047 RSUs to certain employees, which are subject only to a service condition and vest ratably over three years so long as the employee remains with the Company;</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22,554 RSUs to its non-employee independent directors, which fully vest one year from date of grant so long as the director and/or Company does not terminate the director's service prior to the vesting date;</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337 RSUs related to director fee deferrals as certain of the Company's directors elected to defer all or a portion of their directors fees and to receive the amount in Company common stock at a future date; and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190 RSUs to certain employees related to dividend equivalent rights on existing equity awards.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2022, the Company also awarded 85,156 performance-based RSUs to certain Company key employees which vest three years from the grant date as long as the employee remains with the Company. These awards are earned 50% based upon the Company's achievement of an earnings per share compound annual growth rate ("EPS CAGR") metric over a period beginning January 1, 2022 and ending December 31, 2024.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1.88% and annualized volatility of 36.5%. Depending on the performance achieved for these two metrics, the amount of shares earned, if any, can vary for each metric from 0% of the target award to a maximum of 200% of the target award. For similar performance-based RSUs awarded in 2019, the Company attained 65.4% of the target on a weighted average basis, resulting in a decrease of 24,975 shares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September 30, 2022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673,732</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710,676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17,816,647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$8.4 million of unrecognized compensation cost related to unvested RSUs that is expected to be recorded over a weighted average period of 1.7 years.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RSUs of $2.4 million and $1.7 million during the three months ended September 30, 2022 and 2021, respectively, and $7.7 million and $7.3 million during the nine months ended September 30, 2022 and 2021, respectively. The stock-based compensation expense is included in selling, general and administrative expenses in the accompanying consolidated statement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Diluted earnings per share is calculated to give effect to stock options and RSUs. The following table summarizes the dilutive effect of RSUs and options to purchase common stock for the nine months ended September 30, 2022 and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9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7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560" w:type="dxa"/>
            <w:vAlign w:val="bottom"/>
          </w:tcPr>
          <w:p>
            <w:pPr>
              <w:spacing w:after="0"/>
              <w:rPr>
                <w:sz w:val="18"/>
                <w:szCs w:val="18"/>
                <w:color w:val="auto"/>
              </w:rPr>
            </w:pPr>
          </w:p>
        </w:tc>
        <w:tc>
          <w:tcPr>
            <w:tcW w:w="1900" w:type="dxa"/>
            <w:vAlign w:val="bottom"/>
            <w:tcBorders>
              <w:bottom w:val="single" w:sz="8" w:color="auto"/>
            </w:tcBorders>
            <w:gridSpan w:val="3"/>
          </w:tcPr>
          <w:p>
            <w:pPr>
              <w:jc w:val="center"/>
              <w:ind w:left="8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9"/>
        </w:trPr>
        <w:tc>
          <w:tcPr>
            <w:tcW w:w="55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41,995,027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42,889,922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42,363,919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43,061,707</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204,177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267,675</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9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16,395</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42,181,440</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43,094,099</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42,590,777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43,345,777</w:t>
            </w: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This announcement represented the most recent update from the initial authorization, approved in November 2015, of up to $50 million of purchases in the aggregate of its common stock. In the three and nine months ended September 30, 2022, the Company purchased 76,167 and 1,004,154 shares of its outstanding common stock for $2.1 million and $30.0 million, respectively. During the three and nine months ended September 30, 2021, the Company purchased 129,866 and 570,084 shares of its outstanding common stock for $4.0 million and $18.2 million, respectively. As of September 30, 2022, the Company has $112.7 million remaining under the repurchase authorization.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dividends at the discretion of the Company's Board of Directors. In 2021, the Company's Board of Directors declared the first dividend since the Company's initial public offering in 2007. During the three months ended September 30, 2022, the Company's cash dividends declared were $0.04 per share of common stock, and total dividends declared and paid on common shares in the three and nine months ended September 30, 2022 were $1.7 million and $5.2 million, respectively. No dividends were declared or paid during the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Defined Benefit Plans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58"/>
        </w:trPr>
        <w:tc>
          <w:tcPr>
            <w:tcW w:w="5620" w:type="dxa"/>
            <w:vAlign w:val="bottom"/>
          </w:tcPr>
          <w:p>
            <w:pPr>
              <w:spacing w:after="0"/>
              <w:rPr>
                <w:sz w:val="13"/>
                <w:szCs w:val="13"/>
                <w:color w:val="auto"/>
              </w:rPr>
            </w:pPr>
          </w:p>
        </w:tc>
        <w:tc>
          <w:tcPr>
            <w:tcW w:w="2280" w:type="dxa"/>
            <w:vAlign w:val="bottom"/>
            <w:gridSpan w:val="4"/>
          </w:tcPr>
          <w:p>
            <w:pPr>
              <w:jc w:val="right"/>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00" w:type="dxa"/>
            <w:vAlign w:val="bottom"/>
            <w:gridSpan w:val="4"/>
          </w:tcPr>
          <w:p>
            <w:pPr>
              <w:jc w:val="right"/>
              <w:ind w:right="631"/>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9"/>
        </w:trPr>
        <w:tc>
          <w:tcPr>
            <w:tcW w:w="56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Settlement/curtailment loss</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recorded a non-cash curtailment expense of $0.2 million, as it transitioned certain active employees previously participating in a defined benefit plan in the United Kingdom to a defined contribution plan, thereby eliminating future service cost accruals for all employees under this defined benefit plan.</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contributed $0.4 million and $1.2 million to its defined benefit pension plans during the three and nine months ended September 30, 2022, respectively. The Company expects to contribute $1.7 million to its defined benefit pension plans for the full year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Other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nine months ended September 30, 2022 are summarized as follows, net of tax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3"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instruments, net of income tax of $6.3 million. See Note 11,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34"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$0.1 million. See Note 18,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nine months ended September 30, 2021 are summarized as follows, net of tax (dollars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2021</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8"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$2.4 million. See Note 11,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92"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$0.1 million. See Note 18,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Income Taxes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2022 and 2021 was 27.1% and 27.0%, respectively. The rate for the three months ended September 30, 2022 is consistent as compared to the prior year period.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2022 and 2021 was 25.0% and 19.2%, respectively. The rate for the nine months ended September 30, 2022 is higher than in the prior year period, primarily as a result of the recognition of $3.0 million of deferred tax benefits in Italy during the nine months ended September 30, 2021, the majority of which related to a reduction in deferred tax liabilities in connection with certain tax incentives.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20, 2022, the Company announced that its Board of Directors had declared a cash dividend of $0.04 per share of TriMas Corporation common stock, which will be payable on November 10, 2022 to shareholders of record as of the close of business on November 3, 2022.</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14, 2022, the Company completed the sale of a non-core facility in City of Industry, California, within its Aerospace segment, for pre-tax cash proceeds of $23.3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past two years, the coronavirus ("COVID-19") pandemic has significantly affected each of our businesses and how we operate, albeit in different ways and magnitudes. Sales in our Packaging segment for dispensing and closure products used in applications to help fight the spread of germs have experienced extreme volatility in demand, with demand spiking to record highs after the onset of the pandemic, demand abating as expected from those high levels over the past year, and in third quarter 2022, which normally is strong ordering period heading into a holiday selling season, demand abruptly fell as a result of some of our large consumer goods customers' choices to rebalance on-hand inventory levels given the current macro-economic environment. Sales of certain of our industrial and aerospace-related products were significantly depressed from historical levels during 2020 and 2021. Our aerospace-related product sales continue to be lower than historical levels, although demand continues to increase, while certain industrial product sales have recovered to pre-pandemic levels. The pandemic has also led to increased uncertainty and higher inflation rates in the global business environment, and we have experienced increases in input costs (raw materials, wage rates, energy and freight), supply chain disruptions and delays, as well as labor availability challenges, all pressuring our ability to operate efficiently and at the margin levels previously experienced.</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and continue to be, focused on ensuring the working environments for our employees are safe. At the onset of the pandemic, we implemented new work rules and processes, which promote social distancing and increased hygiene to ensure the safety of our employees, particularly at our production facilities. These measures, plus other governmental regulation and sick-time rules, have increased the level of manufacturing inefficiencies including elevated levels of absenteeism, less efficient production scheduling and, in certain cases, short-term idling of production. While these increased costs and inefficiencies began in 2020, they continue to persist. In fact, with increased demand volatility and inflationary pressures, some of the inefficiencies have exacerbated in 2022, most notably in our Aerospace segment, and we believe all such items aggregated to more than $2 million in third quarter year-over-year cost pressure. Given these factors, we believe that labor-related availability and inefficiencies will be an ongoing challenge.</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Overall, our third quarter 2022 net sales decreased $3.9 million, or (1.7)%, compared to third quarter 2021. Sales increased within our Specialty Products segment as a result of increased industrial demand and higher oil-field activity in North America. Sales also increased as a result of recent acquisitions in our Packaging and Aerospace segments, as well as from sales of products used in food and beverage markets within our Packaging segment. These factors were more than offset primarily by an abrupt reduction in demand for personal care and home care products in our Packaging segment, as well as unfavorable currency exchange.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most significant drivers affecting our financial results in third quarter 2022 compared with third quarter 2021, other than as directly impacted by sales changes or as a result of the labor-related availability and and inefficiencies, were the impact of our recent acquisitions, the impact of higher energy and other input costs, the gain on the sale of vacant land adjacent to our Tolleson, Arizona manufacturing facility within our Aerospace segment, and the settlement of our cross currency swaps.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we acquired Intertech Plastics LLC and related companies (collectively, "Intertech"), a manufacturer of custom injection molded products used in medical applications, as well as products and assemblies for consumer and industrial applications, for an aggregate amount of $64.1 million, net of cash acquired. Intertech, which is reported in the Company's Packaging segment, has two manufacturing facilities located in the Denver, Colorado area. Intertech contributed $8.8 million of net sales during third quarter 2022.</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we completed the acquisition of Omega Plastics ("Omega"), which specializes in manufacturing custom components and devices for drug delivery, diagnostic and orthopedic medical applications, as well as components for industrial applications, for an aggregate amount of $22.5 million, net of cash acquired. Omega, which is reported in the Company's Packaging segment, is located in Clinton Township, Michigan. Omega contributed $2.7 million of net sales during third quarter 2022.</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we acquired TFI Aerospace ("TFI"), a manufacturer and supplier of specialty fasteners used in a variety of applications, predominately for the aerospace end market, for an aggregate amount of $11.8 million, with additional contingent consideration ranging from zero to $12.0 million to be paid based on 2023 and 2024 earnings per the purchase agreement. TFI, which is reported in the Company's Aerospace segment, is located near Toronto, Canada. TFI contributed $1.3 million of net sales during third quarter 2022.</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experienced a significant increase in the cost of energy, primarily in our Europe-based operations, as well as for other input costs in third quarter 2022 compared with third quarter 2021. Energy costs began to rise during late 2021, and have further increased into 2022, which we believe is primarily due to geopolitical tensions associated with the Russia-Ukraine conflict, as well as realized and expected energy supply constraints. Energy costs were more than $2 million and $5 million higher in the three and nine months ended September 30, 2022 than the three and nine months ended September 30, 2021, respectively. We expect there could be additional cost and supply chain pressures going forward as a result of the uncertainty surrounding the conflict in Eastern Europe.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third quarter 2022, we completed the sale of vacant land adjacent to our Tolleson, Arizona manufacturing facility and recognized a pre-tax gain of $4.8 million within our Aerospace segment. We received pre-tax net cash proceeds of $5.0 million in October 2022.</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third quarter 2022, we terminated our existing cross-currency swap agreements, de-designating the swaps as net investment hedges and received $26.2 million of cash. The cross-currency swap agreements had notional amounts totaling $250.0 million, which declined to $25.0 million over various contract periods ending between October 15, 2023 and October 15, 2027.</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year-to-date basis, there were three additional significant drivers of change in our year-over-year results of operations.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in second quarter 2020, we have been executing certain realignment actions in response to current and expected future end market demand following the onset of the COVID-19 pandemic, as well as for the move to our new Packaging facility in New Albany, Ohio. We recorded pre-tax facility move/consolidation and employee-related costs of $2.5 million and $1.8 million, respectively, in the nine months ended September 30, 2022. In the nine months ended September 30, 2021, we recorded pre-tax facility consolidation and employee separation costs of $2.7 million and $6.1 million, respectively.</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2021, we refinanced our long-term debt, issuing $400 million principal amount of 4.125% senior unsecured notes due April 15, 2029 ("2029 Senior Notes") at par value in a private placement offering, and amending our existing credit agreement ("Credit Agreement"), extending the maturity to March 2026. We used the proceeds from the 2029 Senior Notes offering to pay fees and expenses of $5.1 million related to the offering and $1.1 million related to amending the Credit Agreement. The remaining cash proceeds from the 2029 Senior Notes were used for general corporate purposes, including repaying all outstanding revolving credit facility borrowings. In April 2021, we completed the refinancing, redeeming all of our outstanding senior notes due October 2025 ("2025 Senior Notes"), paying cash for the entire $300.0 million outstanding principal amount plus $7.3 million as a redemption premium. The $5.1 million of fees and expenses related to the 2029 Senior Notes were capitalized as debt issuance costs, while the $7.3 million redemption premium as well as $3.0 million of unamortized debt issuance costs associated with the 2025 Senior Notes were expensed in the second quarter of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for the nine months ended September 30, 2022 and 2021 was 25.0% and 19.2%, respectively. The rate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is higher primarily as a result of the recognition of $3.0 million of deferred tax benefits in Italy during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 the majority of which related to a reduction in deferred tax liabilities in connection with certain tax incentives.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executed significant realignment actions since the onset of the COVID-19 pandemic, primarily in our Aerospace and Specialty Products segments, and also in certain Packaging product areas where demand has fallen. We will continue to assess further actions if required. However, as a result of the current period of macroeconomic inflation and uncertainty, the continued impact of the COVID-19 pandemic, and the potential impact of such factors to our future results of operations, as well if there is an impact to TriMas' market capitalization, we may record additional cash and non-cash charges related to incremental realignment actions, asset impairments as well as for uncollectible customer account balances, excess inventory and idle production equipment.</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extent of the COVID-19 pandemic's effect on our operational and financial performance will depend in large part on future developments, which cannot be predicted with confidence at this time. Future developments include the duration, scope and severity of the COVID-19 pandemic, the actions taken to contain or mitigate its impact, timing and acceptance of widespread vaccine availability, and the resumption of normalized global economic activity. Due to the inherent uncertainty of the unprecedented and rapidly evolving situation, we are unable to predict with any confidence the likely impact of the COVID-19 pandemic on our future operations.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and availability of our raw materials supply. Our largest raw material purchases are for resins (such as polypropylene and polyethylene), steel, aluminum and other oil and metal-based purchased components. In addition to the factors affecting our 2021 and 2022 results,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We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or can modify prices based on market conditions to recover higher costs, our price increases generally lag the underlying material cost increase, and we cannot be assured of full cost recovery in the open market. If input costs increase at rapid rates, as they did during 2021, our ability to recover cost increases on a timely basis is made more difficult by the lag nature of these contracts.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third quarter 2022, we purchased 76,167 shares of our outstanding common stock for an aggregate purchase price of $2.1 million. As of September 30, 2022, we had $112.7 million remaining under the repurchase authorization.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third quarter 2022, we declared dividends of $0.04 per share of common stock and paid dividends of $1.7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September 30, 2022 and 2021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41"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nine months ended September 30, 2022 and 2021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3"/>
                <w:szCs w:val="13"/>
                <w:color w:val="auto"/>
              </w:rPr>
            </w:pPr>
          </w:p>
        </w:tc>
        <w:tc>
          <w:tcPr>
            <w:tcW w:w="17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126,650</w:t>
            </w:r>
          </w:p>
        </w:tc>
        <w:tc>
          <w:tcPr>
            <w:tcW w:w="2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680,520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648,140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162,720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167,800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72,780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September 30, 2022, compared with the three months ended September 30, 2021, were:</w:t>
      </w:r>
    </w:p>
    <w:p>
      <w:pPr>
        <w:spacing w:after="0" w:line="144" w:lineRule="exact"/>
        <w:rPr>
          <w:sz w:val="20"/>
          <w:szCs w:val="20"/>
          <w:color w:val="auto"/>
        </w:rPr>
      </w:pPr>
    </w:p>
    <w:p>
      <w:pPr>
        <w:ind w:left="1140" w:hanging="484"/>
        <w:spacing w:after="0" w:line="282" w:lineRule="auto"/>
        <w:tabs>
          <w:tab w:leader="none" w:pos="1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global business activity of the COVID-19 pandemic, as well as volatility and inflationary pressure on input costs, supply chain and labor availability;</w:t>
      </w:r>
    </w:p>
    <w:p>
      <w:pPr>
        <w:spacing w:after="0" w:line="9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abrupt reduction in demand for beauty and personal care and home care products in our Packaging segment;</w:t>
      </w:r>
    </w:p>
    <w:p>
      <w:pPr>
        <w:spacing w:after="0" w:line="15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acquisitions, primarily Omega and TFI in December 2021, and Intertech in February 2022;</w:t>
      </w:r>
    </w:p>
    <w:p>
      <w:pPr>
        <w:spacing w:after="0" w:line="14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vacant land in Tolleson, Arizona and the related pre-tax gain recognized in our Aerospace segment.</w:t>
      </w:r>
    </w:p>
    <w:p>
      <w:pPr>
        <w:spacing w:after="0" w:line="15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higher energy costs; and</w:t>
      </w:r>
    </w:p>
    <w:p>
      <w:pPr>
        <w:spacing w:after="0" w:line="15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our existing cross-currency swaps.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with Three Months Ended September 30, 2021</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decreased $3.9 million, or 1.7%, to $218.5 million for the three months ended September 30, 2022, as compared with $222.4 million in the three months ended September 30, 2021. Our Intertech, Omega and TFI acquisitions collectively added $12.8 million of sales for third quarter 2022. Organic sales, excluding the impact of currency exchange and acquisitions, decreased $10.6 million, as increases in our Specialty Products segment as well as for food and beverage in our Packaging segment were partially offset by declines of industrial products and dispensing products that help fight the spread of germs in our Packaging segment and the expected reduction in sales of customers' stocking orders for highly-engineered fasteners in our Aerospace segment. In addition, net sales decreased by $6.1 million due to currency exchange, as our reported results in U.S. dollars were unfavorably impacted as a result of a strengthening U.S. dollar relative to foreign currencies.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22.1% and 26.3% for the three months ended September 30, 2022 and 2021, respectively. Gross profit margin decreased due to a less favorable sales mix, primarily as a result of lower sales of Aerospace segment customers' stocking orders for highly-engineered fasteners, as well as production inefficiencies resulting from supply chain constraints and volatility in labor availability during the three months ended September 30, 2022. In addition, improved recovery of resin costs in our Packaging segment was more than offset by higher energy costs, primarily in our Packaging segment's European facilities, higher steel costs in our Specialty Products segment, and unfavorable currency exchange.</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9.6% and 13.9% for the three months ended September 30, 2022 and 2021, respectively. Operating profit decreased $9.8 million to $21.0 million in the three months ended September 30, 2022, from $30.8 million for the three months ended September 30, 2021, primarily due to lower sales levels, a less favorable product sales mix, higher energy and steel costs, increased production inefficiencies resulting from supply chain constraints and volatility in labor availability, as well as unfavorable currency exchange, all partially offset by a pre-tax gain of $4.8 million within our Aerospace segment for the sale of vacant land adjacent to our Tolleson, Arizona manufacturing facility.</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$0.2 million, to $3.6 million for the three months ended September 30, 2022, compared to $3.4 million for the three months ended September 30, 2021, due to a higher effective interest rate as a result of lower notional amounts of cross-currency swaps.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increased $1.4 million to $0.9 million of income for the three months ended September 30, 2022, as compared to $0.5 million of expense for the three months ended September 30, 2021, primarily due to an increase in foreign currency transaction gains.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2022 and 2021 was 27.1% and 27.0%, respectively. We recorded income tax expense of $4.9 million and $7.3 million for the three months ended September 30, 2022 and 2021, respectively.</w:t>
      </w:r>
    </w:p>
    <w:p>
      <w:pPr>
        <w:spacing w:after="0" w:line="9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Net income decreased $6.3 million, to $13.3 million for the three months ended September 30, 2022, as compared to $19.6 million for the three months ended September 30, 2021. The decrease was primarily the result of a decrease in operating profit of $9.8 million and an increase in interest expense of $0.2 million, partially offset by a decrease in income tax expense of $2.3 million and an increase in other income of $1.4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decreased $8.3 million, or 6.0%, to $129.7 million in the three months ended September 30, 2022, as compared to $138.0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September 30, 2021. Our recent Intertech and Omega acquisitions collectively contributed $11.5 million of sales during the three months ended September 30, 2022. Sales of products used in food and beverage markets increased by $0.9 million, primarily due to strong demand for closures, dispensers and flexible packaging as the hospitality sector continues to rebound from prior COVID-19 pandemic-related shutdowns. Sales of products used in industrial markets decreased by $2.2 million, primarily as a result of lower demand for drum closure products in North America. Sales of dispensing products used in beauty and personal care, as well as home care, applications that help fight the spread of germs decreased by $13.7 million, primarily due to a reduction in demand from our large consumer goods customers that are choosing to rebalance on-hand inventory levels given the current macro-economic environment. Net sales decreased by $6.1 million due to currency exchange, as our reported results in U.S. dollars were unfavorably impacted as a result of the strengthening U.S. dollar relative to foreign currencies, as compared to third quarter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decreased $8.2 million to $31.2 million, or 24.1% of sales, in the three months ended September 30, 2022, as compared to $39.4 million, or 28.6% of sales, in the three months ended September 30, 2021. During third quarter 2021, we were impacted by $3 million of higher resin costs than we were able to recover via commercial actions, while in third quarter 2022, we were generally able to recover current resin costs. Gross profit declined in third quarter 2022 due to lower sales levels, $2.2 million of higher energy costs, primarily in our European manufacturing facilities, and $1.6 million of unfavorable currency exchange, as our reported results in U.S. dollars were impacted as a result of the strengthening U.S. dollar relative to foreign currencies. Gross profit margin was also adversely impacted by a less favorable product sales mix.</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$1.5 million to $13.6 million, or 10.5% of sales, in the three months ended September 30, 2022, as compared to $12.1 million, or 8.7% of sales, in the three months ended September 30, 2021, primarily due to higher ongoing selling, general and administrative costs associated with our acquisitions as we continue to integrate them into our portfolio. Selling, general and administrative expenses would have been approximately flat year-over-year in third quarter without consideration of the Omega and Intertech expenses.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decreased $9.8 million to $17.6 million, or 13.6% of sales, in the three months ended September 30, 2022, as compared to $27.3 million, or 19.8% of sales, in the three months ended September 30, 2021, as the impact of improved recovery of material costs was offset by lower sales levels, a less favorable product sales mix, higher energy costs, higher selling, general and administrative expenses and the impact of $0.7 million of unfavorable currency exchange.</w:t>
      </w:r>
    </w:p>
    <w:p>
      <w:pPr>
        <w:spacing w:after="0" w:line="1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September 30, 2022 decreased $1.1 million, or 2.3%, to $45.4 million, as compared to $46.5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September 30, 2021. Our December 2021 acquisition of TFI contributed $1.3 million in sales. Sales of our fasteners products decreased by $2.5 million, as increases in demand for fasteners used in new aircraft builds plus market share gains were more than offset by the expected loss of more than $6 million of third quarter 2021 sales of customers' stocking orders for highly-engineered fasteners. Sales of our engineered components products increased by $0.1 million.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decreased $2.0 million to $8.1 million, or 17.9% of sales, in the three months ended September 30, 2022, from $10.2 million, or 21.8% of sales, in the three months ended September 30, 2021, primarily due to a less favorable product sales mix in third quarter 2022, with lower sales of the customers' stocking orders for highly-engineered fasteners, as well as production inefficiencies resulting from supply chain constraints and volatility in labor availability.</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$2.1 million to $8.2 million, or 18.1% of sales, in the three months ended September 30, 2022, as compared to $6.2 million, or 13.2% of sales, in the three months ended September 30, 2021, primarily due to higher ongoing selling, general and administrative costs associated with our acquisition of TFI and due to higher employee-related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increased $0.7 million to $4.7 million, or 10.4% of sales, in the three months ended September 30, 2022, as compared to $4.0 million, or 8.6% of sales, in the three months ended September 30, 2021, primarily due to a $4.8 million pre-tax gain on the sale of vacant land adjacent to our Tolleson, Arizona manufacturing facility in third quarter 2022, which was largely offset by a less favorable product sales mix, production inefficiencies resulting from supply chain constraints and volatility in labor availability and higher employee-related costs.</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September 30, 2022 increased $5.5 million, or 14.5%, to $43.4 million, as compared to $37.9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September 30, 2021. Sales of our cylinder products increased $2.2 million due to higher demand for steel cylinders in North America, as industrial activity continues to increase from depressed levels as a result of the COVID-19 pandemic. Sales of engines, compressors and related parts used in stationary power generation and assistance applications for natural gas and crude oil extraction increased by $3.3 million, primarily as a result of higher oil-field activity in North America.</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$0.1 million to $9.0 million, or 20.8% of sales, in the three months ended September 30, 2022, as compared to $8.9 million, or 23.4% of sales, in the three months ended September 30, 2021. Gross profit increased in the third quarter of 2022 due to higher sales levels, while margins decreased due to higher steel costs as well as a less favorable product sales mix.</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stayed relatively flat at $2.2 million, or 5.2% of sales, in the three months ended September 30, 2022, as compared to $2.2 million, or 5.9% of sales, in the three months ended September 30, 2021.</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profit increased $0.1 million to $6.8 million, or 15.6% of sales, in the three months ended September 30, 2022, as compared to $6.7 million, or 17.6% of sales, in the three months ended September 30, 2021, primarily due to increased sales levels which were partially offset by higher steel costs as well as a less favorable product sales mix.</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consist of the following (dollars in millions):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r>
      <w:tr>
        <w:trPr>
          <w:trHeight w:val="211"/>
        </w:trPr>
        <w:tc>
          <w:tcPr>
            <w:tcW w:w="78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12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increased $0.9 million to $8.1 million for the three months ended September 30, 2022, from $7.2 million for the three months ended September 30, 2021, primarily as a result of an increase in non-cash stock compensation due to timing differences in expense recognition as well as higher estimated attainment of awards in three months ended September 30, 2022 compared to the three months ended September 30, 2021.</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with Nine Months Ended September 30, 2021</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net sales increased $32.4 million, or 5.0%, to $680.5 million for the nine months ended September 30, 2022, as compared with $648.1 million in the nine months ended September 30, 2021, primarily as a result of our Intertech, Omega and TFI acquisitions, which collectively added $37.6 million of sales. Organic sales, excluding the impact of currency exchange and acquisitions, increased $8.1 million, as increases of industrial products in our Specialty Products segment as well as for food and beverage and industrial products in our Packaging segment were partially offset by declines in dispensing products that help fight the spread of germs in our Packaging segment, as demand for these products abated from peak levels following the pandemic, as well as the expected loss of sales of customers' stocking orders for highly-engineered fasteners in our Aerospace segment. In addition, net sales decreased by $13.4 million due to currency exchange, as our reported results in U.S. dollars were unfavorably impacted as a result of a strengthening U.S. dollar relative to foreign currencies.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23.9% and 25.9% for the nine months ended September 30, 2022 and 2021, respectively. Gross profit margin decreased primarily due to a less favorable sales mix, primarily as a result of lower sales of Aerospace segment customers' stocking orders for highly-engineered fasteners, as well as due to production inefficiencies resulting from supply chain constraints and volatility in labor availability during the nine months ended September 30, 2022. In addition, higher sales and improved recovery of resin costs in our Packaging segment was offset by higher energy costs, primarily in our European Packaging segment facilities, higher steel costs in our Specialty Products segment, and unfavorable currency exchange.</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10.7% and 12.0% for the nine months ended September 30, 2022 and 2021, respectively. Operating profit decreased $4.7 million, to $72.8 million, for the nine months ended September 30, 2022, compared to $77.5 million for the nine months ended September 30, 2021, primarily due to a less favorable product sales mix, production inefficiencies resulting from supply chain constraints and volatility in labor availability and unfavorable currency exchange, partially offset by improved recovery of resin costs, $4.4 million of lower realignment costs and a pre-tax gain of $4.8 million within our Aerospace segment for the sale of vacant land adjacent to our Tolleson, Arizona manufacturing facility.</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decreased $0.6 million, to $10.5 million, for the nine months ended September 30, 2022, as compared to $11.1 million for the nine months ended September 30, 2021, due to a lower effective interest rate and a decrease in our weighted average borrowings.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2021, we incurred $10.5 million of debt financing and related expenses, of which $10.3 million related to expenses associated with the redemption of our 2025 Senior Notes and $0.2 million related to the write-off of previously capitalized deferred financing fees associated with our Credit Agreement.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increased $1.7 million to $0.9 million of income for the nine months ended September 30, 2022, as compared to $0.8 million of expense for the nine months ended September 30, 2021, primarily due to an increase in foreign currency transaction gains.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2022 and 2021 was 25.0% and 19.2%, respectively. We recorded tax expense of $15.8 million for the nine months ended September 30, 2022 as compared to $10.6 million for the nine months ended September 30, 2021. The rate for the nine months ended September 30, 2022 is higher than in the prior year as the effective tax rate for the nine months ended September 30, 2021 was impacted by the recognition of $3.0 million of deferred tax benefits in Italy, the majority of which related to a reduction in deferred tax liabilities in connection with certain tax incentives.</w:t>
      </w:r>
    </w:p>
    <w:p>
      <w:pPr>
        <w:spacing w:after="0" w:line="11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Net income increased by $2.8 million, to $47.3 million for the nine months ended September 30, 2022, compared to $44.5 million for the nine months ended September 30, 2021. The increase was primarily the result of a decrease in debt financing and related expenses of $10.5 million, an increase in other income of $1.7 million and a decrease in interest expense of $0.6 million, partially offset by a decrease in operating profit of $4.7 million and an increase in income tax expense of $5.2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$6.8 million, or 1.7%, to $416.5 million in the nine months ended September 30, 2022, as compared to $409.7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September 30, 2021. Our recent Intertech and Omega acquisitions collectively contributed $33.5 million of sales during the nine months ended September 30, 2022. Sales of products used in food and beverage markets increased by $21.1 million, primarily due to strong demand for closures, dispensers and flexible packaging as the hospitality sector continues to rebound from prior COVID-19 pandemic-related shutdowns. Sales of products used in industrial markets increased by $4.8 million, primarily as a result of higher demand for closure products in North America. Sales of dispensing products used in beauty and personal care, as well as home care, applications that help fight the spread of germs decreased by $37.6 million, as COVID-19-related demand levels have abated for these products from the peak levels, as well as more recently due to further lower demand from large consumer goods customers who have communicated they are rebalancing on-hand inventory levels given the current macro-economic environment. Net sales decreased by $13.2 million due to currency exchange, as our reported results in U.S. dollars were unfavorably impacted as a result of the strengthening U.S. dollar relative to foreign currencies, as compared to the nine months ended 2021.</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Packaging's gross profit decreased $4.4 million to $109.4 million, or 26.3% of sales, in the nine months ended September 30, 2022, as compared to $113.8 million, or 27.8% of sales, in the nine months ended September 30, 2021. During the first nine months of 2021, we were impacted by $9 million of higher resin costs than we were able to recover via commercial actions. We have generally been able to recover such costs during the first nine months of 2022, as market prices have generally stabilized. The increase in gross profit from higher sales levels and improved material cost recovery was more than offset by $5.2 million of higher energy costs, primarily in our European manufacturing facilities, as well as $3.4 million of currency exchange, as our reported results in U.S. dollars were unfavorably impacted as a result of the strengthening U.S. dollar relative to foreign currencies. In addition, gross profit margin declined as a result of a less favorable product sales mix.</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Packaging's selling, general and administrative expenses increased $5.3 million to $42.4 million, or 10.2% of sales, in the nine months ended September 30, 2022, as compared to $37.1 million, or 9.1% of sales, in the nine months ended September 30, 2021, primarily due to higher ongoing selling, general and administrative costs associated with our acquisitions as we integrate them into our portfolio, as well as higher employee-related expenses as a result of our realignment actions, partially offset by lower intangible asset amortization expense due to certain assets becoming fully amortized.</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Packaging's operating profit decreased $9.8 million to $66.7 million, or 16.0% of sales, in the nine months ended September 30, 2022, as compared to $76.5 million, or 18.7% of sales, in the nine months ended September 30, 2021, as the impact of higher sales levels and improved recovery of material costs was offset by a less favorable product sales mix, higher energy costs, higher selling, general and administrative expenses and the impact of $1.7 million of unfavorable currency exchange.</w:t>
      </w:r>
    </w:p>
    <w:p>
      <w:pPr>
        <w:spacing w:after="0" w:line="1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nine months ended September 30, 2022 increased $1.7 million, or 1.2%, to $137.3 million, as compared to $135.7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September 30, 2021. Our December 2021 acquisition of TFI contributed $4.1 million in sales. Sales of our fasteners products decreased by $1.8 million, as increases in demand for fasteners used in new aircraft builds plus market share gains was more than offset by the expected loss of sales of customers' stocking orders for highly-engineered fasteners that were predominantly fulfilled throughout 2021. Sales of our engineered components products decreased by $0.6 million, primarily due to lower end market demand.</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within Aerospace decreased $4.7 million to $25.8 million, or 18.8% of sales, in the nine months ended September 30, 2022, from $30.4 million, or 22.4% of sales, in the nine months ended September 30, 2021, primarily due to a less favorable product sales mix in the first nine months of 2022, with lower sales of the customers' stocking orders for highly-engineered fasteners, as well as production inefficiencies resulting from supply chain constraints and volatility in labor availability.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$1.4 million to $21.3 million, or 15.5% of sales, in the nine months ended September 30, 2022, as compared to $19.8 million, or 14.6% of sales, in the nine months ended September 30, 2021, primarily due to higher ongoing selling, general and administrative costs associated with our acquisition of TFI and higher employee-related costs, partially offset by lower third-party expenses.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within Aerospace decreased $1.3 million to $9.3 million, or 6.8% of sales, in the nine months ended September 30, 2022, as compared to $10.6 million, or 7.8% of sales, in the nine months ended September 30, 2021, as the impact of a $4.8 million pre-tax gain on the sale of vacant land adjacent to our Tolleson, Arizona manufacturing facility in third quarter 2022 and higher sales levels was more than offset by a less favorable product sales mix, production inefficiencies resulting from supply chain constraints and volatility in labor availability and higher selling, general and administrative expenses.</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nine months ended September 30, 2022 increased $23.9 million, or 23.3%, to $126.7 million, as compared to $102.7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nine months ended September 30, 2021. Sales of our cylinder products increased $15.1 million, due to higher demand for steel cylinders in North America as industrial activity continues to increase from depressed levels as a result of the COVID-19 pandemic. Sales of engines, compressors and related parts used in stationary power generation and assistance applications for natural gas and crude oil extraction increased by $8.8 million, primarily as a result of higher oil-field activity in North America.</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within Specialty Products increased $4.0 million to $27.6 million, or 21.8% of sales, in the nine months ended September 30, 2022, as compared to $23.6 million, or 23.0% of sales, in the nine months ended September 30, 2021. Gross profit increased due to higher sales levels, while margins decreased due to higher steel costs.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within Specialty Products increased $0.3 million to $6.8 million, or 5.4% of sales, in the nine months ended September 30, 2022, as compared to $6.5 million, or 6.3% of sales, in the nine months ended September 30, 2021, primarily due to higher employment and spending levels in support of the increase in sales levels.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profit within Specialty Products increased $3.6 million to $20.8 million, or 16.4% of sales, in the nine months ended September 30, 2022, as compared to $17.2 million, or 16.7% of sales, in the nine months ended September 30, 2021, primarily due to increased sales levels.</w:t>
      </w:r>
    </w:p>
    <w:p>
      <w:pPr>
        <w:spacing w:after="0" w:line="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net consist of the following (dollars in millions):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Borders>
              <w:bottom w:val="single" w:sz="8" w:color="auto"/>
            </w:tcBorders>
          </w:tcPr>
          <w:p>
            <w:pPr>
              <w:spacing w:after="0"/>
              <w:rPr>
                <w:sz w:val="18"/>
                <w:szCs w:val="18"/>
                <w:color w:val="auto"/>
              </w:rPr>
            </w:pPr>
          </w:p>
        </w:tc>
      </w:tr>
      <w:tr>
        <w:trPr>
          <w:trHeight w:val="211"/>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1"/>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decreased $2.8 million to $24.0 million for the nine months ended September 30, 2022, from $26.8 million for the nine months ended September 30, 2021, primarily as a result of the realignment charges related to the corporate office legal and finance groups in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were $46.6 million for the nine months ended September 30, 2022, as compared to $77.7 million for the nine months ended September 30, 2021. Significant changes in cash flows provided by operating activities and the reasons for such changes were as follows:</w:t>
      </w:r>
    </w:p>
    <w:p>
      <w:pPr>
        <w:spacing w:after="0" w:line="94" w:lineRule="exact"/>
        <w:rPr>
          <w:sz w:val="20"/>
          <w:szCs w:val="20"/>
          <w:color w:val="auto"/>
        </w:rPr>
      </w:pPr>
    </w:p>
    <w:p>
      <w:pPr>
        <w:jc w:val="both"/>
        <w:ind w:left="980" w:hanging="324"/>
        <w:spacing w:after="0" w:line="258"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2022, the Company generated $88.5 million in cash flows, based on the reported net income of $47.3 million and after considering the effects of non-cash items related to depreciation, amortization, (gain) loss on dispositions of assets, changes in deferred income taxes, stock-based compensation and other operating activities. For the nine months ended September 30, 2021, the Company generated $110.2 million in cash flows based on the reported net income of $44.5 million and after considering the effects of similar non-cash items and debt financing and related expenses.</w:t>
      </w:r>
    </w:p>
    <w:p>
      <w:pPr>
        <w:spacing w:after="0" w:line="10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$14.8 million and $23.3 million for the nine months ended September 30, 2022 and 2021, respectively. The increased use of cash for each of the nine month periods is due primarily to the timing of sales and collection of cash related thereto within the periods. Days sales outstanding of receivables increased by four days through the nine months ended September 30, 2022, and increased by two days through the nine months ended September 30, 2021.</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increased our investment in inventory by $19.0 million and $5.9 million for the nine months ended September 30, 2022 and 2021, respectively. The increase in 2022 is primarily a result of proactively investing in certain raw materials and purchased components to protect against supply chain disruptions and potential cost increases.</w:t>
      </w:r>
    </w:p>
    <w:p>
      <w:pPr>
        <w:spacing w:after="0" w:line="10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prepaid expenses and other assets resulted in a use of cash of $1.2 million and $3.8 million for the nine months ended September 30, 2022 and 2021, respectively. These changes were primarily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81" w:lineRule="auto"/>
        <w:tabs>
          <w:tab w:leader="none" w:pos="9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accounts payable and accrued liabilities resulted in a use of cash of $6.9 million for the nine months ended September 30, 2022, while an increase in accounts payable and accrued liabilities resulted in a source of cash of $0.5 million for the nine months ended September 30, 2021. Days accounts payable on hand remained consistent through the nine months ended September 30, 2022 and 2021. Our days accounts payable on hand fluctuate primarily as a result of the timing of payments made to suppliers and the mix of vendors and related terms.</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for the nine months ended September 30, 2022 and 2021 was $69.5 million and $29.7 million, respectively. During the first nine months of 2022, we invested $31.8 million in capital expenditures, as we continued our investment in growth, capacity and productivity-related capital projects, paid $64.1 million, net of cash acquired, to acquire Intertech, and received proceeds of $26.2 million from the termination of our cross-currency swap agreements. During the first nine months of 2021, we invested $29.9 million in capital expenditures. While we sold the land adjacent to our Tolleson, Arizona manufacturing facility during third quarter 2022, we did not receive the cash proceeds until October 2022.</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for financing activities for the nine months ended September 30, 2022 was $37.5 million, while net cash provided by financing activities was $15.0 million for the nine months ended September 30, 2021. During the nine months ended September 30, 2022, we purchased $30.0 million of outstanding common stock, used a net cash amount of $2.4 million related to our stock compensation arrangements and paid dividends of $5.2 million. During the nine months ended September 30, 2021, we issued $400.0 million principal amount of the 2029 Senior Notes, made net repayments of $48.6 million on our revolving credit facilities, and redeemed $300.0 million principal amount of the 2025 Senior Notes. In connection with refinancing our long-term debt, we paid $13.6 million of debt financing fees and redemption premium. We also purchased $18.2 million of outstanding common stock and used a net cash amount of $4.7 million related to our stock compensation arrangements.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2021, we issued the 2029 Senior Notes in a private placement under Rule 144A of the Securities Act of 1933, as amended. We used the proceeds from the 2029 Senior Notes offering to pay fees and expenses of $5.1 million related to the offering and pay fees and expenses of $1.1 million related to amending our Credit Agreement. In connection with the issuance, we completed the redemption of our 2025 Senior Notes, paying $300.0 million to retire the outstanding principal amount plus $7.3 million as a redemption premium. The remaining cash proceeds from the 2029 Senior Notes were used for general corporate purposes, including repaying all outstanding revolving credit facility borrowings. The $5.1 million of fees and expenses related to the 2029 Senior Notes were capitalized as debt issuance costs, while the $7.3 million redemption premium, as well as $3.0 million of unamortized debt issuance costs associated with the 2025 Senior Notes were recorded as expense within debt financing and related expenses in the accompanying consolidated statement of income.</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2029 Senior Notes accrue interest at a rate of 4.125% per annum, payable semi-annually in arrears on April 15 and October 15. The payment of principal and interest is jointly and severally guaranteed, on a senior unsecured basis, by certain subsidiaries of the Company. The 2029 Senior Notes are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all existing and future senior indebtedness and effectively subordinated to all existing and future secured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of the value of the assets securing such indebtedness.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April 15, 2024, we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2029 Senior Notes at a redemption price equal to 100% of the principal amount thereof, plus accrued and unpaid interest, if any, to the redemption date, plus a "make whole" premium.</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our consolidated subsidiaries that do not guarantee the 2029 Senior Notes represented 25% of the total of guarantor and non-guarantor net sales, treating each as a consolidated group and excluding intercompany transactions between guarantor and non-guarantor subsidiaries. In addition, our non-guarantor subsidiaries represented 36% and 12% of the total guarantor and non-guarantor assets and liabilities, respectively, as of September 30, 2022, treating the guarantor and non-guarantor subsidiaries each as a consolidated group.</w:t>
      </w:r>
    </w:p>
    <w:p>
      <w:pPr>
        <w:spacing w:after="0" w:line="11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March 2021, we amended our Credit Agreement in connection with the issuance of the 2029 Senior Notes to extend the maturity date. We incurred fees and expenses of $1.1 million related to the amendment, all of which were capitalized as debt issuance costs. We also recorded $0.2 million of non-cash expense related to the write-off of previously capitalized deferred financing fees. The Credit Agreement consists of a $300.0 million senior secured revolving credit facility, which permits borrowings denominated in specific foreign currencies, subject to a $125.0 million sub limit, maturing on March 29, 2026.</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we amended the Credit Agreement to replace LIBOR with a benchmark interest rate determined based on the currency denomination of borrowings. Effective January 1, 2022, the amendment replaced the reference rate terms for U.S. dollar LIBOR borrowings to the Secured Overnight Financing Rate ("SOFR"), British pound sterling LIBOR borrowings to the Sterling Overnight Index Average ("SONIA") and Euro LIBOR borrowings to the Euro Short Term Rate ("ESTR"), all plus a spread of 1.50%. The interest rate spread is based upon the leverage ratio, as defined, as of the most recent determination date.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September 30, 2022. If we were to complete an acquisition which qualifies for a Covenant Holiday Period, as defined in our Credit Agreement, then our permitted total net leverage ratio cannot exceed 4.50 to 1.00 during that period. Our actual total net leverage ratio was 2.00 to 1.00 at September 30, 2022. Our permitted interest expense coverage ratio under the Credit Agreement is 3.00 to 1.00 as of September 30, 2022. Our actual interest expense coverage ratio was 13.07 to 1.00 at September 30, 2022. At September 30, 2022, we were in compliance with our financial covenants.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September 30, 2022 (dollars in thousands). We present Consolidated Bank EBITDA to show our performance under our financial covenants.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Twelve Months</w:t>
            </w: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ind w:right="580"/>
              <w:spacing w:after="0" w:line="162" w:lineRule="exact"/>
              <w:rPr>
                <w:sz w:val="20"/>
                <w:szCs w:val="20"/>
                <w:color w:val="auto"/>
              </w:rPr>
            </w:pPr>
            <w:r>
              <w:rPr>
                <w:rFonts w:ascii="Times New Roman" w:cs="Times New Roman" w:eastAsia="Times New Roman" w:hAnsi="Times New Roman"/>
                <w:sz w:val="16"/>
                <w:szCs w:val="16"/>
                <w:b w:val="1"/>
                <w:bCs w:val="1"/>
                <w:color w:val="auto"/>
              </w:rPr>
              <w:t>Ended</w:t>
            </w:r>
          </w:p>
        </w:tc>
      </w:tr>
      <w:tr>
        <w:trPr>
          <w:trHeight w:val="214"/>
        </w:trPr>
        <w:tc>
          <w:tcPr>
            <w:tcW w:w="20" w:type="dxa"/>
            <w:vAlign w:val="bottom"/>
            <w:tcBorders>
              <w:bottom w:val="single" w:sz="8" w:color="CCEEFF"/>
            </w:tcBorders>
          </w:tcPr>
          <w:p>
            <w:pPr>
              <w:spacing w:after="0"/>
              <w:rPr>
                <w:sz w:val="18"/>
                <w:szCs w:val="18"/>
                <w:color w:val="auto"/>
              </w:rPr>
            </w:pPr>
          </w:p>
        </w:tc>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25"/>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Effects of purchase accounting adjustments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losses on early extinguishment of debt</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Permitted acquisitions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Currency gains and losses</w:t>
            </w: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226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26"/>
        </w:trPr>
        <w:tc>
          <w:tcPr>
            <w:tcW w:w="20" w:type="dxa"/>
            <w:vAlign w:val="bottom"/>
          </w:tcPr>
          <w:p>
            <w:pPr>
              <w:spacing w:after="0"/>
              <w:rPr>
                <w:sz w:val="19"/>
                <w:szCs w:val="19"/>
                <w:color w:val="auto"/>
              </w:rPr>
            </w:pPr>
          </w:p>
        </w:tc>
        <w:tc>
          <w:tcPr>
            <w:tcW w:w="89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3"/>
                <w:szCs w:val="23"/>
                <w:color w:val="auto"/>
                <w:vertAlign w:val="superscript"/>
              </w:rPr>
              <w:t>(3)</w:t>
            </w:r>
          </w:p>
        </w:tc>
        <w:tc>
          <w:tcPr>
            <w:tcW w:w="620" w:type="dxa"/>
            <w:vAlign w:val="bottom"/>
            <w:tcBorders>
              <w:top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333,130</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166,540</w:t>
            </w:r>
          </w:p>
        </w:tc>
        <w:tc>
          <w:tcPr>
            <w:tcW w:w="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leverage ratio</w:t>
            </w:r>
          </w:p>
        </w:tc>
        <w:tc>
          <w:tcPr>
            <w:tcW w:w="6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x</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w:t>
            </w:r>
          </w:p>
        </w:tc>
        <w:tc>
          <w:tcPr>
            <w:tcW w:w="200" w:type="dxa"/>
            <w:vAlign w:val="bottom"/>
          </w:tcPr>
          <w:p>
            <w:pPr>
              <w:spacing w:after="0"/>
              <w:rPr>
                <w:sz w:val="16"/>
                <w:szCs w:val="16"/>
                <w:color w:val="auto"/>
              </w:rPr>
            </w:pPr>
          </w:p>
        </w:tc>
      </w:tr>
      <w:tr>
        <w:trPr>
          <w:trHeight w:val="162"/>
        </w:trPr>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left="32"/>
              <w:spacing w:after="0" w:line="162" w:lineRule="exact"/>
              <w:rPr>
                <w:sz w:val="20"/>
                <w:szCs w:val="20"/>
                <w:color w:val="auto"/>
              </w:rPr>
            </w:pPr>
            <w:r>
              <w:rPr>
                <w:rFonts w:ascii="Times New Roman" w:cs="Times New Roman" w:eastAsia="Times New Roman" w:hAnsi="Times New Roman"/>
                <w:sz w:val="16"/>
                <w:szCs w:val="16"/>
                <w:b w:val="1"/>
                <w:bCs w:val="1"/>
                <w:color w:val="auto"/>
              </w:rPr>
              <w:t>Ended</w:t>
            </w:r>
          </w:p>
        </w:tc>
        <w:tc>
          <w:tcPr>
            <w:tcW w:w="200" w:type="dxa"/>
            <w:vAlign w:val="bottom"/>
          </w:tcPr>
          <w:p>
            <w:pPr>
              <w:spacing w:after="0"/>
              <w:rPr>
                <w:sz w:val="14"/>
                <w:szCs w:val="14"/>
                <w:color w:val="auto"/>
              </w:rPr>
            </w:pPr>
          </w:p>
        </w:tc>
      </w:tr>
      <w:tr>
        <w:trPr>
          <w:trHeight w:val="214"/>
        </w:trPr>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25"/>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8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8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8"/>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444"/>
        </w:trPr>
        <w:tc>
          <w:tcPr>
            <w:tcW w:w="896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Borders>
              <w:bottom w:val="single" w:sz="8" w:color="CCEEFF"/>
            </w:tcBorders>
          </w:tcPr>
          <w:p>
            <w:pPr>
              <w:spacing w:after="0"/>
              <w:rPr>
                <w:sz w:val="24"/>
                <w:szCs w:val="24"/>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2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166,540</w:t>
            </w:r>
          </w:p>
        </w:tc>
        <w:tc>
          <w:tcPr>
            <w:tcW w:w="200" w:type="dxa"/>
            <w:vAlign w:val="bottom"/>
            <w:shd w:val="clear" w:color="auto" w:fill="CCEEFF"/>
          </w:tcPr>
          <w:p>
            <w:pPr>
              <w:spacing w:after="0"/>
              <w:rPr>
                <w:sz w:val="19"/>
                <w:szCs w:val="19"/>
                <w:color w:val="auto"/>
              </w:rPr>
            </w:pPr>
          </w:p>
        </w:tc>
      </w:tr>
      <w:tr>
        <w:trPr>
          <w:trHeight w:val="230"/>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x</w:t>
            </w:r>
          </w:p>
        </w:tc>
      </w:tr>
      <w:tr>
        <w:trPr>
          <w:trHeight w:val="21"/>
        </w:trPr>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23"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Non-cash compensation expenses resulting from the grant of equity awards.</w:t>
      </w:r>
    </w:p>
    <w:p>
      <w:pPr>
        <w:spacing w:after="0" w:line="122" w:lineRule="exact"/>
        <w:rPr>
          <w:rFonts w:ascii="Times New Roman" w:cs="Times New Roman" w:eastAsia="Times New Roman" w:hAnsi="Times New Roman"/>
          <w:sz w:val="19"/>
          <w:szCs w:val="19"/>
          <w:color w:val="auto"/>
          <w:vertAlign w:val="superscript"/>
        </w:rPr>
      </w:pPr>
    </w:p>
    <w:p>
      <w:pPr>
        <w:ind w:left="260" w:hanging="252"/>
        <w:spacing w:after="0"/>
        <w:tabs>
          <w:tab w:leader="none" w:pos="26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diligence and transaction costs, purchase accounting costs, severance, relocation, restructuring and curtailment expenses.</w:t>
      </w:r>
    </w:p>
    <w:p>
      <w:pPr>
        <w:spacing w:after="0" w:line="132" w:lineRule="exact"/>
        <w:rPr>
          <w:rFonts w:ascii="Times New Roman" w:cs="Times New Roman" w:eastAsia="Times New Roman" w:hAnsi="Times New Roman"/>
          <w:sz w:val="9"/>
          <w:szCs w:val="9"/>
          <w:color w:val="auto"/>
        </w:rPr>
      </w:pPr>
    </w:p>
    <w:p>
      <w:pPr>
        <w:ind w:left="400" w:hanging="392"/>
        <w:spacing w:after="0"/>
        <w:tabs>
          <w:tab w:leader="none" w:pos="40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$3.5 million of acquisition related contingent consideration as of September 30, 2022.</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revolving credit facility allows for the issuance of letters of credit, not to exceed $40.0 million in aggregate. As of December 31, 2021, we placed restricted cash on deposit with a financial institution to be held as cash collateral for our outstanding letters of credit; therefore, as of December 31, 2021, we had no letters of credit issued against our revolving credit facility. At September 30, 2022, we had no amounts outstanding under our revolving credit facility and had $293.9 million potentially available after giving effect to $6.1 million of letters of credit issued and outstanding. At December 31, 2021, we had no amounts outstanding under our revolving credit facility and had $300.0 million potentially available. Our letters of credit, or corresponding restricted cash deposits,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September 30, 2022 and December 31,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weighted average borrowings during the first nine months of 2022 approximated $400.1 million, compared to $402.5 million during the first nine months of 2021, primarily due to a higher aggregate principal balance on our senior notes due to the issuance of the 2029 Senior Notes and the redemption of the 2025 Senior Notes during the first half of 2021.</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we, through one of our non-U.S. subsidiaries, entered into a revolving loan facility with a borrowing capacity of $4 million. The facility is guaranteed by TriMas Corporation. There were no borrowings on this loan facility as of September 30, 2022.</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 than half of our cash on hand as of September 30, 2022 is located within the U.S., and given available funding under our revolving credit facility of $300.0 million at September 30, 2022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which is subject to a benchmark interest rate determined based on the currency denomination of borrowings. At September 30, 2022, we had no amounts outstanding on our revolving credit facility and, therefore, no variable rate-based borrowings outstanding.</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We account for these lease transactions as operating leases, and annual rent expense for continuing operations related thereto approximated $11.0 million in 2021. We expect leasing will continue to be an available financing option to fund future capital expenditure requirements.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an increase of $100 million from the prior authorization. In the three and nine months ended September 30, 2022, we purchased 76,167 and 1,004,154 shares of our outstanding common stock for an aggregate purchase price of $2.1 million and $30.0 million, respectively. Since the initial authorization through September 30, 2022, we have purchased 4,854,969 shares of our outstanding common stock for an aggregate purchase price of $137.3 million. We will continue to evaluate opportunities to return capital to shareholders through the purchase of our common stock and the payment of dividends, depending on market conditions, including the potential impact of the COVID-19 pandemic, and other factors.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September 30, 2022, we were party to foreign exchange forward and swap contracts to hedge changes in foreign currency exchange rates with notional amounts of $130.4 million. We also use cross-currency swap agreements to mitigate currency risks associated with the net investment in certain of our foreign subsidiaries. See Note 11,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 Our stock trades under the symbol "TRS."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March 29, 2022, Moody's affirmed a Ba3 rating to our 2029 Senior Notes.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xml:space="preserve"> within this quarterly report on Form 10-Q. Moody's also affirmed a Ba2 Corporate Family Rating and maintained its outlook as stable. On May 12, 2022, Standard &amp; Poor's affirmed a BB- rating to our 2029 Senior Notes. Standard &amp; Poor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Looking forward, we believe there will be a continued period of uncertainty related to demand levels for our products, whether it be the timing of when our large consumer goods customers increase their orders for beauty and personal care and home care products given their current inventory levels and end-consumer demand, if production rates for new aircraft builds continue to increase as expected, or whether general industrial activity will continue to its upward trajectory or begin to level-off given the current macro-economic environment. No matter the outcome of these factors, we expect to continue to mitigate, as much as practical, the impact of the most challenged end markets, executing realignment actions as necessary and taking other proactive actions where possible such as monetizing non-core properties so we maintain our strong balance sheet and are positioned to gain operating leverage when these end markets recover. We believe we remain well positioned to capitalize on the recovery of the aerospace market, just as we have with the improvement in the industrial markets, as well as capture available market growth opportunities.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our recent acquisitions, we continue to believe our capital structure remains strong and that we have sufficient headroom under our financial covenants, and sufficient cash and available liquidity under our revolving credit facility, to meet our debt service, capital expenditure and other short-term and long-term obligations for at least the next 12 months and for the foreseeable future thereafter, as well as dividends and share repurchases.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on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September 30, 2022, there were no material changes to the items that we disclosed as our critical accounting policies in Part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10,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11,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 information.</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2022,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September 30, 2022, the Company's disclosure controls and procedures are effective to provide reasonable assurance that they would meet their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we have required certain employees, some of whom are involved in the operation of our internal controls over financial reporting, to work from home. Despite this change, there have been no changes in the Company's internal control over financial reporting during the quarter ended September 30, 2022 that have materially affected, or are reasonably likely to materially affect, the Company's internal control over financial reporting. We are continually monitoring and assessing the COVID-19 pandemic on our internal controls to minimize any impact it may have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2021 Annual Report on Form 10-K, which could materially affect our business, financial condition or future results. There have been no significant changes in our risk factors as disclosed in our 2021 Annual Report on Form 10-K.</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 Company's common stock during the three months ended September 30, 2022.</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4"/>
                <w:szCs w:val="14"/>
                <w:color w:val="auto"/>
              </w:rPr>
            </w:pPr>
          </w:p>
        </w:tc>
        <w:tc>
          <w:tcPr>
            <w:tcW w:w="1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17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7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13"/>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the Program </w:t>
            </w:r>
            <w:r>
              <w:rPr>
                <w:rFonts w:ascii="Times New Roman" w:cs="Times New Roman" w:eastAsia="Times New Roman" w:hAnsi="Times New Roman"/>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to July 31, 2022</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112,834,146</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2022 to August 31, 2022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112,657,888</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to September 30,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112,657,888</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76,167</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112,657,888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340" w:hanging="332"/>
        <w:spacing w:after="0" w:line="245" w:lineRule="auto"/>
        <w:tabs>
          <w:tab w:leader="none" w:pos="309"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September 30, 2022, the Company repurchased 76,167 shares of its common stock at a cost of $2.1 million. The share repurchase program is effective and has no expiration date.</w:t>
      </w:r>
    </w:p>
    <w:p>
      <w:pPr>
        <w:spacing w:after="0" w:line="1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18"/>
                <w:szCs w:val="18"/>
                <w:color w:val="auto"/>
              </w:rPr>
            </w:pPr>
          </w:p>
        </w:tc>
        <w:tc>
          <w:tcPr>
            <w:tcW w:w="9500" w:type="dxa"/>
            <w:vAlign w:val="bottom"/>
            <w:gridSpan w:val="6"/>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Fourth Amended and Restated Certificate of Incorporation of TriMas Corporation (Incorporated by reference to the Exhibits filed</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with TriMas Corporation's Quarterly Report on Form 10-Q filed on August 3, 2007 (File No. 001-10716)).</w:t>
              </w:r>
            </w:hyperlink>
          </w:p>
        </w:tc>
        <w:tc>
          <w:tcPr>
            <w:tcW w:w="1640" w:type="dxa"/>
            <w:vAlign w:val="bottom"/>
            <w:tcBorders>
              <w:top w:val="single" w:sz="8" w:color="0000FF"/>
            </w:tcBorders>
            <w:gridSpan w:val="3"/>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spacing w:after="0"/>
              <w:rPr>
                <w:sz w:val="18"/>
                <w:szCs w:val="18"/>
                <w:color w:val="auto"/>
              </w:rPr>
            </w:pPr>
          </w:p>
        </w:tc>
        <w:tc>
          <w:tcPr>
            <w:tcW w:w="9500" w:type="dxa"/>
            <w:vAlign w:val="bottom"/>
            <w:gridSpan w:val="6"/>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Third Amended and Restated By-laws of TriMas Corporation (Incorporated by reference to the Exhibits filed with TriMas</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Corporation's Current Report on Form 8-K filed on December 18, 2015 (File No. 001-10716)).</w:t>
              </w:r>
            </w:hyperlink>
          </w:p>
        </w:tc>
        <w:tc>
          <w:tcPr>
            <w:tcW w:w="700" w:type="dxa"/>
            <w:vAlign w:val="bottom"/>
            <w:gridSpan w:val="2"/>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302 of the Sarbanes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Oxley Act of 2002.</w:t>
            </w: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18"/>
                <w:szCs w:val="18"/>
                <w:color w:val="auto"/>
              </w:rPr>
            </w:pPr>
          </w:p>
        </w:tc>
        <w:tc>
          <w:tcPr>
            <w:tcW w:w="8720" w:type="dxa"/>
            <w:vAlign w:val="bottom"/>
            <w:tcBorders>
              <w:top w:val="single" w:sz="8" w:color="0000FF"/>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780" w:type="dxa"/>
            <w:vAlign w:val="bottom"/>
            <w:gridSpan w:val="3"/>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18"/>
                <w:szCs w:val="18"/>
                <w:color w:val="auto"/>
              </w:rPr>
            </w:pPr>
          </w:p>
        </w:tc>
        <w:tc>
          <w:tcPr>
            <w:tcW w:w="8720" w:type="dxa"/>
            <w:vAlign w:val="bottom"/>
            <w:tcBorders>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780" w:type="dxa"/>
            <w:vAlign w:val="bottom"/>
            <w:gridSpan w:val="3"/>
          </w:tcPr>
          <w:p>
            <w:pPr>
              <w:spacing w:after="0"/>
              <w:rPr>
                <w:sz w:val="18"/>
                <w:szCs w:val="18"/>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18"/>
                <w:szCs w:val="18"/>
                <w:color w:val="auto"/>
              </w:rPr>
            </w:pPr>
          </w:p>
        </w:tc>
        <w:tc>
          <w:tcPr>
            <w:tcW w:w="8720" w:type="dxa"/>
            <w:vAlign w:val="bottom"/>
            <w:tcBorders>
              <w:bottom w:val="single" w:sz="8" w:color="0000FF"/>
            </w:tcBorders>
            <w:gridSpan w:val="3"/>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780" w:type="dxa"/>
            <w:vAlign w:val="bottom"/>
            <w:gridSpan w:val="3"/>
          </w:tcPr>
          <w:p>
            <w:pPr>
              <w:spacing w:after="0"/>
              <w:rPr>
                <w:sz w:val="18"/>
                <w:szCs w:val="18"/>
                <w:color w:val="auto"/>
              </w:rPr>
            </w:pPr>
          </w:p>
        </w:tc>
      </w:tr>
      <w:tr>
        <w:trPr>
          <w:trHeight w:val="205"/>
        </w:trPr>
        <w:tc>
          <w:tcPr>
            <w:tcW w:w="6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7"/>
                <w:szCs w:val="17"/>
                <w:color w:val="auto"/>
              </w:rPr>
            </w:pPr>
          </w:p>
        </w:tc>
        <w:tc>
          <w:tcPr>
            <w:tcW w:w="950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auto"/>
              </w:rPr>
              <w:t>The following materials from TriMas Corporation's Quarterly Report on Form 10-Q for the quarter ended September 30, 2022,</w:t>
            </w:r>
          </w:p>
        </w:tc>
      </w:tr>
      <w:tr>
        <w:trPr>
          <w:trHeight w:val="180"/>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 (i) the Consolidated Balance Sheet, (ii) the Consolidated</w:t>
            </w:r>
          </w:p>
        </w:tc>
      </w:tr>
      <w:tr>
        <w:trPr>
          <w:trHeight w:val="191"/>
        </w:trPr>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500" w:type="dxa"/>
            <w:vAlign w:val="bottom"/>
            <w:gridSpan w:val="6"/>
          </w:tcPr>
          <w:p>
            <w:pPr>
              <w:spacing w:after="0" w:line="191" w:lineRule="exact"/>
              <w:rPr>
                <w:sz w:val="20"/>
                <w:szCs w:val="20"/>
                <w:color w:val="auto"/>
              </w:rPr>
            </w:pPr>
            <w:r>
              <w:rPr>
                <w:rFonts w:ascii="Times New Roman" w:cs="Times New Roman" w:eastAsia="Times New Roman" w:hAnsi="Times New Roman"/>
                <w:sz w:val="18"/>
                <w:szCs w:val="18"/>
                <w:color w:val="auto"/>
              </w:rPr>
              <w:t>Statement of Income, (iii) the Consolidated Statement of Comprehensive Income, (iv) the Consolidated Statement of Cash Flows,</w:t>
            </w:r>
          </w:p>
        </w:tc>
      </w:tr>
    </w:tbl>
    <w:p>
      <w:pPr>
        <w:ind w:left="1680" w:hanging="7"/>
        <w:spacing w:after="0" w:line="233" w:lineRule="auto"/>
        <w:tabs>
          <w:tab w:leader="none" w:pos="19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Shareholders' Equity, (vi) Notes to Consolidated Financial Statements, and (vii) document and entity information.</w:t>
      </w:r>
    </w:p>
    <w:p>
      <w:pPr>
        <w:spacing w:after="0" w:line="1"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40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TRIMAS CORPORATION (Registrant)</w:t>
            </w:r>
          </w:p>
        </w:tc>
        <w:tc>
          <w:tcPr>
            <w:tcW w:w="4440" w:type="dxa"/>
            <w:vAlign w:val="bottom"/>
          </w:tcPr>
          <w:p>
            <w:pPr>
              <w:spacing w:after="0"/>
              <w:rPr>
                <w:sz w:val="20"/>
                <w:szCs w:val="20"/>
                <w:color w:val="auto"/>
              </w:rPr>
            </w:pPr>
          </w:p>
        </w:tc>
      </w:tr>
      <w:tr>
        <w:trPr>
          <w:trHeight w:val="486"/>
        </w:trPr>
        <w:tc>
          <w:tcPr>
            <w:tcW w:w="2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9"/>
              </w:rPr>
              <w:t>/s/ SCOTT A. MELL</w:t>
            </w:r>
          </w:p>
        </w:tc>
      </w:tr>
      <w:tr>
        <w:trPr>
          <w:trHeight w:val="54"/>
        </w:trPr>
        <w:tc>
          <w:tcPr>
            <w:tcW w:w="2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176"/>
        </w:trPr>
        <w:tc>
          <w:tcPr>
            <w:tcW w:w="2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40" w:type="dxa"/>
            <w:vAlign w:val="bottom"/>
          </w:tcPr>
          <w:p>
            <w:pPr>
              <w:jc w:val="center"/>
              <w:ind w:right="2490"/>
              <w:spacing w:after="0" w:line="176" w:lineRule="exact"/>
              <w:rPr>
                <w:sz w:val="20"/>
                <w:szCs w:val="20"/>
                <w:color w:val="auto"/>
              </w:rPr>
            </w:pPr>
            <w:r>
              <w:rPr>
                <w:rFonts w:ascii="Times New Roman" w:cs="Times New Roman" w:eastAsia="Times New Roman" w:hAnsi="Times New Roman"/>
                <w:sz w:val="18"/>
                <w:szCs w:val="18"/>
                <w:color w:val="auto"/>
              </w:rPr>
              <w:t>Scott A. Mell</w:t>
            </w:r>
          </w:p>
        </w:tc>
      </w:tr>
      <w:tr>
        <w:trPr>
          <w:trHeight w:val="23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2022</w:t>
            </w:r>
          </w:p>
        </w:tc>
        <w:tc>
          <w:tcPr>
            <w:tcW w:w="40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249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Mell, certify that:</w:t>
      </w:r>
    </w:p>
    <w:p>
      <w:pPr>
        <w:spacing w:after="0" w:line="225"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September 30, 2022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September 30, 2022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149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Scott A. Mell</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Roman"/>
      <w:start w:val="5"/>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2" Type="http://schemas.openxmlformats.org/officeDocument/2006/relationships/hyperlink" Target="http://www.sec.gov/Archives/edgar/data/842633/000110465907058776/a07-19157_1ex3d1.htm" TargetMode="External"/><Relationship Id="rId53"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2022-10-27T10:47:20Z</dcterms:created>
  <dcterms:modified xsi:type="dcterms:W3CDTF">2022-10-27T10:47:20Z</dcterms:modified>
</cp:coreProperties>
</file>